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76DC9B">
      <w:pPr>
        <w:ind w:right="-315" w:rightChars="-150"/>
        <w:jc w:val="center"/>
        <w:rPr>
          <w:rFonts w:hint="eastAsia" w:ascii="宋体" w:hAnsi="宋体" w:eastAsia="宋体" w:cs="宋体"/>
          <w:b/>
          <w:bCs/>
          <w:color w:val="auto"/>
          <w:sz w:val="92"/>
          <w:szCs w:val="92"/>
          <w:highlight w:val="none"/>
          <w:u w:val="single"/>
          <w:vertAlign w:val="subscript"/>
        </w:rPr>
      </w:pPr>
    </w:p>
    <w:p w14:paraId="6B503F7B">
      <w:pPr>
        <w:spacing w:line="720" w:lineRule="auto"/>
        <w:jc w:val="center"/>
        <w:rPr>
          <w:rFonts w:hint="eastAsia" w:ascii="宋体" w:hAnsi="宋体" w:eastAsia="宋体" w:cs="宋体"/>
          <w:b/>
          <w:bCs/>
          <w:color w:val="auto"/>
          <w:spacing w:val="-10"/>
          <w:sz w:val="48"/>
          <w:szCs w:val="48"/>
          <w:highlight w:val="none"/>
          <w:lang w:val="en-US" w:eastAsia="zh-CN"/>
        </w:rPr>
      </w:pPr>
      <w:r>
        <w:rPr>
          <w:rFonts w:hint="eastAsia" w:ascii="宋体" w:hAnsi="宋体" w:cs="宋体"/>
          <w:b/>
          <w:bCs/>
          <w:color w:val="auto"/>
          <w:spacing w:val="-10"/>
          <w:sz w:val="48"/>
          <w:szCs w:val="48"/>
          <w:highlight w:val="none"/>
          <w:lang w:val="en-US" w:eastAsia="zh-CN"/>
        </w:rPr>
        <w:t>2024年市政基础设施中修、安保和养护工程桥梁养护维修项目结算复核服务</w:t>
      </w:r>
    </w:p>
    <w:p w14:paraId="5854E797">
      <w:pPr>
        <w:spacing w:line="400" w:lineRule="atLeast"/>
        <w:jc w:val="center"/>
        <w:rPr>
          <w:rFonts w:hint="eastAsia" w:ascii="宋体" w:hAnsi="宋体" w:eastAsia="宋体" w:cs="宋体"/>
          <w:b/>
          <w:bCs/>
          <w:color w:val="auto"/>
          <w:sz w:val="98"/>
          <w:szCs w:val="98"/>
          <w:highlight w:val="none"/>
        </w:rPr>
      </w:pPr>
    </w:p>
    <w:p w14:paraId="559D772C">
      <w:pPr>
        <w:spacing w:line="400" w:lineRule="atLeast"/>
        <w:jc w:val="center"/>
        <w:rPr>
          <w:rFonts w:hint="eastAsia" w:ascii="宋体" w:hAnsi="宋体" w:eastAsia="宋体" w:cs="宋体"/>
          <w:b/>
          <w:bCs/>
          <w:color w:val="auto"/>
          <w:sz w:val="98"/>
          <w:szCs w:val="98"/>
          <w:highlight w:val="none"/>
        </w:rPr>
      </w:pPr>
    </w:p>
    <w:p w14:paraId="34C3FEB2">
      <w:pPr>
        <w:spacing w:line="400" w:lineRule="atLeast"/>
        <w:jc w:val="center"/>
        <w:rPr>
          <w:rFonts w:hint="eastAsia" w:ascii="宋体" w:hAnsi="宋体" w:eastAsia="宋体" w:cs="宋体"/>
          <w:b/>
          <w:bCs/>
          <w:color w:val="auto"/>
          <w:sz w:val="98"/>
          <w:szCs w:val="98"/>
          <w:highlight w:val="none"/>
        </w:rPr>
      </w:pPr>
      <w:r>
        <w:rPr>
          <w:rFonts w:hint="eastAsia" w:ascii="宋体" w:hAnsi="宋体" w:eastAsia="宋体" w:cs="宋体"/>
          <w:b/>
          <w:bCs/>
          <w:color w:val="auto"/>
          <w:sz w:val="98"/>
          <w:szCs w:val="98"/>
          <w:highlight w:val="none"/>
        </w:rPr>
        <w:t>招</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件</w:t>
      </w:r>
    </w:p>
    <w:p w14:paraId="19F15149">
      <w:pPr>
        <w:spacing w:line="480" w:lineRule="exact"/>
        <w:ind w:firstLine="2880" w:firstLineChars="900"/>
        <w:rPr>
          <w:rFonts w:hint="eastAsia" w:ascii="宋体" w:hAnsi="宋体" w:eastAsia="宋体" w:cs="宋体"/>
          <w:color w:val="auto"/>
          <w:sz w:val="32"/>
          <w:highlight w:val="none"/>
          <w:u w:val="none"/>
          <w:lang w:val="en-US" w:eastAsia="zh-CN"/>
        </w:rPr>
      </w:pPr>
    </w:p>
    <w:p w14:paraId="6228E25F">
      <w:pPr>
        <w:spacing w:line="480" w:lineRule="exact"/>
        <w:ind w:firstLine="2520" w:firstLineChars="900"/>
        <w:rPr>
          <w:rFonts w:hint="default" w:ascii="宋体" w:hAnsi="宋体" w:eastAsia="宋体" w:cs="宋体"/>
          <w:b/>
          <w:bCs/>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项目编号：HXJY1110001052919001</w:t>
      </w:r>
      <w:r>
        <w:rPr>
          <w:rFonts w:hint="eastAsia" w:ascii="仿宋" w:hAnsi="仿宋" w:eastAsia="仿宋" w:cs="仿宋"/>
          <w:i w:val="0"/>
          <w:iCs w:val="0"/>
          <w:caps w:val="0"/>
          <w:color w:val="auto"/>
          <w:spacing w:val="0"/>
          <w:kern w:val="0"/>
          <w:sz w:val="28"/>
          <w:szCs w:val="28"/>
          <w:highlight w:val="none"/>
          <w:u w:val="single"/>
          <w:shd w:val="clear" w:fill="FFFFFF"/>
          <w:lang w:val="en-US" w:eastAsia="zh-CN" w:bidi="ar"/>
        </w:rPr>
        <w:t xml:space="preserve"> </w:t>
      </w:r>
    </w:p>
    <w:p w14:paraId="1CCCA184">
      <w:pPr>
        <w:spacing w:line="480" w:lineRule="exact"/>
        <w:ind w:firstLine="643" w:firstLineChars="200"/>
        <w:jc w:val="center"/>
        <w:rPr>
          <w:rFonts w:hint="eastAsia" w:ascii="宋体" w:hAnsi="宋体" w:eastAsia="宋体" w:cs="宋体"/>
          <w:b/>
          <w:bCs/>
          <w:color w:val="auto"/>
          <w:sz w:val="32"/>
          <w:szCs w:val="32"/>
          <w:highlight w:val="none"/>
        </w:rPr>
      </w:pPr>
    </w:p>
    <w:p w14:paraId="2968F6F1">
      <w:pPr>
        <w:spacing w:line="480" w:lineRule="exact"/>
        <w:ind w:firstLine="472" w:firstLineChars="147"/>
        <w:rPr>
          <w:rFonts w:hint="eastAsia" w:ascii="宋体" w:hAnsi="宋体" w:eastAsia="宋体" w:cs="宋体"/>
          <w:b/>
          <w:bCs/>
          <w:color w:val="auto"/>
          <w:sz w:val="32"/>
          <w:szCs w:val="32"/>
          <w:highlight w:val="none"/>
        </w:rPr>
      </w:pPr>
    </w:p>
    <w:p w14:paraId="07CE3B8E">
      <w:pPr>
        <w:spacing w:line="480" w:lineRule="exact"/>
        <w:ind w:firstLine="472" w:firstLineChars="147"/>
        <w:rPr>
          <w:rFonts w:hint="eastAsia" w:ascii="宋体" w:hAnsi="宋体" w:eastAsia="宋体" w:cs="宋体"/>
          <w:b/>
          <w:bCs/>
          <w:color w:val="auto"/>
          <w:sz w:val="32"/>
          <w:szCs w:val="32"/>
          <w:highlight w:val="none"/>
        </w:rPr>
      </w:pPr>
    </w:p>
    <w:p w14:paraId="536C2082">
      <w:pPr>
        <w:spacing w:line="480" w:lineRule="exact"/>
        <w:rPr>
          <w:rFonts w:hint="eastAsia" w:ascii="宋体" w:hAnsi="宋体" w:eastAsia="宋体" w:cs="宋体"/>
          <w:b/>
          <w:bCs/>
          <w:color w:val="auto"/>
          <w:sz w:val="32"/>
          <w:szCs w:val="32"/>
          <w:highlight w:val="none"/>
        </w:rPr>
      </w:pPr>
    </w:p>
    <w:p w14:paraId="0292DE31">
      <w:pPr>
        <w:rPr>
          <w:rFonts w:hint="eastAsia" w:ascii="宋体" w:hAnsi="宋体" w:eastAsia="宋体" w:cs="宋体"/>
          <w:color w:val="auto"/>
          <w:highlight w:val="none"/>
        </w:rPr>
      </w:pPr>
    </w:p>
    <w:p w14:paraId="3B4053DE">
      <w:pPr>
        <w:wordWrap w:val="0"/>
        <w:spacing w:line="800" w:lineRule="exact"/>
        <w:ind w:right="480" w:firstLine="960" w:firstLineChars="300"/>
        <w:jc w:val="both"/>
        <w:rPr>
          <w:rFonts w:hint="eastAsia" w:ascii="宋体" w:hAnsi="宋体" w:eastAsia="宋体" w:cs="宋体"/>
          <w:color w:val="auto"/>
          <w:sz w:val="32"/>
          <w:highlight w:val="none"/>
          <w:lang w:val="en-US" w:eastAsia="zh-CN"/>
        </w:rPr>
      </w:pPr>
    </w:p>
    <w:p w14:paraId="44D60B52">
      <w:pPr>
        <w:wordWrap w:val="0"/>
        <w:spacing w:line="800" w:lineRule="exact"/>
        <w:ind w:right="480" w:firstLine="960" w:firstLineChars="300"/>
        <w:jc w:val="both"/>
        <w:rPr>
          <w:rFonts w:hint="eastAsia" w:ascii="宋体" w:hAnsi="宋体" w:eastAsia="宋体" w:cs="宋体"/>
          <w:color w:val="auto"/>
          <w:sz w:val="32"/>
          <w:highlight w:val="none"/>
        </w:rPr>
      </w:pPr>
      <w:r>
        <w:rPr>
          <w:rFonts w:hint="eastAsia" w:ascii="宋体" w:hAnsi="宋体" w:eastAsia="宋体" w:cs="宋体"/>
          <w:color w:val="auto"/>
          <w:sz w:val="32"/>
          <w:highlight w:val="none"/>
          <w:lang w:val="en-US" w:eastAsia="zh-CN"/>
        </w:rPr>
        <w:t>招标</w:t>
      </w:r>
      <w:r>
        <w:rPr>
          <w:rFonts w:hint="eastAsia" w:ascii="宋体" w:hAnsi="宋体" w:eastAsia="宋体" w:cs="宋体"/>
          <w:color w:val="auto"/>
          <w:sz w:val="32"/>
          <w:highlight w:val="none"/>
        </w:rPr>
        <w:t>单位：</w:t>
      </w:r>
      <w:r>
        <w:rPr>
          <w:rFonts w:hint="eastAsia" w:ascii="宋体" w:hAnsi="宋体" w:cs="宋体"/>
          <w:color w:val="auto"/>
          <w:sz w:val="32"/>
          <w:highlight w:val="none"/>
          <w:u w:val="single"/>
          <w:lang w:val="en-US" w:eastAsia="zh-CN"/>
        </w:rPr>
        <w:t xml:space="preserve">    滁州市市政设施管理中心    </w:t>
      </w:r>
      <w:r>
        <w:rPr>
          <w:rFonts w:hint="eastAsia" w:ascii="宋体" w:hAnsi="宋体" w:eastAsia="宋体" w:cs="宋体"/>
          <w:color w:val="auto"/>
          <w:sz w:val="32"/>
          <w:highlight w:val="none"/>
          <w:u w:val="single"/>
        </w:rPr>
        <w:t>（盖章）</w:t>
      </w:r>
    </w:p>
    <w:p w14:paraId="7964B908">
      <w:pPr>
        <w:spacing w:line="800" w:lineRule="exact"/>
        <w:jc w:val="center"/>
        <w:rPr>
          <w:rFonts w:hint="eastAsia" w:ascii="宋体" w:hAnsi="宋体" w:eastAsia="宋体" w:cs="宋体"/>
          <w:color w:val="auto"/>
          <w:sz w:val="32"/>
          <w:highlight w:val="none"/>
          <w:u w:val="single"/>
        </w:rPr>
      </w:pPr>
      <w:r>
        <w:rPr>
          <w:rFonts w:hint="eastAsia" w:ascii="宋体" w:hAnsi="宋体" w:eastAsia="宋体" w:cs="宋体"/>
          <w:color w:val="auto"/>
          <w:sz w:val="32"/>
          <w:highlight w:val="none"/>
        </w:rPr>
        <w:t>代理机构：</w:t>
      </w:r>
      <w:r>
        <w:rPr>
          <w:rFonts w:hint="eastAsia" w:ascii="宋体" w:hAnsi="宋体" w:eastAsia="宋体" w:cs="宋体"/>
          <w:color w:val="auto"/>
          <w:sz w:val="32"/>
          <w:highlight w:val="none"/>
          <w:u w:val="single"/>
        </w:rPr>
        <w:t>滁州市城投工程咨询管理有限公司（盖章）</w:t>
      </w:r>
    </w:p>
    <w:p w14:paraId="5E2CC12C">
      <w:pPr>
        <w:spacing w:line="800" w:lineRule="exact"/>
        <w:jc w:val="center"/>
        <w:rPr>
          <w:rFonts w:hint="eastAsia" w:ascii="宋体" w:hAnsi="宋体" w:eastAsia="宋体" w:cs="宋体"/>
          <w:b/>
          <w:color w:val="auto"/>
          <w:spacing w:val="20"/>
          <w:sz w:val="32"/>
          <w:szCs w:val="32"/>
          <w:highlight w:val="none"/>
          <w:lang w:val="en-US" w:eastAsia="zh-CN"/>
        </w:rPr>
      </w:pPr>
      <w:r>
        <w:rPr>
          <w:rFonts w:hint="eastAsia" w:ascii="宋体" w:hAnsi="宋体" w:eastAsia="宋体" w:cs="宋体"/>
          <w:color w:val="auto"/>
          <w:sz w:val="32"/>
          <w:highlight w:val="none"/>
          <w:u w:val="single"/>
        </w:rPr>
        <w:t>202</w:t>
      </w:r>
      <w:r>
        <w:rPr>
          <w:rFonts w:hint="eastAsia" w:ascii="宋体" w:hAnsi="宋体" w:cs="宋体"/>
          <w:color w:val="auto"/>
          <w:sz w:val="32"/>
          <w:highlight w:val="none"/>
          <w:u w:val="single"/>
          <w:lang w:val="en-US" w:eastAsia="zh-CN"/>
        </w:rPr>
        <w:t>6</w:t>
      </w:r>
      <w:r>
        <w:rPr>
          <w:rFonts w:hint="eastAsia" w:ascii="宋体" w:hAnsi="宋体" w:eastAsia="宋体" w:cs="宋体"/>
          <w:color w:val="auto"/>
          <w:sz w:val="32"/>
          <w:highlight w:val="none"/>
        </w:rPr>
        <w:t>年</w:t>
      </w:r>
      <w:r>
        <w:rPr>
          <w:rFonts w:hint="eastAsia" w:ascii="宋体" w:hAnsi="宋体" w:cs="宋体"/>
          <w:color w:val="auto"/>
          <w:sz w:val="32"/>
          <w:highlight w:val="none"/>
          <w:u w:val="single"/>
          <w:lang w:val="en-US" w:eastAsia="zh-CN"/>
        </w:rPr>
        <w:t xml:space="preserve"> 3 </w:t>
      </w:r>
      <w:r>
        <w:rPr>
          <w:rFonts w:hint="eastAsia" w:ascii="宋体" w:hAnsi="宋体" w:eastAsia="宋体" w:cs="宋体"/>
          <w:color w:val="auto"/>
          <w:sz w:val="32"/>
          <w:highlight w:val="none"/>
        </w:rPr>
        <w:t>月</w:t>
      </w:r>
    </w:p>
    <w:p w14:paraId="563A1069">
      <w:pPr>
        <w:rPr>
          <w:rFonts w:hint="eastAsia" w:ascii="宋体" w:hAnsi="宋体" w:eastAsia="宋体" w:cs="宋体"/>
          <w:color w:val="auto"/>
          <w:highlight w:val="none"/>
        </w:rPr>
        <w:sectPr>
          <w:headerReference r:id="rId4" w:type="first"/>
          <w:footerReference r:id="rId6" w:type="first"/>
          <w:headerReference r:id="rId3" w:type="default"/>
          <w:footerReference r:id="rId5" w:type="default"/>
          <w:pgSz w:w="11906" w:h="16838"/>
          <w:pgMar w:top="1134" w:right="1106" w:bottom="1134" w:left="1259" w:header="680" w:footer="680" w:gutter="0"/>
          <w:cols w:space="0" w:num="1"/>
          <w:titlePg/>
          <w:docGrid w:type="lines" w:linePitch="318" w:charSpace="0"/>
        </w:sectPr>
      </w:pPr>
    </w:p>
    <w:p w14:paraId="35F77A08">
      <w:pPr>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  录</w:t>
      </w:r>
    </w:p>
    <w:p w14:paraId="6259B4B0">
      <w:pPr>
        <w:pStyle w:val="32"/>
        <w:tabs>
          <w:tab w:val="right" w:leader="dot" w:pos="9541"/>
          <w:tab w:val="clear" w:pos="8296"/>
        </w:tabs>
        <w:rPr>
          <w:rFonts w:hint="eastAsia" w:ascii="宋体" w:hAnsi="宋体" w:eastAsia="宋体" w:cs="宋体"/>
          <w:b w:val="0"/>
          <w:bCs w:val="0"/>
          <w:color w:val="auto"/>
          <w:sz w:val="24"/>
          <w:szCs w:val="24"/>
          <w:highlight w:val="none"/>
        </w:rPr>
      </w:pPr>
    </w:p>
    <w:p w14:paraId="5F0FFD1A">
      <w:pPr>
        <w:pStyle w:val="32"/>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TOC \o "1-2" \h \u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_Toc16309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rPr>
        <w:t>A、</w:t>
      </w:r>
      <w:r>
        <w:rPr>
          <w:rFonts w:hint="eastAsia" w:hAnsi="宋体" w:eastAsia="宋体" w:cs="宋体"/>
          <w:color w:val="auto"/>
          <w:highlight w:val="none"/>
          <w:lang w:val="en-US" w:eastAsia="zh-CN"/>
        </w:rPr>
        <w:t>招标公告</w:t>
      </w:r>
      <w:r>
        <w:rPr>
          <w:rFonts w:hint="eastAsia" w:ascii="宋体" w:hAnsi="宋体" w:eastAsia="宋体" w:cs="宋体"/>
          <w:color w:val="auto"/>
          <w:highlight w:val="none"/>
        </w:rPr>
        <w:tab/>
      </w:r>
      <w:r>
        <w:rPr>
          <w:rFonts w:hint="eastAsia" w:hAnsi="宋体" w:eastAsia="宋体" w:cs="宋体"/>
          <w:color w:val="auto"/>
          <w:highlight w:val="none"/>
          <w:lang w:val="en-US" w:eastAsia="zh-CN"/>
        </w:rPr>
        <w:t>1</w:t>
      </w:r>
      <w:r>
        <w:rPr>
          <w:rFonts w:hint="eastAsia" w:ascii="宋体" w:hAnsi="宋体" w:eastAsia="宋体" w:cs="宋体"/>
          <w:bCs w:val="0"/>
          <w:color w:val="auto"/>
          <w:szCs w:val="24"/>
          <w:highlight w:val="none"/>
        </w:rPr>
        <w:fldChar w:fldCharType="end"/>
      </w:r>
    </w:p>
    <w:p w14:paraId="4CD5E4E4">
      <w:pPr>
        <w:pStyle w:val="32"/>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_Toc2525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r>
        <w:rPr>
          <w:rFonts w:hint="eastAsia" w:hAnsi="宋体" w:eastAsia="宋体" w:cs="宋体"/>
          <w:color w:val="auto"/>
          <w:highlight w:val="none"/>
          <w:lang w:eastAsia="zh-CN"/>
        </w:rPr>
        <w:t>投标人须知</w:t>
      </w:r>
      <w:r>
        <w:rPr>
          <w:rFonts w:hint="eastAsia" w:ascii="宋体" w:hAnsi="宋体" w:eastAsia="宋体" w:cs="宋体"/>
          <w:color w:val="auto"/>
          <w:highlight w:val="none"/>
        </w:rPr>
        <w:tab/>
      </w:r>
      <w:r>
        <w:rPr>
          <w:rFonts w:hint="eastAsia" w:hAnsi="宋体" w:eastAsia="宋体" w:cs="宋体"/>
          <w:color w:val="auto"/>
          <w:highlight w:val="none"/>
          <w:lang w:val="en-US" w:eastAsia="zh-CN"/>
        </w:rPr>
        <w:t>6</w:t>
      </w:r>
      <w:r>
        <w:rPr>
          <w:rFonts w:hint="eastAsia" w:ascii="宋体" w:hAnsi="宋体" w:eastAsia="宋体" w:cs="宋体"/>
          <w:bCs w:val="0"/>
          <w:color w:val="auto"/>
          <w:szCs w:val="24"/>
          <w:highlight w:val="none"/>
        </w:rPr>
        <w:fldChar w:fldCharType="end"/>
      </w:r>
    </w:p>
    <w:p w14:paraId="37667979">
      <w:pPr>
        <w:pStyle w:val="32"/>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_Toc13234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第二章 评标办法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_Toc13234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65E06610">
      <w:pPr>
        <w:pStyle w:val="32"/>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_Toc3848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szCs w:val="44"/>
          <w:highlight w:val="none"/>
          <w:lang w:val="en-US" w:eastAsia="zh-CN"/>
        </w:rPr>
        <w:t>第三章 合同条款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_Toc3848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02A250ED">
      <w:pPr>
        <w:pStyle w:val="32"/>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_Toc30675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第四章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_Toc30675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703F52F3">
      <w:pPr>
        <w:pStyle w:val="32"/>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_Toc31498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第五章 招标单位、招标代理机构对本招标文件的确认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_Toc31498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2E1D2DC7">
      <w:pPr>
        <w:pStyle w:val="6"/>
        <w:spacing w:before="0" w:after="0" w:line="48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Cs w:val="0"/>
          <w:color w:val="auto"/>
          <w:szCs w:val="24"/>
          <w:highlight w:val="none"/>
        </w:rPr>
        <w:fldChar w:fldCharType="end"/>
      </w:r>
      <w:r>
        <w:rPr>
          <w:rFonts w:hint="eastAsia" w:ascii="宋体" w:hAnsi="宋体" w:eastAsia="宋体" w:cs="宋体"/>
          <w:b w:val="0"/>
          <w:bCs w:val="0"/>
          <w:color w:val="auto"/>
          <w:sz w:val="24"/>
          <w:szCs w:val="24"/>
          <w:highlight w:val="none"/>
          <w:lang w:val="en-US" w:eastAsia="zh-CN"/>
        </w:rPr>
        <w:t xml:space="preserve"> </w:t>
      </w:r>
    </w:p>
    <w:p w14:paraId="33519C63">
      <w:pPr>
        <w:rPr>
          <w:rFonts w:hint="eastAsia" w:ascii="宋体" w:hAnsi="宋体" w:eastAsia="宋体" w:cs="宋体"/>
          <w:color w:val="auto"/>
          <w:highlight w:val="none"/>
        </w:rPr>
        <w:sectPr>
          <w:footerReference r:id="rId8" w:type="first"/>
          <w:footerReference r:id="rId7" w:type="default"/>
          <w:pgSz w:w="11906" w:h="16838"/>
          <w:pgMar w:top="1134" w:right="1106" w:bottom="1134" w:left="1259" w:header="680" w:footer="680" w:gutter="0"/>
          <w:pgNumType w:start="1"/>
          <w:cols w:space="0" w:num="1"/>
          <w:docGrid w:type="lines" w:linePitch="318" w:charSpace="0"/>
        </w:sectPr>
      </w:pPr>
      <w:r>
        <w:rPr>
          <w:rFonts w:hint="eastAsia" w:ascii="宋体" w:hAnsi="宋体" w:eastAsia="宋体" w:cs="宋体"/>
          <w:b w:val="0"/>
          <w:bCs w:val="0"/>
          <w:color w:val="auto"/>
          <w:sz w:val="24"/>
          <w:szCs w:val="24"/>
          <w:highlight w:val="none"/>
        </w:rPr>
        <w:tab/>
      </w:r>
    </w:p>
    <w:p w14:paraId="3D41C168">
      <w:pPr>
        <w:pStyle w:val="6"/>
        <w:numPr>
          <w:ilvl w:val="0"/>
          <w:numId w:val="1"/>
        </w:numPr>
        <w:bidi w:val="0"/>
        <w:rPr>
          <w:rFonts w:hint="eastAsia" w:ascii="宋体" w:hAnsi="宋体" w:eastAsia="宋体" w:cs="宋体"/>
          <w:color w:val="auto"/>
          <w:highlight w:val="none"/>
          <w:lang w:val="en-US" w:eastAsia="zh-CN"/>
        </w:rPr>
      </w:pPr>
      <w:bookmarkStart w:id="0" w:name="_Toc16309"/>
      <w:r>
        <w:rPr>
          <w:rFonts w:hint="eastAsia" w:ascii="宋体" w:hAnsi="宋体" w:eastAsia="宋体" w:cs="宋体"/>
          <w:color w:val="auto"/>
          <w:highlight w:val="none"/>
          <w:lang w:val="en-US" w:eastAsia="zh-CN"/>
        </w:rPr>
        <w:t>招标公告</w:t>
      </w:r>
    </w:p>
    <w:p w14:paraId="6153588B">
      <w:pPr>
        <w:pStyle w:val="6"/>
        <w:pageBreakBefore w:val="0"/>
        <w:tabs>
          <w:tab w:val="left" w:pos="0"/>
          <w:tab w:val="left" w:pos="3165"/>
          <w:tab w:val="center" w:pos="4153"/>
        </w:tabs>
        <w:kinsoku/>
        <w:overflowPunct/>
        <w:topLinePunct w:val="0"/>
        <w:autoSpaceDE w:val="0"/>
        <w:autoSpaceDN w:val="0"/>
        <w:bidi w:val="0"/>
        <w:adjustRightInd w:val="0"/>
        <w:snapToGrid/>
        <w:spacing w:before="0" w:beforeLines="0" w:after="0" w:afterLines="0" w:line="240" w:lineRule="auto"/>
        <w:jc w:val="center"/>
        <w:textAlignment w:val="auto"/>
        <w:rPr>
          <w:rFonts w:hint="eastAsia" w:ascii="华文中宋" w:hAnsi="华文中宋" w:eastAsia="华文中宋" w:cs="Times New Roman"/>
          <w:color w:val="auto"/>
          <w:highlight w:val="none"/>
          <w:lang w:eastAsia="zh-CN"/>
        </w:rPr>
      </w:pPr>
      <w:bookmarkStart w:id="1" w:name="_Toc21262"/>
      <w:bookmarkStart w:id="2" w:name="_Toc14627"/>
      <w:r>
        <w:rPr>
          <w:rFonts w:hint="eastAsia" w:ascii="华文中宋" w:hAnsi="华文中宋" w:eastAsia="华文中宋" w:cs="Times New Roman"/>
          <w:color w:val="auto"/>
          <w:highlight w:val="none"/>
          <w:lang w:val="en-US" w:eastAsia="zh-CN"/>
        </w:rPr>
        <w:t>2024年市政基础设施中修、安保和养护工程桥梁养护维修项目结算复核服务</w:t>
      </w:r>
      <w:r>
        <w:rPr>
          <w:rFonts w:hint="eastAsia" w:ascii="华文中宋" w:hAnsi="华文中宋" w:eastAsia="华文中宋" w:cs="Times New Roman"/>
          <w:color w:val="auto"/>
          <w:highlight w:val="none"/>
          <w:lang w:eastAsia="zh-CN"/>
        </w:rPr>
        <w:t>招标公告</w:t>
      </w:r>
      <w:bookmarkEnd w:id="1"/>
      <w:bookmarkEnd w:id="2"/>
      <w:r>
        <w:rPr>
          <w:rFonts w:hint="eastAsia" w:ascii="华文中宋" w:hAnsi="华文中宋" w:eastAsia="华文中宋" w:cs="Times New Roman"/>
          <w:color w:val="auto"/>
          <w:highlight w:val="none"/>
          <w:lang w:eastAsia="zh-CN"/>
        </w:rPr>
        <w:t>（</w:t>
      </w:r>
      <w:r>
        <w:rPr>
          <w:rFonts w:hint="eastAsia" w:ascii="华文中宋" w:hAnsi="华文中宋" w:eastAsia="华文中宋" w:cs="Times New Roman"/>
          <w:color w:val="auto"/>
          <w:highlight w:val="none"/>
          <w:lang w:val="en-US" w:eastAsia="zh-CN"/>
        </w:rPr>
        <w:t>不见面开标</w:t>
      </w:r>
      <w:r>
        <w:rPr>
          <w:rFonts w:hint="eastAsia" w:ascii="华文中宋" w:hAnsi="华文中宋" w:eastAsia="华文中宋" w:cs="Times New Roman"/>
          <w:color w:val="auto"/>
          <w:highlight w:val="none"/>
          <w:lang w:eastAsia="zh-CN"/>
        </w:rPr>
        <w:t>）</w:t>
      </w:r>
    </w:p>
    <w:p w14:paraId="0105351F">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bookmarkStart w:id="3" w:name="_Toc23993"/>
      <w:bookmarkStart w:id="4" w:name="_Toc11704"/>
      <w:bookmarkStart w:id="5" w:name="_Toc28359002"/>
      <w:bookmarkStart w:id="6" w:name="_Toc28359079"/>
      <w:bookmarkStart w:id="7" w:name="_Toc35393621"/>
      <w:bookmarkStart w:id="8" w:name="_Toc35393790"/>
      <w:bookmarkStart w:id="9" w:name="_Toc31215"/>
      <w:bookmarkStart w:id="10" w:name="_Hlk24379207"/>
      <w:r>
        <w:rPr>
          <w:rFonts w:hint="eastAsia" w:ascii="宋体" w:hAnsi="宋体" w:eastAsia="宋体" w:cs="宋体"/>
          <w:b/>
          <w:bCs/>
          <w:color w:val="auto"/>
          <w:sz w:val="21"/>
          <w:szCs w:val="21"/>
          <w:highlight w:val="none"/>
        </w:rPr>
        <w:t>一、项目基本情况</w:t>
      </w:r>
      <w:bookmarkEnd w:id="3"/>
      <w:bookmarkEnd w:id="4"/>
      <w:bookmarkEnd w:id="5"/>
      <w:bookmarkEnd w:id="6"/>
      <w:bookmarkEnd w:id="7"/>
      <w:bookmarkEnd w:id="8"/>
      <w:bookmarkEnd w:id="9"/>
    </w:p>
    <w:bookmarkEnd w:id="10"/>
    <w:p w14:paraId="660E9687">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bookmarkStart w:id="11" w:name="_Toc28004"/>
      <w:bookmarkStart w:id="12" w:name="_Toc28359080"/>
      <w:bookmarkStart w:id="13" w:name="_Toc28359003"/>
      <w:bookmarkStart w:id="14" w:name="_Toc4879"/>
      <w:bookmarkStart w:id="15" w:name="_Toc35393791"/>
      <w:bookmarkStart w:id="16" w:name="_Toc35393622"/>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项目编号：HXJY1110001052919001</w:t>
      </w:r>
    </w:p>
    <w:p w14:paraId="1E27E1DB">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项目名称：</w:t>
      </w:r>
      <w:r>
        <w:rPr>
          <w:rFonts w:hint="eastAsia" w:ascii="宋体" w:hAnsi="宋体" w:cs="宋体"/>
          <w:i w:val="0"/>
          <w:iCs w:val="0"/>
          <w:caps w:val="0"/>
          <w:color w:val="auto"/>
          <w:spacing w:val="0"/>
          <w:kern w:val="0"/>
          <w:sz w:val="21"/>
          <w:szCs w:val="21"/>
          <w:highlight w:val="none"/>
          <w:shd w:val="clear" w:color="auto" w:fill="FFFFFF"/>
          <w:lang w:val="en-US" w:eastAsia="zh-CN" w:bidi="ar"/>
        </w:rPr>
        <w:t>2024年市政基础设施中修、安保和养护工程桥梁养护维修项目结算复核服务</w:t>
      </w:r>
    </w:p>
    <w:p w14:paraId="1991BF28">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预算金额：</w:t>
      </w:r>
      <w:r>
        <w:rPr>
          <w:rFonts w:hint="eastAsia" w:ascii="宋体" w:hAnsi="宋体" w:cs="宋体"/>
          <w:i w:val="0"/>
          <w:iCs w:val="0"/>
          <w:caps w:val="0"/>
          <w:color w:val="auto"/>
          <w:spacing w:val="0"/>
          <w:kern w:val="0"/>
          <w:sz w:val="21"/>
          <w:szCs w:val="21"/>
          <w:highlight w:val="none"/>
          <w:shd w:val="clear" w:color="auto" w:fill="FFFFFF"/>
          <w:lang w:val="en-US" w:eastAsia="zh-CN" w:bidi="ar"/>
        </w:rPr>
        <w:t>0.74万元</w:t>
      </w:r>
    </w:p>
    <w:p w14:paraId="5705B9E1">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最高限价：本项目的最高限价为基本费5000元、审核成果费率4%（审核成果费率为不可竞争费率，固定不变），基本费由投标人自主报价，不得高于上述基本费最高限价，否则按无效标处理。（投标报价不可以填报0或负数，否则按无效标处理）</w:t>
      </w:r>
    </w:p>
    <w:p w14:paraId="569A284C">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采购需求：</w:t>
      </w:r>
      <w:r>
        <w:rPr>
          <w:rFonts w:hint="eastAsia" w:ascii="宋体" w:hAnsi="宋体" w:cs="宋体"/>
          <w:i w:val="0"/>
          <w:iCs w:val="0"/>
          <w:caps w:val="0"/>
          <w:color w:val="auto"/>
          <w:spacing w:val="0"/>
          <w:kern w:val="0"/>
          <w:sz w:val="21"/>
          <w:szCs w:val="21"/>
          <w:highlight w:val="none"/>
          <w:shd w:val="clear" w:color="auto" w:fill="FFFFFF"/>
          <w:lang w:val="en-US" w:eastAsia="zh-CN" w:bidi="ar"/>
        </w:rPr>
        <w:t>2024年市政基础设施中修、安保和养护工程桥梁养护维修项目结算复核服务</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，具体详见工程量清单和施工图纸及结算报告。本次招标需求为上述工程的结算复核服务</w:t>
      </w:r>
    </w:p>
    <w:p w14:paraId="1042DD81">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标段（包别）划分：1个标段</w:t>
      </w:r>
    </w:p>
    <w:p w14:paraId="53B76FA9">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合同履行期限：执行滁重〔2022〕55号《工程造价咨询服务管理办法》的通知第十八、十九条规定</w:t>
      </w:r>
    </w:p>
    <w:p w14:paraId="20F129E5">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本项目不接受联合体</w:t>
      </w:r>
    </w:p>
    <w:p w14:paraId="101A37AB">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bookmarkStart w:id="17" w:name="_Toc30013"/>
      <w:r>
        <w:rPr>
          <w:rFonts w:hint="eastAsia" w:ascii="宋体" w:hAnsi="宋体" w:eastAsia="宋体" w:cs="宋体"/>
          <w:b/>
          <w:bCs/>
          <w:color w:val="auto"/>
          <w:sz w:val="21"/>
          <w:szCs w:val="21"/>
          <w:highlight w:val="none"/>
        </w:rPr>
        <w:t>二、申请人的资格要求：</w:t>
      </w:r>
      <w:bookmarkEnd w:id="11"/>
      <w:bookmarkEnd w:id="12"/>
      <w:bookmarkEnd w:id="13"/>
      <w:bookmarkEnd w:id="14"/>
      <w:bookmarkEnd w:id="15"/>
      <w:bookmarkEnd w:id="16"/>
      <w:bookmarkEnd w:id="17"/>
    </w:p>
    <w:p w14:paraId="41B157CB">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1.投标人要求：须具有独立承担民事责任的能力；</w:t>
      </w:r>
    </w:p>
    <w:p w14:paraId="2E536E7B">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bookmarkStart w:id="18" w:name="_Toc28359081"/>
      <w:bookmarkStart w:id="19" w:name="_Toc28359004"/>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2.项目负责人要求：须具有注册在投标单位的土木建筑工程专业一级注册造价工程师（或原注册造价工程师）；</w:t>
      </w:r>
    </w:p>
    <w:p w14:paraId="171F54D0">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3.其他要求：项目组其他成员（不含项目负责人）要求：不少于2名且具有在本单位注册的二级及以上造价工程师（土木建筑工程专业至少1名）；</w:t>
      </w:r>
    </w:p>
    <w:p w14:paraId="2AEC28B0">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bookmarkStart w:id="20" w:name="_Toc2689"/>
      <w:bookmarkStart w:id="21" w:name="_Toc35393792"/>
      <w:bookmarkStart w:id="22" w:name="_Toc28172"/>
      <w:bookmarkStart w:id="23" w:name="_Toc7189"/>
      <w:bookmarkStart w:id="24" w:name="_Toc35393623"/>
      <w:r>
        <w:rPr>
          <w:rFonts w:hint="eastAsia" w:ascii="宋体" w:hAnsi="宋体" w:eastAsia="宋体" w:cs="宋体"/>
          <w:b/>
          <w:bCs/>
          <w:color w:val="auto"/>
          <w:sz w:val="21"/>
          <w:szCs w:val="21"/>
          <w:highlight w:val="none"/>
        </w:rPr>
        <w:t>三、获取</w:t>
      </w:r>
      <w:bookmarkEnd w:id="18"/>
      <w:bookmarkEnd w:id="19"/>
      <w:bookmarkEnd w:id="20"/>
      <w:bookmarkEnd w:id="21"/>
      <w:bookmarkEnd w:id="22"/>
      <w:bookmarkEnd w:id="23"/>
      <w:bookmarkEnd w:id="24"/>
      <w:r>
        <w:rPr>
          <w:rFonts w:hint="eastAsia" w:ascii="宋体" w:hAnsi="宋体" w:eastAsia="宋体" w:cs="宋体"/>
          <w:b/>
          <w:bCs/>
          <w:color w:val="auto"/>
          <w:sz w:val="21"/>
          <w:szCs w:val="21"/>
          <w:highlight w:val="none"/>
          <w:lang w:eastAsia="zh-CN"/>
        </w:rPr>
        <w:t>招标文件</w:t>
      </w:r>
    </w:p>
    <w:p w14:paraId="7B7E7722">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时间：202</w:t>
      </w:r>
      <w:r>
        <w:rPr>
          <w:rFonts w:hint="eastAsia" w:ascii="宋体" w:hAnsi="宋体" w:cs="宋体"/>
          <w:i w:val="0"/>
          <w:iCs w:val="0"/>
          <w:caps w:val="0"/>
          <w:color w:val="auto"/>
          <w:spacing w:val="0"/>
          <w:kern w:val="0"/>
          <w:sz w:val="21"/>
          <w:szCs w:val="21"/>
          <w:highlight w:val="none"/>
          <w:shd w:val="clear" w:color="auto" w:fill="FFFFFF"/>
          <w:lang w:val="en-US" w:eastAsia="zh-CN" w:bidi="ar"/>
        </w:rPr>
        <w:t>6</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年</w:t>
      </w:r>
      <w:r>
        <w:rPr>
          <w:rFonts w:hint="eastAsia" w:ascii="宋体" w:hAnsi="宋体" w:cs="宋体"/>
          <w:i w:val="0"/>
          <w:iCs w:val="0"/>
          <w:caps w:val="0"/>
          <w:color w:val="auto"/>
          <w:spacing w:val="0"/>
          <w:kern w:val="0"/>
          <w:sz w:val="21"/>
          <w:szCs w:val="21"/>
          <w:highlight w:val="none"/>
          <w:shd w:val="clear" w:color="auto" w:fill="FFFFFF"/>
          <w:lang w:val="en-US" w:eastAsia="zh-CN" w:bidi="ar"/>
        </w:rPr>
        <w:t>3</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月</w:t>
      </w:r>
      <w:r>
        <w:rPr>
          <w:rFonts w:hint="eastAsia" w:ascii="宋体" w:hAnsi="宋体" w:cs="宋体"/>
          <w:i w:val="0"/>
          <w:iCs w:val="0"/>
          <w:caps w:val="0"/>
          <w:color w:val="auto"/>
          <w:spacing w:val="0"/>
          <w:kern w:val="0"/>
          <w:sz w:val="21"/>
          <w:szCs w:val="21"/>
          <w:highlight w:val="none"/>
          <w:shd w:val="clear" w:color="auto" w:fill="FFFFFF"/>
          <w:lang w:val="en-US" w:eastAsia="zh-CN" w:bidi="ar"/>
        </w:rPr>
        <w:t>17</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日至202</w:t>
      </w:r>
      <w:r>
        <w:rPr>
          <w:rFonts w:hint="eastAsia" w:ascii="宋体" w:hAnsi="宋体" w:cs="宋体"/>
          <w:i w:val="0"/>
          <w:iCs w:val="0"/>
          <w:caps w:val="0"/>
          <w:color w:val="auto"/>
          <w:spacing w:val="0"/>
          <w:kern w:val="0"/>
          <w:sz w:val="21"/>
          <w:szCs w:val="21"/>
          <w:highlight w:val="none"/>
          <w:shd w:val="clear" w:color="auto" w:fill="FFFFFF"/>
          <w:lang w:val="en-US" w:eastAsia="zh-CN" w:bidi="ar"/>
        </w:rPr>
        <w:t>6</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年</w:t>
      </w:r>
      <w:r>
        <w:rPr>
          <w:rFonts w:hint="eastAsia" w:ascii="宋体" w:hAnsi="宋体" w:cs="宋体"/>
          <w:i w:val="0"/>
          <w:iCs w:val="0"/>
          <w:caps w:val="0"/>
          <w:color w:val="auto"/>
          <w:spacing w:val="0"/>
          <w:kern w:val="0"/>
          <w:sz w:val="21"/>
          <w:szCs w:val="21"/>
          <w:highlight w:val="none"/>
          <w:shd w:val="clear" w:color="auto" w:fill="FFFFFF"/>
          <w:lang w:val="en-US" w:eastAsia="zh-CN" w:bidi="ar"/>
        </w:rPr>
        <w:t>3</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月</w:t>
      </w:r>
      <w:r>
        <w:rPr>
          <w:rFonts w:hint="eastAsia" w:ascii="宋体" w:hAnsi="宋体" w:cs="宋体"/>
          <w:i w:val="0"/>
          <w:iCs w:val="0"/>
          <w:caps w:val="0"/>
          <w:color w:val="auto"/>
          <w:spacing w:val="0"/>
          <w:kern w:val="0"/>
          <w:sz w:val="21"/>
          <w:szCs w:val="21"/>
          <w:highlight w:val="none"/>
          <w:shd w:val="clear" w:color="auto" w:fill="FFFFFF"/>
          <w:lang w:val="en-US" w:eastAsia="zh-CN" w:bidi="ar"/>
        </w:rPr>
        <w:t>20</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日。</w:t>
      </w:r>
    </w:p>
    <w:p w14:paraId="5E8D5B06">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地点：滁州市重点工程建设管理处（http://zdc.chuzhou.gov.cn/）或滁州市城投工程咨询管理有限公司（https://www.czctgczx.com/）网站。</w:t>
      </w:r>
    </w:p>
    <w:p w14:paraId="1F313A6F">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方式：网上下载</w:t>
      </w:r>
    </w:p>
    <w:p w14:paraId="27A9C381">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售价：0元</w:t>
      </w:r>
    </w:p>
    <w:p w14:paraId="09247A6F">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bookmarkStart w:id="25" w:name="_Toc28359082"/>
      <w:bookmarkStart w:id="26" w:name="_Toc28359005"/>
      <w:bookmarkStart w:id="27" w:name="_Toc6135"/>
      <w:bookmarkStart w:id="28" w:name="_Toc35393793"/>
      <w:bookmarkStart w:id="29" w:name="_Toc19139"/>
      <w:bookmarkStart w:id="30" w:name="_Toc35393624"/>
      <w:bookmarkStart w:id="31" w:name="_Toc23486"/>
      <w:r>
        <w:rPr>
          <w:rFonts w:hint="eastAsia" w:ascii="宋体" w:hAnsi="宋体" w:eastAsia="宋体" w:cs="宋体"/>
          <w:b/>
          <w:bCs/>
          <w:color w:val="auto"/>
          <w:sz w:val="21"/>
          <w:szCs w:val="21"/>
          <w:highlight w:val="none"/>
          <w:lang w:eastAsia="zh-CN"/>
        </w:rPr>
        <w:t>四、提交投标文件</w:t>
      </w:r>
      <w:bookmarkEnd w:id="25"/>
      <w:bookmarkEnd w:id="26"/>
      <w:r>
        <w:rPr>
          <w:rFonts w:hint="eastAsia" w:ascii="宋体" w:hAnsi="宋体" w:eastAsia="宋体" w:cs="宋体"/>
          <w:b/>
          <w:bCs/>
          <w:color w:val="auto"/>
          <w:sz w:val="21"/>
          <w:szCs w:val="21"/>
          <w:highlight w:val="none"/>
          <w:lang w:eastAsia="zh-CN"/>
        </w:rPr>
        <w:t>截止时间、开标时间和地点</w:t>
      </w:r>
      <w:bookmarkEnd w:id="27"/>
      <w:bookmarkEnd w:id="28"/>
      <w:bookmarkEnd w:id="29"/>
      <w:bookmarkEnd w:id="30"/>
      <w:bookmarkEnd w:id="31"/>
    </w:p>
    <w:p w14:paraId="78DDBB26">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bookmarkStart w:id="32" w:name="_Toc28359084"/>
      <w:bookmarkStart w:id="33" w:name="_Toc35393625"/>
      <w:bookmarkStart w:id="34" w:name="_Toc19623"/>
      <w:bookmarkStart w:id="35" w:name="_Toc35393794"/>
      <w:bookmarkStart w:id="36" w:name="_Toc28359007"/>
      <w:bookmarkStart w:id="37" w:name="_Toc5602"/>
      <w:bookmarkStart w:id="38" w:name="_Toc1913"/>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时间</w:t>
      </w:r>
      <w:r>
        <w:rPr>
          <w:rFonts w:hint="eastAsia" w:ascii="宋体" w:hAnsi="宋体" w:cs="宋体"/>
          <w:i w:val="0"/>
          <w:iCs w:val="0"/>
          <w:caps w:val="0"/>
          <w:color w:val="auto"/>
          <w:spacing w:val="0"/>
          <w:kern w:val="0"/>
          <w:sz w:val="21"/>
          <w:szCs w:val="21"/>
          <w:highlight w:val="none"/>
          <w:shd w:val="clear" w:color="auto" w:fill="FFFFFF"/>
          <w:lang w:val="en-US" w:eastAsia="zh-CN" w:bidi="ar"/>
        </w:rPr>
        <w:t>：</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202</w:t>
      </w:r>
      <w:r>
        <w:rPr>
          <w:rFonts w:hint="eastAsia" w:ascii="宋体" w:hAnsi="宋体" w:cs="宋体"/>
          <w:i w:val="0"/>
          <w:iCs w:val="0"/>
          <w:caps w:val="0"/>
          <w:color w:val="auto"/>
          <w:spacing w:val="0"/>
          <w:kern w:val="0"/>
          <w:sz w:val="21"/>
          <w:szCs w:val="21"/>
          <w:highlight w:val="none"/>
          <w:shd w:val="clear" w:color="auto" w:fill="FFFFFF"/>
          <w:lang w:val="en-US" w:eastAsia="zh-CN" w:bidi="ar"/>
        </w:rPr>
        <w:t>6</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年</w:t>
      </w:r>
      <w:r>
        <w:rPr>
          <w:rFonts w:hint="eastAsia" w:ascii="宋体" w:hAnsi="宋体" w:cs="宋体"/>
          <w:i w:val="0"/>
          <w:iCs w:val="0"/>
          <w:caps w:val="0"/>
          <w:color w:val="auto"/>
          <w:spacing w:val="0"/>
          <w:kern w:val="0"/>
          <w:sz w:val="21"/>
          <w:szCs w:val="21"/>
          <w:highlight w:val="none"/>
          <w:shd w:val="clear" w:color="auto" w:fill="FFFFFF"/>
          <w:lang w:val="en-US" w:eastAsia="zh-CN" w:bidi="ar"/>
        </w:rPr>
        <w:t>3</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月</w:t>
      </w:r>
      <w:r>
        <w:rPr>
          <w:rFonts w:hint="eastAsia" w:ascii="宋体" w:hAnsi="宋体" w:cs="宋体"/>
          <w:i w:val="0"/>
          <w:iCs w:val="0"/>
          <w:caps w:val="0"/>
          <w:color w:val="auto"/>
          <w:spacing w:val="0"/>
          <w:kern w:val="0"/>
          <w:sz w:val="21"/>
          <w:szCs w:val="21"/>
          <w:highlight w:val="none"/>
          <w:shd w:val="clear" w:color="auto" w:fill="FFFFFF"/>
          <w:lang w:val="en-US" w:eastAsia="zh-CN" w:bidi="ar"/>
        </w:rPr>
        <w:t>20</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日</w:t>
      </w:r>
      <w:r>
        <w:rPr>
          <w:rFonts w:hint="eastAsia" w:ascii="宋体" w:hAnsi="宋体" w:cs="宋体"/>
          <w:i w:val="0"/>
          <w:iCs w:val="0"/>
          <w:caps w:val="0"/>
          <w:color w:val="auto"/>
          <w:spacing w:val="0"/>
          <w:kern w:val="0"/>
          <w:sz w:val="21"/>
          <w:szCs w:val="21"/>
          <w:highlight w:val="none"/>
          <w:shd w:val="clear" w:color="auto" w:fill="FFFFFF"/>
          <w:lang w:val="en-US" w:eastAsia="zh-CN" w:bidi="ar"/>
        </w:rPr>
        <w:t>8</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时</w:t>
      </w:r>
      <w:r>
        <w:rPr>
          <w:rFonts w:hint="eastAsia" w:ascii="宋体" w:hAnsi="宋体" w:cs="宋体"/>
          <w:i w:val="0"/>
          <w:iCs w:val="0"/>
          <w:caps w:val="0"/>
          <w:color w:val="auto"/>
          <w:spacing w:val="0"/>
          <w:kern w:val="0"/>
          <w:sz w:val="21"/>
          <w:szCs w:val="21"/>
          <w:highlight w:val="none"/>
          <w:shd w:val="clear" w:color="auto" w:fill="FFFFFF"/>
          <w:lang w:val="en-US" w:eastAsia="zh-CN" w:bidi="ar"/>
        </w:rPr>
        <w:t>3</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0分；</w:t>
      </w:r>
    </w:p>
    <w:p w14:paraId="68E70389">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地点：网上开标，投标人登录滁州市城投工程咨询管理有限公司不见面开标系统参与网上开标（网址：http://js.etrading.cn/EpointBidOpening/bidopeninghallaction/hall/login）。</w:t>
      </w:r>
    </w:p>
    <w:p w14:paraId="39276E8D">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五、公告</w:t>
      </w:r>
      <w:bookmarkEnd w:id="32"/>
      <w:bookmarkEnd w:id="33"/>
      <w:bookmarkEnd w:id="34"/>
      <w:bookmarkEnd w:id="35"/>
      <w:bookmarkEnd w:id="36"/>
      <w:bookmarkEnd w:id="37"/>
      <w:bookmarkEnd w:id="38"/>
      <w:r>
        <w:rPr>
          <w:rFonts w:hint="eastAsia" w:ascii="宋体" w:hAnsi="宋体" w:eastAsia="宋体" w:cs="宋体"/>
          <w:b/>
          <w:bCs/>
          <w:color w:val="auto"/>
          <w:sz w:val="21"/>
          <w:szCs w:val="21"/>
          <w:highlight w:val="none"/>
          <w:lang w:val="en-US" w:eastAsia="zh-CN"/>
        </w:rPr>
        <w:t>发布期限及媒体</w:t>
      </w:r>
    </w:p>
    <w:p w14:paraId="70ADAEFA">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自本公告发布之日起至投标截止时间止。</w:t>
      </w:r>
    </w:p>
    <w:p w14:paraId="4D51DD30">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本次招标公告同时在中国招标公共服务平台（http://www.cebpubservice.com/）、安徽省招标投标信息网（www.ahtba.org.cn）、滁州市重点工程建设管理处（http://zdc.chuzhou.gov.cn/）、滁州市城投工程咨询管理有限公司（https://www.czctgczx.com/）网站上发布</w:t>
      </w:r>
    </w:p>
    <w:p w14:paraId="25B232D4">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六、投标保证金金额及缴纳账户</w:t>
      </w:r>
    </w:p>
    <w:p w14:paraId="1B54B949">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是否要求投标人提交投标保证金：不要求。</w:t>
      </w:r>
    </w:p>
    <w:p w14:paraId="74160DEB">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lang w:eastAsia="zh-CN"/>
        </w:rPr>
        <w:t>、重要提醒</w:t>
      </w:r>
    </w:p>
    <w:p w14:paraId="48DCA054">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3DCD223D">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请于公告发布之日起从滁州市城投工程咨询管理有限公司官网（https://www.czctgczx.com/）下载本项目招标文件，或从滁州市城投工程咨询管理有限公司官网（https://www.czctgczx.com/），点击项目招标公告下方【我要投标】，登录新点电子交易平台后在【滁州专区】（https://www.etrading.cn/BREpointSSO/login/oauth2login?regioncode=DQ_ChuZhou）下载本项目招标文件。</w:t>
      </w:r>
    </w:p>
    <w:p w14:paraId="3DB951E8">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3.投标人参与投标的，须登录新点电子交易平台【滁州专区】查询、获取招标文件。首次登录办理入库手续，办理入库不收取任何费用。新点电子招投标统一认证平台使用相关问题（如系统登录、信息登记、录入及提交、数字证书关联等）请拨打服务电话：0512-58151515（工作日），标正通使用相关问题请拨打服务电话：0512-58188013。</w:t>
      </w:r>
    </w:p>
    <w:p w14:paraId="015DA7A8">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4.投标人登录新点电子交易平台【滁州专区】获取招标文件及其它资料（含澄清和补充说明等）。如在招标文件获取过程中遇到系统问题，请拨打技术支持服务热线0512-58151515或者网站首页在线客服。投标人自行承担因未按要求获取招标文件导致无法上传电子投标文件的风险。</w:t>
      </w:r>
    </w:p>
    <w:p w14:paraId="1B15D5B6">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5.本项目采用不见面开标，投标人登录滁州市城投工程咨询管理有限公司不见面开标系统参与网上开标（网址：http://js.etrading.cn/EpointBidOpening/bidopeninghallaction/hall/login）。</w:t>
      </w:r>
    </w:p>
    <w:p w14:paraId="12FEC6A2">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6.投标人应在投标截止时间之前，登录新点电子交易平台【滁州专区】上传投标文件。投标人逾期上传投标文件的，电子系统不予受理。</w:t>
      </w:r>
    </w:p>
    <w:p w14:paraId="0B0DE76A">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2813F802">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8.投标人的联系人电话(手机)、电子邮箱等通讯方式在开标过程中必须保持畅通，否则因上述原因造成的后果，责任自负。</w:t>
      </w:r>
    </w:p>
    <w:p w14:paraId="0369C8DB">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lang w:eastAsia="zh-CN"/>
        </w:rPr>
        <w:t>对本次招标提出询问，请按以下方式联系</w:t>
      </w:r>
    </w:p>
    <w:p w14:paraId="63CC9399">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1.招标人信息</w:t>
      </w:r>
    </w:p>
    <w:p w14:paraId="008F993E">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名称：滁州市市政设施管理中心        </w:t>
      </w:r>
    </w:p>
    <w:p w14:paraId="2676EEB6">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地址：滁州市琅琊西路建设大厦7楼                </w:t>
      </w:r>
    </w:p>
    <w:p w14:paraId="604B5F7D">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联系人：李福锟</w:t>
      </w:r>
    </w:p>
    <w:p w14:paraId="00D6D654">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联系方式：</w:t>
      </w:r>
      <w:bookmarkStart w:id="39" w:name="_Toc28359086"/>
      <w:bookmarkStart w:id="40" w:name="_Toc28359009"/>
      <w:r>
        <w:rPr>
          <w:rFonts w:hint="eastAsia" w:ascii="宋体" w:hAnsi="宋体" w:cs="宋体"/>
          <w:i w:val="0"/>
          <w:iCs w:val="0"/>
          <w:caps w:val="0"/>
          <w:color w:val="auto"/>
          <w:spacing w:val="0"/>
          <w:kern w:val="0"/>
          <w:sz w:val="21"/>
          <w:szCs w:val="21"/>
          <w:highlight w:val="none"/>
          <w:shd w:val="clear" w:color="auto" w:fill="FFFFFF"/>
          <w:lang w:val="en-US" w:eastAsia="zh-CN" w:bidi="ar"/>
        </w:rPr>
        <w:t>0550-3046029</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             </w:t>
      </w:r>
    </w:p>
    <w:p w14:paraId="03EF2015">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2.代理机构信息</w:t>
      </w:r>
      <w:bookmarkEnd w:id="39"/>
      <w:bookmarkEnd w:id="40"/>
    </w:p>
    <w:p w14:paraId="172B8153">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bookmarkStart w:id="41" w:name="_Toc28359010"/>
      <w:bookmarkStart w:id="42" w:name="_Toc28359087"/>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名称：滁州市城投工程咨询管理有限公司</w:t>
      </w:r>
    </w:p>
    <w:p w14:paraId="61DC66B0">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地址：滁州市龙蟠大道109号房产商务大厦6楼605室                </w:t>
      </w:r>
    </w:p>
    <w:p w14:paraId="08A37725">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联系人：胡国庆</w:t>
      </w:r>
    </w:p>
    <w:p w14:paraId="3942C597">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联系方式：0550-3519517、18005500950             </w:t>
      </w:r>
    </w:p>
    <w:bookmarkEnd w:id="41"/>
    <w:bookmarkEnd w:id="42"/>
    <w:p w14:paraId="2B50E2F9">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           </w:t>
      </w:r>
    </w:p>
    <w:p w14:paraId="21C74F84">
      <w:pPr>
        <w:numPr>
          <w:ilvl w:val="0"/>
          <w:numId w:val="0"/>
        </w:numPr>
        <w:rPr>
          <w:rFonts w:hint="default"/>
          <w:color w:val="auto"/>
          <w:highlight w:val="none"/>
          <w:lang w:val="en-US" w:eastAsia="zh-CN"/>
        </w:rPr>
      </w:pPr>
    </w:p>
    <w:p w14:paraId="607C199E">
      <w:pPr>
        <w:pStyle w:val="6"/>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eastAsia="zh-CN"/>
        </w:rPr>
      </w:pPr>
      <w:bookmarkStart w:id="43" w:name="_Toc2525"/>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bookmarkEnd w:id="43"/>
      <w:r>
        <w:rPr>
          <w:rFonts w:hint="eastAsia" w:ascii="宋体" w:hAnsi="宋体" w:eastAsia="宋体" w:cs="宋体"/>
          <w:color w:val="auto"/>
          <w:highlight w:val="none"/>
          <w:lang w:eastAsia="zh-CN"/>
        </w:rPr>
        <w:t>投标人须知</w:t>
      </w:r>
    </w:p>
    <w:p w14:paraId="11A55803">
      <w:pPr>
        <w:pStyle w:val="6"/>
        <w:keepNext/>
        <w:keepLines/>
        <w:pageBreakBefore w:val="0"/>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投标人须知</w:t>
      </w:r>
      <w:r>
        <w:rPr>
          <w:rFonts w:hint="eastAsia" w:ascii="宋体" w:hAnsi="宋体" w:eastAsia="宋体" w:cs="宋体"/>
          <w:color w:val="auto"/>
          <w:highlight w:val="none"/>
        </w:rPr>
        <w:t>前附表</w:t>
      </w:r>
      <w:bookmarkEnd w:id="0"/>
    </w:p>
    <w:tbl>
      <w:tblPr>
        <w:tblStyle w:val="45"/>
        <w:tblW w:w="9588" w:type="dxa"/>
        <w:tblInd w:w="2" w:type="dxa"/>
        <w:tblLayout w:type="fixed"/>
        <w:tblCellMar>
          <w:top w:w="0" w:type="dxa"/>
          <w:left w:w="0" w:type="dxa"/>
          <w:bottom w:w="0" w:type="dxa"/>
          <w:right w:w="0" w:type="dxa"/>
        </w:tblCellMar>
      </w:tblPr>
      <w:tblGrid>
        <w:gridCol w:w="792"/>
        <w:gridCol w:w="1308"/>
        <w:gridCol w:w="7488"/>
      </w:tblGrid>
      <w:tr w14:paraId="78EF493F">
        <w:tblPrEx>
          <w:tblCellMar>
            <w:top w:w="0" w:type="dxa"/>
            <w:left w:w="0" w:type="dxa"/>
            <w:bottom w:w="0" w:type="dxa"/>
            <w:right w:w="0" w:type="dxa"/>
          </w:tblCellMar>
        </w:tblPrEx>
        <w:trPr>
          <w:trHeight w:val="580" w:hRule="atLeast"/>
        </w:trPr>
        <w:tc>
          <w:tcPr>
            <w:tcW w:w="792" w:type="dxa"/>
            <w:tcBorders>
              <w:top w:val="single" w:color="auto" w:sz="8" w:space="0"/>
              <w:left w:val="single" w:color="auto" w:sz="8" w:space="0"/>
              <w:bottom w:val="single" w:color="auto" w:sz="8" w:space="0"/>
              <w:right w:val="single" w:color="auto" w:sz="8" w:space="0"/>
            </w:tcBorders>
            <w:vAlign w:val="center"/>
          </w:tcPr>
          <w:p w14:paraId="6A179B0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序号</w:t>
            </w:r>
          </w:p>
        </w:tc>
        <w:tc>
          <w:tcPr>
            <w:tcW w:w="1308" w:type="dxa"/>
            <w:tcBorders>
              <w:top w:val="single" w:color="auto" w:sz="8" w:space="0"/>
              <w:left w:val="single" w:color="auto" w:sz="4" w:space="0"/>
              <w:bottom w:val="single" w:color="auto" w:sz="8" w:space="0"/>
              <w:right w:val="single" w:color="auto" w:sz="4" w:space="0"/>
            </w:tcBorders>
            <w:vAlign w:val="center"/>
          </w:tcPr>
          <w:p w14:paraId="49C71E2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w:t>
            </w:r>
          </w:p>
        </w:tc>
        <w:tc>
          <w:tcPr>
            <w:tcW w:w="7488" w:type="dxa"/>
            <w:tcBorders>
              <w:top w:val="single" w:color="auto" w:sz="8" w:space="0"/>
              <w:left w:val="single" w:color="auto" w:sz="4" w:space="0"/>
              <w:bottom w:val="single" w:color="auto" w:sz="8" w:space="0"/>
              <w:right w:val="single" w:color="auto" w:sz="8" w:space="0"/>
            </w:tcBorders>
            <w:vAlign w:val="center"/>
          </w:tcPr>
          <w:p w14:paraId="6CFD765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说明与要求</w:t>
            </w:r>
          </w:p>
        </w:tc>
      </w:tr>
      <w:tr w14:paraId="726904A0">
        <w:trPr>
          <w:trHeight w:val="986" w:hRule="atLeast"/>
        </w:trPr>
        <w:tc>
          <w:tcPr>
            <w:tcW w:w="792" w:type="dxa"/>
            <w:tcBorders>
              <w:top w:val="single" w:color="auto" w:sz="8" w:space="0"/>
              <w:left w:val="single" w:color="auto" w:sz="8" w:space="0"/>
              <w:bottom w:val="single" w:color="auto" w:sz="8" w:space="0"/>
              <w:right w:val="single" w:color="auto" w:sz="8" w:space="0"/>
            </w:tcBorders>
            <w:vAlign w:val="center"/>
          </w:tcPr>
          <w:p w14:paraId="2BF3545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308" w:type="dxa"/>
            <w:tcBorders>
              <w:top w:val="single" w:color="auto" w:sz="8" w:space="0"/>
              <w:left w:val="single" w:color="auto" w:sz="4" w:space="0"/>
              <w:bottom w:val="single" w:color="auto" w:sz="8" w:space="0"/>
              <w:right w:val="single" w:color="auto" w:sz="4" w:space="0"/>
            </w:tcBorders>
            <w:vAlign w:val="center"/>
          </w:tcPr>
          <w:p w14:paraId="1C48B21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项目概况</w:t>
            </w:r>
          </w:p>
        </w:tc>
        <w:tc>
          <w:tcPr>
            <w:tcW w:w="7488" w:type="dxa"/>
            <w:tcBorders>
              <w:top w:val="single" w:color="auto" w:sz="8" w:space="0"/>
              <w:left w:val="single" w:color="auto" w:sz="4" w:space="0"/>
              <w:bottom w:val="single" w:color="auto" w:sz="8" w:space="0"/>
              <w:right w:val="single" w:color="auto" w:sz="8" w:space="0"/>
            </w:tcBorders>
            <w:vAlign w:val="center"/>
          </w:tcPr>
          <w:p w14:paraId="5594D2C0">
            <w:pPr>
              <w:keepNext w:val="0"/>
              <w:keepLines w:val="0"/>
              <w:pageBreakBefore w:val="0"/>
              <w:kinsoku/>
              <w:wordWrap/>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名称：</w:t>
            </w:r>
            <w:r>
              <w:rPr>
                <w:rFonts w:hint="eastAsia" w:ascii="宋体" w:hAnsi="宋体" w:cs="宋体"/>
                <w:color w:val="auto"/>
                <w:kern w:val="0"/>
                <w:sz w:val="21"/>
                <w:szCs w:val="21"/>
                <w:highlight w:val="none"/>
                <w:lang w:val="en-US" w:eastAsia="zh-CN"/>
              </w:rPr>
              <w:t>2024年市政基础设施中修、安保和养护工程桥梁养护维修项目结算复核服务</w:t>
            </w:r>
          </w:p>
          <w:p w14:paraId="3D870AD5">
            <w:pPr>
              <w:keepNext w:val="0"/>
              <w:keepLines w:val="0"/>
              <w:pageBreakBefore w:val="0"/>
              <w:kinsoku/>
              <w:wordWrap/>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建设地点：滁州市</w:t>
            </w:r>
            <w:r>
              <w:rPr>
                <w:rFonts w:hint="eastAsia" w:ascii="宋体" w:hAnsi="宋体" w:eastAsia="宋体" w:cs="宋体"/>
                <w:color w:val="auto"/>
                <w:kern w:val="0"/>
                <w:sz w:val="21"/>
                <w:szCs w:val="21"/>
                <w:highlight w:val="none"/>
                <w:lang w:val="en-US" w:eastAsia="zh-CN"/>
              </w:rPr>
              <w:t>内</w:t>
            </w:r>
          </w:p>
          <w:p w14:paraId="70D97D96">
            <w:pPr>
              <w:keepNext w:val="0"/>
              <w:keepLines w:val="0"/>
              <w:pageBreakBefore w:val="0"/>
              <w:widowControl w:val="0"/>
              <w:kinsoku/>
              <w:wordWrap w:val="0"/>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rPr>
              <w:t>建设规模：</w:t>
            </w:r>
            <w:r>
              <w:rPr>
                <w:rFonts w:hint="eastAsia" w:ascii="宋体" w:hAnsi="宋体" w:cs="宋体"/>
                <w:color w:val="auto"/>
                <w:kern w:val="0"/>
                <w:sz w:val="21"/>
                <w:szCs w:val="21"/>
                <w:highlight w:val="none"/>
                <w:lang w:val="en-US" w:eastAsia="zh-CN"/>
              </w:rPr>
              <w:t>2024年市政基础设施中修、安保和养护工程桥梁养护维修项目，合同价款约200万元，服务费用约0.74万元</w:t>
            </w:r>
            <w:r>
              <w:rPr>
                <w:rFonts w:hint="eastAsia" w:ascii="宋体" w:hAnsi="宋体" w:eastAsia="宋体" w:cs="宋体"/>
                <w:color w:val="auto"/>
                <w:kern w:val="0"/>
                <w:sz w:val="21"/>
                <w:szCs w:val="21"/>
                <w:highlight w:val="none"/>
                <w:lang w:val="en-US" w:eastAsia="zh-CN"/>
              </w:rPr>
              <w:t xml:space="preserve">。  </w:t>
            </w:r>
          </w:p>
        </w:tc>
      </w:tr>
      <w:tr w14:paraId="4047B0BA">
        <w:tblPrEx>
          <w:tblCellMar>
            <w:top w:w="0" w:type="dxa"/>
            <w:left w:w="0" w:type="dxa"/>
            <w:bottom w:w="0" w:type="dxa"/>
            <w:right w:w="0" w:type="dxa"/>
          </w:tblCellMar>
        </w:tblPrEx>
        <w:trPr>
          <w:trHeight w:val="255" w:hRule="atLeast"/>
        </w:trPr>
        <w:tc>
          <w:tcPr>
            <w:tcW w:w="792" w:type="dxa"/>
            <w:tcBorders>
              <w:top w:val="single" w:color="auto" w:sz="8" w:space="0"/>
              <w:left w:val="single" w:color="auto" w:sz="8" w:space="0"/>
              <w:bottom w:val="single" w:color="auto" w:sz="8" w:space="0"/>
              <w:right w:val="single" w:color="auto" w:sz="8" w:space="0"/>
            </w:tcBorders>
            <w:vAlign w:val="center"/>
          </w:tcPr>
          <w:p w14:paraId="4A966AC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308" w:type="dxa"/>
            <w:tcBorders>
              <w:top w:val="single" w:color="auto" w:sz="8" w:space="0"/>
              <w:left w:val="single" w:color="auto" w:sz="4" w:space="0"/>
              <w:bottom w:val="single" w:color="auto" w:sz="8" w:space="0"/>
              <w:right w:val="single" w:color="auto" w:sz="4" w:space="0"/>
            </w:tcBorders>
            <w:vAlign w:val="center"/>
          </w:tcPr>
          <w:p w14:paraId="1E1D1A5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服务需求</w:t>
            </w:r>
          </w:p>
        </w:tc>
        <w:tc>
          <w:tcPr>
            <w:tcW w:w="7488" w:type="dxa"/>
            <w:tcBorders>
              <w:top w:val="single" w:color="auto" w:sz="8" w:space="0"/>
              <w:left w:val="single" w:color="auto" w:sz="4" w:space="0"/>
              <w:bottom w:val="single" w:color="auto" w:sz="8" w:space="0"/>
              <w:right w:val="single" w:color="auto" w:sz="8" w:space="0"/>
            </w:tcBorders>
            <w:vAlign w:val="center"/>
          </w:tcPr>
          <w:p w14:paraId="2B02BB95">
            <w:pPr>
              <w:keepNext w:val="0"/>
              <w:keepLines w:val="0"/>
              <w:pageBreakBefore w:val="0"/>
              <w:kinsoku/>
              <w:wordWrap/>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color w:val="auto"/>
                <w:kern w:val="0"/>
                <w:szCs w:val="21"/>
                <w:highlight w:val="none"/>
              </w:rPr>
            </w:pPr>
            <w:r>
              <w:rPr>
                <w:rFonts w:hint="eastAsia" w:ascii="宋体" w:hAnsi="宋体" w:cs="宋体"/>
                <w:color w:val="auto"/>
                <w:kern w:val="0"/>
                <w:sz w:val="21"/>
                <w:szCs w:val="21"/>
                <w:highlight w:val="none"/>
                <w:lang w:val="en-US" w:eastAsia="zh-CN"/>
              </w:rPr>
              <w:t>2024年市政基础设施中修、安保和养护工程桥梁养护维修项目结算复核服务</w:t>
            </w:r>
            <w:r>
              <w:rPr>
                <w:rFonts w:hint="eastAsia" w:ascii="宋体" w:hAnsi="宋体" w:eastAsia="宋体" w:cs="宋体"/>
                <w:color w:val="auto"/>
                <w:szCs w:val="21"/>
                <w:highlight w:val="none"/>
                <w:lang w:val="en-US" w:eastAsia="zh-CN"/>
              </w:rPr>
              <w:t>，</w:t>
            </w:r>
            <w:r>
              <w:rPr>
                <w:rFonts w:hint="eastAsia" w:ascii="宋体" w:hAnsi="宋体" w:eastAsia="宋体" w:cs="宋体"/>
                <w:color w:val="auto"/>
                <w:kern w:val="0"/>
                <w:szCs w:val="21"/>
                <w:highlight w:val="none"/>
              </w:rPr>
              <w:t>具体详见工程量清单和施工图纸及结算报告。</w:t>
            </w:r>
          </w:p>
          <w:p w14:paraId="0003F08F">
            <w:pPr>
              <w:keepNext w:val="0"/>
              <w:keepLines w:val="0"/>
              <w:pageBreakBefore w:val="0"/>
              <w:kinsoku/>
              <w:wordWrap/>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本次招标需求为上述工程的</w:t>
            </w:r>
            <w:r>
              <w:rPr>
                <w:rFonts w:hint="eastAsia" w:ascii="宋体" w:hAnsi="宋体" w:eastAsia="宋体" w:cs="宋体"/>
                <w:color w:val="auto"/>
                <w:kern w:val="0"/>
                <w:sz w:val="21"/>
                <w:szCs w:val="21"/>
                <w:highlight w:val="none"/>
                <w:lang w:eastAsia="zh-CN"/>
              </w:rPr>
              <w:t>结算复核服务。</w:t>
            </w:r>
          </w:p>
        </w:tc>
      </w:tr>
      <w:tr w14:paraId="597FACB0">
        <w:tblPrEx>
          <w:tblCellMar>
            <w:top w:w="0" w:type="dxa"/>
            <w:left w:w="0" w:type="dxa"/>
            <w:bottom w:w="0" w:type="dxa"/>
            <w:right w:w="0" w:type="dxa"/>
          </w:tblCellMar>
        </w:tblPrEx>
        <w:trPr>
          <w:trHeight w:val="315" w:hRule="atLeast"/>
        </w:trPr>
        <w:tc>
          <w:tcPr>
            <w:tcW w:w="792" w:type="dxa"/>
            <w:tcBorders>
              <w:top w:val="single" w:color="auto" w:sz="8" w:space="0"/>
              <w:left w:val="single" w:color="auto" w:sz="8" w:space="0"/>
              <w:bottom w:val="single" w:color="auto" w:sz="8" w:space="0"/>
              <w:right w:val="single" w:color="auto" w:sz="8" w:space="0"/>
            </w:tcBorders>
            <w:vAlign w:val="center"/>
          </w:tcPr>
          <w:p w14:paraId="01D1593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308" w:type="dxa"/>
            <w:tcBorders>
              <w:top w:val="single" w:color="auto" w:sz="8" w:space="0"/>
              <w:left w:val="single" w:color="auto" w:sz="4" w:space="0"/>
              <w:bottom w:val="single" w:color="auto" w:sz="8" w:space="0"/>
              <w:right w:val="single" w:color="auto" w:sz="4" w:space="0"/>
            </w:tcBorders>
            <w:vAlign w:val="center"/>
          </w:tcPr>
          <w:p w14:paraId="0815F98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服务期</w:t>
            </w:r>
            <w:r>
              <w:rPr>
                <w:rFonts w:hint="eastAsia" w:ascii="宋体" w:hAnsi="宋体" w:eastAsia="宋体" w:cs="宋体"/>
                <w:color w:val="auto"/>
                <w:kern w:val="0"/>
                <w:sz w:val="21"/>
                <w:szCs w:val="21"/>
                <w:highlight w:val="none"/>
              </w:rPr>
              <w:t>要求</w:t>
            </w:r>
          </w:p>
        </w:tc>
        <w:tc>
          <w:tcPr>
            <w:tcW w:w="7488" w:type="dxa"/>
            <w:tcBorders>
              <w:top w:val="single" w:color="auto" w:sz="8" w:space="0"/>
              <w:left w:val="single" w:color="auto" w:sz="4" w:space="0"/>
              <w:bottom w:val="single" w:color="auto" w:sz="8" w:space="0"/>
              <w:right w:val="single" w:color="auto" w:sz="8" w:space="0"/>
            </w:tcBorders>
            <w:vAlign w:val="center"/>
          </w:tcPr>
          <w:p w14:paraId="5DB7864B">
            <w:pPr>
              <w:keepNext w:val="0"/>
              <w:keepLines w:val="0"/>
              <w:pageBreakBefore w:val="0"/>
              <w:kinsoku/>
              <w:wordWrap/>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执行滁重〔2022〕55号《工程造价咨询服务管理办法》的通知第十八、十九条规定</w:t>
            </w:r>
            <w:r>
              <w:rPr>
                <w:rFonts w:hint="eastAsia" w:ascii="宋体" w:hAnsi="宋体" w:cs="宋体"/>
                <w:color w:val="auto"/>
                <w:sz w:val="21"/>
                <w:szCs w:val="21"/>
                <w:highlight w:val="none"/>
                <w:lang w:eastAsia="zh-CN"/>
              </w:rPr>
              <w:t>。</w:t>
            </w:r>
          </w:p>
        </w:tc>
      </w:tr>
      <w:tr w14:paraId="24784F21">
        <w:tblPrEx>
          <w:tblCellMar>
            <w:top w:w="0" w:type="dxa"/>
            <w:left w:w="0" w:type="dxa"/>
            <w:bottom w:w="0" w:type="dxa"/>
            <w:right w:w="0" w:type="dxa"/>
          </w:tblCellMar>
        </w:tblPrEx>
        <w:trPr>
          <w:trHeight w:val="425" w:hRule="atLeast"/>
        </w:trPr>
        <w:tc>
          <w:tcPr>
            <w:tcW w:w="792" w:type="dxa"/>
            <w:tcBorders>
              <w:top w:val="single" w:color="auto" w:sz="8" w:space="0"/>
              <w:left w:val="single" w:color="auto" w:sz="8" w:space="0"/>
              <w:bottom w:val="single" w:color="auto" w:sz="8" w:space="0"/>
              <w:right w:val="single" w:color="auto" w:sz="8" w:space="0"/>
            </w:tcBorders>
            <w:vAlign w:val="center"/>
          </w:tcPr>
          <w:p w14:paraId="274B87B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308" w:type="dxa"/>
            <w:tcBorders>
              <w:top w:val="single" w:color="auto" w:sz="8" w:space="0"/>
              <w:left w:val="single" w:color="auto" w:sz="4" w:space="0"/>
              <w:bottom w:val="single" w:color="auto" w:sz="8" w:space="0"/>
              <w:right w:val="single" w:color="auto" w:sz="4" w:space="0"/>
            </w:tcBorders>
            <w:vAlign w:val="center"/>
          </w:tcPr>
          <w:p w14:paraId="3198F4B1">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质量标准</w:t>
            </w:r>
          </w:p>
        </w:tc>
        <w:tc>
          <w:tcPr>
            <w:tcW w:w="7488" w:type="dxa"/>
            <w:tcBorders>
              <w:top w:val="single" w:color="auto" w:sz="8" w:space="0"/>
              <w:left w:val="single" w:color="auto" w:sz="4" w:space="0"/>
              <w:bottom w:val="single" w:color="auto" w:sz="8" w:space="0"/>
              <w:right w:val="single" w:color="auto" w:sz="8" w:space="0"/>
            </w:tcBorders>
            <w:vAlign w:val="center"/>
          </w:tcPr>
          <w:p w14:paraId="27135FFC">
            <w:pPr>
              <w:keepNext w:val="0"/>
              <w:keepLines w:val="0"/>
              <w:pageBreakBefore w:val="0"/>
              <w:widowControl w:val="0"/>
              <w:kinsoku/>
              <w:wordWrap/>
              <w:overflowPunct/>
              <w:topLinePunct w:val="0"/>
              <w:autoSpaceDE/>
              <w:autoSpaceDN/>
              <w:bidi w:val="0"/>
              <w:adjustRightInd/>
              <w:snapToGrid/>
              <w:spacing w:line="480" w:lineRule="exact"/>
              <w:ind w:left="63" w:leftChars="30" w:right="63" w:rightChars="3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投标人出具的工程造价咨询成果文件质量应符合现行国家或行业工程计价有关规定、标准、规范的要求</w:t>
            </w:r>
            <w:r>
              <w:rPr>
                <w:rFonts w:hint="eastAsia" w:ascii="宋体" w:hAnsi="宋体" w:eastAsia="宋体" w:cs="宋体"/>
                <w:color w:val="auto"/>
                <w:kern w:val="0"/>
                <w:sz w:val="21"/>
                <w:szCs w:val="21"/>
                <w:highlight w:val="none"/>
                <w:lang w:eastAsia="zh-CN"/>
              </w:rPr>
              <w:t>；</w:t>
            </w:r>
          </w:p>
        </w:tc>
      </w:tr>
      <w:tr w14:paraId="21D1049F">
        <w:tblPrEx>
          <w:tblCellMar>
            <w:top w:w="0" w:type="dxa"/>
            <w:left w:w="0" w:type="dxa"/>
            <w:bottom w:w="0" w:type="dxa"/>
            <w:right w:w="0" w:type="dxa"/>
          </w:tblCellMar>
        </w:tblPrEx>
        <w:trPr>
          <w:trHeight w:val="286" w:hRule="atLeast"/>
        </w:trPr>
        <w:tc>
          <w:tcPr>
            <w:tcW w:w="792" w:type="dxa"/>
            <w:tcBorders>
              <w:top w:val="single" w:color="auto" w:sz="8" w:space="0"/>
              <w:left w:val="single" w:color="auto" w:sz="8" w:space="0"/>
              <w:bottom w:val="single" w:color="auto" w:sz="8" w:space="0"/>
              <w:right w:val="single" w:color="auto" w:sz="8" w:space="0"/>
            </w:tcBorders>
            <w:vAlign w:val="center"/>
          </w:tcPr>
          <w:p w14:paraId="68BC984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308" w:type="dxa"/>
            <w:tcBorders>
              <w:top w:val="single" w:color="auto" w:sz="8" w:space="0"/>
              <w:left w:val="single" w:color="auto" w:sz="4" w:space="0"/>
              <w:bottom w:val="single" w:color="auto" w:sz="8" w:space="0"/>
              <w:right w:val="single" w:color="auto" w:sz="4" w:space="0"/>
            </w:tcBorders>
            <w:vAlign w:val="center"/>
          </w:tcPr>
          <w:p w14:paraId="0E6F3B67">
            <w:pPr>
              <w:keepNext w:val="0"/>
              <w:keepLines w:val="0"/>
              <w:pageBreakBefore w:val="0"/>
              <w:kinsoku/>
              <w:wordWrap/>
              <w:overflowPunct/>
              <w:topLinePunct w:val="0"/>
              <w:autoSpaceDE/>
              <w:autoSpaceDN/>
              <w:bidi w:val="0"/>
              <w:adjustRightInd/>
              <w:snapToGrid/>
              <w:spacing w:line="44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w:t>
            </w:r>
          </w:p>
          <w:p w14:paraId="4A788D2E">
            <w:pPr>
              <w:keepNext w:val="0"/>
              <w:keepLines w:val="0"/>
              <w:pageBreakBefore w:val="0"/>
              <w:kinsoku/>
              <w:wordWrap/>
              <w:overflowPunct/>
              <w:topLinePunct w:val="0"/>
              <w:autoSpaceDE/>
              <w:autoSpaceDN/>
              <w:bidi w:val="0"/>
              <w:adjustRightInd/>
              <w:snapToGrid/>
              <w:spacing w:line="44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等级要求</w:t>
            </w:r>
          </w:p>
        </w:tc>
        <w:tc>
          <w:tcPr>
            <w:tcW w:w="7488" w:type="dxa"/>
            <w:tcBorders>
              <w:top w:val="single" w:color="auto" w:sz="8" w:space="0"/>
              <w:left w:val="single" w:color="auto" w:sz="4" w:space="0"/>
              <w:bottom w:val="single" w:color="auto" w:sz="8" w:space="0"/>
              <w:right w:val="single" w:color="auto" w:sz="8" w:space="0"/>
            </w:tcBorders>
            <w:vAlign w:val="center"/>
          </w:tcPr>
          <w:p w14:paraId="19BF53D1">
            <w:pPr>
              <w:keepNext w:val="0"/>
              <w:keepLines w:val="0"/>
              <w:pageBreakBefore w:val="0"/>
              <w:kinsoku/>
              <w:wordWrap/>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详见招标公告</w:t>
            </w:r>
            <w:r>
              <w:rPr>
                <w:rFonts w:hint="eastAsia" w:ascii="宋体" w:hAnsi="宋体" w:eastAsia="宋体" w:cs="宋体"/>
                <w:color w:val="auto"/>
                <w:kern w:val="0"/>
                <w:sz w:val="21"/>
                <w:szCs w:val="21"/>
                <w:highlight w:val="none"/>
              </w:rPr>
              <w:t>。</w:t>
            </w:r>
          </w:p>
        </w:tc>
      </w:tr>
      <w:tr w14:paraId="26978DB0">
        <w:tblPrEx>
          <w:tblCellMar>
            <w:top w:w="0" w:type="dxa"/>
            <w:left w:w="0" w:type="dxa"/>
            <w:bottom w:w="0" w:type="dxa"/>
            <w:right w:w="0" w:type="dxa"/>
          </w:tblCellMar>
        </w:tblPrEx>
        <w:trPr>
          <w:trHeight w:val="656" w:hRule="atLeast"/>
        </w:trPr>
        <w:tc>
          <w:tcPr>
            <w:tcW w:w="792" w:type="dxa"/>
            <w:tcBorders>
              <w:top w:val="single" w:color="auto" w:sz="8" w:space="0"/>
              <w:left w:val="single" w:color="auto" w:sz="8" w:space="0"/>
              <w:bottom w:val="single" w:color="auto" w:sz="8" w:space="0"/>
              <w:right w:val="single" w:color="auto" w:sz="8" w:space="0"/>
            </w:tcBorders>
            <w:vAlign w:val="center"/>
          </w:tcPr>
          <w:p w14:paraId="2B243C1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308" w:type="dxa"/>
            <w:tcBorders>
              <w:top w:val="single" w:color="auto" w:sz="8" w:space="0"/>
              <w:left w:val="single" w:color="auto" w:sz="4" w:space="0"/>
              <w:bottom w:val="single" w:color="auto" w:sz="8" w:space="0"/>
              <w:right w:val="single" w:color="auto" w:sz="4" w:space="0"/>
            </w:tcBorders>
            <w:vAlign w:val="center"/>
          </w:tcPr>
          <w:p w14:paraId="0DD7F5B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勘察现场及投标预备会</w:t>
            </w:r>
          </w:p>
        </w:tc>
        <w:tc>
          <w:tcPr>
            <w:tcW w:w="7488" w:type="dxa"/>
            <w:tcBorders>
              <w:top w:val="single" w:color="auto" w:sz="8" w:space="0"/>
              <w:left w:val="single" w:color="auto" w:sz="4" w:space="0"/>
              <w:bottom w:val="single" w:color="auto" w:sz="8" w:space="0"/>
              <w:right w:val="single" w:color="auto" w:sz="8" w:space="0"/>
            </w:tcBorders>
            <w:vAlign w:val="center"/>
          </w:tcPr>
          <w:p w14:paraId="13D7AA67">
            <w:pPr>
              <w:keepNext w:val="0"/>
              <w:keepLines w:val="0"/>
              <w:pageBreakBefore w:val="0"/>
              <w:widowControl/>
              <w:kinsoku/>
              <w:wordWrap/>
              <w:overflowPunct/>
              <w:topLinePunct w:val="0"/>
              <w:autoSpaceDE/>
              <w:autoSpaceDN/>
              <w:bidi w:val="0"/>
              <w:adjustRightInd/>
              <w:snapToGrid/>
              <w:spacing w:line="480" w:lineRule="exact"/>
              <w:ind w:left="63" w:leftChars="30" w:right="63" w:rightChars="3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不再集中召开招标答疑会；投标人自行组织勘察现场。</w:t>
            </w:r>
          </w:p>
        </w:tc>
      </w:tr>
      <w:tr w14:paraId="73E08BE4">
        <w:tblPrEx>
          <w:tblCellMar>
            <w:top w:w="0" w:type="dxa"/>
            <w:left w:w="0" w:type="dxa"/>
            <w:bottom w:w="0" w:type="dxa"/>
            <w:right w:w="0" w:type="dxa"/>
          </w:tblCellMar>
        </w:tblPrEx>
        <w:trPr>
          <w:trHeight w:val="435" w:hRule="atLeast"/>
        </w:trPr>
        <w:tc>
          <w:tcPr>
            <w:tcW w:w="792" w:type="dxa"/>
            <w:tcBorders>
              <w:top w:val="single" w:color="auto" w:sz="8" w:space="0"/>
              <w:left w:val="single" w:color="auto" w:sz="8" w:space="0"/>
              <w:bottom w:val="single" w:color="auto" w:sz="8" w:space="0"/>
              <w:right w:val="single" w:color="auto" w:sz="8" w:space="0"/>
            </w:tcBorders>
            <w:vAlign w:val="center"/>
          </w:tcPr>
          <w:p w14:paraId="59B9DB0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308" w:type="dxa"/>
            <w:tcBorders>
              <w:top w:val="single" w:color="auto" w:sz="8" w:space="0"/>
              <w:left w:val="single" w:color="auto" w:sz="4" w:space="0"/>
              <w:bottom w:val="single" w:color="auto" w:sz="8" w:space="0"/>
              <w:right w:val="single" w:color="auto" w:sz="4" w:space="0"/>
            </w:tcBorders>
            <w:vAlign w:val="center"/>
          </w:tcPr>
          <w:p w14:paraId="396C664A">
            <w:pPr>
              <w:pStyle w:val="25"/>
              <w:spacing w:line="360" w:lineRule="exact"/>
              <w:jc w:val="center"/>
              <w:rPr>
                <w:rFonts w:hint="eastAsia" w:ascii="宋体" w:hAnsi="宋体" w:eastAsia="宋体" w:cs="宋体"/>
                <w:color w:val="auto"/>
                <w:kern w:val="0"/>
                <w:sz w:val="21"/>
                <w:szCs w:val="21"/>
                <w:highlight w:val="none"/>
              </w:rPr>
            </w:pPr>
            <w:r>
              <w:rPr>
                <w:rFonts w:hint="eastAsia"/>
                <w:color w:val="auto"/>
                <w:szCs w:val="21"/>
                <w:highlight w:val="none"/>
              </w:rPr>
              <w:t>招标方式</w:t>
            </w:r>
          </w:p>
        </w:tc>
        <w:tc>
          <w:tcPr>
            <w:tcW w:w="7488" w:type="dxa"/>
            <w:tcBorders>
              <w:top w:val="single" w:color="auto" w:sz="8" w:space="0"/>
              <w:left w:val="single" w:color="auto" w:sz="4" w:space="0"/>
              <w:bottom w:val="single" w:color="auto" w:sz="8" w:space="0"/>
              <w:right w:val="single" w:color="auto" w:sz="8" w:space="0"/>
            </w:tcBorders>
            <w:vAlign w:val="center"/>
          </w:tcPr>
          <w:p w14:paraId="59739CC9">
            <w:pPr>
              <w:pStyle w:val="25"/>
              <w:keepNext w:val="0"/>
              <w:keepLines w:val="0"/>
              <w:pageBreakBefore w:val="0"/>
              <w:kinsoku/>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color w:val="auto"/>
                <w:kern w:val="0"/>
                <w:sz w:val="21"/>
                <w:szCs w:val="21"/>
                <w:highlight w:val="none"/>
              </w:rPr>
            </w:pPr>
            <w:r>
              <w:rPr>
                <w:rFonts w:hint="eastAsia" w:ascii="幼圆" w:hAnsi="宋体-18030" w:cs="宋体-18030"/>
                <w:bCs/>
                <w:color w:val="auto"/>
                <w:szCs w:val="21"/>
                <w:highlight w:val="none"/>
              </w:rPr>
              <w:t>公开</w:t>
            </w:r>
            <w:r>
              <w:rPr>
                <w:rFonts w:hint="eastAsia"/>
                <w:bCs/>
                <w:color w:val="auto"/>
                <w:szCs w:val="21"/>
                <w:highlight w:val="none"/>
              </w:rPr>
              <w:t>招标</w:t>
            </w:r>
            <w:r>
              <w:rPr>
                <w:rFonts w:hint="eastAsia" w:hAnsi="宋体"/>
                <w:bCs/>
                <w:color w:val="auto"/>
                <w:szCs w:val="21"/>
                <w:highlight w:val="none"/>
              </w:rPr>
              <w:t xml:space="preserve">(本项目采用网上电子招投标) </w:t>
            </w:r>
          </w:p>
        </w:tc>
      </w:tr>
      <w:tr w14:paraId="0DEE0E5F">
        <w:tblPrEx>
          <w:tblCellMar>
            <w:top w:w="0" w:type="dxa"/>
            <w:left w:w="0" w:type="dxa"/>
            <w:bottom w:w="0" w:type="dxa"/>
            <w:right w:w="0" w:type="dxa"/>
          </w:tblCellMar>
        </w:tblPrEx>
        <w:trPr>
          <w:trHeight w:val="462" w:hRule="atLeast"/>
        </w:trPr>
        <w:tc>
          <w:tcPr>
            <w:tcW w:w="792" w:type="dxa"/>
            <w:tcBorders>
              <w:top w:val="single" w:color="auto" w:sz="8" w:space="0"/>
              <w:left w:val="single" w:color="auto" w:sz="8" w:space="0"/>
              <w:bottom w:val="single" w:color="auto" w:sz="8" w:space="0"/>
              <w:right w:val="single" w:color="auto" w:sz="8" w:space="0"/>
            </w:tcBorders>
            <w:vAlign w:val="center"/>
          </w:tcPr>
          <w:p w14:paraId="48A5CF8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c>
          <w:tcPr>
            <w:tcW w:w="1308" w:type="dxa"/>
            <w:tcBorders>
              <w:top w:val="single" w:color="auto" w:sz="8" w:space="0"/>
              <w:left w:val="single" w:color="auto" w:sz="4" w:space="0"/>
              <w:bottom w:val="single" w:color="auto" w:sz="8" w:space="0"/>
              <w:right w:val="single" w:color="auto" w:sz="4" w:space="0"/>
            </w:tcBorders>
            <w:vAlign w:val="center"/>
          </w:tcPr>
          <w:p w14:paraId="51E1A09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w:t>
            </w:r>
          </w:p>
        </w:tc>
        <w:tc>
          <w:tcPr>
            <w:tcW w:w="7488" w:type="dxa"/>
            <w:tcBorders>
              <w:top w:val="single" w:color="auto" w:sz="8" w:space="0"/>
              <w:left w:val="single" w:color="auto" w:sz="4" w:space="0"/>
              <w:bottom w:val="single" w:color="auto" w:sz="8" w:space="0"/>
              <w:right w:val="single" w:color="auto" w:sz="8" w:space="0"/>
            </w:tcBorders>
            <w:vAlign w:val="center"/>
          </w:tcPr>
          <w:p w14:paraId="0CD47C88">
            <w:pPr>
              <w:keepNext w:val="0"/>
              <w:keepLines w:val="0"/>
              <w:pageBreakBefore w:val="0"/>
              <w:kinsoku/>
              <w:wordWrap/>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本项目的最高限价为基本费</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000元</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审核成果费率4%（审核成果费率为不可竞争费率，固定不变），基本费由投标人自主报价，不得高于上述基本费最高限价，否则按无效标处理。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投标报价不可以填报0或负数，否则按无效标处理</w:t>
            </w:r>
            <w:r>
              <w:rPr>
                <w:rFonts w:hint="eastAsia" w:ascii="宋体" w:hAnsi="宋体" w:eastAsia="宋体" w:cs="宋体"/>
                <w:color w:val="auto"/>
                <w:sz w:val="21"/>
                <w:szCs w:val="21"/>
                <w:highlight w:val="none"/>
                <w:lang w:eastAsia="zh-CN"/>
              </w:rPr>
              <w:t>）</w:t>
            </w:r>
          </w:p>
          <w:p w14:paraId="3F16972A">
            <w:pPr>
              <w:keepNext w:val="0"/>
              <w:keepLines w:val="0"/>
              <w:pageBreakBefore w:val="0"/>
              <w:kinsoku/>
              <w:wordWrap/>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p>
          <w:p w14:paraId="07054BFC">
            <w:pPr>
              <w:keepNext w:val="0"/>
              <w:keepLines w:val="0"/>
              <w:pageBreakBefore w:val="0"/>
              <w:kinsoku/>
              <w:wordWrap/>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服务费计算方式为：基本费+审核成果费。其中，</w:t>
            </w:r>
            <w:r>
              <w:rPr>
                <w:rFonts w:hint="eastAsia" w:ascii="宋体" w:hAnsi="宋体" w:eastAsia="宋体" w:cs="宋体"/>
                <w:color w:val="auto"/>
                <w:sz w:val="21"/>
                <w:szCs w:val="21"/>
                <w:highlight w:val="none"/>
                <w:lang w:val="en-US" w:eastAsia="zh-CN"/>
              </w:rPr>
              <w:t>基本费由投标人自主报价</w:t>
            </w:r>
            <w:r>
              <w:rPr>
                <w:rFonts w:hint="eastAsia" w:ascii="宋体" w:hAnsi="宋体" w:eastAsia="宋体" w:cs="宋体"/>
                <w:color w:val="auto"/>
                <w:sz w:val="21"/>
                <w:szCs w:val="21"/>
                <w:highlight w:val="none"/>
              </w:rPr>
              <w:t>；审核成果费计算基数为独立核减金额。</w:t>
            </w:r>
          </w:p>
          <w:p w14:paraId="7053B625">
            <w:pPr>
              <w:keepNext w:val="0"/>
              <w:keepLines w:val="0"/>
              <w:pageBreakBefore w:val="0"/>
              <w:kinsoku/>
              <w:wordWrap/>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投标人须认真研究项目的招标文件，并仔细踏勘现场，若对</w:t>
            </w: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 w:val="21"/>
                <w:szCs w:val="21"/>
                <w:highlight w:val="none"/>
              </w:rPr>
              <w:t>有异议，应在投标答疑时向招标人提出</w:t>
            </w:r>
            <w:r>
              <w:rPr>
                <w:rFonts w:hint="eastAsia" w:ascii="宋体" w:hAnsi="宋体" w:eastAsia="宋体" w:cs="宋体"/>
                <w:color w:val="auto"/>
                <w:sz w:val="21"/>
                <w:szCs w:val="21"/>
                <w:highlight w:val="none"/>
                <w:lang w:eastAsia="zh-CN"/>
              </w:rPr>
              <w:t>。</w:t>
            </w:r>
          </w:p>
        </w:tc>
      </w:tr>
      <w:tr w14:paraId="689F356F">
        <w:tblPrEx>
          <w:tblCellMar>
            <w:top w:w="0" w:type="dxa"/>
            <w:left w:w="0" w:type="dxa"/>
            <w:bottom w:w="0" w:type="dxa"/>
            <w:right w:w="0" w:type="dxa"/>
          </w:tblCellMar>
        </w:tblPrEx>
        <w:trPr>
          <w:trHeight w:val="462" w:hRule="atLeast"/>
        </w:trPr>
        <w:tc>
          <w:tcPr>
            <w:tcW w:w="792" w:type="dxa"/>
            <w:tcBorders>
              <w:top w:val="single" w:color="auto" w:sz="8" w:space="0"/>
              <w:left w:val="single" w:color="auto" w:sz="8" w:space="0"/>
              <w:bottom w:val="single" w:color="auto" w:sz="8" w:space="0"/>
              <w:right w:val="single" w:color="auto" w:sz="8" w:space="0"/>
            </w:tcBorders>
            <w:vAlign w:val="center"/>
          </w:tcPr>
          <w:p w14:paraId="61DCADC1">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9</w:t>
            </w:r>
          </w:p>
        </w:tc>
        <w:tc>
          <w:tcPr>
            <w:tcW w:w="1308" w:type="dxa"/>
            <w:tcBorders>
              <w:top w:val="single" w:color="auto" w:sz="8" w:space="0"/>
              <w:left w:val="single" w:color="auto" w:sz="4" w:space="0"/>
              <w:bottom w:val="single" w:color="auto" w:sz="8" w:space="0"/>
              <w:right w:val="single" w:color="auto" w:sz="4" w:space="0"/>
            </w:tcBorders>
            <w:vAlign w:val="center"/>
          </w:tcPr>
          <w:p w14:paraId="2356DB8C">
            <w:pPr>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投标人提出问题的截止时间</w:t>
            </w:r>
          </w:p>
          <w:p w14:paraId="431ACE11">
            <w:pPr>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及方式</w:t>
            </w:r>
          </w:p>
        </w:tc>
        <w:tc>
          <w:tcPr>
            <w:tcW w:w="7488" w:type="dxa"/>
            <w:tcBorders>
              <w:top w:val="single" w:color="auto" w:sz="8" w:space="0"/>
              <w:left w:val="single" w:color="auto" w:sz="4" w:space="0"/>
              <w:bottom w:val="single" w:color="auto" w:sz="8" w:space="0"/>
              <w:right w:val="single" w:color="auto" w:sz="8" w:space="0"/>
            </w:tcBorders>
            <w:vAlign w:val="center"/>
          </w:tcPr>
          <w:p w14:paraId="7839BB0B">
            <w:pPr>
              <w:keepNext w:val="0"/>
              <w:keepLines w:val="0"/>
              <w:pageBreakBefore w:val="0"/>
              <w:widowControl w:val="0"/>
              <w:kinsoku/>
              <w:wordWrap w:val="0"/>
              <w:overflowPunct/>
              <w:topLinePunct w:val="0"/>
              <w:autoSpaceDE/>
              <w:autoSpaceDN/>
              <w:bidi w:val="0"/>
              <w:adjustRightInd/>
              <w:snapToGrid/>
              <w:spacing w:line="480" w:lineRule="exact"/>
              <w:ind w:left="63" w:leftChars="30" w:right="63" w:rightChars="3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4"/>
                <w:kern w:val="0"/>
                <w:sz w:val="21"/>
                <w:szCs w:val="21"/>
                <w:highlight w:val="none"/>
              </w:rPr>
              <w:t>如投标人对招标文件有疑问，请于202</w:t>
            </w:r>
            <w:r>
              <w:rPr>
                <w:rFonts w:hint="eastAsia" w:ascii="宋体" w:hAnsi="宋体" w:cs="宋体"/>
                <w:color w:val="auto"/>
                <w:spacing w:val="-4"/>
                <w:kern w:val="0"/>
                <w:sz w:val="21"/>
                <w:szCs w:val="21"/>
                <w:highlight w:val="none"/>
                <w:lang w:val="en-US" w:eastAsia="zh-CN"/>
              </w:rPr>
              <w:t>6</w:t>
            </w:r>
            <w:r>
              <w:rPr>
                <w:rFonts w:hint="eastAsia" w:ascii="宋体" w:hAnsi="宋体" w:eastAsia="宋体" w:cs="宋体"/>
                <w:color w:val="auto"/>
                <w:spacing w:val="-4"/>
                <w:kern w:val="0"/>
                <w:sz w:val="21"/>
                <w:szCs w:val="21"/>
                <w:highlight w:val="none"/>
              </w:rPr>
              <w:t>年</w:t>
            </w:r>
            <w:r>
              <w:rPr>
                <w:rFonts w:hint="eastAsia" w:ascii="宋体" w:hAnsi="宋体" w:cs="宋体"/>
                <w:color w:val="auto"/>
                <w:spacing w:val="-4"/>
                <w:kern w:val="0"/>
                <w:sz w:val="21"/>
                <w:szCs w:val="21"/>
                <w:highlight w:val="none"/>
                <w:lang w:val="en-US" w:eastAsia="zh-CN"/>
              </w:rPr>
              <w:t>3</w:t>
            </w:r>
            <w:r>
              <w:rPr>
                <w:rFonts w:hint="eastAsia" w:ascii="宋体" w:hAnsi="宋体" w:eastAsia="宋体" w:cs="宋体"/>
                <w:color w:val="auto"/>
                <w:spacing w:val="-4"/>
                <w:kern w:val="0"/>
                <w:sz w:val="21"/>
                <w:szCs w:val="21"/>
                <w:highlight w:val="none"/>
              </w:rPr>
              <w:t>月</w:t>
            </w:r>
            <w:r>
              <w:rPr>
                <w:rFonts w:hint="eastAsia" w:ascii="宋体" w:hAnsi="宋体" w:cs="宋体"/>
                <w:color w:val="auto"/>
                <w:spacing w:val="-4"/>
                <w:kern w:val="0"/>
                <w:sz w:val="21"/>
                <w:szCs w:val="21"/>
                <w:highlight w:val="none"/>
                <w:lang w:val="en-US" w:eastAsia="zh-CN"/>
              </w:rPr>
              <w:t>18</w:t>
            </w:r>
            <w:r>
              <w:rPr>
                <w:rFonts w:hint="eastAsia" w:ascii="宋体" w:hAnsi="宋体" w:eastAsia="宋体" w:cs="宋体"/>
                <w:color w:val="auto"/>
                <w:spacing w:val="-4"/>
                <w:kern w:val="0"/>
                <w:sz w:val="21"/>
                <w:szCs w:val="21"/>
                <w:highlight w:val="none"/>
                <w:u w:val="none"/>
              </w:rPr>
              <w:t>日1</w:t>
            </w:r>
            <w:r>
              <w:rPr>
                <w:rFonts w:hint="eastAsia" w:ascii="宋体" w:hAnsi="宋体" w:cs="宋体"/>
                <w:color w:val="auto"/>
                <w:spacing w:val="-4"/>
                <w:kern w:val="0"/>
                <w:sz w:val="21"/>
                <w:szCs w:val="21"/>
                <w:highlight w:val="none"/>
                <w:u w:val="none"/>
                <w:lang w:val="en-US" w:eastAsia="zh-CN"/>
              </w:rPr>
              <w:t>7</w:t>
            </w:r>
            <w:r>
              <w:rPr>
                <w:rFonts w:hint="eastAsia" w:ascii="宋体" w:hAnsi="宋体" w:eastAsia="宋体" w:cs="宋体"/>
                <w:color w:val="auto"/>
                <w:spacing w:val="-4"/>
                <w:kern w:val="0"/>
                <w:sz w:val="21"/>
                <w:szCs w:val="21"/>
                <w:highlight w:val="none"/>
                <w:u w:val="none"/>
              </w:rPr>
              <w:t>时前</w:t>
            </w:r>
            <w:r>
              <w:rPr>
                <w:rFonts w:hint="eastAsia" w:ascii="宋体" w:hAnsi="宋体" w:eastAsia="宋体" w:cs="宋体"/>
                <w:color w:val="auto"/>
                <w:kern w:val="0"/>
                <w:sz w:val="21"/>
                <w:szCs w:val="21"/>
                <w:highlight w:val="none"/>
                <w:u w:val="none"/>
                <w:lang w:val="en-US" w:eastAsia="zh-CN"/>
              </w:rPr>
              <w:t>通过新点电子交易平台【滁州专区】对招标文件提出澄清（质疑）</w:t>
            </w:r>
            <w:r>
              <w:rPr>
                <w:rFonts w:hint="eastAsia" w:ascii="宋体" w:hAnsi="宋体" w:eastAsia="宋体" w:cs="宋体"/>
                <w:color w:val="auto"/>
                <w:spacing w:val="-4"/>
                <w:kern w:val="0"/>
                <w:sz w:val="21"/>
                <w:szCs w:val="21"/>
                <w:highlight w:val="none"/>
                <w:u w:val="none"/>
              </w:rPr>
              <w:t>，招标人将在202</w:t>
            </w:r>
            <w:r>
              <w:rPr>
                <w:rFonts w:hint="eastAsia" w:ascii="宋体" w:hAnsi="宋体" w:cs="宋体"/>
                <w:color w:val="auto"/>
                <w:spacing w:val="-4"/>
                <w:kern w:val="0"/>
                <w:sz w:val="21"/>
                <w:szCs w:val="21"/>
                <w:highlight w:val="none"/>
                <w:u w:val="none"/>
                <w:lang w:val="en-US" w:eastAsia="zh-CN"/>
              </w:rPr>
              <w:t>6</w:t>
            </w:r>
            <w:r>
              <w:rPr>
                <w:rFonts w:hint="eastAsia" w:ascii="宋体" w:hAnsi="宋体" w:eastAsia="宋体" w:cs="宋体"/>
                <w:color w:val="auto"/>
                <w:spacing w:val="-4"/>
                <w:kern w:val="0"/>
                <w:sz w:val="21"/>
                <w:szCs w:val="21"/>
                <w:highlight w:val="none"/>
                <w:u w:val="none"/>
              </w:rPr>
              <w:t>年</w:t>
            </w:r>
            <w:r>
              <w:rPr>
                <w:rFonts w:hint="eastAsia" w:ascii="宋体" w:hAnsi="宋体" w:cs="宋体"/>
                <w:color w:val="auto"/>
                <w:spacing w:val="-4"/>
                <w:kern w:val="0"/>
                <w:sz w:val="21"/>
                <w:szCs w:val="21"/>
                <w:highlight w:val="none"/>
                <w:u w:val="none"/>
                <w:lang w:val="en-US" w:eastAsia="zh-CN"/>
              </w:rPr>
              <w:t>3</w:t>
            </w:r>
            <w:r>
              <w:rPr>
                <w:rFonts w:hint="eastAsia" w:ascii="宋体" w:hAnsi="宋体" w:eastAsia="宋体" w:cs="宋体"/>
                <w:color w:val="auto"/>
                <w:spacing w:val="-4"/>
                <w:kern w:val="0"/>
                <w:sz w:val="21"/>
                <w:szCs w:val="21"/>
                <w:highlight w:val="none"/>
                <w:u w:val="none"/>
              </w:rPr>
              <w:t>月</w:t>
            </w:r>
            <w:r>
              <w:rPr>
                <w:rFonts w:hint="eastAsia" w:ascii="宋体" w:hAnsi="宋体" w:cs="宋体"/>
                <w:color w:val="auto"/>
                <w:spacing w:val="-4"/>
                <w:kern w:val="0"/>
                <w:sz w:val="21"/>
                <w:szCs w:val="21"/>
                <w:highlight w:val="none"/>
                <w:lang w:val="en-US" w:eastAsia="zh-CN"/>
              </w:rPr>
              <w:t>19</w:t>
            </w:r>
            <w:r>
              <w:rPr>
                <w:rFonts w:hint="eastAsia" w:ascii="宋体" w:hAnsi="宋体" w:eastAsia="宋体" w:cs="宋体"/>
                <w:color w:val="auto"/>
                <w:spacing w:val="-4"/>
                <w:kern w:val="0"/>
                <w:sz w:val="21"/>
                <w:szCs w:val="21"/>
                <w:highlight w:val="none"/>
              </w:rPr>
              <w:t>日1</w:t>
            </w:r>
            <w:r>
              <w:rPr>
                <w:rFonts w:hint="eastAsia" w:ascii="宋体" w:hAnsi="宋体" w:eastAsia="宋体" w:cs="宋体"/>
                <w:color w:val="auto"/>
                <w:spacing w:val="-4"/>
                <w:kern w:val="0"/>
                <w:sz w:val="21"/>
                <w:szCs w:val="21"/>
                <w:highlight w:val="none"/>
                <w:lang w:val="en-US" w:eastAsia="zh-CN"/>
              </w:rPr>
              <w:t>7</w:t>
            </w:r>
            <w:r>
              <w:rPr>
                <w:rFonts w:hint="eastAsia" w:ascii="宋体" w:hAnsi="宋体" w:eastAsia="宋体" w:cs="宋体"/>
                <w:color w:val="auto"/>
                <w:spacing w:val="-4"/>
                <w:kern w:val="0"/>
                <w:sz w:val="21"/>
                <w:szCs w:val="21"/>
                <w:highlight w:val="none"/>
              </w:rPr>
              <w:t>时后</w:t>
            </w:r>
            <w:r>
              <w:rPr>
                <w:rFonts w:hint="eastAsia" w:ascii="宋体" w:hAnsi="宋体" w:eastAsia="宋体" w:cs="宋体"/>
                <w:color w:val="auto"/>
                <w:spacing w:val="-4"/>
                <w:kern w:val="0"/>
                <w:sz w:val="21"/>
                <w:szCs w:val="21"/>
                <w:highlight w:val="none"/>
                <w:lang w:eastAsia="zh-CN"/>
              </w:rPr>
              <w:t>在</w:t>
            </w:r>
            <w:r>
              <w:rPr>
                <w:rFonts w:hint="eastAsia" w:ascii="宋体" w:hAnsi="宋体" w:eastAsia="宋体" w:cs="宋体"/>
                <w:color w:val="auto"/>
                <w:sz w:val="21"/>
                <w:szCs w:val="21"/>
                <w:highlight w:val="none"/>
              </w:rPr>
              <w:t>滁州市城投工程咨询管理有限公司（https://www.czctgczx.com/）、滁州市重点工程建设管理处（http://zdc.chuzhou.gov.cn/）</w:t>
            </w:r>
            <w:r>
              <w:rPr>
                <w:rFonts w:hint="eastAsia" w:ascii="宋体" w:hAnsi="宋体" w:cs="宋体"/>
                <w:color w:val="auto"/>
                <w:sz w:val="21"/>
                <w:szCs w:val="21"/>
                <w:highlight w:val="none"/>
                <w:lang w:val="en-US" w:eastAsia="zh-CN"/>
              </w:rPr>
              <w:t>等</w:t>
            </w:r>
            <w:r>
              <w:rPr>
                <w:rFonts w:hint="eastAsia" w:ascii="宋体" w:hAnsi="宋体" w:eastAsia="宋体" w:cs="宋体"/>
                <w:color w:val="auto"/>
                <w:sz w:val="21"/>
                <w:szCs w:val="21"/>
                <w:highlight w:val="none"/>
                <w:lang w:val="en-US" w:eastAsia="zh-CN"/>
              </w:rPr>
              <w:t>网站发布</w:t>
            </w:r>
            <w:r>
              <w:rPr>
                <w:rFonts w:hint="eastAsia" w:ascii="宋体" w:hAnsi="宋体" w:eastAsia="宋体" w:cs="宋体"/>
                <w:color w:val="auto"/>
                <w:spacing w:val="-4"/>
                <w:kern w:val="0"/>
                <w:sz w:val="21"/>
                <w:szCs w:val="21"/>
                <w:highlight w:val="none"/>
              </w:rPr>
              <w:t>，请各位投标人注意查看有关澄清内容，如不及时查看造成后果由投标人自负。</w:t>
            </w:r>
          </w:p>
        </w:tc>
      </w:tr>
      <w:tr w14:paraId="3CAB79A3">
        <w:tblPrEx>
          <w:tblCellMar>
            <w:top w:w="0" w:type="dxa"/>
            <w:left w:w="0" w:type="dxa"/>
            <w:bottom w:w="0" w:type="dxa"/>
            <w:right w:w="0" w:type="dxa"/>
          </w:tblCellMar>
        </w:tblPrEx>
        <w:trPr>
          <w:trHeight w:val="462" w:hRule="atLeast"/>
        </w:trPr>
        <w:tc>
          <w:tcPr>
            <w:tcW w:w="792" w:type="dxa"/>
            <w:tcBorders>
              <w:top w:val="single" w:color="auto" w:sz="8" w:space="0"/>
              <w:left w:val="single" w:color="auto" w:sz="8" w:space="0"/>
              <w:bottom w:val="single" w:color="auto" w:sz="8" w:space="0"/>
              <w:right w:val="single" w:color="auto" w:sz="8" w:space="0"/>
            </w:tcBorders>
            <w:vAlign w:val="center"/>
          </w:tcPr>
          <w:p w14:paraId="31E06C30">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w:t>
            </w:r>
          </w:p>
        </w:tc>
        <w:tc>
          <w:tcPr>
            <w:tcW w:w="1308" w:type="dxa"/>
            <w:tcBorders>
              <w:top w:val="single" w:color="auto" w:sz="8" w:space="0"/>
              <w:left w:val="single" w:color="auto" w:sz="4" w:space="0"/>
              <w:bottom w:val="single" w:color="auto" w:sz="8" w:space="0"/>
              <w:right w:val="single" w:color="auto" w:sz="4" w:space="0"/>
            </w:tcBorders>
            <w:vAlign w:val="center"/>
          </w:tcPr>
          <w:p w14:paraId="0B644D17">
            <w:pPr>
              <w:pStyle w:val="25"/>
              <w:spacing w:line="360" w:lineRule="exact"/>
              <w:jc w:val="left"/>
              <w:rPr>
                <w:rFonts w:hint="eastAsia" w:ascii="宋体" w:hAnsi="宋体" w:eastAsia="宋体" w:cs="宋体"/>
                <w:color w:val="auto"/>
                <w:sz w:val="21"/>
                <w:szCs w:val="21"/>
                <w:highlight w:val="none"/>
                <w:lang w:val="en-US" w:eastAsia="zh-CN"/>
              </w:rPr>
            </w:pPr>
            <w:r>
              <w:rPr>
                <w:color w:val="auto"/>
                <w:szCs w:val="21"/>
                <w:highlight w:val="none"/>
              </w:rPr>
              <w:t>投标有效期</w:t>
            </w:r>
          </w:p>
        </w:tc>
        <w:tc>
          <w:tcPr>
            <w:tcW w:w="7488" w:type="dxa"/>
            <w:tcBorders>
              <w:top w:val="single" w:color="auto" w:sz="8" w:space="0"/>
              <w:left w:val="single" w:color="auto" w:sz="4" w:space="0"/>
              <w:bottom w:val="single" w:color="auto" w:sz="8" w:space="0"/>
              <w:right w:val="single" w:color="auto" w:sz="8" w:space="0"/>
            </w:tcBorders>
            <w:vAlign w:val="center"/>
          </w:tcPr>
          <w:p w14:paraId="0CB8330D">
            <w:pPr>
              <w:pStyle w:val="25"/>
              <w:keepNext w:val="0"/>
              <w:keepLines w:val="0"/>
              <w:pageBreakBefore w:val="0"/>
              <w:kinsoku/>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color w:val="auto"/>
                <w:sz w:val="21"/>
                <w:szCs w:val="21"/>
                <w:highlight w:val="none"/>
                <w:lang w:val="en-US" w:eastAsia="zh-CN"/>
              </w:rPr>
            </w:pPr>
            <w:r>
              <w:rPr>
                <w:rFonts w:hint="eastAsia"/>
                <w:color w:val="auto"/>
                <w:szCs w:val="21"/>
                <w:highlight w:val="none"/>
              </w:rPr>
              <w:t>投标有效期为</w:t>
            </w:r>
            <w:r>
              <w:rPr>
                <w:rFonts w:hint="eastAsia"/>
                <w:color w:val="auto"/>
                <w:szCs w:val="21"/>
                <w:highlight w:val="none"/>
                <w:u w:val="single"/>
                <w:lang w:val="en-US" w:eastAsia="zh-CN"/>
              </w:rPr>
              <w:t>60</w:t>
            </w:r>
            <w:r>
              <w:rPr>
                <w:rFonts w:hint="eastAsia"/>
                <w:color w:val="auto"/>
                <w:szCs w:val="21"/>
                <w:highlight w:val="none"/>
              </w:rPr>
              <w:t>日历天（从投标截止之日算起）。在此期限内，凡符合本招标文件要求的投标文件均保持有效。</w:t>
            </w:r>
          </w:p>
        </w:tc>
      </w:tr>
      <w:tr w14:paraId="27D30DA2">
        <w:tblPrEx>
          <w:tblCellMar>
            <w:top w:w="0" w:type="dxa"/>
            <w:left w:w="0" w:type="dxa"/>
            <w:bottom w:w="0" w:type="dxa"/>
            <w:right w:w="0" w:type="dxa"/>
          </w:tblCellMar>
        </w:tblPrEx>
        <w:trPr>
          <w:trHeight w:val="462" w:hRule="atLeast"/>
        </w:trPr>
        <w:tc>
          <w:tcPr>
            <w:tcW w:w="792" w:type="dxa"/>
            <w:tcBorders>
              <w:top w:val="single" w:color="auto" w:sz="8" w:space="0"/>
              <w:left w:val="single" w:color="auto" w:sz="8" w:space="0"/>
              <w:bottom w:val="single" w:color="auto" w:sz="8" w:space="0"/>
              <w:right w:val="single" w:color="auto" w:sz="8" w:space="0"/>
            </w:tcBorders>
            <w:vAlign w:val="center"/>
          </w:tcPr>
          <w:p w14:paraId="7A32EE28">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11</w:t>
            </w:r>
          </w:p>
        </w:tc>
        <w:tc>
          <w:tcPr>
            <w:tcW w:w="1308" w:type="dxa"/>
            <w:tcBorders>
              <w:top w:val="single" w:color="auto" w:sz="8" w:space="0"/>
              <w:left w:val="single" w:color="auto" w:sz="4" w:space="0"/>
              <w:bottom w:val="single" w:color="auto" w:sz="8" w:space="0"/>
              <w:right w:val="single" w:color="auto" w:sz="4" w:space="0"/>
            </w:tcBorders>
            <w:vAlign w:val="center"/>
          </w:tcPr>
          <w:p w14:paraId="32269176">
            <w:pPr>
              <w:pStyle w:val="25"/>
              <w:spacing w:line="360" w:lineRule="exact"/>
              <w:jc w:val="left"/>
              <w:rPr>
                <w:rFonts w:hint="eastAsia" w:ascii="宋体" w:hAnsi="宋体" w:eastAsia="宋体" w:cs="宋体"/>
                <w:color w:val="auto"/>
                <w:sz w:val="21"/>
                <w:szCs w:val="21"/>
                <w:highlight w:val="none"/>
                <w:lang w:val="en-US" w:eastAsia="zh-CN"/>
              </w:rPr>
            </w:pPr>
            <w:r>
              <w:rPr>
                <w:rFonts w:hint="eastAsia"/>
                <w:color w:val="auto"/>
                <w:szCs w:val="21"/>
                <w:highlight w:val="none"/>
              </w:rPr>
              <w:t>投标文件</w:t>
            </w:r>
            <w:r>
              <w:rPr>
                <w:rFonts w:hint="eastAsia"/>
                <w:color w:val="auto"/>
                <w:szCs w:val="21"/>
                <w:highlight w:val="none"/>
                <w:lang w:val="en-US" w:eastAsia="zh-CN"/>
              </w:rPr>
              <w:t>递交</w:t>
            </w:r>
          </w:p>
        </w:tc>
        <w:tc>
          <w:tcPr>
            <w:tcW w:w="7488" w:type="dxa"/>
            <w:tcBorders>
              <w:top w:val="single" w:color="auto" w:sz="8" w:space="0"/>
              <w:left w:val="single" w:color="auto" w:sz="4" w:space="0"/>
              <w:bottom w:val="single" w:color="auto" w:sz="8" w:space="0"/>
              <w:right w:val="single" w:color="auto" w:sz="8" w:space="0"/>
            </w:tcBorders>
            <w:vAlign w:val="center"/>
          </w:tcPr>
          <w:p w14:paraId="4BDE2FC9">
            <w:pPr>
              <w:keepNext w:val="0"/>
              <w:keepLines w:val="0"/>
              <w:pageBreakBefore w:val="0"/>
              <w:widowControl w:val="0"/>
              <w:kinsoku/>
              <w:wordWrap w:val="0"/>
              <w:overflowPunct/>
              <w:topLinePunct w:val="0"/>
              <w:autoSpaceDE/>
              <w:autoSpaceDN/>
              <w:bidi w:val="0"/>
              <w:adjustRightInd/>
              <w:snapToGrid/>
              <w:spacing w:line="480" w:lineRule="exact"/>
              <w:ind w:left="63" w:leftChars="30" w:right="63" w:rightChars="30"/>
              <w:textAlignment w:val="auto"/>
              <w:rPr>
                <w:rFonts w:hint="eastAsia" w:ascii="宋体" w:hAnsi="宋体" w:cs="宋体"/>
                <w:color w:val="auto"/>
                <w:szCs w:val="21"/>
                <w:highlight w:val="none"/>
              </w:rPr>
            </w:pPr>
            <w:r>
              <w:rPr>
                <w:rFonts w:hint="eastAsia" w:ascii="宋体" w:hAnsi="宋体" w:cs="宋体"/>
                <w:color w:val="auto"/>
                <w:szCs w:val="21"/>
                <w:highlight w:val="none"/>
              </w:rPr>
              <w:t>加密电子投标文件投标人应在投标截止时间前通过新点电子交易平台后在【滁州专区】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https://www.etrading.cn/BREpointSSO/login/oauth2login?regioncode=DQ_ChuZhou</w:t>
            </w:r>
            <w:r>
              <w:rPr>
                <w:rFonts w:hint="eastAsia" w:ascii="宋体" w:hAnsi="宋体" w:cs="宋体"/>
                <w:color w:val="auto"/>
                <w:szCs w:val="21"/>
                <w:highlight w:val="none"/>
                <w:lang w:eastAsia="zh-CN"/>
              </w:rPr>
              <w:t>）</w:t>
            </w:r>
            <w:r>
              <w:rPr>
                <w:rFonts w:hint="eastAsia" w:ascii="宋体" w:hAnsi="宋体" w:cs="宋体"/>
                <w:color w:val="auto"/>
                <w:szCs w:val="21"/>
                <w:highlight w:val="none"/>
              </w:rPr>
              <w:t>交易系统递交电子投标文件。</w:t>
            </w:r>
          </w:p>
          <w:p w14:paraId="6AD718D2">
            <w:pPr>
              <w:keepNext w:val="0"/>
              <w:keepLines w:val="0"/>
              <w:pageBreakBefore w:val="0"/>
              <w:widowControl/>
              <w:kinsoku/>
              <w:overflowPunct/>
              <w:topLinePunct w:val="0"/>
              <w:autoSpaceDE/>
              <w:autoSpaceDN/>
              <w:bidi w:val="0"/>
              <w:adjustRightInd/>
              <w:snapToGrid/>
              <w:spacing w:line="480" w:lineRule="exact"/>
              <w:ind w:left="63" w:leftChars="30" w:right="63" w:rightChars="30" w:firstLine="89"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b/>
                <w:color w:val="auto"/>
                <w:kern w:val="0"/>
                <w:szCs w:val="21"/>
                <w:highlight w:val="none"/>
              </w:rPr>
              <w:t>（投标人中标后须递交与网上电子投标文件完全一致的纸质版投标文件，并按要求加盖单位章；份数：正本</w:t>
            </w:r>
            <w:r>
              <w:rPr>
                <w:rFonts w:hint="eastAsia" w:ascii="宋体" w:hAnsi="宋体" w:cs="宋体"/>
                <w:b/>
                <w:color w:val="auto"/>
                <w:kern w:val="0"/>
                <w:szCs w:val="21"/>
                <w:highlight w:val="none"/>
                <w:u w:val="single"/>
              </w:rPr>
              <w:t xml:space="preserve"> </w:t>
            </w:r>
            <w:r>
              <w:rPr>
                <w:rFonts w:ascii="宋体" w:hAnsi="宋体" w:cs="宋体"/>
                <w:b/>
                <w:color w:val="auto"/>
                <w:kern w:val="0"/>
                <w:szCs w:val="21"/>
                <w:highlight w:val="none"/>
                <w:u w:val="single"/>
              </w:rPr>
              <w:t>1</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rPr>
              <w:t>份，副本</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u w:val="single"/>
                <w:lang w:val="en-US" w:eastAsia="zh-CN"/>
              </w:rPr>
              <w:t>1</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rPr>
              <w:t>份；中标人领取中标通知书时，一并递交给招标代理机构）。</w:t>
            </w:r>
          </w:p>
        </w:tc>
      </w:tr>
      <w:tr w14:paraId="48A6C47E">
        <w:tblPrEx>
          <w:tblCellMar>
            <w:top w:w="0" w:type="dxa"/>
            <w:left w:w="0" w:type="dxa"/>
            <w:bottom w:w="0" w:type="dxa"/>
            <w:right w:w="0" w:type="dxa"/>
          </w:tblCellMar>
        </w:tblPrEx>
        <w:trPr>
          <w:trHeight w:val="462" w:hRule="atLeast"/>
        </w:trPr>
        <w:tc>
          <w:tcPr>
            <w:tcW w:w="792" w:type="dxa"/>
            <w:tcBorders>
              <w:top w:val="single" w:color="auto" w:sz="8" w:space="0"/>
              <w:left w:val="single" w:color="auto" w:sz="8" w:space="0"/>
              <w:bottom w:val="single" w:color="auto" w:sz="8" w:space="0"/>
              <w:right w:val="single" w:color="auto" w:sz="8" w:space="0"/>
            </w:tcBorders>
            <w:vAlign w:val="center"/>
          </w:tcPr>
          <w:p w14:paraId="6C307E50">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12</w:t>
            </w:r>
          </w:p>
        </w:tc>
        <w:tc>
          <w:tcPr>
            <w:tcW w:w="1308" w:type="dxa"/>
            <w:tcBorders>
              <w:top w:val="single" w:color="auto" w:sz="8" w:space="0"/>
              <w:left w:val="single" w:color="auto" w:sz="4" w:space="0"/>
              <w:bottom w:val="single" w:color="auto" w:sz="8" w:space="0"/>
              <w:right w:val="single" w:color="auto" w:sz="4" w:space="0"/>
            </w:tcBorders>
            <w:vAlign w:val="center"/>
          </w:tcPr>
          <w:p w14:paraId="6AF10602">
            <w:pPr>
              <w:spacing w:line="360" w:lineRule="exact"/>
              <w:jc w:val="left"/>
              <w:rPr>
                <w:rFonts w:hint="eastAsia"/>
                <w:color w:val="auto"/>
                <w:szCs w:val="21"/>
                <w:highlight w:val="none"/>
              </w:rPr>
            </w:pPr>
            <w:r>
              <w:rPr>
                <w:rFonts w:hint="eastAsia" w:ascii="宋体"/>
                <w:color w:val="auto"/>
                <w:szCs w:val="21"/>
                <w:highlight w:val="none"/>
              </w:rPr>
              <w:t>签字或盖章要求</w:t>
            </w:r>
          </w:p>
        </w:tc>
        <w:tc>
          <w:tcPr>
            <w:tcW w:w="7488" w:type="dxa"/>
            <w:tcBorders>
              <w:top w:val="single" w:color="auto" w:sz="8" w:space="0"/>
              <w:left w:val="single" w:color="auto" w:sz="4" w:space="0"/>
              <w:bottom w:val="single" w:color="auto" w:sz="8" w:space="0"/>
              <w:right w:val="single" w:color="auto" w:sz="8" w:space="0"/>
            </w:tcBorders>
            <w:vAlign w:val="center"/>
          </w:tcPr>
          <w:p w14:paraId="434CE441">
            <w:pPr>
              <w:keepNext w:val="0"/>
              <w:keepLines w:val="0"/>
              <w:pageBreakBefore w:val="0"/>
              <w:widowControl/>
              <w:kinsoku/>
              <w:overflowPunct/>
              <w:topLinePunct w:val="0"/>
              <w:autoSpaceDE/>
              <w:autoSpaceDN/>
              <w:bidi w:val="0"/>
              <w:adjustRightInd/>
              <w:snapToGrid/>
              <w:spacing w:line="480" w:lineRule="exact"/>
              <w:ind w:left="63" w:leftChars="30" w:right="63" w:rightChars="30" w:firstLine="89" w:firstLineChars="42"/>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电子投标文件须按格式文件要求签字或盖章（电子签章），招标文件格式中要求“签章”部位，指电子签章或盖章后扫描上传均可。</w:t>
            </w:r>
          </w:p>
          <w:p w14:paraId="66A35DAC">
            <w:pPr>
              <w:keepNext w:val="0"/>
              <w:keepLines w:val="0"/>
              <w:pageBreakBefore w:val="0"/>
              <w:widowControl/>
              <w:kinsoku/>
              <w:overflowPunct/>
              <w:topLinePunct w:val="0"/>
              <w:autoSpaceDE/>
              <w:autoSpaceDN/>
              <w:bidi w:val="0"/>
              <w:adjustRightInd/>
              <w:snapToGrid/>
              <w:spacing w:line="480" w:lineRule="exact"/>
              <w:ind w:left="63" w:leftChars="30" w:right="63" w:rightChars="30" w:firstLine="89" w:firstLineChars="42"/>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否则经评委会一致认定后，按照无效投标处理。</w:t>
            </w:r>
          </w:p>
        </w:tc>
      </w:tr>
      <w:tr w14:paraId="443033B5">
        <w:tblPrEx>
          <w:tblCellMar>
            <w:top w:w="0" w:type="dxa"/>
            <w:left w:w="0" w:type="dxa"/>
            <w:bottom w:w="0" w:type="dxa"/>
            <w:right w:w="0" w:type="dxa"/>
          </w:tblCellMar>
        </w:tblPrEx>
        <w:trPr>
          <w:trHeight w:val="1961" w:hRule="atLeast"/>
        </w:trPr>
        <w:tc>
          <w:tcPr>
            <w:tcW w:w="792" w:type="dxa"/>
            <w:tcBorders>
              <w:top w:val="single" w:color="auto" w:sz="8" w:space="0"/>
              <w:left w:val="single" w:color="auto" w:sz="8" w:space="0"/>
              <w:bottom w:val="single" w:color="auto" w:sz="8" w:space="0"/>
              <w:right w:val="single" w:color="auto" w:sz="8" w:space="0"/>
            </w:tcBorders>
            <w:vAlign w:val="center"/>
          </w:tcPr>
          <w:p w14:paraId="6036610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13</w:t>
            </w:r>
          </w:p>
        </w:tc>
        <w:tc>
          <w:tcPr>
            <w:tcW w:w="1308" w:type="dxa"/>
            <w:tcBorders>
              <w:top w:val="single" w:color="auto" w:sz="8" w:space="0"/>
              <w:left w:val="single" w:color="auto" w:sz="4" w:space="0"/>
              <w:bottom w:val="single" w:color="auto" w:sz="8" w:space="0"/>
              <w:right w:val="single" w:color="auto" w:sz="4" w:space="0"/>
            </w:tcBorders>
            <w:vAlign w:val="center"/>
          </w:tcPr>
          <w:p w14:paraId="5C83C75F">
            <w:pPr>
              <w:spacing w:line="360" w:lineRule="exact"/>
              <w:jc w:val="left"/>
              <w:rPr>
                <w:rFonts w:hint="eastAsia" w:ascii="宋体" w:hAnsi="宋体" w:eastAsia="宋体" w:cs="宋体"/>
                <w:color w:val="auto"/>
                <w:kern w:val="0"/>
                <w:sz w:val="21"/>
                <w:szCs w:val="21"/>
                <w:highlight w:val="none"/>
              </w:rPr>
            </w:pPr>
            <w:r>
              <w:rPr>
                <w:rFonts w:hint="eastAsia" w:ascii="宋体"/>
                <w:color w:val="auto"/>
                <w:szCs w:val="21"/>
                <w:highlight w:val="none"/>
              </w:rPr>
              <w:t>投标文件提交截止时间</w:t>
            </w:r>
          </w:p>
        </w:tc>
        <w:tc>
          <w:tcPr>
            <w:tcW w:w="7488" w:type="dxa"/>
            <w:tcBorders>
              <w:top w:val="single" w:color="auto" w:sz="8" w:space="0"/>
              <w:left w:val="single" w:color="auto" w:sz="4" w:space="0"/>
              <w:bottom w:val="single" w:color="auto" w:sz="8" w:space="0"/>
              <w:right w:val="single" w:color="auto" w:sz="8" w:space="0"/>
            </w:tcBorders>
            <w:vAlign w:val="center"/>
          </w:tcPr>
          <w:p w14:paraId="4AACE522">
            <w:pPr>
              <w:keepNext w:val="0"/>
              <w:keepLines w:val="0"/>
              <w:pageBreakBefore w:val="0"/>
              <w:kinsoku/>
              <w:overflowPunct/>
              <w:topLinePunct w:val="0"/>
              <w:autoSpaceDE/>
              <w:autoSpaceDN/>
              <w:bidi w:val="0"/>
              <w:adjustRightInd/>
              <w:snapToGrid/>
              <w:spacing w:line="480" w:lineRule="exact"/>
              <w:ind w:left="63" w:leftChars="30" w:right="63" w:rightChars="30"/>
              <w:textAlignment w:val="auto"/>
              <w:rPr>
                <w:rFonts w:hint="eastAsia" w:ascii="宋体"/>
                <w:color w:val="auto"/>
                <w:szCs w:val="21"/>
                <w:highlight w:val="none"/>
              </w:rPr>
            </w:pPr>
            <w:r>
              <w:rPr>
                <w:rFonts w:hint="eastAsia" w:ascii="宋体"/>
                <w:color w:val="auto"/>
                <w:szCs w:val="21"/>
                <w:highlight w:val="none"/>
              </w:rPr>
              <w:t>网上递交投标文件截止时间：</w:t>
            </w:r>
            <w:r>
              <w:rPr>
                <w:rFonts w:hint="eastAsia" w:ascii="宋体"/>
                <w:b/>
                <w:bCs/>
                <w:color w:val="auto"/>
                <w:szCs w:val="21"/>
                <w:highlight w:val="none"/>
                <w:lang w:val="en-US" w:eastAsia="zh-CN"/>
              </w:rPr>
              <w:t>2026</w:t>
            </w:r>
            <w:r>
              <w:rPr>
                <w:rFonts w:hint="eastAsia" w:ascii="宋体"/>
                <w:b/>
                <w:bCs/>
                <w:color w:val="auto"/>
                <w:szCs w:val="21"/>
                <w:highlight w:val="none"/>
              </w:rPr>
              <w:t>年</w:t>
            </w:r>
            <w:r>
              <w:rPr>
                <w:rFonts w:hint="eastAsia" w:ascii="宋体"/>
                <w:b/>
                <w:bCs/>
                <w:color w:val="auto"/>
                <w:szCs w:val="21"/>
                <w:highlight w:val="none"/>
                <w:lang w:val="en-US" w:eastAsia="zh-CN"/>
              </w:rPr>
              <w:t>3</w:t>
            </w:r>
            <w:r>
              <w:rPr>
                <w:rFonts w:hint="eastAsia" w:ascii="宋体"/>
                <w:b/>
                <w:bCs/>
                <w:color w:val="auto"/>
                <w:szCs w:val="21"/>
                <w:highlight w:val="none"/>
              </w:rPr>
              <w:t>月</w:t>
            </w:r>
            <w:r>
              <w:rPr>
                <w:rFonts w:hint="eastAsia" w:ascii="宋体"/>
                <w:b/>
                <w:bCs/>
                <w:color w:val="auto"/>
                <w:szCs w:val="21"/>
                <w:highlight w:val="none"/>
                <w:lang w:val="en-US" w:eastAsia="zh-CN"/>
              </w:rPr>
              <w:t>20</w:t>
            </w:r>
            <w:r>
              <w:rPr>
                <w:rFonts w:hint="eastAsia" w:ascii="宋体"/>
                <w:b/>
                <w:bCs/>
                <w:color w:val="auto"/>
                <w:szCs w:val="21"/>
                <w:highlight w:val="none"/>
              </w:rPr>
              <w:t>日</w:t>
            </w:r>
            <w:r>
              <w:rPr>
                <w:rFonts w:hint="eastAsia" w:ascii="宋体"/>
                <w:b/>
                <w:bCs/>
                <w:color w:val="auto"/>
                <w:szCs w:val="21"/>
                <w:highlight w:val="none"/>
                <w:lang w:val="en-US" w:eastAsia="zh-CN"/>
              </w:rPr>
              <w:t>8</w:t>
            </w:r>
            <w:r>
              <w:rPr>
                <w:rFonts w:hint="eastAsia" w:ascii="宋体"/>
                <w:b/>
                <w:bCs/>
                <w:color w:val="auto"/>
                <w:szCs w:val="21"/>
                <w:highlight w:val="none"/>
              </w:rPr>
              <w:t>时</w:t>
            </w:r>
            <w:r>
              <w:rPr>
                <w:rFonts w:hint="eastAsia" w:ascii="宋体"/>
                <w:b/>
                <w:bCs/>
                <w:color w:val="auto"/>
                <w:szCs w:val="21"/>
                <w:highlight w:val="none"/>
                <w:lang w:val="en-US" w:eastAsia="zh-CN"/>
              </w:rPr>
              <w:t>30</w:t>
            </w:r>
            <w:r>
              <w:rPr>
                <w:rFonts w:hint="eastAsia" w:ascii="宋体"/>
                <w:b/>
                <w:bCs/>
                <w:color w:val="auto"/>
                <w:szCs w:val="21"/>
                <w:highlight w:val="none"/>
              </w:rPr>
              <w:t>分（北京时间）</w:t>
            </w:r>
          </w:p>
          <w:p w14:paraId="6FF010F2">
            <w:pPr>
              <w:keepNext w:val="0"/>
              <w:keepLines w:val="0"/>
              <w:pageBreakBefore w:val="0"/>
              <w:kinsoku/>
              <w:overflowPunct/>
              <w:topLinePunct w:val="0"/>
              <w:autoSpaceDE/>
              <w:autoSpaceDN/>
              <w:bidi w:val="0"/>
              <w:adjustRightInd/>
              <w:snapToGrid/>
              <w:spacing w:line="480" w:lineRule="exact"/>
              <w:ind w:left="63" w:leftChars="30" w:right="63" w:rightChars="30"/>
              <w:textAlignment w:val="auto"/>
              <w:rPr>
                <w:rFonts w:hint="eastAsia" w:ascii="黑体" w:eastAsia="黑体" w:cs="黑体"/>
                <w:bCs/>
                <w:color w:val="auto"/>
                <w:szCs w:val="21"/>
                <w:highlight w:val="none"/>
              </w:rPr>
            </w:pPr>
            <w:r>
              <w:rPr>
                <w:rFonts w:hint="eastAsia" w:ascii="宋体"/>
                <w:b/>
                <w:color w:val="auto"/>
                <w:szCs w:val="21"/>
                <w:highlight w:val="none"/>
              </w:rPr>
              <w:t>注：以投标人在投标截止时间前网上递交的电子投标文件为准，逾期提交的，投标文件将被拒绝。</w:t>
            </w:r>
          </w:p>
          <w:p w14:paraId="2D17B673">
            <w:pPr>
              <w:keepNext w:val="0"/>
              <w:keepLines w:val="0"/>
              <w:pageBreakBefore w:val="0"/>
              <w:kinsoku/>
              <w:wordWrap w:val="0"/>
              <w:overflowPunct/>
              <w:topLinePunct w:val="0"/>
              <w:autoSpaceDE/>
              <w:autoSpaceDN/>
              <w:bidi w:val="0"/>
              <w:adjustRightInd/>
              <w:snapToGrid/>
              <w:spacing w:line="480" w:lineRule="exact"/>
              <w:ind w:left="63" w:leftChars="30" w:right="63" w:rightChars="30"/>
              <w:textAlignment w:val="auto"/>
              <w:rPr>
                <w:rFonts w:hint="default" w:ascii="宋体" w:hAnsi="宋体" w:eastAsia="宋体" w:cs="宋体"/>
                <w:color w:val="auto"/>
                <w:sz w:val="21"/>
                <w:szCs w:val="21"/>
                <w:highlight w:val="none"/>
                <w:lang w:val="en-US" w:eastAsia="zh-CN"/>
              </w:rPr>
            </w:pPr>
            <w:r>
              <w:rPr>
                <w:rFonts w:hint="eastAsia" w:ascii="宋体" w:hAnsi="宋体" w:cs="宋体"/>
                <w:b/>
                <w:bCs/>
                <w:color w:val="auto"/>
                <w:szCs w:val="21"/>
                <w:highlight w:val="none"/>
              </w:rPr>
              <w:t>1.解密程序开始后</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分钟内（以本项目网上招投标系统解密倒计时为准）。</w:t>
            </w:r>
          </w:p>
        </w:tc>
      </w:tr>
      <w:tr w14:paraId="39CAD765">
        <w:tblPrEx>
          <w:tblCellMar>
            <w:top w:w="0" w:type="dxa"/>
            <w:left w:w="0" w:type="dxa"/>
            <w:bottom w:w="0" w:type="dxa"/>
            <w:right w:w="0" w:type="dxa"/>
          </w:tblCellMar>
        </w:tblPrEx>
        <w:trPr>
          <w:trHeight w:val="466" w:hRule="atLeast"/>
        </w:trPr>
        <w:tc>
          <w:tcPr>
            <w:tcW w:w="792" w:type="dxa"/>
            <w:tcBorders>
              <w:top w:val="single" w:color="auto" w:sz="8" w:space="0"/>
              <w:left w:val="single" w:color="auto" w:sz="8" w:space="0"/>
              <w:bottom w:val="single" w:color="auto" w:sz="8" w:space="0"/>
              <w:right w:val="single" w:color="auto" w:sz="8" w:space="0"/>
            </w:tcBorders>
            <w:vAlign w:val="center"/>
          </w:tcPr>
          <w:p w14:paraId="0E67040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14</w:t>
            </w:r>
          </w:p>
        </w:tc>
        <w:tc>
          <w:tcPr>
            <w:tcW w:w="1308" w:type="dxa"/>
            <w:tcBorders>
              <w:top w:val="single" w:color="auto" w:sz="8" w:space="0"/>
              <w:left w:val="single" w:color="auto" w:sz="4" w:space="0"/>
              <w:bottom w:val="single" w:color="auto" w:sz="8" w:space="0"/>
              <w:right w:val="single" w:color="auto" w:sz="4" w:space="0"/>
            </w:tcBorders>
            <w:vAlign w:val="center"/>
          </w:tcPr>
          <w:p w14:paraId="03D51B63">
            <w:pPr>
              <w:spacing w:line="360" w:lineRule="exact"/>
              <w:jc w:val="left"/>
              <w:rPr>
                <w:rFonts w:hint="eastAsia" w:ascii="宋体"/>
                <w:color w:val="auto"/>
                <w:szCs w:val="21"/>
                <w:highlight w:val="none"/>
              </w:rPr>
            </w:pPr>
            <w:r>
              <w:rPr>
                <w:rFonts w:hint="eastAsia" w:ascii="宋体"/>
                <w:color w:val="auto"/>
                <w:szCs w:val="21"/>
                <w:highlight w:val="none"/>
              </w:rPr>
              <w:t>是否退还投标文件</w:t>
            </w:r>
          </w:p>
        </w:tc>
        <w:tc>
          <w:tcPr>
            <w:tcW w:w="7488" w:type="dxa"/>
            <w:tcBorders>
              <w:top w:val="single" w:color="auto" w:sz="8" w:space="0"/>
              <w:left w:val="single" w:color="auto" w:sz="4" w:space="0"/>
              <w:bottom w:val="single" w:color="auto" w:sz="8" w:space="0"/>
              <w:right w:val="single" w:color="auto" w:sz="8" w:space="0"/>
            </w:tcBorders>
            <w:vAlign w:val="center"/>
          </w:tcPr>
          <w:p w14:paraId="626B5B3B">
            <w:pPr>
              <w:keepNext w:val="0"/>
              <w:keepLines w:val="0"/>
              <w:pageBreakBefore w:val="0"/>
              <w:kinsoku/>
              <w:overflowPunct/>
              <w:topLinePunct w:val="0"/>
              <w:autoSpaceDE/>
              <w:autoSpaceDN/>
              <w:bidi w:val="0"/>
              <w:adjustRightInd/>
              <w:snapToGrid/>
              <w:spacing w:line="480" w:lineRule="exact"/>
              <w:ind w:left="63" w:leftChars="30" w:right="63" w:rightChars="30"/>
              <w:textAlignment w:val="auto"/>
              <w:rPr>
                <w:rFonts w:hint="eastAsia" w:ascii="宋体" w:hAnsi="宋体" w:cs="宋体"/>
                <w:color w:val="auto"/>
                <w:szCs w:val="21"/>
                <w:highlight w:val="none"/>
              </w:rPr>
            </w:pPr>
            <w:r>
              <w:rPr>
                <w:rFonts w:hint="eastAsia"/>
                <w:color w:val="auto"/>
                <w:szCs w:val="21"/>
                <w:highlight w:val="none"/>
              </w:rPr>
              <w:t>否</w:t>
            </w:r>
          </w:p>
        </w:tc>
      </w:tr>
      <w:tr w14:paraId="266A8CA8">
        <w:tblPrEx>
          <w:tblCellMar>
            <w:top w:w="0" w:type="dxa"/>
            <w:left w:w="0" w:type="dxa"/>
            <w:bottom w:w="0" w:type="dxa"/>
            <w:right w:w="0" w:type="dxa"/>
          </w:tblCellMar>
        </w:tblPrEx>
        <w:trPr>
          <w:trHeight w:val="786" w:hRule="atLeast"/>
        </w:trPr>
        <w:tc>
          <w:tcPr>
            <w:tcW w:w="792" w:type="dxa"/>
            <w:tcBorders>
              <w:top w:val="single" w:color="auto" w:sz="8" w:space="0"/>
              <w:left w:val="single" w:color="auto" w:sz="8" w:space="0"/>
              <w:bottom w:val="single" w:color="auto" w:sz="8" w:space="0"/>
              <w:right w:val="single" w:color="auto" w:sz="8" w:space="0"/>
            </w:tcBorders>
            <w:vAlign w:val="center"/>
          </w:tcPr>
          <w:p w14:paraId="136C06B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15</w:t>
            </w:r>
          </w:p>
        </w:tc>
        <w:tc>
          <w:tcPr>
            <w:tcW w:w="1308" w:type="dxa"/>
            <w:tcBorders>
              <w:top w:val="single" w:color="auto" w:sz="8" w:space="0"/>
              <w:left w:val="single" w:color="auto" w:sz="4" w:space="0"/>
              <w:bottom w:val="single" w:color="auto" w:sz="8" w:space="0"/>
              <w:right w:val="single" w:color="auto" w:sz="4" w:space="0"/>
            </w:tcBorders>
            <w:vAlign w:val="center"/>
          </w:tcPr>
          <w:p w14:paraId="53C0A74C">
            <w:pPr>
              <w:spacing w:line="360" w:lineRule="exact"/>
              <w:jc w:val="left"/>
              <w:rPr>
                <w:rFonts w:hint="eastAsia" w:ascii="宋体" w:hAnsi="宋体" w:eastAsia="宋体" w:cs="宋体"/>
                <w:color w:val="auto"/>
                <w:kern w:val="0"/>
                <w:sz w:val="21"/>
                <w:szCs w:val="21"/>
                <w:highlight w:val="none"/>
                <w:lang w:val="en-US" w:eastAsia="zh-CN"/>
              </w:rPr>
            </w:pPr>
            <w:r>
              <w:rPr>
                <w:rFonts w:hint="eastAsia" w:ascii="宋体"/>
                <w:color w:val="auto"/>
                <w:szCs w:val="21"/>
                <w:highlight w:val="none"/>
              </w:rPr>
              <w:t>开标时间及地点</w:t>
            </w:r>
          </w:p>
        </w:tc>
        <w:tc>
          <w:tcPr>
            <w:tcW w:w="7488" w:type="dxa"/>
            <w:tcBorders>
              <w:top w:val="single" w:color="auto" w:sz="8" w:space="0"/>
              <w:left w:val="single" w:color="auto" w:sz="4" w:space="0"/>
              <w:bottom w:val="single" w:color="auto" w:sz="8" w:space="0"/>
              <w:right w:val="single" w:color="auto" w:sz="8" w:space="0"/>
            </w:tcBorders>
            <w:vAlign w:val="center"/>
          </w:tcPr>
          <w:p w14:paraId="18B45F6F">
            <w:pPr>
              <w:keepNext w:val="0"/>
              <w:keepLines w:val="0"/>
              <w:pageBreakBefore w:val="0"/>
              <w:kinsoku/>
              <w:overflowPunct/>
              <w:topLinePunct w:val="0"/>
              <w:autoSpaceDE/>
              <w:autoSpaceDN/>
              <w:bidi w:val="0"/>
              <w:adjustRightInd/>
              <w:snapToGrid/>
              <w:spacing w:line="480" w:lineRule="exact"/>
              <w:ind w:left="63" w:leftChars="30" w:right="63" w:rightChars="30"/>
              <w:textAlignment w:val="auto"/>
              <w:rPr>
                <w:rFonts w:hint="eastAsia"/>
                <w:color w:val="auto"/>
                <w:highlight w:val="none"/>
              </w:rPr>
            </w:pPr>
            <w:r>
              <w:rPr>
                <w:rFonts w:hint="eastAsia" w:ascii="ˎ̥" w:hAnsi="ˎ̥"/>
                <w:color w:val="auto"/>
                <w:highlight w:val="none"/>
              </w:rPr>
              <w:t>详见招标公告</w:t>
            </w:r>
          </w:p>
        </w:tc>
      </w:tr>
      <w:tr w14:paraId="076992A3">
        <w:tblPrEx>
          <w:tblCellMar>
            <w:top w:w="0" w:type="dxa"/>
            <w:left w:w="0" w:type="dxa"/>
            <w:bottom w:w="0" w:type="dxa"/>
            <w:right w:w="0" w:type="dxa"/>
          </w:tblCellMar>
        </w:tblPrEx>
        <w:trPr>
          <w:trHeight w:val="454" w:hRule="atLeast"/>
        </w:trPr>
        <w:tc>
          <w:tcPr>
            <w:tcW w:w="792" w:type="dxa"/>
            <w:tcBorders>
              <w:top w:val="single" w:color="auto" w:sz="8" w:space="0"/>
              <w:left w:val="single" w:color="auto" w:sz="8" w:space="0"/>
              <w:bottom w:val="single" w:color="auto" w:sz="8" w:space="0"/>
              <w:right w:val="single" w:color="auto" w:sz="8" w:space="0"/>
            </w:tcBorders>
            <w:vAlign w:val="center"/>
          </w:tcPr>
          <w:p w14:paraId="3C028E0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16</w:t>
            </w:r>
          </w:p>
        </w:tc>
        <w:tc>
          <w:tcPr>
            <w:tcW w:w="1308" w:type="dxa"/>
            <w:tcBorders>
              <w:top w:val="single" w:color="auto" w:sz="8" w:space="0"/>
              <w:left w:val="single" w:color="auto" w:sz="4" w:space="0"/>
              <w:bottom w:val="single" w:color="auto" w:sz="8" w:space="0"/>
              <w:right w:val="single" w:color="auto" w:sz="4" w:space="0"/>
            </w:tcBorders>
            <w:vAlign w:val="center"/>
          </w:tcPr>
          <w:p w14:paraId="57F847A2">
            <w:pPr>
              <w:spacing w:line="360" w:lineRule="exact"/>
              <w:jc w:val="left"/>
              <w:rPr>
                <w:rFonts w:hint="eastAsia" w:ascii="宋体" w:hAnsi="宋体" w:eastAsia="宋体" w:cs="宋体"/>
                <w:color w:val="auto"/>
                <w:kern w:val="0"/>
                <w:sz w:val="21"/>
                <w:szCs w:val="21"/>
                <w:highlight w:val="none"/>
              </w:rPr>
            </w:pPr>
            <w:r>
              <w:rPr>
                <w:rFonts w:hint="eastAsia" w:ascii="宋体"/>
                <w:color w:val="auto"/>
                <w:szCs w:val="21"/>
                <w:highlight w:val="none"/>
              </w:rPr>
              <w:t>开标程序</w:t>
            </w:r>
          </w:p>
        </w:tc>
        <w:tc>
          <w:tcPr>
            <w:tcW w:w="7488" w:type="dxa"/>
            <w:tcBorders>
              <w:top w:val="single" w:color="auto" w:sz="8" w:space="0"/>
              <w:left w:val="single" w:color="auto" w:sz="4" w:space="0"/>
              <w:bottom w:val="single" w:color="auto" w:sz="8" w:space="0"/>
              <w:right w:val="single" w:color="auto" w:sz="8" w:space="0"/>
            </w:tcBorders>
            <w:vAlign w:val="center"/>
          </w:tcPr>
          <w:p w14:paraId="476CEA77">
            <w:pPr>
              <w:keepNext w:val="0"/>
              <w:keepLines w:val="0"/>
              <w:pageBreakBefore w:val="0"/>
              <w:kinsoku/>
              <w:overflowPunct/>
              <w:topLinePunct w:val="0"/>
              <w:autoSpaceDE/>
              <w:autoSpaceDN/>
              <w:bidi w:val="0"/>
              <w:adjustRightInd/>
              <w:snapToGrid/>
              <w:spacing w:line="480" w:lineRule="exact"/>
              <w:ind w:left="63" w:leftChars="30" w:right="63" w:rightChars="30"/>
              <w:textAlignment w:val="auto"/>
              <w:rPr>
                <w:rFonts w:hint="eastAsia"/>
                <w:color w:val="auto"/>
                <w:highlight w:val="none"/>
              </w:rPr>
            </w:pPr>
            <w:r>
              <w:rPr>
                <w:rFonts w:hint="eastAsia"/>
                <w:color w:val="auto"/>
                <w:szCs w:val="21"/>
                <w:highlight w:val="none"/>
              </w:rPr>
              <w:t>开标顺序：解密电子投标文件后，由评标委员会评审。</w:t>
            </w:r>
          </w:p>
        </w:tc>
      </w:tr>
      <w:tr w14:paraId="6EC3DC31">
        <w:tblPrEx>
          <w:tblCellMar>
            <w:top w:w="0" w:type="dxa"/>
            <w:left w:w="0" w:type="dxa"/>
            <w:bottom w:w="0" w:type="dxa"/>
            <w:right w:w="0" w:type="dxa"/>
          </w:tblCellMar>
        </w:tblPrEx>
        <w:trPr>
          <w:trHeight w:val="786" w:hRule="atLeast"/>
        </w:trPr>
        <w:tc>
          <w:tcPr>
            <w:tcW w:w="792" w:type="dxa"/>
            <w:tcBorders>
              <w:top w:val="single" w:color="auto" w:sz="8" w:space="0"/>
              <w:left w:val="single" w:color="auto" w:sz="8" w:space="0"/>
              <w:bottom w:val="single" w:color="auto" w:sz="8" w:space="0"/>
              <w:right w:val="single" w:color="auto" w:sz="8" w:space="0"/>
            </w:tcBorders>
            <w:vAlign w:val="center"/>
          </w:tcPr>
          <w:p w14:paraId="73E8B67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17</w:t>
            </w:r>
          </w:p>
        </w:tc>
        <w:tc>
          <w:tcPr>
            <w:tcW w:w="1308" w:type="dxa"/>
            <w:tcBorders>
              <w:top w:val="single" w:color="auto" w:sz="8" w:space="0"/>
              <w:left w:val="single" w:color="auto" w:sz="4" w:space="0"/>
              <w:bottom w:val="single" w:color="auto" w:sz="8" w:space="0"/>
              <w:right w:val="single" w:color="auto" w:sz="4" w:space="0"/>
            </w:tcBorders>
            <w:vAlign w:val="center"/>
          </w:tcPr>
          <w:p w14:paraId="5CB513ED">
            <w:pPr>
              <w:pStyle w:val="25"/>
              <w:spacing w:line="360" w:lineRule="exact"/>
              <w:jc w:val="left"/>
              <w:rPr>
                <w:rFonts w:hint="eastAsia" w:ascii="宋体"/>
                <w:color w:val="auto"/>
                <w:szCs w:val="21"/>
                <w:highlight w:val="none"/>
              </w:rPr>
            </w:pPr>
            <w:r>
              <w:rPr>
                <w:rFonts w:hint="eastAsia"/>
                <w:color w:val="auto"/>
                <w:szCs w:val="21"/>
                <w:highlight w:val="none"/>
              </w:rPr>
              <w:t>评标委员会的组建</w:t>
            </w:r>
          </w:p>
        </w:tc>
        <w:tc>
          <w:tcPr>
            <w:tcW w:w="7488" w:type="dxa"/>
            <w:tcBorders>
              <w:top w:val="single" w:color="auto" w:sz="8" w:space="0"/>
              <w:left w:val="single" w:color="auto" w:sz="4" w:space="0"/>
              <w:bottom w:val="single" w:color="auto" w:sz="8" w:space="0"/>
              <w:right w:val="single" w:color="auto" w:sz="8" w:space="0"/>
            </w:tcBorders>
            <w:vAlign w:val="top"/>
          </w:tcPr>
          <w:p w14:paraId="4FB4DBB5">
            <w:pPr>
              <w:pStyle w:val="157"/>
              <w:keepNext w:val="0"/>
              <w:keepLines w:val="0"/>
              <w:pageBreakBefore w:val="0"/>
              <w:kinsoku/>
              <w:overflowPunct/>
              <w:topLinePunct w:val="0"/>
              <w:autoSpaceDE/>
              <w:autoSpaceDN/>
              <w:bidi w:val="0"/>
              <w:adjustRightInd/>
              <w:snapToGrid/>
              <w:spacing w:line="480" w:lineRule="exact"/>
              <w:ind w:left="63" w:leftChars="30" w:right="63" w:rightChars="3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评标委员会由</w:t>
            </w:r>
            <w:r>
              <w:rPr>
                <w:rFonts w:hint="eastAsia" w:hAnsi="宋体" w:eastAsia="宋体" w:cs="宋体"/>
                <w:color w:val="auto"/>
                <w:sz w:val="21"/>
                <w:szCs w:val="21"/>
                <w:highlight w:val="none"/>
                <w:lang w:val="en-US" w:eastAsia="zh-CN"/>
              </w:rPr>
              <w:t>招标人依法组建</w:t>
            </w:r>
            <w:r>
              <w:rPr>
                <w:rFonts w:hint="eastAsia" w:ascii="宋体" w:hAnsi="宋体" w:eastAsia="宋体" w:cs="宋体"/>
                <w:color w:val="auto"/>
                <w:sz w:val="21"/>
                <w:szCs w:val="21"/>
                <w:highlight w:val="none"/>
              </w:rPr>
              <w:t>；</w:t>
            </w:r>
          </w:p>
          <w:p w14:paraId="6B4E98E9">
            <w:pPr>
              <w:pStyle w:val="25"/>
              <w:keepNext w:val="0"/>
              <w:keepLines w:val="0"/>
              <w:pageBreakBefore w:val="0"/>
              <w:kinsoku/>
              <w:overflowPunct/>
              <w:topLinePunct w:val="0"/>
              <w:autoSpaceDE/>
              <w:autoSpaceDN/>
              <w:bidi w:val="0"/>
              <w:adjustRightInd/>
              <w:snapToGrid/>
              <w:spacing w:line="480" w:lineRule="exact"/>
              <w:ind w:left="63" w:leftChars="30" w:right="63" w:rightChars="30"/>
              <w:textAlignment w:val="auto"/>
              <w:rPr>
                <w:rFonts w:hint="eastAsia"/>
                <w:color w:val="auto"/>
                <w:szCs w:val="21"/>
                <w:highlight w:val="none"/>
              </w:rPr>
            </w:pPr>
            <w:r>
              <w:rPr>
                <w:rFonts w:hint="eastAsia"/>
                <w:color w:val="auto"/>
                <w:szCs w:val="21"/>
                <w:highlight w:val="none"/>
              </w:rPr>
              <w:t>评标专家确定方式：专家评委由采购人在开标前从专家库中随机抽取。</w:t>
            </w:r>
          </w:p>
        </w:tc>
      </w:tr>
      <w:tr w14:paraId="02D6C8AD">
        <w:tblPrEx>
          <w:tblCellMar>
            <w:top w:w="0" w:type="dxa"/>
            <w:left w:w="0" w:type="dxa"/>
            <w:bottom w:w="0" w:type="dxa"/>
            <w:right w:w="0" w:type="dxa"/>
          </w:tblCellMar>
        </w:tblPrEx>
        <w:trPr>
          <w:trHeight w:val="786" w:hRule="atLeast"/>
        </w:trPr>
        <w:tc>
          <w:tcPr>
            <w:tcW w:w="792" w:type="dxa"/>
            <w:tcBorders>
              <w:top w:val="single" w:color="auto" w:sz="8" w:space="0"/>
              <w:left w:val="single" w:color="auto" w:sz="8" w:space="0"/>
              <w:bottom w:val="single" w:color="auto" w:sz="8" w:space="0"/>
              <w:right w:val="single" w:color="auto" w:sz="8" w:space="0"/>
            </w:tcBorders>
            <w:vAlign w:val="center"/>
          </w:tcPr>
          <w:p w14:paraId="61FD27D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18</w:t>
            </w:r>
          </w:p>
        </w:tc>
        <w:tc>
          <w:tcPr>
            <w:tcW w:w="1308" w:type="dxa"/>
            <w:tcBorders>
              <w:top w:val="single" w:color="auto" w:sz="8" w:space="0"/>
              <w:left w:val="single" w:color="auto" w:sz="4" w:space="0"/>
              <w:bottom w:val="single" w:color="auto" w:sz="8" w:space="0"/>
              <w:right w:val="single" w:color="auto" w:sz="4" w:space="0"/>
            </w:tcBorders>
            <w:vAlign w:val="center"/>
          </w:tcPr>
          <w:p w14:paraId="289798AF">
            <w:pPr>
              <w:pStyle w:val="25"/>
              <w:spacing w:line="360" w:lineRule="exact"/>
              <w:jc w:val="left"/>
              <w:rPr>
                <w:rFonts w:hint="eastAsia"/>
                <w:color w:val="auto"/>
                <w:szCs w:val="21"/>
                <w:highlight w:val="none"/>
              </w:rPr>
            </w:pPr>
            <w:r>
              <w:rPr>
                <w:rFonts w:hint="eastAsia"/>
                <w:color w:val="auto"/>
                <w:szCs w:val="21"/>
                <w:highlight w:val="none"/>
              </w:rPr>
              <w:t>是否授权评标委员会确定中标候选人</w:t>
            </w:r>
          </w:p>
        </w:tc>
        <w:tc>
          <w:tcPr>
            <w:tcW w:w="7488" w:type="dxa"/>
            <w:tcBorders>
              <w:top w:val="single" w:color="auto" w:sz="8" w:space="0"/>
              <w:left w:val="single" w:color="auto" w:sz="4" w:space="0"/>
              <w:bottom w:val="single" w:color="auto" w:sz="8" w:space="0"/>
              <w:right w:val="single" w:color="auto" w:sz="8" w:space="0"/>
            </w:tcBorders>
            <w:vAlign w:val="center"/>
          </w:tcPr>
          <w:p w14:paraId="50C3E122">
            <w:pPr>
              <w:pStyle w:val="25"/>
              <w:keepNext w:val="0"/>
              <w:keepLines w:val="0"/>
              <w:pageBreakBefore w:val="0"/>
              <w:kinsoku/>
              <w:overflowPunct/>
              <w:topLinePunct w:val="0"/>
              <w:autoSpaceDE/>
              <w:autoSpaceDN/>
              <w:bidi w:val="0"/>
              <w:adjustRightInd/>
              <w:snapToGrid/>
              <w:spacing w:line="480" w:lineRule="exact"/>
              <w:ind w:left="63" w:leftChars="30" w:right="63" w:rightChars="30"/>
              <w:textAlignment w:val="auto"/>
              <w:rPr>
                <w:rFonts w:hint="eastAsia"/>
                <w:color w:val="auto"/>
                <w:szCs w:val="21"/>
                <w:highlight w:val="none"/>
              </w:rPr>
            </w:pPr>
            <w:r>
              <w:rPr>
                <w:rFonts w:hint="eastAsia" w:hAnsi="宋体"/>
                <w:color w:val="auto"/>
                <w:szCs w:val="21"/>
                <w:highlight w:val="none"/>
              </w:rPr>
              <w:t>是，评标委员会推荐</w:t>
            </w:r>
            <w:r>
              <w:rPr>
                <w:rFonts w:hint="eastAsia" w:hAnsi="宋体"/>
                <w:color w:val="auto"/>
                <w:szCs w:val="21"/>
                <w:highlight w:val="none"/>
                <w:u w:val="single" w:color="auto"/>
              </w:rPr>
              <w:t xml:space="preserve"> </w:t>
            </w:r>
            <w:r>
              <w:rPr>
                <w:rFonts w:hint="eastAsia" w:hAnsi="宋体"/>
                <w:color w:val="auto"/>
                <w:szCs w:val="21"/>
                <w:highlight w:val="none"/>
                <w:u w:val="single" w:color="auto"/>
                <w:lang w:val="en-US" w:eastAsia="zh-CN"/>
              </w:rPr>
              <w:t>2</w:t>
            </w:r>
            <w:r>
              <w:rPr>
                <w:rFonts w:hint="eastAsia" w:hAnsi="宋体"/>
                <w:color w:val="auto"/>
                <w:szCs w:val="21"/>
                <w:highlight w:val="none"/>
                <w:u w:val="single" w:color="auto"/>
              </w:rPr>
              <w:t xml:space="preserve"> </w:t>
            </w:r>
            <w:r>
              <w:rPr>
                <w:rFonts w:hint="eastAsia" w:hAnsi="宋体"/>
                <w:color w:val="auto"/>
                <w:szCs w:val="21"/>
                <w:highlight w:val="none"/>
              </w:rPr>
              <w:t>名中标候选人。</w:t>
            </w:r>
          </w:p>
        </w:tc>
      </w:tr>
      <w:tr w14:paraId="191E86E8">
        <w:tblPrEx>
          <w:tblCellMar>
            <w:top w:w="0" w:type="dxa"/>
            <w:left w:w="0" w:type="dxa"/>
            <w:bottom w:w="0" w:type="dxa"/>
            <w:right w:w="0" w:type="dxa"/>
          </w:tblCellMar>
        </w:tblPrEx>
        <w:trPr>
          <w:trHeight w:val="786" w:hRule="atLeast"/>
        </w:trPr>
        <w:tc>
          <w:tcPr>
            <w:tcW w:w="792" w:type="dxa"/>
            <w:tcBorders>
              <w:top w:val="single" w:color="auto" w:sz="8" w:space="0"/>
              <w:left w:val="single" w:color="auto" w:sz="8" w:space="0"/>
              <w:bottom w:val="single" w:color="auto" w:sz="8" w:space="0"/>
              <w:right w:val="single" w:color="auto" w:sz="8" w:space="0"/>
            </w:tcBorders>
            <w:vAlign w:val="center"/>
          </w:tcPr>
          <w:p w14:paraId="1D007CD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19</w:t>
            </w:r>
          </w:p>
        </w:tc>
        <w:tc>
          <w:tcPr>
            <w:tcW w:w="1308" w:type="dxa"/>
            <w:tcBorders>
              <w:top w:val="single" w:color="auto" w:sz="8" w:space="0"/>
              <w:left w:val="single" w:color="auto" w:sz="4" w:space="0"/>
              <w:bottom w:val="single" w:color="auto" w:sz="8" w:space="0"/>
              <w:right w:val="single" w:color="auto" w:sz="4" w:space="0"/>
            </w:tcBorders>
            <w:vAlign w:val="center"/>
          </w:tcPr>
          <w:p w14:paraId="77F75070">
            <w:pPr>
              <w:pStyle w:val="25"/>
              <w:spacing w:line="360" w:lineRule="exact"/>
              <w:jc w:val="left"/>
              <w:rPr>
                <w:rFonts w:hint="eastAsia"/>
                <w:color w:val="auto"/>
                <w:szCs w:val="21"/>
                <w:highlight w:val="none"/>
              </w:rPr>
            </w:pPr>
            <w:r>
              <w:rPr>
                <w:rFonts w:hint="eastAsia"/>
                <w:color w:val="auto"/>
                <w:szCs w:val="21"/>
                <w:highlight w:val="none"/>
              </w:rPr>
              <w:t>中标结果公告媒介</w:t>
            </w:r>
          </w:p>
        </w:tc>
        <w:tc>
          <w:tcPr>
            <w:tcW w:w="7488" w:type="dxa"/>
            <w:tcBorders>
              <w:top w:val="single" w:color="auto" w:sz="8" w:space="0"/>
              <w:left w:val="single" w:color="auto" w:sz="4" w:space="0"/>
              <w:bottom w:val="single" w:color="auto" w:sz="8" w:space="0"/>
              <w:right w:val="single" w:color="auto" w:sz="8" w:space="0"/>
            </w:tcBorders>
            <w:vAlign w:val="top"/>
          </w:tcPr>
          <w:p w14:paraId="2F0DB711">
            <w:pPr>
              <w:pStyle w:val="25"/>
              <w:keepNext w:val="0"/>
              <w:keepLines w:val="0"/>
              <w:pageBreakBefore w:val="0"/>
              <w:kinsoku/>
              <w:wordWrap w:val="0"/>
              <w:overflowPunct/>
              <w:topLinePunct w:val="0"/>
              <w:autoSpaceDE/>
              <w:autoSpaceDN/>
              <w:bidi w:val="0"/>
              <w:adjustRightInd/>
              <w:snapToGrid/>
              <w:spacing w:line="480" w:lineRule="exact"/>
              <w:ind w:left="63" w:leftChars="30" w:right="63" w:rightChars="30"/>
              <w:textAlignment w:val="auto"/>
              <w:rPr>
                <w:rFonts w:hint="eastAsia"/>
                <w:color w:val="auto"/>
                <w:szCs w:val="21"/>
                <w:highlight w:val="none"/>
              </w:rPr>
            </w:pPr>
            <w:r>
              <w:rPr>
                <w:rFonts w:hint="eastAsia" w:ascii="宋体" w:hAnsi="宋体" w:eastAsia="宋体" w:cs="宋体"/>
                <w:color w:val="auto"/>
                <w:sz w:val="21"/>
                <w:szCs w:val="21"/>
                <w:highlight w:val="none"/>
              </w:rPr>
              <w:t>滁州市城投工程咨询管理有限公司</w:t>
            </w:r>
            <w:r>
              <w:rPr>
                <w:rFonts w:hint="eastAsia"/>
                <w:color w:val="auto"/>
                <w:szCs w:val="21"/>
                <w:highlight w:val="none"/>
              </w:rPr>
              <w:t>（https://www.czctgczx.com/）</w:t>
            </w:r>
            <w:r>
              <w:rPr>
                <w:rFonts w:hint="eastAsia"/>
                <w:color w:val="auto"/>
                <w:szCs w:val="21"/>
                <w:highlight w:val="none"/>
                <w:lang w:eastAsia="zh-CN"/>
              </w:rPr>
              <w:t>、</w:t>
            </w:r>
            <w:r>
              <w:rPr>
                <w:rFonts w:hint="eastAsia" w:ascii="宋体" w:hAnsi="宋体" w:eastAsia="宋体" w:cs="宋体"/>
                <w:color w:val="auto"/>
                <w:szCs w:val="21"/>
                <w:highlight w:val="none"/>
              </w:rPr>
              <w:t>滁州市重点工程建设管理处（http://zdc.chuzhou.gov.cn/）</w:t>
            </w:r>
            <w:r>
              <w:rPr>
                <w:rFonts w:hint="eastAsia"/>
                <w:color w:val="auto"/>
                <w:spacing w:val="-4"/>
                <w:szCs w:val="21"/>
                <w:highlight w:val="none"/>
              </w:rPr>
              <w:t>等网站</w:t>
            </w:r>
          </w:p>
        </w:tc>
      </w:tr>
      <w:tr w14:paraId="6EA640C0">
        <w:tblPrEx>
          <w:tblCellMar>
            <w:top w:w="0" w:type="dxa"/>
            <w:left w:w="0" w:type="dxa"/>
            <w:bottom w:w="0" w:type="dxa"/>
            <w:right w:w="0" w:type="dxa"/>
          </w:tblCellMar>
        </w:tblPrEx>
        <w:trPr>
          <w:trHeight w:val="478" w:hRule="atLeast"/>
        </w:trPr>
        <w:tc>
          <w:tcPr>
            <w:tcW w:w="792" w:type="dxa"/>
            <w:tcBorders>
              <w:top w:val="single" w:color="auto" w:sz="8" w:space="0"/>
              <w:left w:val="single" w:color="auto" w:sz="8" w:space="0"/>
              <w:bottom w:val="single" w:color="auto" w:sz="8" w:space="0"/>
              <w:right w:val="single" w:color="auto" w:sz="8" w:space="0"/>
            </w:tcBorders>
            <w:vAlign w:val="center"/>
          </w:tcPr>
          <w:p w14:paraId="300286F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20</w:t>
            </w:r>
          </w:p>
        </w:tc>
        <w:tc>
          <w:tcPr>
            <w:tcW w:w="1308" w:type="dxa"/>
            <w:tcBorders>
              <w:top w:val="single" w:color="auto" w:sz="8" w:space="0"/>
              <w:left w:val="single" w:color="auto" w:sz="4" w:space="0"/>
              <w:bottom w:val="single" w:color="auto" w:sz="8" w:space="0"/>
              <w:right w:val="single" w:color="auto" w:sz="4" w:space="0"/>
            </w:tcBorders>
            <w:vAlign w:val="center"/>
          </w:tcPr>
          <w:p w14:paraId="5C02703D">
            <w:pPr>
              <w:spacing w:line="360" w:lineRule="exact"/>
              <w:jc w:val="left"/>
              <w:rPr>
                <w:rFonts w:hint="eastAsia"/>
                <w:color w:val="auto"/>
                <w:szCs w:val="21"/>
                <w:highlight w:val="none"/>
              </w:rPr>
            </w:pPr>
            <w:r>
              <w:rPr>
                <w:rFonts w:hint="eastAsia" w:ascii="宋体"/>
                <w:color w:val="auto"/>
                <w:szCs w:val="21"/>
                <w:highlight w:val="none"/>
              </w:rPr>
              <w:t>履约担保</w:t>
            </w:r>
          </w:p>
        </w:tc>
        <w:tc>
          <w:tcPr>
            <w:tcW w:w="7488" w:type="dxa"/>
            <w:tcBorders>
              <w:top w:val="single" w:color="auto" w:sz="8" w:space="0"/>
              <w:left w:val="single" w:color="auto" w:sz="4" w:space="0"/>
              <w:bottom w:val="single" w:color="auto" w:sz="8" w:space="0"/>
              <w:right w:val="single" w:color="auto" w:sz="8" w:space="0"/>
            </w:tcBorders>
            <w:vAlign w:val="center"/>
          </w:tcPr>
          <w:p w14:paraId="492E7E00">
            <w:pPr>
              <w:keepNext w:val="0"/>
              <w:keepLines w:val="0"/>
              <w:pageBreakBefore w:val="0"/>
              <w:widowControl/>
              <w:kinsoku/>
              <w:overflowPunct/>
              <w:topLinePunct w:val="0"/>
              <w:autoSpaceDE/>
              <w:autoSpaceDN/>
              <w:bidi w:val="0"/>
              <w:adjustRightInd/>
              <w:snapToGrid/>
              <w:spacing w:line="480" w:lineRule="exact"/>
              <w:ind w:left="63" w:leftChars="30" w:right="63" w:rightChars="30"/>
              <w:jc w:val="both"/>
              <w:textAlignment w:val="auto"/>
              <w:rPr>
                <w:rFonts w:hint="eastAsia"/>
                <w:color w:val="auto"/>
                <w:szCs w:val="21"/>
                <w:highlight w:val="none"/>
              </w:rPr>
            </w:pPr>
            <w:r>
              <w:rPr>
                <w:rFonts w:hint="eastAsia"/>
                <w:color w:val="auto"/>
                <w:szCs w:val="21"/>
                <w:highlight w:val="none"/>
              </w:rPr>
              <w:t>是否收取履约担保：□收取，</w:t>
            </w:r>
            <w:r>
              <w:rPr>
                <w:rFonts w:hint="eastAsia"/>
                <w:color w:val="auto"/>
                <w:szCs w:val="21"/>
                <w:highlight w:val="none"/>
              </w:rPr>
              <w:sym w:font="Wingdings 2" w:char="0052"/>
            </w:r>
            <w:r>
              <w:rPr>
                <w:rFonts w:hint="eastAsia"/>
                <w:color w:val="auto"/>
                <w:szCs w:val="21"/>
                <w:highlight w:val="none"/>
              </w:rPr>
              <w:t>不收取</w:t>
            </w:r>
          </w:p>
        </w:tc>
      </w:tr>
      <w:tr w14:paraId="361F7F39">
        <w:tblPrEx>
          <w:tblCellMar>
            <w:top w:w="0" w:type="dxa"/>
            <w:left w:w="0" w:type="dxa"/>
            <w:bottom w:w="0" w:type="dxa"/>
            <w:right w:w="0" w:type="dxa"/>
          </w:tblCellMar>
        </w:tblPrEx>
        <w:trPr>
          <w:trHeight w:val="478" w:hRule="atLeast"/>
        </w:trPr>
        <w:tc>
          <w:tcPr>
            <w:tcW w:w="9588" w:type="dxa"/>
            <w:gridSpan w:val="3"/>
            <w:tcBorders>
              <w:top w:val="single" w:color="auto" w:sz="8" w:space="0"/>
              <w:left w:val="single" w:color="auto" w:sz="8" w:space="0"/>
              <w:bottom w:val="single" w:color="auto" w:sz="8" w:space="0"/>
              <w:right w:val="single" w:color="auto" w:sz="8" w:space="0"/>
            </w:tcBorders>
            <w:vAlign w:val="center"/>
          </w:tcPr>
          <w:p w14:paraId="4E9DEB7B">
            <w:pPr>
              <w:keepNext w:val="0"/>
              <w:keepLines w:val="0"/>
              <w:pageBreakBefore w:val="0"/>
              <w:widowControl/>
              <w:kinsoku/>
              <w:overflowPunct/>
              <w:topLinePunct w:val="0"/>
              <w:autoSpaceDE/>
              <w:autoSpaceDN/>
              <w:bidi w:val="0"/>
              <w:adjustRightInd/>
              <w:snapToGrid/>
              <w:spacing w:line="480" w:lineRule="exact"/>
              <w:ind w:left="63" w:leftChars="30" w:right="63" w:rightChars="30"/>
              <w:jc w:val="center"/>
              <w:textAlignment w:val="auto"/>
              <w:rPr>
                <w:rFonts w:hint="eastAsia"/>
                <w:color w:val="auto"/>
                <w:szCs w:val="21"/>
                <w:highlight w:val="none"/>
              </w:rPr>
            </w:pPr>
            <w:r>
              <w:rPr>
                <w:rFonts w:hint="eastAsia" w:ascii="宋体" w:hAnsi="宋体" w:eastAsia="宋体" w:cs="宋体"/>
                <w:b/>
                <w:bCs/>
                <w:color w:val="auto"/>
                <w:sz w:val="21"/>
                <w:szCs w:val="21"/>
                <w:highlight w:val="none"/>
              </w:rPr>
              <w:t>需要补充的其他内容</w:t>
            </w:r>
          </w:p>
        </w:tc>
      </w:tr>
      <w:tr w14:paraId="1140AE85">
        <w:tblPrEx>
          <w:tblCellMar>
            <w:top w:w="0" w:type="dxa"/>
            <w:left w:w="0" w:type="dxa"/>
            <w:bottom w:w="0" w:type="dxa"/>
            <w:right w:w="0" w:type="dxa"/>
          </w:tblCellMar>
        </w:tblPrEx>
        <w:trPr>
          <w:trHeight w:val="167" w:hRule="atLeast"/>
        </w:trPr>
        <w:tc>
          <w:tcPr>
            <w:tcW w:w="2100" w:type="dxa"/>
            <w:gridSpan w:val="2"/>
            <w:tcBorders>
              <w:top w:val="single" w:color="auto" w:sz="8" w:space="0"/>
              <w:left w:val="single" w:color="auto" w:sz="8" w:space="0"/>
              <w:bottom w:val="single" w:color="auto" w:sz="8" w:space="0"/>
              <w:right w:val="single" w:color="auto" w:sz="4" w:space="0"/>
            </w:tcBorders>
            <w:vAlign w:val="center"/>
          </w:tcPr>
          <w:p w14:paraId="741EEFE9">
            <w:pPr>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电子招标投标</w:t>
            </w:r>
          </w:p>
        </w:tc>
        <w:tc>
          <w:tcPr>
            <w:tcW w:w="7488" w:type="dxa"/>
            <w:tcBorders>
              <w:top w:val="single" w:color="auto" w:sz="8" w:space="0"/>
              <w:left w:val="single" w:color="auto" w:sz="4" w:space="0"/>
              <w:bottom w:val="single" w:color="auto" w:sz="8" w:space="0"/>
              <w:right w:val="single" w:color="auto" w:sz="8" w:space="0"/>
            </w:tcBorders>
            <w:vAlign w:val="center"/>
          </w:tcPr>
          <w:p w14:paraId="57193DD9">
            <w:pPr>
              <w:keepNext w:val="0"/>
              <w:keepLines w:val="0"/>
              <w:pageBreakBefore w:val="0"/>
              <w:kinsoku/>
              <w:overflowPunct/>
              <w:topLinePunct w:val="0"/>
              <w:autoSpaceDE/>
              <w:autoSpaceDN/>
              <w:bidi w:val="0"/>
              <w:adjustRightInd/>
              <w:snapToGrid/>
              <w:spacing w:line="480" w:lineRule="exact"/>
              <w:ind w:left="63" w:leftChars="30" w:right="63" w:rightChars="3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否；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是，具体要求：按招标文件规定。</w:t>
            </w:r>
          </w:p>
        </w:tc>
      </w:tr>
      <w:tr w14:paraId="53DD2192">
        <w:tblPrEx>
          <w:tblCellMar>
            <w:top w:w="0" w:type="dxa"/>
            <w:left w:w="0" w:type="dxa"/>
            <w:bottom w:w="0" w:type="dxa"/>
            <w:right w:w="0" w:type="dxa"/>
          </w:tblCellMar>
        </w:tblPrEx>
        <w:trPr>
          <w:trHeight w:val="167" w:hRule="atLeast"/>
        </w:trPr>
        <w:tc>
          <w:tcPr>
            <w:tcW w:w="2100" w:type="dxa"/>
            <w:gridSpan w:val="2"/>
            <w:tcBorders>
              <w:top w:val="single" w:color="auto" w:sz="8" w:space="0"/>
              <w:left w:val="single" w:color="auto" w:sz="8" w:space="0"/>
              <w:bottom w:val="single" w:color="auto" w:sz="8" w:space="0"/>
              <w:right w:val="single" w:color="auto" w:sz="4" w:space="0"/>
            </w:tcBorders>
            <w:vAlign w:val="center"/>
          </w:tcPr>
          <w:p w14:paraId="0E373B3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限制投标情形</w:t>
            </w:r>
          </w:p>
        </w:tc>
        <w:tc>
          <w:tcPr>
            <w:tcW w:w="7488" w:type="dxa"/>
            <w:tcBorders>
              <w:top w:val="single" w:color="auto" w:sz="8" w:space="0"/>
              <w:left w:val="single" w:color="auto" w:sz="4" w:space="0"/>
              <w:bottom w:val="single" w:color="auto" w:sz="8" w:space="0"/>
              <w:right w:val="single" w:color="auto" w:sz="8" w:space="0"/>
            </w:tcBorders>
            <w:vAlign w:val="center"/>
          </w:tcPr>
          <w:p w14:paraId="544763DD">
            <w:pPr>
              <w:keepNext w:val="0"/>
              <w:keepLines w:val="0"/>
              <w:pageBreakBefore w:val="0"/>
              <w:kinsoku/>
              <w:wordWrap/>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1.限制近两年内在承接我单位工程造价、审计结算等业务过程中，因工作疏漏对我单位产生不良影响的咨询公司参加投标。</w:t>
            </w:r>
          </w:p>
          <w:p w14:paraId="148E1483">
            <w:pPr>
              <w:keepNext w:val="0"/>
              <w:keepLines w:val="0"/>
              <w:pageBreakBefore w:val="0"/>
              <w:kinsoku/>
              <w:wordWrap/>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2.在滁州市重点工程管理处限制承揽业务期限内的企业不予参加。</w:t>
            </w:r>
          </w:p>
          <w:p w14:paraId="38C5E71F">
            <w:pPr>
              <w:keepNext w:val="0"/>
              <w:keepLines w:val="0"/>
              <w:pageBreakBefore w:val="0"/>
              <w:kinsoku/>
              <w:wordWrap/>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3.被市重点处列入“不良行为企业名单”和“暂停委托项目跟踪审计的工程造价咨询企业名单”的单位不得参加。</w:t>
            </w:r>
          </w:p>
          <w:p w14:paraId="34C31394">
            <w:pPr>
              <w:keepNext w:val="0"/>
              <w:keepLines w:val="0"/>
              <w:pageBreakBefore w:val="0"/>
              <w:kinsoku/>
              <w:wordWrap/>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4.本项目招标代理单位、清单控制价编制单位、监理单位及项目跟踪审计不得参加投标。</w:t>
            </w:r>
          </w:p>
        </w:tc>
      </w:tr>
      <w:tr w14:paraId="234C8D6C">
        <w:tblPrEx>
          <w:tblCellMar>
            <w:top w:w="0" w:type="dxa"/>
            <w:left w:w="0" w:type="dxa"/>
            <w:bottom w:w="0" w:type="dxa"/>
            <w:right w:w="0" w:type="dxa"/>
          </w:tblCellMar>
        </w:tblPrEx>
        <w:trPr>
          <w:trHeight w:val="167" w:hRule="atLeast"/>
        </w:trPr>
        <w:tc>
          <w:tcPr>
            <w:tcW w:w="2100" w:type="dxa"/>
            <w:gridSpan w:val="2"/>
            <w:tcBorders>
              <w:top w:val="single" w:color="auto" w:sz="8" w:space="0"/>
              <w:left w:val="single" w:color="auto" w:sz="8" w:space="0"/>
              <w:bottom w:val="single" w:color="auto" w:sz="8" w:space="0"/>
              <w:right w:val="single" w:color="auto" w:sz="4" w:space="0"/>
            </w:tcBorders>
            <w:vAlign w:val="center"/>
          </w:tcPr>
          <w:p w14:paraId="359C7E4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特别要求</w:t>
            </w:r>
          </w:p>
        </w:tc>
        <w:tc>
          <w:tcPr>
            <w:tcW w:w="7488" w:type="dxa"/>
            <w:tcBorders>
              <w:top w:val="single" w:color="auto" w:sz="8" w:space="0"/>
              <w:left w:val="single" w:color="auto" w:sz="4" w:space="0"/>
              <w:bottom w:val="single" w:color="auto" w:sz="8" w:space="0"/>
              <w:right w:val="single" w:color="auto" w:sz="8" w:space="0"/>
            </w:tcBorders>
            <w:vAlign w:val="center"/>
          </w:tcPr>
          <w:p w14:paraId="4E0E6A65">
            <w:pPr>
              <w:keepNext w:val="0"/>
              <w:keepLines w:val="0"/>
              <w:pageBreakBefore w:val="0"/>
              <w:kinsoku/>
              <w:wordWrap/>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1、项目建设期间，相关部门将对跟踪审计工作进行不定期检查，如发现有不符合《跟踪审计委托协议》相关工作要求的行为，将按照约定给予相应的处罚。</w:t>
            </w:r>
          </w:p>
          <w:p w14:paraId="64C927B7">
            <w:pPr>
              <w:keepNext w:val="0"/>
              <w:keepLines w:val="0"/>
              <w:pageBreakBefore w:val="0"/>
              <w:kinsoku/>
              <w:wordWrap/>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2、本项目执行《工程造价咨询服务管理办法》中相关规定</w:t>
            </w:r>
            <w:r>
              <w:rPr>
                <w:rFonts w:hint="eastAsia" w:ascii="宋体" w:hAnsi="宋体" w:cs="宋体"/>
                <w:color w:val="auto"/>
                <w:kern w:val="0"/>
                <w:sz w:val="21"/>
                <w:szCs w:val="21"/>
                <w:highlight w:val="none"/>
                <w:lang w:val="en-US" w:eastAsia="zh-CN"/>
              </w:rPr>
              <w:t>。</w:t>
            </w:r>
          </w:p>
          <w:p w14:paraId="61EA3B42">
            <w:pPr>
              <w:keepNext w:val="0"/>
              <w:keepLines w:val="0"/>
              <w:pageBreakBefore w:val="0"/>
              <w:kinsoku/>
              <w:wordWrap/>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3、本项目结算不支持付款给分公司。</w:t>
            </w:r>
          </w:p>
          <w:p w14:paraId="45103D70">
            <w:pPr>
              <w:keepNext w:val="0"/>
              <w:keepLines w:val="0"/>
              <w:pageBreakBefore w:val="0"/>
              <w:kinsoku/>
              <w:wordWrap/>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中标单位项目组人员变更，变更后人员必须满足本项目招标要求。由中标单位向综合计划科提出申请并提供相应证明，由中标单位向业主单位提出申请并提供相应证明，业主单位会商提出意见，报业主单位领导批准后予以备案。</w:t>
            </w:r>
          </w:p>
          <w:p w14:paraId="0599FC0E">
            <w:pPr>
              <w:keepNext w:val="0"/>
              <w:keepLines w:val="0"/>
              <w:pageBreakBefore w:val="0"/>
              <w:kinsoku/>
              <w:wordWrap/>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负责人因以下原因变更不予处罚：①亡故；②重病（或重伤）三个月以上，不能履行职责；③受到刑事或行政处罚，不能胜任；④犯罪被羁押或判刑；⑤被责令停止职业资格。其他原因，造价企业须缴纳2万元违约金。</w:t>
            </w:r>
          </w:p>
        </w:tc>
      </w:tr>
      <w:tr w14:paraId="6E099D79">
        <w:tblPrEx>
          <w:tblCellMar>
            <w:top w:w="0" w:type="dxa"/>
            <w:left w:w="0" w:type="dxa"/>
            <w:bottom w:w="0" w:type="dxa"/>
            <w:right w:w="0" w:type="dxa"/>
          </w:tblCellMar>
        </w:tblPrEx>
        <w:trPr>
          <w:trHeight w:val="167" w:hRule="atLeast"/>
        </w:trPr>
        <w:tc>
          <w:tcPr>
            <w:tcW w:w="2100" w:type="dxa"/>
            <w:gridSpan w:val="2"/>
            <w:tcBorders>
              <w:top w:val="single" w:color="auto" w:sz="8" w:space="0"/>
              <w:left w:val="single" w:color="auto" w:sz="8" w:space="0"/>
              <w:bottom w:val="single" w:color="auto" w:sz="8" w:space="0"/>
              <w:right w:val="single" w:color="auto" w:sz="4" w:space="0"/>
            </w:tcBorders>
            <w:vAlign w:val="center"/>
          </w:tcPr>
          <w:p w14:paraId="70D745D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付款方式</w:t>
            </w:r>
          </w:p>
        </w:tc>
        <w:tc>
          <w:tcPr>
            <w:tcW w:w="7488" w:type="dxa"/>
            <w:tcBorders>
              <w:top w:val="single" w:color="auto" w:sz="8" w:space="0"/>
              <w:left w:val="single" w:color="auto" w:sz="4" w:space="0"/>
              <w:bottom w:val="single" w:color="auto" w:sz="8" w:space="0"/>
              <w:right w:val="single" w:color="auto" w:sz="8" w:space="0"/>
            </w:tcBorders>
            <w:vAlign w:val="center"/>
          </w:tcPr>
          <w:p w14:paraId="67DB5D0C">
            <w:pPr>
              <w:keepNext w:val="0"/>
              <w:keepLines w:val="0"/>
              <w:pageBreakBefore w:val="0"/>
              <w:kinsoku/>
              <w:wordWrap/>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出具审核报告，交付招标人初审确认，报经招标人备案审查通过后，按照招标人审查备案金额结算支付审计服务费用。（注：发包人在政府资金调度会批准且发票送达后完成支付）。</w:t>
            </w:r>
          </w:p>
        </w:tc>
      </w:tr>
      <w:tr w14:paraId="25B900FF">
        <w:tblPrEx>
          <w:tblCellMar>
            <w:top w:w="0" w:type="dxa"/>
            <w:left w:w="0" w:type="dxa"/>
            <w:bottom w:w="0" w:type="dxa"/>
            <w:right w:w="0" w:type="dxa"/>
          </w:tblCellMar>
        </w:tblPrEx>
        <w:trPr>
          <w:trHeight w:val="167" w:hRule="atLeast"/>
        </w:trPr>
        <w:tc>
          <w:tcPr>
            <w:tcW w:w="2100" w:type="dxa"/>
            <w:gridSpan w:val="2"/>
            <w:tcBorders>
              <w:top w:val="single" w:color="auto" w:sz="8" w:space="0"/>
              <w:left w:val="single" w:color="auto" w:sz="8" w:space="0"/>
              <w:bottom w:val="single" w:color="auto" w:sz="8" w:space="0"/>
              <w:right w:val="single" w:color="auto" w:sz="4" w:space="0"/>
            </w:tcBorders>
            <w:vAlign w:val="center"/>
          </w:tcPr>
          <w:p w14:paraId="5CE4694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招标代理费及专家评审费</w:t>
            </w:r>
          </w:p>
        </w:tc>
        <w:tc>
          <w:tcPr>
            <w:tcW w:w="7488" w:type="dxa"/>
            <w:tcBorders>
              <w:top w:val="single" w:color="auto" w:sz="8" w:space="0"/>
              <w:left w:val="single" w:color="auto" w:sz="4" w:space="0"/>
              <w:bottom w:val="single" w:color="auto" w:sz="8" w:space="0"/>
              <w:right w:val="single" w:color="auto" w:sz="8" w:space="0"/>
            </w:tcBorders>
            <w:vAlign w:val="center"/>
          </w:tcPr>
          <w:p w14:paraId="63D232A1">
            <w:pPr>
              <w:keepNext w:val="0"/>
              <w:keepLines w:val="0"/>
              <w:pageBreakBefore w:val="0"/>
              <w:kinsoku/>
              <w:wordWrap/>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本项目招标代理服务费用0元，专家评审费另计（最终以实际发生为准，按实计收），中标单位在领取中标通知书前一次性支付</w:t>
            </w:r>
            <w:r>
              <w:rPr>
                <w:rFonts w:hint="eastAsia" w:ascii="宋体" w:hAnsi="宋体" w:eastAsia="宋体" w:cs="宋体"/>
                <w:color w:val="auto"/>
                <w:kern w:val="0"/>
                <w:sz w:val="21"/>
                <w:szCs w:val="21"/>
                <w:highlight w:val="none"/>
                <w:lang w:val="en-US" w:eastAsia="zh-CN"/>
              </w:rPr>
              <w:t>给代理公司。</w:t>
            </w:r>
          </w:p>
        </w:tc>
      </w:tr>
      <w:tr w14:paraId="6C5E33CA">
        <w:tblPrEx>
          <w:tblCellMar>
            <w:top w:w="0" w:type="dxa"/>
            <w:left w:w="0" w:type="dxa"/>
            <w:bottom w:w="0" w:type="dxa"/>
            <w:right w:w="0" w:type="dxa"/>
          </w:tblCellMar>
        </w:tblPrEx>
        <w:trPr>
          <w:trHeight w:val="167" w:hRule="atLeast"/>
        </w:trPr>
        <w:tc>
          <w:tcPr>
            <w:tcW w:w="2100" w:type="dxa"/>
            <w:gridSpan w:val="2"/>
            <w:tcBorders>
              <w:top w:val="single" w:color="auto" w:sz="8" w:space="0"/>
              <w:left w:val="single" w:color="auto" w:sz="8" w:space="0"/>
              <w:bottom w:val="single" w:color="auto" w:sz="8" w:space="0"/>
              <w:right w:val="single" w:color="auto" w:sz="4" w:space="0"/>
            </w:tcBorders>
            <w:vAlign w:val="center"/>
          </w:tcPr>
          <w:p w14:paraId="7DBB6D63">
            <w:pPr>
              <w:widowControl/>
              <w:spacing w:line="360" w:lineRule="auto"/>
              <w:jc w:val="center"/>
              <w:rPr>
                <w:rFonts w:hint="eastAsia" w:ascii="宋体" w:hAnsi="宋体" w:cs="宋体"/>
                <w:b/>
                <w:bCs/>
                <w:color w:val="auto"/>
                <w:kern w:val="0"/>
                <w:sz w:val="21"/>
                <w:szCs w:val="21"/>
                <w:highlight w:val="none"/>
                <w:lang w:val="en-US" w:eastAsia="zh-CN"/>
              </w:rPr>
            </w:pPr>
            <w:r>
              <w:rPr>
                <w:rFonts w:hint="eastAsia" w:ascii="宋体" w:hAnsi="宋体" w:cs="宋体"/>
                <w:color w:val="auto"/>
                <w:szCs w:val="21"/>
                <w:highlight w:val="none"/>
              </w:rPr>
              <w:t>评标过程中的澄清、说明或补正</w:t>
            </w:r>
          </w:p>
        </w:tc>
        <w:tc>
          <w:tcPr>
            <w:tcW w:w="7488" w:type="dxa"/>
            <w:tcBorders>
              <w:top w:val="single" w:color="auto" w:sz="8" w:space="0"/>
              <w:left w:val="single" w:color="auto" w:sz="4" w:space="0"/>
              <w:bottom w:val="single" w:color="auto" w:sz="8" w:space="0"/>
              <w:right w:val="single" w:color="auto" w:sz="8" w:space="0"/>
            </w:tcBorders>
            <w:vAlign w:val="center"/>
          </w:tcPr>
          <w:p w14:paraId="22C167F8">
            <w:pPr>
              <w:keepNext w:val="0"/>
              <w:keepLines w:val="0"/>
              <w:pageBreakBefore w:val="0"/>
              <w:widowControl/>
              <w:kinsoku/>
              <w:wordWrap/>
              <w:overflowPunct/>
              <w:topLinePunct w:val="0"/>
              <w:autoSpaceDE/>
              <w:autoSpaceDN/>
              <w:bidi w:val="0"/>
              <w:adjustRightInd/>
              <w:snapToGrid/>
              <w:spacing w:line="480" w:lineRule="exact"/>
              <w:ind w:left="63" w:leftChars="30" w:right="63" w:rightChars="3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rPr>
              <w:t>1</w:t>
            </w:r>
            <w:r>
              <w:rPr>
                <w:rFonts w:hint="eastAsia" w:ascii="宋体" w:hAnsi="宋体" w:cs="宋体"/>
                <w:color w:val="auto"/>
                <w:szCs w:val="21"/>
                <w:highlight w:val="none"/>
              </w:rPr>
              <w:t>）评标委员会通过</w:t>
            </w:r>
            <w:r>
              <w:rPr>
                <w:rFonts w:hint="eastAsia" w:ascii="宋体" w:hAnsi="宋体" w:cs="宋体"/>
                <w:color w:val="auto"/>
                <w:szCs w:val="21"/>
                <w:highlight w:val="none"/>
                <w:lang w:val="en-US"/>
              </w:rPr>
              <w:t>网上招投标</w:t>
            </w:r>
            <w:r>
              <w:rPr>
                <w:rFonts w:hint="eastAsia" w:ascii="宋体" w:hAnsi="宋体" w:cs="宋体"/>
                <w:color w:val="auto"/>
                <w:szCs w:val="21"/>
                <w:highlight w:val="none"/>
              </w:rPr>
              <w:t>系统将需要澄清、说明或补正的内容以询标函的形式发送给投标人，投标人应安排专人登录</w:t>
            </w:r>
            <w:r>
              <w:rPr>
                <w:rFonts w:hint="eastAsia" w:ascii="宋体" w:hAnsi="宋体" w:cs="宋体"/>
                <w:color w:val="auto"/>
                <w:szCs w:val="21"/>
                <w:highlight w:val="none"/>
                <w:lang w:val="en-US"/>
              </w:rPr>
              <w:t>网上招投标</w:t>
            </w:r>
            <w:r>
              <w:rPr>
                <w:rFonts w:hint="eastAsia" w:ascii="宋体" w:hAnsi="宋体" w:cs="宋体"/>
                <w:color w:val="auto"/>
                <w:szCs w:val="21"/>
                <w:highlight w:val="none"/>
              </w:rPr>
              <w:t>系统并保持在线状态，以便及时接收评标委员会可能发出的询标函。</w:t>
            </w:r>
          </w:p>
          <w:p w14:paraId="6C77080F">
            <w:pPr>
              <w:keepNext w:val="0"/>
              <w:keepLines w:val="0"/>
              <w:pageBreakBefore w:val="0"/>
              <w:widowControl/>
              <w:kinsoku/>
              <w:wordWrap/>
              <w:overflowPunct/>
              <w:topLinePunct w:val="0"/>
              <w:autoSpaceDE/>
              <w:autoSpaceDN/>
              <w:bidi w:val="0"/>
              <w:adjustRightInd/>
              <w:snapToGrid/>
              <w:spacing w:line="480" w:lineRule="exact"/>
              <w:ind w:left="63" w:leftChars="30" w:right="63" w:rightChars="3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rPr>
              <w:t>2</w:t>
            </w:r>
            <w:r>
              <w:rPr>
                <w:rFonts w:hint="eastAsia" w:ascii="宋体" w:hAnsi="宋体" w:cs="宋体"/>
                <w:color w:val="auto"/>
                <w:szCs w:val="21"/>
                <w:highlight w:val="none"/>
              </w:rPr>
              <w:t>）因投标人未登录</w:t>
            </w:r>
            <w:r>
              <w:rPr>
                <w:rFonts w:hint="eastAsia" w:ascii="宋体" w:hAnsi="宋体" w:cs="宋体"/>
                <w:color w:val="auto"/>
                <w:szCs w:val="21"/>
                <w:highlight w:val="none"/>
                <w:lang w:val="en-US"/>
              </w:rPr>
              <w:t>网上招投标</w:t>
            </w:r>
            <w:r>
              <w:rPr>
                <w:rFonts w:hint="eastAsia" w:ascii="宋体" w:hAnsi="宋体" w:cs="宋体"/>
                <w:color w:val="auto"/>
                <w:szCs w:val="21"/>
                <w:highlight w:val="none"/>
              </w:rPr>
              <w:t>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6D96205C">
        <w:tblPrEx>
          <w:tblCellMar>
            <w:top w:w="0" w:type="dxa"/>
            <w:left w:w="0" w:type="dxa"/>
            <w:bottom w:w="0" w:type="dxa"/>
            <w:right w:w="0" w:type="dxa"/>
          </w:tblCellMar>
        </w:tblPrEx>
        <w:trPr>
          <w:trHeight w:val="167" w:hRule="atLeast"/>
        </w:trPr>
        <w:tc>
          <w:tcPr>
            <w:tcW w:w="2100" w:type="dxa"/>
            <w:gridSpan w:val="2"/>
            <w:tcBorders>
              <w:top w:val="single" w:color="auto" w:sz="8" w:space="0"/>
              <w:left w:val="single" w:color="auto" w:sz="8" w:space="0"/>
              <w:bottom w:val="single" w:color="auto" w:sz="8" w:space="0"/>
              <w:right w:val="single" w:color="auto" w:sz="4" w:space="0"/>
            </w:tcBorders>
            <w:vAlign w:val="center"/>
          </w:tcPr>
          <w:p w14:paraId="52D58FFE">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其他说明</w:t>
            </w:r>
          </w:p>
        </w:tc>
        <w:tc>
          <w:tcPr>
            <w:tcW w:w="7488" w:type="dxa"/>
            <w:tcBorders>
              <w:top w:val="single" w:color="auto" w:sz="8" w:space="0"/>
              <w:left w:val="single" w:color="auto" w:sz="4" w:space="0"/>
              <w:bottom w:val="single" w:color="auto" w:sz="8" w:space="0"/>
              <w:right w:val="single" w:color="auto" w:sz="8" w:space="0"/>
            </w:tcBorders>
            <w:vAlign w:val="center"/>
          </w:tcPr>
          <w:p w14:paraId="09DDD98E">
            <w:pPr>
              <w:keepNext w:val="0"/>
              <w:keepLines w:val="0"/>
              <w:pageBreakBefore w:val="0"/>
              <w:widowControl/>
              <w:kinsoku/>
              <w:wordWrap/>
              <w:overflowPunct/>
              <w:topLinePunct w:val="0"/>
              <w:autoSpaceDE/>
              <w:autoSpaceDN/>
              <w:bidi w:val="0"/>
              <w:adjustRightInd/>
              <w:snapToGrid/>
              <w:spacing w:line="480" w:lineRule="exact"/>
              <w:ind w:left="63" w:leftChars="30" w:right="63" w:rightChars="3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本招标文件前后条款若有不一致之处，在澄清答疑时又未作出明确规定时，各投标人的投标文件只要满足其中任一条款，均视为对本招标文件的响应。</w:t>
            </w:r>
          </w:p>
          <w:p w14:paraId="0C157CB5">
            <w:pPr>
              <w:keepNext w:val="0"/>
              <w:keepLines w:val="0"/>
              <w:pageBreakBefore w:val="0"/>
              <w:widowControl/>
              <w:kinsoku/>
              <w:wordWrap/>
              <w:overflowPunct/>
              <w:topLinePunct w:val="0"/>
              <w:autoSpaceDE/>
              <w:autoSpaceDN/>
              <w:bidi w:val="0"/>
              <w:adjustRightInd/>
              <w:snapToGrid/>
              <w:spacing w:line="480" w:lineRule="exact"/>
              <w:ind w:left="63" w:leftChars="30" w:right="63" w:rightChars="3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系统中提供的表格与招标文件中不一致时，以招标文件中提供的表格格式为准。</w:t>
            </w:r>
          </w:p>
          <w:p w14:paraId="18484EE2">
            <w:pPr>
              <w:keepNext w:val="0"/>
              <w:keepLines w:val="0"/>
              <w:pageBreakBefore w:val="0"/>
              <w:widowControl/>
              <w:kinsoku/>
              <w:wordWrap/>
              <w:overflowPunct/>
              <w:topLinePunct w:val="0"/>
              <w:autoSpaceDE/>
              <w:autoSpaceDN/>
              <w:bidi w:val="0"/>
              <w:adjustRightInd/>
              <w:snapToGrid/>
              <w:spacing w:line="480" w:lineRule="exact"/>
              <w:ind w:left="63" w:leftChars="30" w:right="63" w:rightChars="3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本项目招标公告与本招标文件不一致之处，以本招标文件为准。</w:t>
            </w:r>
          </w:p>
          <w:p w14:paraId="5A45D855">
            <w:pPr>
              <w:keepNext w:val="0"/>
              <w:keepLines w:val="0"/>
              <w:pageBreakBefore w:val="0"/>
              <w:widowControl/>
              <w:kinsoku/>
              <w:wordWrap/>
              <w:overflowPunct/>
              <w:topLinePunct w:val="0"/>
              <w:autoSpaceDE/>
              <w:autoSpaceDN/>
              <w:bidi w:val="0"/>
              <w:adjustRightInd/>
              <w:snapToGrid/>
              <w:spacing w:line="480" w:lineRule="exact"/>
              <w:ind w:left="63" w:leftChars="30" w:right="63" w:rightChars="3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本文件的最终解释权归招标人、招标代理机构所有。</w:t>
            </w:r>
          </w:p>
        </w:tc>
      </w:tr>
    </w:tbl>
    <w:p w14:paraId="7BF8D4D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highlight w:val="none"/>
        </w:rPr>
      </w:pPr>
    </w:p>
    <w:p w14:paraId="26284F2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bCs/>
          <w:color w:val="auto"/>
          <w:sz w:val="28"/>
          <w:highlight w:val="none"/>
        </w:rPr>
      </w:pPr>
      <w:bookmarkStart w:id="44" w:name="_Toc13663"/>
      <w:bookmarkStart w:id="45" w:name="_Toc515"/>
      <w:r>
        <w:rPr>
          <w:rFonts w:hint="eastAsia" w:ascii="宋体" w:hAnsi="宋体" w:eastAsia="宋体" w:cs="宋体"/>
          <w:b/>
          <w:bCs/>
          <w:color w:val="auto"/>
          <w:sz w:val="28"/>
          <w:highlight w:val="none"/>
        </w:rPr>
        <w:br w:type="page"/>
      </w:r>
    </w:p>
    <w:p w14:paraId="6094F76D">
      <w:pPr>
        <w:spacing w:line="400" w:lineRule="exact"/>
        <w:jc w:val="center"/>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一、总  则</w:t>
      </w:r>
      <w:bookmarkEnd w:id="44"/>
      <w:bookmarkEnd w:id="45"/>
    </w:p>
    <w:p w14:paraId="5FB33392">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w:t>
      </w:r>
    </w:p>
    <w:p w14:paraId="53A8EFA9">
      <w:pPr>
        <w:keepNext w:val="0"/>
        <w:keepLines w:val="0"/>
        <w:pageBreakBefore w:val="0"/>
        <w:widowControl w:val="0"/>
        <w:kinsoku/>
        <w:wordWrap w:val="0"/>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1.1</w:t>
      </w:r>
      <w:r>
        <w:rPr>
          <w:rFonts w:hint="eastAsia" w:ascii="宋体" w:hAnsi="宋体" w:eastAsia="宋体" w:cs="宋体"/>
          <w:color w:val="auto"/>
          <w:sz w:val="21"/>
          <w:szCs w:val="21"/>
          <w:highlight w:val="none"/>
          <w:u w:val="none"/>
          <w:lang w:val="en-US" w:eastAsia="zh-CN"/>
        </w:rPr>
        <w:t>项目</w:t>
      </w:r>
      <w:r>
        <w:rPr>
          <w:rFonts w:hint="eastAsia" w:ascii="宋体" w:hAnsi="宋体" w:eastAsia="宋体" w:cs="宋体"/>
          <w:color w:val="auto"/>
          <w:sz w:val="21"/>
          <w:szCs w:val="21"/>
          <w:highlight w:val="none"/>
          <w:u w:val="none"/>
        </w:rPr>
        <w:t>名称：</w:t>
      </w:r>
      <w:r>
        <w:rPr>
          <w:rFonts w:hint="eastAsia" w:ascii="宋体" w:hAnsi="宋体" w:cs="宋体"/>
          <w:color w:val="auto"/>
          <w:kern w:val="0"/>
          <w:sz w:val="21"/>
          <w:szCs w:val="21"/>
          <w:highlight w:val="none"/>
          <w:u w:val="none"/>
          <w:lang w:val="en-US" w:eastAsia="zh-CN"/>
        </w:rPr>
        <w:t>2024年市政基础设施中修、安保和养护工程桥梁养护维修项目结算复核服务</w:t>
      </w:r>
    </w:p>
    <w:p w14:paraId="26F9FD99">
      <w:pPr>
        <w:keepNext w:val="0"/>
        <w:keepLines w:val="0"/>
        <w:pageBreakBefore w:val="0"/>
        <w:widowControl w:val="0"/>
        <w:kinsoku/>
        <w:wordWrap/>
        <w:overflowPunct/>
        <w:topLinePunct w:val="0"/>
        <w:autoSpaceDE/>
        <w:autoSpaceDN/>
        <w:bidi w:val="0"/>
        <w:adjustRightInd/>
        <w:snapToGrid/>
        <w:spacing w:line="480" w:lineRule="exact"/>
        <w:ind w:left="1050" w:leftChars="0" w:hanging="1050" w:hangingChars="5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工程地址：滁州市</w:t>
      </w:r>
      <w:r>
        <w:rPr>
          <w:rFonts w:hint="eastAsia" w:ascii="宋体" w:hAnsi="宋体" w:eastAsia="宋体" w:cs="宋体"/>
          <w:color w:val="auto"/>
          <w:sz w:val="21"/>
          <w:szCs w:val="21"/>
          <w:highlight w:val="none"/>
          <w:u w:val="none"/>
          <w:lang w:val="en-US" w:eastAsia="zh-CN"/>
        </w:rPr>
        <w:t>内</w:t>
      </w:r>
    </w:p>
    <w:p w14:paraId="4E7F625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招标</w:t>
      </w:r>
      <w:r>
        <w:rPr>
          <w:rFonts w:hint="eastAsia" w:ascii="宋体" w:hAnsi="宋体" w:eastAsia="宋体" w:cs="宋体"/>
          <w:color w:val="auto"/>
          <w:sz w:val="21"/>
          <w:szCs w:val="21"/>
          <w:highlight w:val="none"/>
          <w:u w:val="none"/>
        </w:rPr>
        <w:t>单位：</w:t>
      </w:r>
      <w:r>
        <w:rPr>
          <w:rFonts w:hint="eastAsia" w:ascii="宋体" w:hAnsi="宋体" w:eastAsia="宋体" w:cs="宋体"/>
          <w:color w:val="auto"/>
          <w:sz w:val="21"/>
          <w:szCs w:val="21"/>
          <w:highlight w:val="none"/>
          <w:u w:val="none"/>
          <w:lang w:val="en-US" w:eastAsia="zh-CN"/>
        </w:rPr>
        <w:t>滁州市市政设施管理中心</w:t>
      </w:r>
      <w:r>
        <w:rPr>
          <w:rFonts w:hint="eastAsia" w:ascii="宋体" w:hAnsi="宋体" w:eastAsia="宋体" w:cs="宋体"/>
          <w:color w:val="auto"/>
          <w:sz w:val="21"/>
          <w:szCs w:val="21"/>
          <w:highlight w:val="none"/>
          <w:u w:val="none"/>
          <w:lang w:eastAsia="zh-CN"/>
        </w:rPr>
        <w:t xml:space="preserve"> </w:t>
      </w:r>
    </w:p>
    <w:p w14:paraId="2F9C622D">
      <w:pPr>
        <w:keepNext w:val="0"/>
        <w:keepLines w:val="0"/>
        <w:pageBreakBefore w:val="0"/>
        <w:widowControl w:val="0"/>
        <w:kinsoku/>
        <w:wordWrap w:val="0"/>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sz w:val="21"/>
          <w:szCs w:val="21"/>
          <w:highlight w:val="none"/>
          <w:u w:val="none"/>
        </w:rPr>
        <w:t>1.2本工程建设规模：</w:t>
      </w:r>
      <w:r>
        <w:rPr>
          <w:rFonts w:hint="eastAsia" w:ascii="宋体" w:hAnsi="宋体" w:cs="宋体"/>
          <w:color w:val="auto"/>
          <w:sz w:val="21"/>
          <w:szCs w:val="21"/>
          <w:highlight w:val="none"/>
          <w:u w:val="none"/>
          <w:lang w:val="en-US" w:eastAsia="zh-CN"/>
        </w:rPr>
        <w:t>2024年市政基础设施中修、安保和养护工程桥梁养护维修项目</w:t>
      </w:r>
      <w:r>
        <w:rPr>
          <w:rFonts w:hint="eastAsia" w:ascii="宋体" w:hAnsi="宋体" w:eastAsia="宋体" w:cs="宋体"/>
          <w:color w:val="auto"/>
          <w:sz w:val="21"/>
          <w:szCs w:val="21"/>
          <w:highlight w:val="none"/>
          <w:u w:val="none"/>
          <w:lang w:val="en-US" w:eastAsia="zh-CN"/>
        </w:rPr>
        <w:t>，</w:t>
      </w:r>
      <w:r>
        <w:rPr>
          <w:rFonts w:hint="eastAsia" w:ascii="宋体" w:hAnsi="宋体" w:cs="宋体"/>
          <w:color w:val="auto"/>
          <w:sz w:val="21"/>
          <w:szCs w:val="21"/>
          <w:highlight w:val="none"/>
          <w:u w:val="none"/>
          <w:lang w:val="en-US" w:eastAsia="zh-CN"/>
        </w:rPr>
        <w:t>合同价款约200万元，服务费用约0.74万元</w:t>
      </w:r>
      <w:r>
        <w:rPr>
          <w:rFonts w:hint="eastAsia" w:ascii="宋体" w:hAnsi="宋体" w:eastAsia="宋体" w:cs="宋体"/>
          <w:color w:val="auto"/>
          <w:kern w:val="0"/>
          <w:sz w:val="21"/>
          <w:szCs w:val="21"/>
          <w:highlight w:val="none"/>
          <w:u w:val="none"/>
          <w:lang w:val="en-US" w:eastAsia="zh-CN"/>
        </w:rPr>
        <w:t>。</w:t>
      </w:r>
    </w:p>
    <w:p w14:paraId="3FC6757D">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2. </w:t>
      </w:r>
      <w:r>
        <w:rPr>
          <w:rFonts w:hint="eastAsia" w:ascii="宋体" w:hAnsi="宋体" w:eastAsia="宋体" w:cs="宋体"/>
          <w:color w:val="auto"/>
          <w:sz w:val="21"/>
          <w:szCs w:val="21"/>
          <w:highlight w:val="none"/>
          <w:lang w:val="en-US" w:eastAsia="zh-CN"/>
        </w:rPr>
        <w:t>服务需求</w:t>
      </w:r>
    </w:p>
    <w:p w14:paraId="5831824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2B98AD9D">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3.承包方式</w:t>
      </w:r>
    </w:p>
    <w:p w14:paraId="0330481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3.1承包方式：</w:t>
      </w:r>
      <w:r>
        <w:rPr>
          <w:rFonts w:hint="eastAsia" w:ascii="宋体" w:hAnsi="宋体" w:eastAsia="宋体" w:cs="宋体"/>
          <w:color w:val="auto"/>
          <w:sz w:val="21"/>
          <w:szCs w:val="21"/>
          <w:highlight w:val="none"/>
          <w:lang w:val="en-US" w:eastAsia="zh-CN"/>
        </w:rPr>
        <w:t>固定总价</w:t>
      </w:r>
      <w:r>
        <w:rPr>
          <w:rFonts w:hint="eastAsia" w:ascii="宋体" w:hAnsi="宋体" w:eastAsia="宋体" w:cs="宋体"/>
          <w:color w:val="auto"/>
          <w:sz w:val="21"/>
          <w:szCs w:val="21"/>
          <w:highlight w:val="none"/>
        </w:rPr>
        <w:t>。</w:t>
      </w:r>
    </w:p>
    <w:p w14:paraId="74D9A58D">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p>
    <w:p w14:paraId="1F7FF8E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4.1</w:t>
      </w:r>
      <w:r>
        <w:rPr>
          <w:rFonts w:hint="eastAsia" w:ascii="宋体" w:hAnsi="宋体" w:eastAsia="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kern w:val="0"/>
          <w:sz w:val="21"/>
          <w:szCs w:val="21"/>
          <w:highlight w:val="none"/>
        </w:rPr>
        <w:t>。</w:t>
      </w:r>
    </w:p>
    <w:p w14:paraId="577796E7">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5.质量要求</w:t>
      </w:r>
    </w:p>
    <w:p w14:paraId="2B5113F0">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sz w:val="21"/>
          <w:szCs w:val="21"/>
          <w:highlight w:val="none"/>
        </w:rPr>
        <w:t>。</w:t>
      </w:r>
    </w:p>
    <w:p w14:paraId="58FF2223">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6.投标人资质等级要求</w:t>
      </w:r>
    </w:p>
    <w:p w14:paraId="5EB78DEC">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48D02FB3">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7.资金来源</w:t>
      </w:r>
    </w:p>
    <w:p w14:paraId="6A7ADDF9">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7.1资金来源：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财政</w:t>
      </w:r>
      <w:r>
        <w:rPr>
          <w:rFonts w:hint="eastAsia" w:ascii="宋体" w:hAnsi="宋体" w:eastAsia="宋体" w:cs="宋体"/>
          <w:color w:val="auto"/>
          <w:sz w:val="21"/>
          <w:szCs w:val="21"/>
          <w:highlight w:val="none"/>
          <w:u w:val="single"/>
        </w:rPr>
        <w:t xml:space="preserve">资金 </w:t>
      </w:r>
      <w:r>
        <w:rPr>
          <w:rFonts w:hint="eastAsia" w:ascii="宋体" w:hAnsi="宋体" w:eastAsia="宋体" w:cs="宋体"/>
          <w:color w:val="auto"/>
          <w:sz w:val="21"/>
          <w:szCs w:val="21"/>
          <w:highlight w:val="none"/>
        </w:rPr>
        <w:t>；资金已落实。</w:t>
      </w:r>
    </w:p>
    <w:p w14:paraId="13200DD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8.标段划分</w:t>
      </w:r>
    </w:p>
    <w:p w14:paraId="5ABC7BDB">
      <w:pPr>
        <w:keepNext w:val="0"/>
        <w:keepLines w:val="0"/>
        <w:pageBreakBefore w:val="0"/>
        <w:widowControl w:val="0"/>
        <w:kinsoku/>
        <w:wordWrap/>
        <w:overflowPunct/>
        <w:topLinePunct w:val="0"/>
        <w:autoSpaceDE/>
        <w:autoSpaceDN/>
        <w:bidi w:val="0"/>
        <w:adjustRightInd/>
        <w:snapToGrid/>
        <w:spacing w:line="480" w:lineRule="exact"/>
        <w:ind w:right="-155" w:rightChars="-7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8.1该工程划分：</w:t>
      </w:r>
      <w:r>
        <w:rPr>
          <w:rFonts w:hint="eastAsia" w:ascii="宋体" w:hAnsi="宋体" w:eastAsia="宋体" w:cs="宋体"/>
          <w:color w:val="auto"/>
          <w:sz w:val="21"/>
          <w:szCs w:val="21"/>
          <w:highlight w:val="none"/>
          <w:u w:val="single"/>
        </w:rPr>
        <w:t xml:space="preserve"> 一 </w:t>
      </w:r>
      <w:r>
        <w:rPr>
          <w:rFonts w:hint="eastAsia" w:ascii="宋体" w:hAnsi="宋体" w:eastAsia="宋体" w:cs="宋体"/>
          <w:color w:val="auto"/>
          <w:sz w:val="21"/>
          <w:szCs w:val="21"/>
          <w:highlight w:val="none"/>
        </w:rPr>
        <w:t xml:space="preserve">个标段  </w:t>
      </w:r>
    </w:p>
    <w:p w14:paraId="7FDA44CE">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9.招标方式</w:t>
      </w:r>
    </w:p>
    <w:p w14:paraId="6DFAA1D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9.1本工程招标方式：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公开</w:t>
      </w:r>
      <w:r>
        <w:rPr>
          <w:rFonts w:hint="eastAsia" w:ascii="宋体" w:hAnsi="宋体" w:eastAsia="宋体" w:cs="宋体"/>
          <w:color w:val="auto"/>
          <w:sz w:val="21"/>
          <w:szCs w:val="21"/>
          <w:highlight w:val="none"/>
          <w:u w:val="single"/>
        </w:rPr>
        <w:t xml:space="preserve">招标 </w:t>
      </w:r>
      <w:r>
        <w:rPr>
          <w:rFonts w:hint="eastAsia" w:ascii="宋体" w:hAnsi="宋体" w:eastAsia="宋体" w:cs="宋体"/>
          <w:color w:val="auto"/>
          <w:sz w:val="21"/>
          <w:szCs w:val="21"/>
          <w:highlight w:val="none"/>
        </w:rPr>
        <w:t>。</w:t>
      </w:r>
    </w:p>
    <w:p w14:paraId="3F418DB0">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10.计价方式</w:t>
      </w:r>
    </w:p>
    <w:p w14:paraId="769602B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10.1本工程合同计价方式：</w:t>
      </w:r>
      <w:r>
        <w:rPr>
          <w:rFonts w:hint="eastAsia" w:ascii="宋体" w:hAnsi="宋体" w:eastAsia="宋体" w:cs="宋体"/>
          <w:color w:val="auto"/>
          <w:sz w:val="21"/>
          <w:szCs w:val="21"/>
          <w:highlight w:val="none"/>
          <w:u w:val="single"/>
        </w:rPr>
        <w:t>固定</w:t>
      </w:r>
      <w:r>
        <w:rPr>
          <w:rFonts w:hint="eastAsia" w:ascii="宋体" w:hAnsi="宋体" w:eastAsia="宋体" w:cs="宋体"/>
          <w:color w:val="auto"/>
          <w:sz w:val="21"/>
          <w:szCs w:val="21"/>
          <w:highlight w:val="none"/>
          <w:u w:val="single"/>
          <w:lang w:val="en-US" w:eastAsia="zh-CN"/>
        </w:rPr>
        <w:t>费率</w:t>
      </w:r>
      <w:r>
        <w:rPr>
          <w:rFonts w:hint="eastAsia" w:ascii="宋体" w:hAnsi="宋体" w:eastAsia="宋体" w:cs="宋体"/>
          <w:color w:val="auto"/>
          <w:sz w:val="21"/>
          <w:szCs w:val="21"/>
          <w:highlight w:val="none"/>
        </w:rPr>
        <w:t>。</w:t>
      </w:r>
    </w:p>
    <w:p w14:paraId="446700BF">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11.评标办法</w:t>
      </w:r>
    </w:p>
    <w:p w14:paraId="5C11E0E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11.1本工程评标办法：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综合评估法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（详见第</w:t>
      </w:r>
      <w:r>
        <w:rPr>
          <w:rFonts w:hint="eastAsia" w:ascii="宋体" w:hAnsi="宋体" w:cs="宋体"/>
          <w:color w:val="auto"/>
          <w:sz w:val="21"/>
          <w:szCs w:val="21"/>
          <w:highlight w:val="none"/>
          <w:lang w:eastAsia="zh-CN"/>
        </w:rPr>
        <w:t>二</w:t>
      </w:r>
      <w:r>
        <w:rPr>
          <w:rFonts w:hint="eastAsia" w:ascii="宋体" w:hAnsi="宋体" w:eastAsia="宋体" w:cs="宋体"/>
          <w:color w:val="auto"/>
          <w:sz w:val="21"/>
          <w:szCs w:val="21"/>
          <w:highlight w:val="none"/>
        </w:rPr>
        <w:t>章评标办法）。</w:t>
      </w:r>
    </w:p>
    <w:p w14:paraId="13B7D934">
      <w:pPr>
        <w:spacing w:line="400" w:lineRule="exact"/>
        <w:jc w:val="center"/>
        <w:outlineLvl w:val="1"/>
        <w:rPr>
          <w:rFonts w:hint="eastAsia" w:ascii="宋体" w:hAnsi="宋体" w:eastAsia="宋体" w:cs="宋体"/>
          <w:b/>
          <w:bCs/>
          <w:color w:val="auto"/>
          <w:sz w:val="28"/>
          <w:highlight w:val="none"/>
        </w:rPr>
      </w:pPr>
      <w:bookmarkStart w:id="46" w:name="_Toc17301"/>
      <w:bookmarkStart w:id="47" w:name="_Toc29988"/>
    </w:p>
    <w:p w14:paraId="2DD47ABF">
      <w:pPr>
        <w:spacing w:line="400" w:lineRule="exact"/>
        <w:jc w:val="center"/>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二、招标文件</w:t>
      </w:r>
      <w:bookmarkEnd w:id="46"/>
      <w:bookmarkEnd w:id="47"/>
    </w:p>
    <w:p w14:paraId="62AC36E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12.招标文件的编制依据</w:t>
      </w:r>
    </w:p>
    <w:p w14:paraId="6640ED8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12.1根据相关法律法规和规章及部、省、市级规范性文件的规定，编制本招标文件。</w:t>
      </w:r>
    </w:p>
    <w:p w14:paraId="0059903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bCs/>
          <w:color w:val="auto"/>
          <w:sz w:val="21"/>
          <w:szCs w:val="21"/>
          <w:highlight w:val="none"/>
        </w:rPr>
        <w:t>招标文件的组成</w:t>
      </w:r>
    </w:p>
    <w:p w14:paraId="3FC2C94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13.1招标文件包括内容：</w:t>
      </w:r>
    </w:p>
    <w:p w14:paraId="27C5F634">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第一章  </w:t>
      </w:r>
      <w:r>
        <w:rPr>
          <w:rFonts w:hint="eastAsia" w:ascii="宋体" w:hAnsi="宋体" w:cs="宋体"/>
          <w:color w:val="auto"/>
          <w:sz w:val="21"/>
          <w:szCs w:val="21"/>
          <w:highlight w:val="none"/>
          <w:lang w:eastAsia="zh-CN"/>
        </w:rPr>
        <w:t>投标人须知</w:t>
      </w:r>
    </w:p>
    <w:p w14:paraId="3E882546">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第二章  </w:t>
      </w:r>
      <w:r>
        <w:rPr>
          <w:rFonts w:hint="eastAsia" w:ascii="宋体" w:hAnsi="宋体" w:eastAsia="宋体" w:cs="宋体"/>
          <w:color w:val="auto"/>
          <w:sz w:val="21"/>
          <w:szCs w:val="21"/>
          <w:highlight w:val="none"/>
          <w:lang w:val="en-US" w:eastAsia="zh-CN"/>
        </w:rPr>
        <w:t>评标办法</w:t>
      </w:r>
    </w:p>
    <w:p w14:paraId="091E054E">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合同条款</w:t>
      </w:r>
    </w:p>
    <w:p w14:paraId="5C6D9635">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章  投标文件格式</w:t>
      </w:r>
    </w:p>
    <w:p w14:paraId="3A70C4EA">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章  招标单位、招标代理机构对本招标文件的确认</w:t>
      </w:r>
    </w:p>
    <w:p w14:paraId="426A67F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r>
        <w:rPr>
          <w:rFonts w:hint="eastAsia" w:ascii="宋体" w:hAnsi="宋体" w:eastAsia="宋体" w:cs="宋体"/>
          <w:color w:val="auto"/>
          <w:spacing w:val="-10"/>
          <w:sz w:val="21"/>
          <w:szCs w:val="21"/>
          <w:highlight w:val="none"/>
        </w:rPr>
        <w:t>除13.1内容外，招标答疑亦为招标文件的组成部分，对招标人和投标人起约束作用。</w:t>
      </w:r>
    </w:p>
    <w:p w14:paraId="4DAD4163">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13.3</w:t>
      </w:r>
      <w:r>
        <w:rPr>
          <w:rFonts w:hint="eastAsia" w:ascii="宋体"/>
          <w:color w:val="auto"/>
          <w:szCs w:val="21"/>
          <w:highlight w:val="none"/>
        </w:rPr>
        <w:t>投标人应仔细阅读和检查招标文件的全部内容。如发现缺页或附件不全，应及时向</w:t>
      </w:r>
      <w:r>
        <w:rPr>
          <w:rFonts w:hint="eastAsia" w:ascii="宋体"/>
          <w:color w:val="auto"/>
          <w:szCs w:val="21"/>
          <w:highlight w:val="none"/>
          <w:lang w:eastAsia="zh-CN"/>
        </w:rPr>
        <w:t>招标人</w:t>
      </w:r>
      <w:r>
        <w:rPr>
          <w:rFonts w:hint="eastAsia" w:ascii="宋体"/>
          <w:color w:val="auto"/>
          <w:szCs w:val="21"/>
          <w:highlight w:val="none"/>
        </w:rPr>
        <w:t>提出，以便补齐</w:t>
      </w:r>
      <w:r>
        <w:rPr>
          <w:rFonts w:hint="eastAsia" w:ascii="宋体" w:hAnsi="宋体" w:eastAsia="宋体" w:cs="宋体"/>
          <w:color w:val="auto"/>
          <w:kern w:val="0"/>
          <w:sz w:val="21"/>
          <w:szCs w:val="21"/>
          <w:highlight w:val="none"/>
          <w:lang w:val="zh-CN"/>
        </w:rPr>
        <w:t>。</w:t>
      </w:r>
    </w:p>
    <w:p w14:paraId="2C32EE20">
      <w:pPr>
        <w:pStyle w:val="63"/>
        <w:ind w:left="0" w:leftChars="0" w:firstLine="0" w:firstLineChars="0"/>
        <w:rPr>
          <w:rFonts w:hint="default" w:eastAsia="宋体"/>
          <w:color w:val="auto"/>
          <w:highlight w:val="none"/>
          <w:lang w:val="en-US" w:eastAsia="zh-CN"/>
        </w:rPr>
      </w:pPr>
      <w:r>
        <w:rPr>
          <w:rFonts w:hint="eastAsia" w:ascii="宋体" w:hAnsi="宋体" w:eastAsia="宋体" w:cs="宋体"/>
          <w:color w:val="auto"/>
          <w:kern w:val="0"/>
          <w:sz w:val="21"/>
          <w:szCs w:val="21"/>
          <w:highlight w:val="none"/>
          <w:lang w:val="en-US" w:eastAsia="zh-CN"/>
        </w:rPr>
        <w:t>13.4投标人可以通过新点电子交易平台【滁州专区】对招标文件提出澄清（质疑）。招标文件的澄清将在滁州市城投工程咨询管理有限公司（https://www.czctgczx.com/）、滁州市重点工程建设管理处（http://zdc.chuzhou.gov.cn/）等网站发布，但不指明澄清问题的来源。如果澄清内容影响投标文件编制的，将相应延长投标截止时间。</w:t>
      </w:r>
    </w:p>
    <w:p w14:paraId="182D12DA">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bCs/>
          <w:color w:val="auto"/>
          <w:sz w:val="21"/>
          <w:szCs w:val="21"/>
          <w:highlight w:val="none"/>
        </w:rPr>
        <w:t>招标文件的澄清、修改、补充、解释</w:t>
      </w:r>
    </w:p>
    <w:p w14:paraId="6B0F2D1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14.1</w:t>
      </w:r>
      <w:r>
        <w:rPr>
          <w:rFonts w:hint="eastAsia" w:ascii="宋体" w:hAnsi="宋体" w:eastAsia="宋体" w:cs="宋体"/>
          <w:color w:val="auto"/>
          <w:kern w:val="0"/>
          <w:sz w:val="21"/>
          <w:szCs w:val="21"/>
          <w:highlight w:val="none"/>
          <w:lang w:val="zh-CN"/>
        </w:rPr>
        <w:t>招标文件发出后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招标人可对招标文件进行必要的澄清、修改和补充</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并在</w:t>
      </w:r>
      <w:r>
        <w:rPr>
          <w:rFonts w:hint="eastAsia" w:ascii="宋体" w:hAnsi="宋体" w:eastAsia="宋体" w:cs="宋体"/>
          <w:color w:val="auto"/>
          <w:sz w:val="21"/>
          <w:szCs w:val="21"/>
          <w:highlight w:val="none"/>
        </w:rPr>
        <w:t>滁州市城投工程咨询管理有限公司</w:t>
      </w:r>
      <w:r>
        <w:rPr>
          <w:rFonts w:hint="eastAsia"/>
          <w:color w:val="auto"/>
          <w:szCs w:val="21"/>
          <w:highlight w:val="none"/>
        </w:rPr>
        <w:t>（https://www.czctgczx.com/）、滁州市重点工程建设管理处（http://zdc.chuzhou.gov.cn/）</w:t>
      </w:r>
      <w:r>
        <w:rPr>
          <w:rFonts w:hint="eastAsia"/>
          <w:color w:val="auto"/>
          <w:szCs w:val="21"/>
          <w:highlight w:val="none"/>
          <w:lang w:val="en-US" w:eastAsia="zh-CN"/>
        </w:rPr>
        <w:t>网站发布</w:t>
      </w:r>
      <w:r>
        <w:rPr>
          <w:rFonts w:hint="eastAsia" w:ascii="宋体" w:hAnsi="宋体" w:eastAsia="宋体" w:cs="宋体"/>
          <w:color w:val="auto"/>
          <w:kern w:val="0"/>
          <w:sz w:val="21"/>
          <w:szCs w:val="21"/>
          <w:highlight w:val="none"/>
          <w:lang w:val="zh-CN"/>
        </w:rPr>
        <w:t>。招标文件的修改内容作为招标文件的组成部分，具有约束作用。</w:t>
      </w:r>
    </w:p>
    <w:p w14:paraId="291D1EEA">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本招标文件由招标人委托的招标代理机构负责解释。</w:t>
      </w:r>
    </w:p>
    <w:p w14:paraId="2B94AB1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15.踏勘现场及投标预备会</w:t>
      </w:r>
    </w:p>
    <w:p w14:paraId="275BCF2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踏勘现场</w:t>
      </w:r>
    </w:p>
    <w:p w14:paraId="504953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15.1.1</w:t>
      </w:r>
      <w:r>
        <w:rPr>
          <w:rFonts w:hint="eastAsia" w:ascii="宋体" w:hAnsi="宋体" w:eastAsia="宋体" w:cs="宋体"/>
          <w:color w:val="auto"/>
          <w:kern w:val="0"/>
          <w:sz w:val="21"/>
          <w:szCs w:val="21"/>
          <w:highlight w:val="none"/>
        </w:rPr>
        <w:t>不再集中召开招标答疑会；投标人自行组织勘察现场。</w:t>
      </w:r>
    </w:p>
    <w:p w14:paraId="6FE74C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15.2投标预备会</w:t>
      </w:r>
    </w:p>
    <w:p w14:paraId="13F5946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15.2.1</w:t>
      </w:r>
      <w:r>
        <w:rPr>
          <w:rFonts w:hint="eastAsia" w:ascii="宋体" w:hAnsi="宋体" w:cs="宋体"/>
          <w:color w:val="auto"/>
          <w:sz w:val="21"/>
          <w:szCs w:val="21"/>
          <w:highlight w:val="none"/>
          <w:lang w:val="en-US" w:eastAsia="zh-CN"/>
        </w:rPr>
        <w:t>本项目不组织</w:t>
      </w:r>
      <w:r>
        <w:rPr>
          <w:rFonts w:hint="eastAsia" w:ascii="宋体" w:hAnsi="宋体" w:eastAsia="宋体" w:cs="宋体"/>
          <w:color w:val="auto"/>
          <w:sz w:val="21"/>
          <w:szCs w:val="21"/>
          <w:highlight w:val="none"/>
        </w:rPr>
        <w:t>投标预备会</w:t>
      </w:r>
      <w:r>
        <w:rPr>
          <w:rFonts w:hint="eastAsia" w:ascii="宋体" w:hAnsi="宋体" w:eastAsia="宋体" w:cs="宋体"/>
          <w:bCs/>
          <w:color w:val="auto"/>
          <w:sz w:val="21"/>
          <w:szCs w:val="21"/>
          <w:highlight w:val="none"/>
        </w:rPr>
        <w:t>。</w:t>
      </w:r>
    </w:p>
    <w:p w14:paraId="13802E1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16.招标文件的发出</w:t>
      </w:r>
    </w:p>
    <w:p w14:paraId="185B78E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16.1招标文件、招标文件的澄清、修改、补充及招标答疑等均应报招标人备案后，方可发出。</w:t>
      </w:r>
    </w:p>
    <w:p w14:paraId="0E4E305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17.最高投标限价的作用和说明</w:t>
      </w:r>
    </w:p>
    <w:p w14:paraId="32E39163">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17.1</w:t>
      </w:r>
      <w:r>
        <w:rPr>
          <w:rFonts w:hint="eastAsia" w:ascii="宋体" w:hAnsi="宋体" w:eastAsia="宋体" w:cs="宋体"/>
          <w:b/>
          <w:bCs/>
          <w:color w:val="auto"/>
          <w:sz w:val="21"/>
          <w:szCs w:val="21"/>
          <w:highlight w:val="none"/>
          <w:lang w:eastAsia="zh-CN"/>
        </w:rPr>
        <w:t>本项目的最高限价为基本费</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eastAsia="zh-CN"/>
        </w:rPr>
        <w:t>000元</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审核成果费率</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%（审核成果费率</w:t>
      </w:r>
      <w:r>
        <w:rPr>
          <w:rFonts w:hint="eastAsia" w:ascii="宋体" w:hAnsi="宋体" w:eastAsia="宋体" w:cs="宋体"/>
          <w:b/>
          <w:bCs/>
          <w:color w:val="auto"/>
          <w:sz w:val="21"/>
          <w:szCs w:val="21"/>
          <w:highlight w:val="none"/>
          <w:lang w:val="en-US" w:eastAsia="zh-CN"/>
        </w:rPr>
        <w:t>为不可竞争费率，</w:t>
      </w:r>
      <w:r>
        <w:rPr>
          <w:rFonts w:hint="eastAsia" w:ascii="宋体" w:hAnsi="宋体" w:eastAsia="宋体" w:cs="宋体"/>
          <w:b/>
          <w:bCs/>
          <w:color w:val="auto"/>
          <w:sz w:val="21"/>
          <w:szCs w:val="21"/>
          <w:highlight w:val="none"/>
        </w:rPr>
        <w:t>固定不变）</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基本费由投标人自主报价，</w:t>
      </w:r>
      <w:r>
        <w:rPr>
          <w:rFonts w:hint="eastAsia" w:ascii="宋体" w:hAnsi="宋体" w:eastAsia="宋体" w:cs="宋体"/>
          <w:b/>
          <w:bCs/>
          <w:color w:val="auto"/>
          <w:sz w:val="21"/>
          <w:szCs w:val="21"/>
          <w:highlight w:val="none"/>
        </w:rPr>
        <w:t>不得高于上述基本费最高限价，否则按无效标处理。</w:t>
      </w:r>
    </w:p>
    <w:p w14:paraId="118CF4AC">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color w:val="auto"/>
          <w:sz w:val="28"/>
          <w:szCs w:val="28"/>
          <w:highlight w:val="none"/>
        </w:rPr>
      </w:pPr>
      <w:bookmarkStart w:id="48" w:name="_Toc24852"/>
    </w:p>
    <w:p w14:paraId="344A8BB9">
      <w:pPr>
        <w:spacing w:line="400" w:lineRule="exact"/>
        <w:jc w:val="center"/>
        <w:outlineLvl w:val="1"/>
        <w:rPr>
          <w:rFonts w:hint="eastAsia" w:ascii="宋体" w:hAnsi="宋体" w:eastAsia="宋体" w:cs="宋体"/>
          <w:b/>
          <w:bCs/>
          <w:color w:val="auto"/>
          <w:sz w:val="28"/>
          <w:highlight w:val="none"/>
        </w:rPr>
      </w:pPr>
      <w:bookmarkStart w:id="49" w:name="_Toc6831"/>
      <w:r>
        <w:rPr>
          <w:rFonts w:hint="eastAsia" w:ascii="宋体" w:hAnsi="宋体" w:eastAsia="宋体" w:cs="宋体"/>
          <w:b/>
          <w:bCs/>
          <w:color w:val="auto"/>
          <w:sz w:val="28"/>
          <w:highlight w:val="none"/>
        </w:rPr>
        <w:t>三、投标文件的编制</w:t>
      </w:r>
      <w:bookmarkEnd w:id="48"/>
      <w:bookmarkEnd w:id="49"/>
    </w:p>
    <w:p w14:paraId="64695F4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rPr>
        <w:t>. 投标文件的组成</w:t>
      </w:r>
      <w:r>
        <w:rPr>
          <w:rFonts w:hint="eastAsia" w:ascii="宋体" w:hAnsi="宋体" w:eastAsia="宋体" w:cs="宋体"/>
          <w:b/>
          <w:bCs/>
          <w:color w:val="auto"/>
          <w:sz w:val="21"/>
          <w:szCs w:val="21"/>
          <w:highlight w:val="none"/>
          <w:lang w:val="en-US" w:eastAsia="zh-CN"/>
        </w:rPr>
        <w:t xml:space="preserve"> </w:t>
      </w:r>
    </w:p>
    <w:p w14:paraId="2C8C9D2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（1）法定代表人身份证明文件和本人有效身份证(或法定代表人授权委托书和委托代理人有效身份证)；（格式见附件）</w:t>
      </w:r>
    </w:p>
    <w:p w14:paraId="4C2D02AD">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（2）企业法人营业执照； </w:t>
      </w:r>
    </w:p>
    <w:p w14:paraId="682DE35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（3）项目人员配备表；（格式见附件）</w:t>
      </w:r>
    </w:p>
    <w:p w14:paraId="71ABFFC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（4）拟派项目负责人注册造价师证书（若注册证书上无法体现专业的，还需另行提供证明专业的证明材料）； </w:t>
      </w:r>
    </w:p>
    <w:p w14:paraId="1F92673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（5）项目组其他成员（不含项目负责人）：不少于2名且具有在本单位注册的二级及以上造价工程师注册证书（土木建筑工程专业至少1名）（若注册证书上无法体现专业的，还需另行提供证明专业的证明材料）； </w:t>
      </w:r>
    </w:p>
    <w:p w14:paraId="48371B71">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（6）承诺书1：投标人对所提供的上述材料作出承诺，若投标人存在弄虚作假，提供虚假资料的，若中标，则取消中标资格。（承诺书格式自拟并注明开标日期，加盖投标单位公章）</w:t>
      </w:r>
    </w:p>
    <w:p w14:paraId="548C1DF5">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诺书2：投标人承诺“跟踪审计项目开工前，投标单位需将项目任命文报综合计划科，综合计划科抄送工程建设科，同一个造价人员在市重点处同时承揽跟踪审计业务不得超过三个项目，且不得在两个以上市本级以外的地区同时承揽业务”。不按上述要求执行的，若中标，则取消中标资格。（承诺书格式自拟并注明开标日期，加盖投标单位公章）</w:t>
      </w:r>
    </w:p>
    <w:p w14:paraId="2BFA1B13">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法定代表人（或委托代理人）、项目负责人、项目组其他成员须持有社保部门出具的本单位为其缴纳的投标前近三个月内任意一月的养老保险证明（含官网在线打印件，证明文件两个月内有效），或投标人提供承诺已为上述人员缴纳养老保险证明的承诺书（格式自拟）。</w:t>
      </w:r>
    </w:p>
    <w:p w14:paraId="569EAC46">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（9）投标函；</w:t>
      </w:r>
    </w:p>
    <w:p w14:paraId="3DC867D5">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（10）投标人认为需要提供的其他材料</w:t>
      </w:r>
      <w:r>
        <w:rPr>
          <w:rFonts w:hint="eastAsia" w:ascii="宋体" w:hAnsi="宋体" w:eastAsia="宋体" w:cs="宋体"/>
          <w:color w:val="auto"/>
          <w:sz w:val="21"/>
          <w:szCs w:val="21"/>
          <w:highlight w:val="none"/>
          <w:lang w:val="en-US" w:eastAsia="zh-CN"/>
        </w:rPr>
        <w:t>。</w:t>
      </w:r>
    </w:p>
    <w:p w14:paraId="6CFB64B6">
      <w:pPr>
        <w:numPr>
          <w:ilvl w:val="0"/>
          <w:numId w:val="0"/>
        </w:numPr>
        <w:spacing w:line="440" w:lineRule="exact"/>
        <w:jc w:val="both"/>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 xml:space="preserve">19.投标文件的组成、上传说明 </w:t>
      </w:r>
    </w:p>
    <w:p w14:paraId="344E5516">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19.1 投标文件的组成 </w:t>
      </w:r>
    </w:p>
    <w:p w14:paraId="6BBBE030">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具体内容详见第四章投标文件格式内容。 </w:t>
      </w:r>
    </w:p>
    <w:p w14:paraId="559C5DB4">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19.2 投标文件的上传 </w:t>
      </w:r>
    </w:p>
    <w:p w14:paraId="072124E9">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（1）</w:t>
      </w:r>
      <w:r>
        <w:rPr>
          <w:rFonts w:hint="eastAsia" w:ascii="宋体" w:hAnsi="宋体" w:cs="宋体"/>
          <w:color w:val="auto"/>
          <w:szCs w:val="21"/>
          <w:highlight w:val="none"/>
        </w:rPr>
        <w:t>请投标人通过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下载投标工具制作投标文件，并利用CA数字证书进行上传投标文件，上传已加密的投标文件，务必通过此方式上传投标文件</w:t>
      </w:r>
      <w:r>
        <w:rPr>
          <w:rFonts w:hint="eastAsia" w:ascii="宋体" w:hAnsi="Calibri"/>
          <w:color w:val="auto"/>
          <w:szCs w:val="21"/>
          <w:highlight w:val="none"/>
          <w:lang w:val="en-US" w:eastAsia="zh-CN"/>
        </w:rPr>
        <w:t xml:space="preserve">。 </w:t>
      </w:r>
    </w:p>
    <w:p w14:paraId="5E5DC0DE">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Calibri"/>
          <w:b/>
          <w:bCs/>
          <w:color w:val="auto"/>
          <w:szCs w:val="21"/>
          <w:highlight w:val="none"/>
          <w:lang w:val="en-US" w:eastAsia="zh-CN"/>
        </w:rPr>
        <w:t>投标人在投标文件编制、签章、上传过程中如有任何操作的疑问请及时联系技术支持，电话：0512-58151515（工作日）或者网站首页在线客服</w:t>
      </w:r>
      <w:r>
        <w:rPr>
          <w:rFonts w:hint="eastAsia" w:ascii="宋体" w:hAnsi="Calibri"/>
          <w:color w:val="auto"/>
          <w:szCs w:val="21"/>
          <w:highlight w:val="none"/>
          <w:lang w:val="en-US" w:eastAsia="zh-CN"/>
        </w:rPr>
        <w:t xml:space="preserve">。 </w:t>
      </w:r>
    </w:p>
    <w:p w14:paraId="1EADF7E1">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如果因投标人自身原因导致投标文件在规定时间内未能解密、解密失败或解密超时，投标文件无效；因代理公司原因或网上平台发生故障，导致无法按时完成投标文件解密的，经代理公司申请后可延迟解密时间。 </w:t>
      </w:r>
    </w:p>
    <w:p w14:paraId="2A77AAEF">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19.3 投标文件的编制 </w:t>
      </w:r>
    </w:p>
    <w:p w14:paraId="10459534">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（1）投标文件应按第四章“投标文件格式”进行编写，如有必要，可以增加附页，作为投标文件的组成部分。 </w:t>
      </w:r>
    </w:p>
    <w:p w14:paraId="506A6FCB">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宋体" w:cs="宋体"/>
          <w:b/>
          <w:bCs/>
          <w:color w:val="auto"/>
          <w:szCs w:val="21"/>
          <w:highlight w:val="none"/>
        </w:rPr>
        <w:t>本次投标不需要提供纸质投标文件，投标人应按照电子招标投标的要求，在投标人的电子系统中制作、签章、上传加密的电子投标文件</w:t>
      </w:r>
      <w:r>
        <w:rPr>
          <w:rFonts w:hint="eastAsia" w:ascii="宋体" w:hAnsi="Calibri"/>
          <w:color w:val="auto"/>
          <w:szCs w:val="21"/>
          <w:highlight w:val="none"/>
          <w:lang w:val="en-US" w:eastAsia="zh-CN"/>
        </w:rPr>
        <w:t xml:space="preserve">。 </w:t>
      </w:r>
    </w:p>
    <w:p w14:paraId="6355F856">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（3）网上递交的电子投标文件制作工具等要求详见系统内帮助模块。 </w:t>
      </w:r>
    </w:p>
    <w:p w14:paraId="5B87B754">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Calibri"/>
          <w:color w:val="auto"/>
          <w:szCs w:val="21"/>
          <w:highlight w:val="none"/>
          <w:lang w:val="en-US" w:eastAsia="zh-CN"/>
        </w:rPr>
      </w:pPr>
      <w:r>
        <w:rPr>
          <w:rFonts w:hint="eastAsia" w:ascii="宋体" w:hAnsi="Calibri"/>
          <w:color w:val="auto"/>
          <w:szCs w:val="21"/>
          <w:highlight w:val="none"/>
          <w:lang w:val="en-US" w:eastAsia="zh-CN"/>
        </w:rPr>
        <w:t>（4）网上递交的电子投标文件应按招标文件规定的格式由投标人的法定代表人和投标人分别签章。</w:t>
      </w:r>
    </w:p>
    <w:p w14:paraId="62849197">
      <w:pPr>
        <w:pStyle w:val="2"/>
        <w:rPr>
          <w:rFonts w:hint="eastAsia" w:ascii="宋体" w:hAnsi="Calibri" w:eastAsia="宋体" w:cs="Times New Roman"/>
          <w:color w:val="auto"/>
          <w:kern w:val="2"/>
          <w:sz w:val="21"/>
          <w:szCs w:val="21"/>
          <w:highlight w:val="none"/>
          <w:lang w:val="en-US" w:eastAsia="zh-CN" w:bidi="ar-SA"/>
        </w:rPr>
      </w:pPr>
      <w:r>
        <w:rPr>
          <w:rFonts w:hint="eastAsia" w:ascii="宋体" w:hAnsi="Calibri" w:eastAsia="宋体" w:cs="Times New Roman"/>
          <w:color w:val="auto"/>
          <w:kern w:val="2"/>
          <w:sz w:val="21"/>
          <w:szCs w:val="21"/>
          <w:highlight w:val="none"/>
          <w:lang w:val="en-US" w:eastAsia="zh-CN" w:bidi="ar-SA"/>
        </w:rPr>
        <w:t>（5）招标人有权核查投标人在投标文件中提供的资料，若在评标期间发现投标人提供了虚假资料，其投标将被否决；若发现投标人以他人名义投标或者以其他方式弄虚作假骗取中标的，中标无效；如果签订合同后发现中标人提供了虚假材料，招标人有权解除合同。同时招标人将投标人上述弄虚作假行为上报公共资源交易监督管理部门处理。</w:t>
      </w:r>
    </w:p>
    <w:p w14:paraId="5A82299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投标文件的制作应满足以下规定：</w:t>
      </w:r>
    </w:p>
    <w:p w14:paraId="4849031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cs="宋体"/>
          <w:color w:val="auto"/>
          <w:szCs w:val="21"/>
          <w:highlight w:val="none"/>
        </w:rPr>
        <w:t>投标文件由投标人使用</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提供的“投标文件制作工具”制作生成。“投标文件制作工具”可以通过电子交易系统下载。</w:t>
      </w:r>
    </w:p>
    <w:p w14:paraId="424145B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cs="宋体"/>
          <w:b/>
          <w:color w:val="auto"/>
          <w:szCs w:val="21"/>
          <w:highlight w:val="none"/>
        </w:rPr>
        <w:t>招标文件中“签章”是指签字或盖章。</w:t>
      </w:r>
      <w:r>
        <w:rPr>
          <w:rFonts w:hint="eastAsia" w:ascii="宋体" w:hAnsi="宋体" w:cs="宋体"/>
          <w:color w:val="auto"/>
          <w:szCs w:val="21"/>
          <w:highlight w:val="none"/>
        </w:rPr>
        <w:t>在第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投标文件由联合体牵头人按上述规定加盖联合体牵头人单位电子印章和法定代表人的个人电子印章/电子签名章或直接上传加盖联合体牵头人单位印章和法定代表人的印章（或签字）的原件彩色扫描件。</w:t>
      </w:r>
    </w:p>
    <w:p w14:paraId="52D2929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cs="宋体"/>
          <w:color w:val="auto"/>
          <w:szCs w:val="21"/>
          <w:highlight w:val="none"/>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65D00B00">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因投标人自身原因而导致投标文件无法导入电子交易系统电子开标、评标系统，该投标视为无效投标，投标人自行承担由此导致的全部责任</w:t>
      </w:r>
      <w:r>
        <w:rPr>
          <w:rFonts w:hint="eastAsia" w:ascii="宋体" w:hAnsi="宋体" w:cs="宋体"/>
          <w:color w:val="auto"/>
          <w:kern w:val="0"/>
          <w:szCs w:val="21"/>
          <w:highlight w:val="none"/>
          <w:lang w:eastAsia="zh-CN"/>
        </w:rPr>
        <w:t>。</w:t>
      </w:r>
    </w:p>
    <w:p w14:paraId="235F678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投标报价</w:t>
      </w:r>
    </w:p>
    <w:p w14:paraId="05488F2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.1投标人的投标报价包括按合同规定的范围所提供的全部服务所需的费用，即招标范围内人员工资、办公费用、</w:t>
      </w:r>
      <w:r>
        <w:rPr>
          <w:rFonts w:hint="eastAsia" w:ascii="宋体" w:hAnsi="宋体" w:eastAsia="宋体" w:cs="宋体"/>
          <w:color w:val="auto"/>
          <w:sz w:val="21"/>
          <w:szCs w:val="21"/>
          <w:highlight w:val="none"/>
          <w:lang w:val="en-US" w:eastAsia="zh-CN"/>
        </w:rPr>
        <w:t>专家评审费、</w:t>
      </w:r>
      <w:r>
        <w:rPr>
          <w:rFonts w:hint="eastAsia" w:ascii="宋体" w:hAnsi="宋体" w:eastAsia="宋体" w:cs="宋体"/>
          <w:color w:val="auto"/>
          <w:sz w:val="21"/>
          <w:szCs w:val="21"/>
          <w:highlight w:val="none"/>
        </w:rPr>
        <w:t>成本、利润及税金等</w:t>
      </w:r>
      <w:r>
        <w:rPr>
          <w:rFonts w:hint="eastAsia" w:ascii="宋体" w:hAnsi="宋体" w:eastAsia="宋体" w:cs="宋体"/>
          <w:color w:val="auto"/>
          <w:sz w:val="21"/>
          <w:szCs w:val="21"/>
          <w:highlight w:val="none"/>
          <w:lang w:val="en-US" w:eastAsia="zh-CN"/>
        </w:rPr>
        <w:t>完成本项目所有工作所产生的</w:t>
      </w:r>
      <w:r>
        <w:rPr>
          <w:rFonts w:hint="eastAsia" w:ascii="宋体" w:hAnsi="宋体" w:eastAsia="宋体" w:cs="宋体"/>
          <w:color w:val="auto"/>
          <w:sz w:val="21"/>
          <w:szCs w:val="21"/>
          <w:highlight w:val="none"/>
        </w:rPr>
        <w:t>全部费用。</w:t>
      </w:r>
    </w:p>
    <w:p w14:paraId="076B814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.2 投标报价不按规定报价的，其投标文件按无效标处理。</w:t>
      </w:r>
    </w:p>
    <w:p w14:paraId="79647B6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.投标有效期</w:t>
      </w:r>
    </w:p>
    <w:p w14:paraId="6BD254F2">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.1投标有效期为</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p w14:paraId="3EF24EA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.2 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担保的有效期，在延长的投标有效期内，本须知关于投标担保的退还与没收的规定仍然适用</w:t>
      </w:r>
      <w:r>
        <w:rPr>
          <w:rFonts w:hint="eastAsia" w:ascii="宋体" w:hAnsi="宋体" w:eastAsia="宋体" w:cs="宋体"/>
          <w:color w:val="auto"/>
          <w:sz w:val="24"/>
          <w:highlight w:val="none"/>
        </w:rPr>
        <w:t>。</w:t>
      </w:r>
    </w:p>
    <w:p w14:paraId="2893E5B9">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color w:val="auto"/>
          <w:sz w:val="24"/>
          <w:highlight w:val="none"/>
          <w:lang w:val="en-US" w:eastAsia="zh-CN"/>
        </w:rPr>
      </w:pPr>
      <w:bookmarkStart w:id="50" w:name="_Toc27519"/>
      <w:r>
        <w:rPr>
          <w:rFonts w:hint="eastAsia" w:ascii="宋体" w:hAnsi="宋体" w:eastAsia="宋体" w:cs="宋体"/>
          <w:color w:val="auto"/>
          <w:sz w:val="24"/>
          <w:highlight w:val="none"/>
          <w:lang w:val="en-US" w:eastAsia="zh-CN"/>
        </w:rPr>
        <w:t xml:space="preserve"> </w:t>
      </w:r>
    </w:p>
    <w:p w14:paraId="0A229A7F">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color w:val="auto"/>
          <w:sz w:val="28"/>
          <w:szCs w:val="28"/>
          <w:highlight w:val="none"/>
        </w:rPr>
      </w:pPr>
      <w:bookmarkStart w:id="51" w:name="_Toc13407"/>
      <w:r>
        <w:rPr>
          <w:rFonts w:hint="eastAsia" w:ascii="宋体" w:hAnsi="宋体" w:eastAsia="宋体" w:cs="宋体"/>
          <w:b/>
          <w:bCs/>
          <w:color w:val="auto"/>
          <w:sz w:val="28"/>
          <w:highlight w:val="none"/>
        </w:rPr>
        <w:t>四、投标文件的递交</w:t>
      </w:r>
      <w:bookmarkEnd w:id="50"/>
      <w:bookmarkEnd w:id="51"/>
    </w:p>
    <w:p w14:paraId="3545408C">
      <w:pPr>
        <w:numPr>
          <w:ilvl w:val="0"/>
          <w:numId w:val="0"/>
        </w:numPr>
        <w:spacing w:line="440" w:lineRule="exact"/>
        <w:jc w:val="both"/>
        <w:rPr>
          <w:rFonts w:hint="eastAsia" w:ascii="宋体" w:hAnsi="Times New Roman" w:eastAsia="宋体" w:cs="Times New Roman"/>
          <w:b/>
          <w:bCs/>
          <w:color w:val="auto"/>
          <w:szCs w:val="21"/>
          <w:highlight w:val="none"/>
        </w:rPr>
      </w:pPr>
      <w:r>
        <w:rPr>
          <w:rFonts w:hint="eastAsia" w:ascii="宋体" w:hAnsi="宋体" w:cs="宋体"/>
          <w:b/>
          <w:bCs/>
          <w:color w:val="auto"/>
          <w:sz w:val="21"/>
          <w:szCs w:val="21"/>
          <w:highlight w:val="none"/>
          <w:lang w:val="en-US" w:eastAsia="zh-CN"/>
        </w:rPr>
        <w:t>22.</w:t>
      </w:r>
      <w:r>
        <w:rPr>
          <w:rFonts w:hint="eastAsia" w:ascii="宋体" w:hAnsi="Times New Roman" w:eastAsia="宋体" w:cs="Times New Roman"/>
          <w:b/>
          <w:bCs/>
          <w:color w:val="auto"/>
          <w:szCs w:val="21"/>
          <w:highlight w:val="none"/>
        </w:rPr>
        <w:t>投标文件的份数和签署</w:t>
      </w:r>
    </w:p>
    <w:p w14:paraId="0F10380A">
      <w:pPr>
        <w:spacing w:line="440" w:lineRule="exact"/>
        <w:jc w:val="left"/>
        <w:rPr>
          <w:rFonts w:hint="eastAsia" w:ascii="宋体" w:hAnsi="宋体"/>
          <w:b/>
          <w:bCs/>
          <w:color w:val="auto"/>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.1</w:t>
      </w:r>
      <w:r>
        <w:rPr>
          <w:rFonts w:hint="eastAsia" w:ascii="宋体" w:hAnsi="宋体" w:cs="宋体"/>
          <w:color w:val="auto"/>
          <w:kern w:val="0"/>
          <w:szCs w:val="21"/>
          <w:highlight w:val="none"/>
        </w:rPr>
        <w:t>投标人中标后须递交与网上电子投标文件完全一致的纸质版投标文件，在领取中标通知书时，一并递交给招标代理机构。</w:t>
      </w:r>
    </w:p>
    <w:p w14:paraId="28A205A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 xml:space="preserve">.2 </w:t>
      </w:r>
      <w:r>
        <w:rPr>
          <w:rFonts w:hint="eastAsia" w:ascii="宋体" w:hAnsi="宋体"/>
          <w:b/>
          <w:color w:val="auto"/>
          <w:szCs w:val="21"/>
          <w:highlight w:val="none"/>
        </w:rPr>
        <w:t>电子投标文件须按格式文件要求签字或盖章（电子签章），否则经评委会一致认定后, 按照无效投标处理</w:t>
      </w:r>
      <w:r>
        <w:rPr>
          <w:rFonts w:hint="eastAsia" w:ascii="宋体" w:hAnsi="宋体" w:eastAsia="宋体" w:cs="宋体"/>
          <w:color w:val="auto"/>
          <w:sz w:val="21"/>
          <w:szCs w:val="21"/>
          <w:highlight w:val="none"/>
        </w:rPr>
        <w:t>。</w:t>
      </w:r>
    </w:p>
    <w:p w14:paraId="63552288">
      <w:pPr>
        <w:spacing w:line="440" w:lineRule="exact"/>
        <w:jc w:val="left"/>
        <w:rPr>
          <w:rFonts w:hint="eastAsia" w:ascii="宋体" w:hAnsi="宋体"/>
          <w:b/>
          <w:bCs/>
          <w:color w:val="auto"/>
          <w:szCs w:val="21"/>
          <w:highlight w:val="none"/>
        </w:rPr>
      </w:pPr>
      <w:r>
        <w:rPr>
          <w:rFonts w:hint="eastAsia" w:ascii="宋体" w:hAnsi="宋体" w:cs="宋体"/>
          <w:b/>
          <w:bCs/>
          <w:color w:val="auto"/>
          <w:sz w:val="21"/>
          <w:szCs w:val="21"/>
          <w:highlight w:val="none"/>
          <w:lang w:val="en-US" w:eastAsia="zh-CN"/>
        </w:rPr>
        <w:t>23.</w:t>
      </w:r>
      <w:r>
        <w:rPr>
          <w:rFonts w:hint="eastAsia" w:ascii="宋体" w:hAnsi="宋体"/>
          <w:b/>
          <w:bCs/>
          <w:color w:val="auto"/>
          <w:szCs w:val="21"/>
          <w:highlight w:val="none"/>
        </w:rPr>
        <w:t>投标文件的提交</w:t>
      </w:r>
    </w:p>
    <w:p w14:paraId="7F8AEA8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3</w:t>
      </w:r>
      <w:r>
        <w:rPr>
          <w:rFonts w:hint="eastAsia" w:ascii="宋体" w:hAnsi="宋体"/>
          <w:b/>
          <w:color w:val="auto"/>
          <w:szCs w:val="21"/>
          <w:highlight w:val="none"/>
        </w:rPr>
        <w:t>.1 投标人应当在投标截止时间前完成投标文件的网上递交，并可以补充、修改或者撤回投标文件。投标截止时间前未完成投标文件网上递交的，视为撤回投标文件。未按规定加密或投标截止时间后通过</w:t>
      </w:r>
      <w:r>
        <w:rPr>
          <w:rFonts w:hint="eastAsia" w:ascii="宋体" w:hAnsi="宋体"/>
          <w:b/>
          <w:color w:val="auto"/>
          <w:szCs w:val="21"/>
          <w:highlight w:val="none"/>
          <w:lang w:val="en-US" w:eastAsia="zh-CN"/>
        </w:rPr>
        <w:t>新点电子交易平台</w:t>
      </w:r>
      <w:r>
        <w:rPr>
          <w:rFonts w:hint="eastAsia" w:ascii="宋体" w:hAnsi="宋体"/>
          <w:b/>
          <w:color w:val="auto"/>
          <w:szCs w:val="21"/>
          <w:highlight w:val="none"/>
        </w:rPr>
        <w:t>递交电子投标文件的，电子交易系统应当拒收，投标无效</w:t>
      </w:r>
      <w:r>
        <w:rPr>
          <w:rFonts w:hint="eastAsia" w:ascii="宋体" w:hAnsi="宋体" w:eastAsia="宋体" w:cs="宋体"/>
          <w:color w:val="auto"/>
          <w:sz w:val="21"/>
          <w:szCs w:val="21"/>
          <w:highlight w:val="none"/>
        </w:rPr>
        <w:t>。</w:t>
      </w:r>
    </w:p>
    <w:p w14:paraId="6948FF47">
      <w:pPr>
        <w:spacing w:line="440" w:lineRule="exact"/>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4</w:t>
      </w:r>
      <w:r>
        <w:rPr>
          <w:rFonts w:hint="eastAsia" w:ascii="宋体"/>
          <w:b/>
          <w:color w:val="auto"/>
          <w:szCs w:val="21"/>
          <w:highlight w:val="none"/>
        </w:rPr>
        <w:t>．投标文件的修改与撤回</w:t>
      </w:r>
    </w:p>
    <w:p w14:paraId="1800A27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8"/>
          <w:szCs w:val="28"/>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.1 </w:t>
      </w:r>
      <w:r>
        <w:rPr>
          <w:rFonts w:hint="eastAsia"/>
          <w:color w:val="auto"/>
          <w:highlight w:val="none"/>
        </w:rPr>
        <w:t>采用网上招投标的，在规定的投标截止时间前，投标人可以自行从网上招投标系统撤回已递交的投标文件，并可修改后重新上传，开标时以投标截止时间前投标人最终上传的投标文件为准</w:t>
      </w:r>
    </w:p>
    <w:p w14:paraId="71F4C495">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b/>
          <w:bCs/>
          <w:color w:val="auto"/>
          <w:sz w:val="28"/>
          <w:highlight w:val="none"/>
        </w:rPr>
      </w:pPr>
      <w:bookmarkStart w:id="52" w:name="_Toc24005"/>
      <w:bookmarkStart w:id="53" w:name="_Toc18173"/>
    </w:p>
    <w:p w14:paraId="7500E7D0">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五、开标、评标和定标</w:t>
      </w:r>
      <w:bookmarkEnd w:id="52"/>
      <w:bookmarkEnd w:id="53"/>
    </w:p>
    <w:p w14:paraId="066918F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开标</w:t>
      </w:r>
    </w:p>
    <w:p w14:paraId="4366EFD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 开标的时间和地点</w:t>
      </w:r>
    </w:p>
    <w:p w14:paraId="5776DF3D">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.1.1</w:t>
      </w:r>
      <w:r>
        <w:rPr>
          <w:rFonts w:hint="eastAsia" w:ascii="宋体" w:hAnsi="宋体" w:cs="宋体"/>
          <w:color w:val="auto"/>
          <w:szCs w:val="21"/>
          <w:highlight w:val="none"/>
        </w:rPr>
        <w:t>招标人在“招标公告”规定的投标截止时间前（开标时间）和地点</w:t>
      </w:r>
      <w:r>
        <w:rPr>
          <w:color w:val="auto"/>
          <w:highlight w:val="none"/>
        </w:rPr>
        <w:t>通过</w:t>
      </w:r>
      <w:r>
        <w:rPr>
          <w:rFonts w:hint="eastAsia"/>
          <w:color w:val="auto"/>
          <w:highlight w:val="none"/>
          <w:lang w:val="en-US" w:eastAsia="zh-CN"/>
        </w:rPr>
        <w:t>新点电子交易平台</w:t>
      </w:r>
      <w:r>
        <w:rPr>
          <w:color w:val="auto"/>
          <w:highlight w:val="none"/>
        </w:rPr>
        <w:t>公开开标</w:t>
      </w:r>
      <w:r>
        <w:rPr>
          <w:rFonts w:hint="eastAsia" w:ascii="宋体" w:hAnsi="宋体" w:eastAsia="宋体" w:cs="宋体"/>
          <w:color w:val="auto"/>
          <w:sz w:val="21"/>
          <w:szCs w:val="21"/>
          <w:highlight w:val="none"/>
        </w:rPr>
        <w:t>。</w:t>
      </w:r>
    </w:p>
    <w:p w14:paraId="1CEDA917">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 参与开标的相关部门：招标人等。</w:t>
      </w:r>
    </w:p>
    <w:p w14:paraId="1AB92E7B">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开标程序</w:t>
      </w:r>
    </w:p>
    <w:p w14:paraId="52832887">
      <w:pPr>
        <w:wordWrap w:val="0"/>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lang w:val="en-US" w:eastAsia="zh-CN"/>
        </w:rPr>
        <w:t xml:space="preserve">开标会议由采购代理机构主持。 </w:t>
      </w:r>
    </w:p>
    <w:p w14:paraId="04855B42">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（1）公布在投标截止时间前通过新点电子交易平台完成投标文件递交的投标人名称；</w:t>
      </w:r>
    </w:p>
    <w:p w14:paraId="7F3D1C47">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（2）投标人在投标截止时间后在投标人须知前附表规定的解密时间内完成投标文件的解密工作；</w:t>
      </w:r>
    </w:p>
    <w:p w14:paraId="160BAA64">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（3）招标人或招标代理机构完成解密工作，导入并读取所有成功解密的投标文件；</w:t>
      </w:r>
    </w:p>
    <w:p w14:paraId="223FEB96">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（4）按投标人须知前附表规定公布投标人名称、投标报价等内容；</w:t>
      </w:r>
    </w:p>
    <w:p w14:paraId="6CDC20D3">
      <w:pPr>
        <w:wordWrap w:val="0"/>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lang w:val="en-US" w:eastAsia="zh-CN"/>
        </w:rPr>
        <w:t xml:space="preserve">（5）开标结束。 </w:t>
      </w:r>
    </w:p>
    <w:p w14:paraId="01DEFBCB">
      <w:pPr>
        <w:wordWrap w:val="0"/>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lang w:val="en-US" w:eastAsia="zh-CN"/>
        </w:rPr>
        <w:t xml:space="preserve">多标包项目按照标段顺序按以上程序依次开标。 </w:t>
      </w:r>
    </w:p>
    <w:p w14:paraId="10B86A2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25.4</w:t>
      </w:r>
      <w:r>
        <w:rPr>
          <w:rFonts w:hint="eastAsia" w:ascii="宋体" w:hAnsi="宋体" w:eastAsia="宋体" w:cs="宋体"/>
          <w:color w:val="auto"/>
          <w:sz w:val="21"/>
          <w:szCs w:val="21"/>
          <w:highlight w:val="none"/>
        </w:rPr>
        <w:t>开标异议</w:t>
      </w:r>
    </w:p>
    <w:p w14:paraId="03615267">
      <w:pPr>
        <w:spacing w:line="440" w:lineRule="exact"/>
        <w:jc w:val="left"/>
        <w:rPr>
          <w:rFonts w:hint="eastAsia" w:ascii="宋体" w:hAnsi="宋体" w:cs="宋体"/>
          <w:color w:val="auto"/>
          <w:sz w:val="21"/>
          <w:szCs w:val="21"/>
          <w:highlight w:val="none"/>
          <w:lang w:val="en-US" w:eastAsia="zh-CN"/>
        </w:rPr>
      </w:pPr>
      <w:r>
        <w:rPr>
          <w:rFonts w:hint="eastAsia" w:ascii="宋体" w:hAnsi="Times New Roman" w:eastAsia="宋体" w:cs="Times New Roman"/>
          <w:color w:val="auto"/>
          <w:kern w:val="2"/>
          <w:sz w:val="21"/>
          <w:szCs w:val="21"/>
          <w:highlight w:val="none"/>
          <w:lang w:val="en-US" w:eastAsia="zh-CN" w:bidi="ar-SA"/>
        </w:rPr>
        <w:t>投标人对开标有异议的，应当在开标过程中提出，招标人在开标过程中作出答复，并制作记录。异议与答复应通过新点电子交易平台进行。</w:t>
      </w:r>
    </w:p>
    <w:p w14:paraId="5F39FAB5">
      <w:pPr>
        <w:spacing w:line="440" w:lineRule="exact"/>
        <w:jc w:val="left"/>
        <w:rPr>
          <w:rFonts w:hint="eastAsia" w:ascii="宋体"/>
          <w:b/>
          <w:color w:val="auto"/>
          <w:szCs w:val="21"/>
          <w:highlight w:val="none"/>
        </w:rPr>
      </w:pPr>
      <w:r>
        <w:rPr>
          <w:rFonts w:hint="eastAsia" w:ascii="宋体" w:hAnsi="宋体" w:cs="宋体"/>
          <w:color w:val="auto"/>
          <w:sz w:val="21"/>
          <w:szCs w:val="21"/>
          <w:highlight w:val="none"/>
          <w:lang w:val="en-US" w:eastAsia="zh-CN"/>
        </w:rPr>
        <w:t>26.</w:t>
      </w:r>
      <w:r>
        <w:rPr>
          <w:rFonts w:hint="eastAsia" w:ascii="宋体"/>
          <w:b/>
          <w:color w:val="auto"/>
          <w:szCs w:val="21"/>
          <w:highlight w:val="none"/>
          <w:lang w:val="en-US" w:eastAsia="zh-CN"/>
        </w:rPr>
        <w:t xml:space="preserve">评标委员会 </w:t>
      </w:r>
    </w:p>
    <w:p w14:paraId="614AC1B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 评标委员会的组成</w:t>
      </w:r>
    </w:p>
    <w:p w14:paraId="34BBFEB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.1.1评标由</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人依法组建的评标委员会负责。</w:t>
      </w:r>
    </w:p>
    <w:p w14:paraId="6BFAB9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.1.2评标委员会负责人依法推荐或确定。</w:t>
      </w:r>
    </w:p>
    <w:p w14:paraId="516CBD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 评标委员会成员名单在中标结果确定前应当保密</w:t>
      </w:r>
      <w:r>
        <w:rPr>
          <w:rFonts w:hint="eastAsia" w:ascii="宋体" w:hAnsi="宋体" w:eastAsia="宋体" w:cs="宋体"/>
          <w:color w:val="auto"/>
          <w:szCs w:val="21"/>
          <w:highlight w:val="none"/>
          <w:lang w:eastAsia="zh-CN"/>
        </w:rPr>
        <w:t>。</w:t>
      </w:r>
    </w:p>
    <w:p w14:paraId="34B9A83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授权评标委员会对投标人资格进行审查。</w:t>
      </w:r>
    </w:p>
    <w:p w14:paraId="694DE1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 评标委员会应当向</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提出书面评标报告，并抄送有关行政监督部门。评标报告应当如实记载以下内容：</w:t>
      </w:r>
    </w:p>
    <w:p w14:paraId="362811A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1D2357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31A7EEF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0D99B7E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0F8B76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（5）无效情况说明；</w:t>
      </w:r>
    </w:p>
    <w:p w14:paraId="4FC8D2B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（6）评标标准、评标方法或者评标因素一览表；</w:t>
      </w:r>
    </w:p>
    <w:p w14:paraId="792874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（7）经评审的价格或者评分比较一览表；</w:t>
      </w:r>
    </w:p>
    <w:p w14:paraId="33EDF4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（8）投标人串标、围标等违规行为的确认报告；</w:t>
      </w:r>
    </w:p>
    <w:p w14:paraId="378AB2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（9）经评审的投标人排序；</w:t>
      </w:r>
    </w:p>
    <w:p w14:paraId="4B027C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（10）推荐的中标候选人名单；</w:t>
      </w:r>
    </w:p>
    <w:p w14:paraId="59D25F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（11）澄清、说明、补正事项纪要。</w:t>
      </w:r>
    </w:p>
    <w:p w14:paraId="4331CA60">
      <w:pPr>
        <w:spacing w:line="440" w:lineRule="exact"/>
        <w:ind w:firstLine="205" w:firstLineChars="98"/>
        <w:jc w:val="left"/>
        <w:rPr>
          <w:rFonts w:hint="eastAsia" w:ascii="宋体"/>
          <w:b w:val="0"/>
          <w:b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评标委员会应自觉接受有关监督管理部门的现场监督，评标委员会成员与评标活动有关的工作人员和监督人员不得向他人透露对投标文件的评审和比较、中标候选人的推荐以及与评标有关的其他情况。投标文件及与评标有关的资料应当保密</w:t>
      </w:r>
      <w:r>
        <w:rPr>
          <w:rFonts w:hint="eastAsia" w:ascii="宋体"/>
          <w:b w:val="0"/>
          <w:bCs/>
          <w:color w:val="auto"/>
          <w:szCs w:val="21"/>
          <w:highlight w:val="none"/>
          <w:lang w:val="en-US" w:eastAsia="zh-CN"/>
        </w:rPr>
        <w:t xml:space="preserve">。 </w:t>
      </w:r>
    </w:p>
    <w:p w14:paraId="256E6BE5">
      <w:pPr>
        <w:spacing w:line="440" w:lineRule="exact"/>
        <w:jc w:val="left"/>
        <w:rPr>
          <w:rFonts w:hint="eastAsia" w:ascii="宋体"/>
          <w:b/>
          <w:color w:val="auto"/>
          <w:szCs w:val="21"/>
          <w:highlight w:val="none"/>
        </w:rPr>
      </w:pPr>
      <w:r>
        <w:rPr>
          <w:rFonts w:hint="eastAsia" w:ascii="宋体"/>
          <w:b/>
          <w:color w:val="auto"/>
          <w:szCs w:val="21"/>
          <w:highlight w:val="none"/>
          <w:lang w:val="en-US" w:eastAsia="zh-CN"/>
        </w:rPr>
        <w:t xml:space="preserve">27. 评标 </w:t>
      </w:r>
    </w:p>
    <w:p w14:paraId="311324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  评标准备工作</w:t>
      </w:r>
    </w:p>
    <w:p w14:paraId="7BDC76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27.1.1阅读由招标人或招标代理单位编写的招标项目情况的说明材料；</w:t>
      </w:r>
    </w:p>
    <w:p w14:paraId="001C44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27.1.2阅读、研究招标文件和相关评标资料，获取评标所需要的重要信息和数据；</w:t>
      </w:r>
    </w:p>
    <w:p w14:paraId="299648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27.1.3熟悉招标文件规定的评标方法及在评标过程中需要考虑的相关因素；</w:t>
      </w:r>
    </w:p>
    <w:p w14:paraId="169461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27.1.4核对评标工作用表。</w:t>
      </w:r>
    </w:p>
    <w:p w14:paraId="6D87DD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  评标办法</w:t>
      </w:r>
    </w:p>
    <w:p w14:paraId="4ABF6C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27.2.1评标委员会按照第二章“评标办法”规定的方法、评审因素、标准和程序对投标文件进行评审。第二章“评标办法”没有规定的方法、评审因素和标准，不作为评标依据。</w:t>
      </w:r>
    </w:p>
    <w:p w14:paraId="5E75C0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27.3评标原则：</w:t>
      </w:r>
    </w:p>
    <w:p w14:paraId="27CFAFC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遵循公平、公正、科学和择优的原则。</w:t>
      </w:r>
    </w:p>
    <w:p w14:paraId="6CDAF2D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 投标文件的澄清</w:t>
      </w:r>
    </w:p>
    <w:p w14:paraId="0C36E7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27.4.1 在评标过程中，评标委员会认为需要，可要求投标人对投标文件中的有关问题进行澄清或提供补充说明及有关资料，投标人应做出答复，答复将视为投标文件的组成部分，答复中不得变更价格、服务期、自报质量等实质性内容。</w:t>
      </w:r>
      <w:r>
        <w:rPr>
          <w:rFonts w:hint="eastAsia" w:ascii="宋体" w:hAnsi="宋体" w:eastAsia="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p>
    <w:p w14:paraId="2A6BC29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27.4.2投标截止时间后，投标人对投标报价或其它实质性内容修正的函件和增加的任何优惠条件，一律不得作为评标、定标的依据。</w:t>
      </w:r>
    </w:p>
    <w:p w14:paraId="379380B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27.4.3 招标人不接受投标人主动提出的澄清。</w:t>
      </w:r>
    </w:p>
    <w:p w14:paraId="06F0B09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27.5评审意见分歧的处理办法</w:t>
      </w:r>
    </w:p>
    <w:p w14:paraId="69F124A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（1）评标委员会应当对投标人提供的报告、证明材料及详细说明认真研究。对存在意见分歧的，可采用投票方式表决决定（按多数评委意见为准）；</w:t>
      </w:r>
    </w:p>
    <w:p w14:paraId="6DE5331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（2）招标投标当事人对评标结果提出质疑或者投诉，公共资源交易监督机构认为需要重新进行评标的，评标委员会成员应当按照公共资源交易监督机构要求重新评标。</w:t>
      </w:r>
    </w:p>
    <w:p w14:paraId="630F06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27.6评标报告的签署</w:t>
      </w:r>
    </w:p>
    <w:p w14:paraId="2A2F60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13A9682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27.7评标过程的保密</w:t>
      </w:r>
    </w:p>
    <w:p w14:paraId="4E822EA3">
      <w:pPr>
        <w:spacing w:line="440" w:lineRule="exact"/>
        <w:ind w:firstLine="205" w:firstLineChars="98"/>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color w:val="auto"/>
          <w:szCs w:val="21"/>
          <w:highlight w:val="none"/>
          <w:lang w:val="en-US" w:eastAsia="zh-CN"/>
        </w:rPr>
        <w:t> 评标委员会成员和与评标活动有关的工作人员不得透露对投标文件的评审和比较、中标候选人的推荐情况以及与评标有关的其他情况</w:t>
      </w:r>
      <w:r>
        <w:rPr>
          <w:rFonts w:hint="eastAsia" w:ascii="宋体" w:hAnsi="Times New Roman" w:eastAsia="宋体" w:cs="Times New Roman"/>
          <w:b w:val="0"/>
          <w:bCs/>
          <w:color w:val="auto"/>
          <w:szCs w:val="21"/>
          <w:highlight w:val="none"/>
          <w:lang w:val="en-US" w:eastAsia="zh-CN"/>
        </w:rPr>
        <w:t xml:space="preserve">。 </w:t>
      </w:r>
    </w:p>
    <w:p w14:paraId="67425C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27.8评标结果公告</w:t>
      </w:r>
    </w:p>
    <w:p w14:paraId="002C3227">
      <w:pPr>
        <w:spacing w:line="440" w:lineRule="exact"/>
        <w:ind w:firstLine="422" w:firstLineChars="200"/>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b/>
          <w:bCs/>
          <w:color w:val="auto"/>
          <w:szCs w:val="21"/>
          <w:highlight w:val="none"/>
          <w:lang w:val="en-US" w:eastAsia="zh-CN"/>
        </w:rPr>
        <w:t>招标人应将中标人的情况在滁州市城投工程咨询管理有限公司（https://www.czctgczx.com/）、滁州市重点工程建设管理处（http://zdc.chuzhou.gov.cn/）等网站上予以公告，公告期为3日</w:t>
      </w:r>
      <w:r>
        <w:rPr>
          <w:rFonts w:hint="eastAsia" w:ascii="宋体" w:hAnsi="Times New Roman" w:eastAsia="宋体" w:cs="Times New Roman"/>
          <w:b w:val="0"/>
          <w:bCs/>
          <w:color w:val="auto"/>
          <w:szCs w:val="21"/>
          <w:highlight w:val="none"/>
          <w:lang w:val="en-US" w:eastAsia="zh-CN"/>
        </w:rPr>
        <w:t xml:space="preserve">。 </w:t>
      </w:r>
    </w:p>
    <w:p w14:paraId="7B732A4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 定标</w:t>
      </w:r>
    </w:p>
    <w:p w14:paraId="3E76CB44">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中标人的确定</w:t>
      </w:r>
    </w:p>
    <w:p w14:paraId="634B4A8C">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.1.1除投标人须知前附表规定评标委员会直接确定中标人外，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人依据评标委员会推荐的中标候选人确定中标人，评标委员会推荐中标候选人的人数见投标人须知前附表。</w:t>
      </w:r>
    </w:p>
    <w:p w14:paraId="1F099C5C">
      <w:pPr>
        <w:pStyle w:val="18"/>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.1.2中标人确定后，</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应将中标信息在</w:t>
      </w:r>
      <w:r>
        <w:rPr>
          <w:rFonts w:hint="eastAsia" w:ascii="宋体" w:hAnsi="宋体" w:eastAsia="宋体" w:cs="宋体"/>
          <w:color w:val="auto"/>
          <w:szCs w:val="21"/>
          <w:highlight w:val="none"/>
          <w:lang w:val="en-US" w:eastAsia="zh-CN"/>
        </w:rPr>
        <w:t>滁州市城投工程咨询管理有限公司（https://www.czctgczx.com/）、滁州市重点工程建设管理处（http://zdc.chuzhou.gov.cn/）等</w:t>
      </w:r>
      <w:r>
        <w:rPr>
          <w:rFonts w:hint="eastAsia" w:ascii="宋体" w:hAnsi="宋体" w:eastAsia="宋体" w:cs="宋体"/>
          <w:color w:val="auto"/>
          <w:szCs w:val="21"/>
          <w:highlight w:val="none"/>
        </w:rPr>
        <w:t>网站上公告。</w:t>
      </w:r>
    </w:p>
    <w:p w14:paraId="002F8488">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中标通知书</w:t>
      </w:r>
    </w:p>
    <w:p w14:paraId="166F485C">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代理机构应在中标人确定之日起2个工作日内，向中标人发出中标通知书。</w:t>
      </w:r>
    </w:p>
    <w:p w14:paraId="6292799B">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.2.2中标通知书须加盖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代理机构公章后，方可发出。</w:t>
      </w:r>
    </w:p>
    <w:p w14:paraId="13613C4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29</w:t>
      </w:r>
      <w:r>
        <w:rPr>
          <w:rFonts w:hint="eastAsia" w:ascii="宋体" w:hAnsi="宋体" w:eastAsia="宋体" w:cs="宋体"/>
          <w:b/>
          <w:color w:val="auto"/>
          <w:szCs w:val="21"/>
          <w:highlight w:val="none"/>
        </w:rPr>
        <w:t>. 开评标异常情况处理</w:t>
      </w:r>
    </w:p>
    <w:p w14:paraId="5C9BE4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 xml:space="preserve">.1重新招标 </w:t>
      </w:r>
    </w:p>
    <w:p w14:paraId="446F54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有下列情形之一的，</w:t>
      </w:r>
      <w:r>
        <w:rPr>
          <w:rFonts w:hint="eastAsia" w:ascii="宋体" w:hAnsi="宋体" w:eastAsia="宋体" w:cs="宋体"/>
          <w:color w:val="auto"/>
          <w:kern w:val="10"/>
          <w:szCs w:val="21"/>
          <w:highlight w:val="none"/>
          <w:lang w:eastAsia="zh-CN"/>
        </w:rPr>
        <w:t>招标人</w:t>
      </w:r>
      <w:r>
        <w:rPr>
          <w:rFonts w:hint="eastAsia" w:ascii="宋体" w:hAnsi="宋体" w:eastAsia="宋体" w:cs="宋体"/>
          <w:color w:val="auto"/>
          <w:kern w:val="10"/>
          <w:szCs w:val="21"/>
          <w:highlight w:val="none"/>
        </w:rPr>
        <w:t>将重新招标：</w:t>
      </w:r>
    </w:p>
    <w:p w14:paraId="3E17D152">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 xml:space="preserve">(1)投标截止时间止，投标人少于三个的； </w:t>
      </w:r>
    </w:p>
    <w:p w14:paraId="556D50B6">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(2)经评标委员会评审后否决所有投标的；</w:t>
      </w:r>
    </w:p>
    <w:p w14:paraId="750F8A2C">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(3)出现影响采购公正的违法、违规行为的；</w:t>
      </w:r>
    </w:p>
    <w:p w14:paraId="02A4A144">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(4)投标人的报价均脱离实际且无充分证据的；</w:t>
      </w:r>
    </w:p>
    <w:p w14:paraId="4C565AB0">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(5)因重大变故，采购任务取消的。</w:t>
      </w:r>
    </w:p>
    <w:p w14:paraId="44A10C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.2变更采购方式</w:t>
      </w:r>
    </w:p>
    <w:p w14:paraId="785844F2">
      <w:pPr>
        <w:spacing w:line="440" w:lineRule="exact"/>
        <w:ind w:firstLine="625" w:firstLineChars="298"/>
        <w:jc w:val="left"/>
        <w:rPr>
          <w:rFonts w:hint="eastAsia" w:ascii="宋体" w:hAnsi="Times New Roman" w:eastAsia="宋体" w:cs="Times New Roman"/>
          <w:b w:val="0"/>
          <w:bCs/>
          <w:color w:val="auto"/>
          <w:szCs w:val="21"/>
          <w:highlight w:val="none"/>
          <w:lang w:val="en-US" w:eastAsia="zh-CN"/>
        </w:rPr>
      </w:pPr>
      <w:r>
        <w:rPr>
          <w:rFonts w:hint="eastAsia" w:ascii="宋体" w:hAnsi="Times New Roman" w:eastAsia="宋体" w:cs="Times New Roman"/>
          <w:b w:val="0"/>
          <w:bCs/>
          <w:color w:val="auto"/>
          <w:szCs w:val="21"/>
          <w:highlight w:val="none"/>
          <w:lang w:val="en-US" w:eastAsia="zh-CN"/>
        </w:rPr>
        <w:t>重新招标后，投标截止时间结束后提交投标文件的投标人少于3家或者符合专业条件的投标人或对招标文件作出实质性响应的投标人不足3家的，招标人可采取竞争性谈判、单一来源采购方式进行项目发包。</w:t>
      </w:r>
    </w:p>
    <w:p w14:paraId="7295FCC4">
      <w:pPr>
        <w:spacing w:line="440" w:lineRule="exact"/>
        <w:ind w:firstLine="625" w:firstLineChars="298"/>
        <w:jc w:val="left"/>
        <w:rPr>
          <w:rFonts w:hint="eastAsia" w:ascii="宋体" w:hAnsi="Times New Roman" w:eastAsia="宋体" w:cs="Times New Roman"/>
          <w:b w:val="0"/>
          <w:bCs/>
          <w:color w:val="auto"/>
          <w:szCs w:val="21"/>
          <w:highlight w:val="none"/>
          <w:lang w:val="en-US" w:eastAsia="zh-CN"/>
        </w:rPr>
      </w:pPr>
      <w:r>
        <w:rPr>
          <w:rFonts w:hint="eastAsia" w:ascii="宋体" w:hAnsi="Times New Roman" w:eastAsia="宋体" w:cs="Times New Roman"/>
          <w:b w:val="0"/>
          <w:bCs/>
          <w:color w:val="auto"/>
          <w:szCs w:val="21"/>
          <w:highlight w:val="none"/>
          <w:lang w:val="en-US" w:eastAsia="zh-CN"/>
        </w:rPr>
        <w:t xml:space="preserve">参加竞争性谈判、单一来源采购的投标人必须符合下列条件：①、投标资格符合招标文件要求；②、对招标文件作出实质性响应。 </w:t>
      </w:r>
    </w:p>
    <w:p w14:paraId="6CB16242">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b/>
          <w:bCs/>
          <w:color w:val="auto"/>
          <w:sz w:val="28"/>
          <w:highlight w:val="none"/>
        </w:rPr>
      </w:pPr>
      <w:bookmarkStart w:id="54" w:name="_Toc21491"/>
      <w:bookmarkStart w:id="55" w:name="_Toc22926"/>
      <w:r>
        <w:rPr>
          <w:rFonts w:hint="eastAsia" w:ascii="宋体" w:hAnsi="宋体" w:eastAsia="宋体" w:cs="宋体"/>
          <w:b/>
          <w:bCs/>
          <w:color w:val="auto"/>
          <w:sz w:val="28"/>
          <w:highlight w:val="none"/>
        </w:rPr>
        <w:t>六、合同的授予</w:t>
      </w:r>
      <w:bookmarkEnd w:id="54"/>
      <w:bookmarkEnd w:id="55"/>
    </w:p>
    <w:p w14:paraId="2EDC141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.合同授予标准</w:t>
      </w:r>
    </w:p>
    <w:p w14:paraId="282F258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.1本招标工程的合同授予按本须知第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条规定所确定的中标人。</w:t>
      </w:r>
    </w:p>
    <w:p w14:paraId="3811C16F">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.合同协议书的签订</w:t>
      </w:r>
    </w:p>
    <w:p w14:paraId="65ADE3E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.1中标通知书发放后3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日内，按照招标文件和中标人的投标文件订立书面合同。招标人和中标人不得再行订立背离合同实质性内容的其他协议。</w:t>
      </w:r>
    </w:p>
    <w:p w14:paraId="433C1E4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中标人如不按本</w:t>
      </w:r>
      <w:r>
        <w:rPr>
          <w:rFonts w:hint="eastAsia" w:ascii="宋体" w:hAnsi="宋体" w:cs="宋体"/>
          <w:color w:val="auto"/>
          <w:sz w:val="21"/>
          <w:szCs w:val="21"/>
          <w:highlight w:val="none"/>
          <w:lang w:eastAsia="zh-CN"/>
        </w:rPr>
        <w:t>投标人须知</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条的规定与招标人订立合同，则招标人将取消其中标资格，给招标人造成的损失超过投标担保数额的，还应当对超过部分予以赔偿，同时依法承担相应法律责任。</w:t>
      </w:r>
    </w:p>
    <w:p w14:paraId="6CA53D9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highlight w:val="none"/>
          <w:lang w:val="en-US" w:eastAsia="zh-CN"/>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中标人应当按照合同约定履行义务，完成中标项目的实施，不得将中标项目转让（转包）给他人。</w:t>
      </w:r>
      <w:r>
        <w:rPr>
          <w:rFonts w:hint="eastAsia" w:ascii="宋体" w:hAnsi="宋体" w:eastAsia="宋体" w:cs="宋体"/>
          <w:color w:val="auto"/>
          <w:highlight w:val="none"/>
          <w:lang w:val="en-US" w:eastAsia="zh-CN"/>
        </w:rPr>
        <w:t xml:space="preserve"> </w:t>
      </w:r>
      <w:bookmarkStart w:id="56" w:name="_Toc3222"/>
      <w:bookmarkStart w:id="57" w:name="_Toc31589_WPSOffice_Level1"/>
      <w:r>
        <w:rPr>
          <w:rFonts w:hint="eastAsia" w:ascii="宋体" w:hAnsi="宋体" w:eastAsia="宋体" w:cs="宋体"/>
          <w:color w:val="auto"/>
          <w:highlight w:val="none"/>
          <w:lang w:val="en-US" w:eastAsia="zh-CN"/>
        </w:rPr>
        <w:t xml:space="preserve"> </w:t>
      </w:r>
    </w:p>
    <w:p w14:paraId="1A0FFB64">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七</w:t>
      </w:r>
      <w:r>
        <w:rPr>
          <w:rFonts w:hint="eastAsia" w:ascii="宋体" w:hAnsi="宋体" w:eastAsia="宋体" w:cs="宋体"/>
          <w:b/>
          <w:bCs/>
          <w:color w:val="auto"/>
          <w:sz w:val="28"/>
          <w:highlight w:val="none"/>
          <w:lang w:eastAsia="zh-CN"/>
        </w:rPr>
        <w:t>、</w:t>
      </w:r>
      <w:r>
        <w:rPr>
          <w:rFonts w:hint="eastAsia" w:ascii="宋体" w:hAnsi="宋体" w:eastAsia="宋体" w:cs="宋体"/>
          <w:b/>
          <w:bCs/>
          <w:color w:val="auto"/>
          <w:sz w:val="28"/>
          <w:highlight w:val="none"/>
        </w:rPr>
        <w:t>纪律和监督</w:t>
      </w:r>
    </w:p>
    <w:p w14:paraId="4D39E8B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32</w:t>
      </w:r>
      <w:r>
        <w:rPr>
          <w:rFonts w:hint="eastAsia" w:ascii="宋体" w:hAnsi="宋体" w:eastAsia="宋体" w:cs="宋体"/>
          <w:b/>
          <w:color w:val="auto"/>
          <w:sz w:val="21"/>
          <w:szCs w:val="21"/>
          <w:highlight w:val="none"/>
        </w:rPr>
        <w:t>. 对</w:t>
      </w:r>
      <w:r>
        <w:rPr>
          <w:rFonts w:hint="eastAsia" w:ascii="宋体" w:hAnsi="宋体" w:eastAsia="宋体" w:cs="宋体"/>
          <w:b/>
          <w:color w:val="auto"/>
          <w:sz w:val="21"/>
          <w:szCs w:val="21"/>
          <w:highlight w:val="none"/>
          <w:lang w:val="en-US" w:eastAsia="zh-CN"/>
        </w:rPr>
        <w:t>招标</w:t>
      </w:r>
      <w:r>
        <w:rPr>
          <w:rFonts w:hint="eastAsia" w:ascii="宋体" w:hAnsi="宋体" w:eastAsia="宋体" w:cs="宋体"/>
          <w:b/>
          <w:color w:val="auto"/>
          <w:sz w:val="21"/>
          <w:szCs w:val="21"/>
          <w:highlight w:val="none"/>
        </w:rPr>
        <w:t xml:space="preserve">人的纪律要求 </w:t>
      </w:r>
    </w:p>
    <w:p w14:paraId="4F26488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2</w:t>
      </w:r>
      <w:r>
        <w:rPr>
          <w:rFonts w:hint="eastAsia" w:ascii="宋体" w:hAnsi="宋体" w:eastAsia="宋体" w:cs="宋体"/>
          <w:color w:val="auto"/>
          <w:kern w:val="10"/>
          <w:sz w:val="21"/>
          <w:szCs w:val="21"/>
          <w:highlight w:val="none"/>
        </w:rPr>
        <w:t>.1</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 xml:space="preserve">人不得泄漏招标投标活动中应当保密的情况和资料，不得与投标人串通损害国家利益，社会公共利益或者他人合法权益。 </w:t>
      </w:r>
    </w:p>
    <w:p w14:paraId="5551F485">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 xml:space="preserve">. 对投标人的纪律要求 </w:t>
      </w:r>
    </w:p>
    <w:p w14:paraId="7504D9C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3</w:t>
      </w:r>
      <w:r>
        <w:rPr>
          <w:rFonts w:hint="eastAsia" w:ascii="宋体" w:hAnsi="宋体" w:eastAsia="宋体" w:cs="宋体"/>
          <w:color w:val="auto"/>
          <w:kern w:val="10"/>
          <w:sz w:val="21"/>
          <w:szCs w:val="21"/>
          <w:highlight w:val="none"/>
        </w:rPr>
        <w:t>.1投标人不得相互串通投标或者与</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人串通投标，不得向</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人或者评标委员会成员行贿谋取中标，不得以他人名义投标或者以其他方式弄虚作假骗取中标；投标人不得以任何方式干扰、影响评标工作。</w:t>
      </w:r>
    </w:p>
    <w:p w14:paraId="7BDEB76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xml:space="preserve">. 对评标委员会成员的纪律要求 </w:t>
      </w:r>
    </w:p>
    <w:p w14:paraId="6CB3C10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.1评标委员会成员不得收受他人的财物或者其他好处，不得向他人透漏对投标文件的评审和比较、中标候选人的推荐情况以及评标有关的其他情况。</w:t>
      </w:r>
    </w:p>
    <w:p w14:paraId="03E470D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.2在评标活动中，评标委员会成员不得擅离职守，影响评标程序正常进行，不得使用第</w:t>
      </w:r>
      <w:r>
        <w:rPr>
          <w:rFonts w:hint="eastAsia" w:ascii="宋体" w:hAnsi="宋体" w:cs="宋体"/>
          <w:color w:val="auto"/>
          <w:kern w:val="10"/>
          <w:sz w:val="21"/>
          <w:szCs w:val="21"/>
          <w:highlight w:val="none"/>
          <w:lang w:eastAsia="zh-CN"/>
        </w:rPr>
        <w:t>二</w:t>
      </w:r>
      <w:r>
        <w:rPr>
          <w:rFonts w:hint="eastAsia" w:ascii="宋体" w:hAnsi="宋体" w:eastAsia="宋体" w:cs="宋体"/>
          <w:color w:val="auto"/>
          <w:kern w:val="10"/>
          <w:sz w:val="21"/>
          <w:szCs w:val="21"/>
          <w:highlight w:val="none"/>
        </w:rPr>
        <w:t xml:space="preserve">章“评标办法”没有规定的评审因素和标准进行评标。 </w:t>
      </w:r>
    </w:p>
    <w:p w14:paraId="72153F7E">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35</w:t>
      </w:r>
      <w:r>
        <w:rPr>
          <w:rFonts w:hint="eastAsia" w:ascii="宋体" w:hAnsi="宋体" w:eastAsia="宋体" w:cs="宋体"/>
          <w:b/>
          <w:color w:val="auto"/>
          <w:sz w:val="21"/>
          <w:szCs w:val="21"/>
          <w:highlight w:val="none"/>
        </w:rPr>
        <w:t xml:space="preserve">. 对与评标活动有关的工作人员的纪律要求 </w:t>
      </w:r>
    </w:p>
    <w:p w14:paraId="27E68A89">
      <w:pPr>
        <w:adjustRightInd w:val="0"/>
        <w:snapToGrid w:val="0"/>
        <w:spacing w:line="440" w:lineRule="exact"/>
        <w:rPr>
          <w:rFonts w:hint="eastAsia" w:ascii="宋体"/>
          <w:color w:val="auto"/>
          <w:kern w:val="10"/>
          <w:szCs w:val="21"/>
          <w:highlight w:val="none"/>
        </w:rPr>
      </w:pPr>
      <w:r>
        <w:rPr>
          <w:rFonts w:hint="eastAsia" w:ascii="宋体" w:hAnsi="宋体" w:eastAsia="宋体" w:cs="宋体"/>
          <w:color w:val="auto"/>
          <w:kern w:val="10"/>
          <w:sz w:val="21"/>
          <w:szCs w:val="21"/>
          <w:highlight w:val="none"/>
          <w:lang w:val="en-US" w:eastAsia="zh-CN"/>
        </w:rPr>
        <w:t>35.1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r>
        <w:rPr>
          <w:rFonts w:hint="eastAsia" w:ascii="宋体"/>
          <w:color w:val="auto"/>
          <w:kern w:val="10"/>
          <w:szCs w:val="21"/>
          <w:highlight w:val="none"/>
        </w:rPr>
        <w:t>。</w:t>
      </w:r>
    </w:p>
    <w:p w14:paraId="5F5F9D3C">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b/>
          <w:bCs/>
          <w:color w:val="auto"/>
          <w:sz w:val="28"/>
          <w:highlight w:val="none"/>
        </w:rPr>
      </w:pPr>
      <w:bookmarkStart w:id="58" w:name="_Toc449028875"/>
      <w:r>
        <w:rPr>
          <w:rFonts w:hint="eastAsia" w:ascii="宋体" w:hAnsi="宋体" w:eastAsia="宋体" w:cs="宋体"/>
          <w:b/>
          <w:bCs/>
          <w:color w:val="auto"/>
          <w:sz w:val="28"/>
          <w:highlight w:val="none"/>
          <w:lang w:val="en-US" w:eastAsia="zh-CN"/>
        </w:rPr>
        <w:t>八、</w:t>
      </w:r>
      <w:r>
        <w:rPr>
          <w:rFonts w:hint="eastAsia" w:ascii="宋体" w:hAnsi="宋体" w:eastAsia="宋体" w:cs="宋体"/>
          <w:b/>
          <w:bCs/>
          <w:color w:val="auto"/>
          <w:sz w:val="28"/>
          <w:highlight w:val="none"/>
        </w:rPr>
        <w:t>质疑</w:t>
      </w:r>
      <w:bookmarkEnd w:id="58"/>
    </w:p>
    <w:p w14:paraId="1CD4C1C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36</w:t>
      </w:r>
      <w:r>
        <w:rPr>
          <w:rFonts w:hint="eastAsia" w:ascii="宋体" w:hAnsi="宋体" w:eastAsia="宋体" w:cs="宋体"/>
          <w:b/>
          <w:color w:val="auto"/>
          <w:sz w:val="21"/>
          <w:szCs w:val="21"/>
          <w:highlight w:val="none"/>
        </w:rPr>
        <w:t>. 询问、质疑</w:t>
      </w:r>
    </w:p>
    <w:p w14:paraId="2E4B5FF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36.1 投标人对招标活动事项有疑问的，可以向招标人提出询问，招标人将在三日内作出答复，但答复的内容不涉及商业秘密。</w:t>
      </w:r>
    </w:p>
    <w:p w14:paraId="0294DB2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36.2 </w:t>
      </w:r>
      <w:r>
        <w:rPr>
          <w:rFonts w:hint="eastAsia" w:ascii="宋体" w:hAnsi="宋体" w:eastAsia="宋体" w:cs="宋体"/>
          <w:color w:val="auto"/>
          <w:sz w:val="21"/>
          <w:szCs w:val="21"/>
          <w:highlight w:val="none"/>
        </w:rPr>
        <w:t>投标人和其他利害关系人认为本次招标活动违反法律、法规和规章规定的，有权向有关行政监督部门投诉。投诉应当有明确的请求和必要的证明材料。</w:t>
      </w:r>
    </w:p>
    <w:p w14:paraId="4AC960A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36.3</w:t>
      </w:r>
      <w:r>
        <w:rPr>
          <w:rFonts w:hint="eastAsia" w:ascii="宋体" w:hAnsi="宋体" w:eastAsia="宋体" w:cs="宋体"/>
          <w:color w:val="auto"/>
          <w:sz w:val="21"/>
          <w:szCs w:val="21"/>
          <w:highlight w:val="none"/>
        </w:rPr>
        <w:t>投标人或其他利害关系人对评标结果有异议的，应在公示期间提出。招标人将在收到异议之日起3日内作出答复；作出答复前，将暂停招标投标活动。</w:t>
      </w: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一份质疑（异议）函只能针对一个项目提出质疑（异议），且针对同一招标采购程序环节的质疑（异议）应当一次性提出</w:t>
      </w:r>
      <w:r>
        <w:rPr>
          <w:rFonts w:hint="eastAsia" w:ascii="宋体" w:hAnsi="宋体" w:eastAsia="宋体" w:cs="宋体"/>
          <w:b/>
          <w:bCs/>
          <w:color w:val="auto"/>
          <w:sz w:val="21"/>
          <w:szCs w:val="21"/>
          <w:highlight w:val="none"/>
          <w:lang w:eastAsia="zh-CN"/>
        </w:rPr>
        <w:t>。</w:t>
      </w:r>
    </w:p>
    <w:p w14:paraId="358F522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36.4参与投标的投标人对中标公告提出的质疑，负有举证的责任。投标人提出质疑应当提交质疑函和必要的证明材料。质疑函应当包括下列内容：</w:t>
      </w:r>
    </w:p>
    <w:p w14:paraId="1CBAEEF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（一）投标人的姓名或者名称、地址、邮编、联系人及联系电话；</w:t>
      </w:r>
    </w:p>
    <w:p w14:paraId="7763497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（二）质疑项目的名称、</w:t>
      </w:r>
      <w:bookmarkStart w:id="70" w:name="_GoBack"/>
      <w:bookmarkEnd w:id="70"/>
      <w:r>
        <w:rPr>
          <w:rFonts w:hint="eastAsia" w:ascii="宋体" w:hAnsi="宋体" w:eastAsia="宋体" w:cs="宋体"/>
          <w:color w:val="auto"/>
          <w:sz w:val="21"/>
          <w:szCs w:val="21"/>
          <w:highlight w:val="none"/>
          <w:lang w:val="en-US" w:eastAsia="zh-CN"/>
        </w:rPr>
        <w:t>编号；</w:t>
      </w:r>
    </w:p>
    <w:p w14:paraId="2B5293B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（三）具体、明确的质疑事项和与质疑事项相关的请求；</w:t>
      </w:r>
    </w:p>
    <w:p w14:paraId="0CC942E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（四）事实依据；</w:t>
      </w:r>
    </w:p>
    <w:p w14:paraId="0F584D0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（五）必要的法律依据；</w:t>
      </w:r>
    </w:p>
    <w:p w14:paraId="615070B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（六）提出质疑的日期。</w:t>
      </w:r>
    </w:p>
    <w:p w14:paraId="07F11C0E">
      <w:pPr>
        <w:keepNext w:val="0"/>
        <w:keepLines w:val="0"/>
        <w:pageBreakBefore w:val="0"/>
        <w:widowControl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投标人为自然人的，应当由本人签字；投标人为法人或者其他组织的，应当由法定代表人、主要负责人，或者其授权代表签字或者盖章，并加盖公章。</w:t>
      </w:r>
    </w:p>
    <w:p w14:paraId="26A452B3">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36.5</w:t>
      </w:r>
      <w:r>
        <w:rPr>
          <w:rFonts w:hint="eastAsia" w:ascii="宋体" w:hAnsi="宋体" w:eastAsia="宋体" w:cs="宋体"/>
          <w:color w:val="auto"/>
          <w:kern w:val="10"/>
          <w:sz w:val="21"/>
          <w:szCs w:val="21"/>
          <w:highlight w:val="none"/>
          <w:lang w:eastAsia="zh-CN"/>
        </w:rPr>
        <w:t>招标人</w:t>
      </w:r>
      <w:r>
        <w:rPr>
          <w:rFonts w:hint="eastAsia" w:ascii="宋体" w:hAnsi="宋体" w:eastAsia="宋体" w:cs="宋体"/>
          <w:color w:val="auto"/>
          <w:kern w:val="10"/>
          <w:sz w:val="21"/>
          <w:szCs w:val="21"/>
          <w:highlight w:val="none"/>
        </w:rPr>
        <w:t>或</w:t>
      </w:r>
      <w:r>
        <w:rPr>
          <w:rFonts w:hint="eastAsia" w:ascii="宋体" w:hAnsi="宋体" w:eastAsia="宋体" w:cs="宋体"/>
          <w:color w:val="auto"/>
          <w:kern w:val="10"/>
          <w:sz w:val="21"/>
          <w:szCs w:val="21"/>
          <w:highlight w:val="none"/>
          <w:lang w:eastAsia="zh-CN"/>
        </w:rPr>
        <w:t>招标代理机构</w:t>
      </w:r>
      <w:r>
        <w:rPr>
          <w:rFonts w:hint="eastAsia" w:ascii="宋体" w:hAnsi="宋体" w:eastAsia="宋体" w:cs="宋体"/>
          <w:color w:val="auto"/>
          <w:kern w:val="10"/>
          <w:sz w:val="21"/>
          <w:szCs w:val="21"/>
          <w:highlight w:val="none"/>
        </w:rPr>
        <w:t>在收到投标人的质疑函后，将审查质疑函的格式、内容以及所附的证明文件是否符合要求。如不符合，说明原因退回投标人；如符合要求，则接受该质疑函并向投标人出具受理证明</w:t>
      </w:r>
      <w:r>
        <w:rPr>
          <w:rFonts w:hint="eastAsia" w:ascii="宋体" w:hAnsi="宋体" w:eastAsia="宋体" w:cs="宋体"/>
          <w:color w:val="auto"/>
          <w:sz w:val="21"/>
          <w:szCs w:val="21"/>
          <w:highlight w:val="none"/>
          <w:lang w:val="en-US" w:eastAsia="zh-CN"/>
        </w:rPr>
        <w:t>。</w:t>
      </w:r>
    </w:p>
    <w:p w14:paraId="65F1D038">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sz w:val="21"/>
          <w:szCs w:val="21"/>
          <w:highlight w:val="none"/>
          <w:lang w:val="en-US" w:eastAsia="zh-CN"/>
        </w:rPr>
        <w:t>36.6处理质疑的时间，从实际接受投标人质疑函的时间开始计算</w:t>
      </w:r>
      <w:r>
        <w:rPr>
          <w:rFonts w:hint="eastAsia" w:ascii="宋体" w:hAnsi="宋体" w:eastAsia="宋体" w:cs="宋体"/>
          <w:color w:val="auto"/>
          <w:kern w:val="10"/>
          <w:sz w:val="21"/>
          <w:szCs w:val="21"/>
          <w:highlight w:val="none"/>
        </w:rPr>
        <w:t>。</w:t>
      </w:r>
    </w:p>
    <w:p w14:paraId="32EDDA19">
      <w:pPr>
        <w:pStyle w:val="6"/>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59" w:name="_Toc13234"/>
      <w:r>
        <w:rPr>
          <w:rFonts w:hint="eastAsia" w:ascii="宋体" w:hAnsi="宋体" w:eastAsia="宋体" w:cs="宋体"/>
          <w:color w:val="auto"/>
          <w:highlight w:val="none"/>
          <w:lang w:val="en-US" w:eastAsia="zh-CN"/>
        </w:rPr>
        <w:t>第二章 评标办法</w:t>
      </w:r>
      <w:bookmarkEnd w:id="59"/>
    </w:p>
    <w:p w14:paraId="4E420EF5">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bookmarkStart w:id="60" w:name="_Toc14912"/>
      <w:r>
        <w:rPr>
          <w:rFonts w:hint="eastAsia" w:ascii="宋体" w:hAnsi="宋体" w:eastAsia="宋体" w:cs="宋体"/>
          <w:b/>
          <w:bCs/>
          <w:color w:val="auto"/>
          <w:sz w:val="24"/>
          <w:szCs w:val="24"/>
          <w:highlight w:val="none"/>
          <w:lang w:val="en-US" w:eastAsia="zh-CN"/>
        </w:rPr>
        <w:t>一、总则</w:t>
      </w:r>
      <w:bookmarkEnd w:id="60"/>
    </w:p>
    <w:p w14:paraId="068C5033">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 本次评标采用综合评估法</w:t>
      </w:r>
    </w:p>
    <w:p w14:paraId="64AB08B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1.1综合评</w:t>
      </w:r>
      <w:r>
        <w:rPr>
          <w:rFonts w:hint="eastAsia" w:ascii="宋体" w:hAnsi="宋体" w:cs="宋体"/>
          <w:color w:val="auto"/>
          <w:sz w:val="21"/>
          <w:szCs w:val="21"/>
          <w:highlight w:val="none"/>
          <w:lang w:val="en-US" w:eastAsia="zh-CN"/>
        </w:rPr>
        <w:t>估</w:t>
      </w:r>
      <w:r>
        <w:rPr>
          <w:rFonts w:hint="eastAsia" w:ascii="宋体" w:hAnsi="宋体" w:eastAsia="宋体" w:cs="宋体"/>
          <w:color w:val="auto"/>
          <w:sz w:val="21"/>
          <w:szCs w:val="21"/>
          <w:highlight w:val="none"/>
          <w:lang w:val="en-US" w:eastAsia="zh-CN"/>
        </w:rPr>
        <w:t>法，评标委员会对满足招标文件实质性要求的投标文件，按照本章规定的评分标准进行打分，</w:t>
      </w:r>
      <w:r>
        <w:rPr>
          <w:rFonts w:hint="eastAsia" w:ascii="宋体" w:hAnsi="宋体" w:cs="宋体"/>
          <w:b/>
          <w:bCs/>
          <w:color w:val="auto"/>
          <w:szCs w:val="21"/>
          <w:highlight w:val="none"/>
        </w:rPr>
        <w:t>并按总得分由高到低顺序推荐</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名中标候选人，并标明排序</w:t>
      </w:r>
      <w:r>
        <w:rPr>
          <w:rFonts w:hint="eastAsia" w:ascii="宋体" w:hAnsi="宋体" w:eastAsia="宋体" w:cs="宋体"/>
          <w:color w:val="auto"/>
          <w:sz w:val="21"/>
          <w:szCs w:val="21"/>
          <w:highlight w:val="none"/>
          <w:lang w:val="en-US" w:eastAsia="zh-CN"/>
        </w:rPr>
        <w:t>。得分最高的为第一中标候选人，第二高的为第二中标候选人。</w:t>
      </w:r>
      <w:r>
        <w:rPr>
          <w:rFonts w:hint="eastAsia" w:ascii="宋体" w:hAnsi="宋体" w:eastAsia="宋体" w:cs="宋体"/>
          <w:b/>
          <w:bCs/>
          <w:color w:val="auto"/>
          <w:sz w:val="21"/>
          <w:szCs w:val="21"/>
          <w:highlight w:val="none"/>
        </w:rPr>
        <w:t>如总得分相等，以投标报价低的优先，投标报价仍相等，由评标委员会或招标人随机抽取确定排名，不得并列</w:t>
      </w:r>
      <w:r>
        <w:rPr>
          <w:rFonts w:hint="eastAsia" w:ascii="宋体" w:hAnsi="宋体" w:eastAsia="宋体" w:cs="宋体"/>
          <w:color w:val="auto"/>
          <w:sz w:val="21"/>
          <w:szCs w:val="21"/>
          <w:highlight w:val="none"/>
        </w:rPr>
        <w:t>。</w:t>
      </w:r>
    </w:p>
    <w:p w14:paraId="403526C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2．评标程序</w:t>
      </w:r>
    </w:p>
    <w:p w14:paraId="59C70429">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先对投标人报价</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以投标文件投标函中填写报价为准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按计算标准计算得分，得分按照从高到低进行排序（如总得分相等，以投标报价低的优先，投标报价仍相等，由招标人</w:t>
      </w:r>
      <w:r>
        <w:rPr>
          <w:rFonts w:hint="eastAsia" w:ascii="宋体" w:hAnsi="宋体" w:eastAsia="宋体" w:cs="宋体"/>
          <w:b/>
          <w:bCs/>
          <w:color w:val="auto"/>
          <w:sz w:val="21"/>
          <w:szCs w:val="21"/>
          <w:highlight w:val="none"/>
          <w:lang w:val="en-US" w:eastAsia="zh-CN"/>
        </w:rPr>
        <w:t>或评标委员会</w:t>
      </w:r>
      <w:r>
        <w:rPr>
          <w:rFonts w:hint="eastAsia" w:ascii="宋体" w:hAnsi="宋体" w:eastAsia="宋体" w:cs="宋体"/>
          <w:b/>
          <w:bCs/>
          <w:color w:val="auto"/>
          <w:sz w:val="21"/>
          <w:szCs w:val="21"/>
          <w:highlight w:val="none"/>
        </w:rPr>
        <w:t>随机抽取确定排名，不得并列）。对排序前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名的投标人投标文件进行评审并确定中标候选人。若排序前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w:t>
      </w:r>
      <w:r>
        <w:rPr>
          <w:rFonts w:hint="eastAsia" w:ascii="宋体" w:hAnsi="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文件评审不通过，则按得分排序递补至</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家投标人进行</w:t>
      </w:r>
      <w:r>
        <w:rPr>
          <w:rFonts w:hint="eastAsia" w:ascii="宋体" w:hAnsi="宋体" w:cs="宋体"/>
          <w:b/>
          <w:bCs/>
          <w:color w:val="auto"/>
          <w:sz w:val="21"/>
          <w:szCs w:val="21"/>
          <w:highlight w:val="none"/>
          <w:lang w:val="en-US" w:eastAsia="zh-CN"/>
        </w:rPr>
        <w:t>投标文件</w:t>
      </w:r>
      <w:r>
        <w:rPr>
          <w:rFonts w:hint="eastAsia" w:ascii="宋体" w:hAnsi="宋体" w:eastAsia="宋体" w:cs="宋体"/>
          <w:b/>
          <w:bCs/>
          <w:color w:val="auto"/>
          <w:sz w:val="21"/>
          <w:szCs w:val="21"/>
          <w:highlight w:val="none"/>
        </w:rPr>
        <w:t>评审</w:t>
      </w:r>
      <w:r>
        <w:rPr>
          <w:rFonts w:hint="eastAsia" w:ascii="宋体" w:hAnsi="宋体" w:eastAsia="宋体" w:cs="宋体"/>
          <w:b/>
          <w:bCs/>
          <w:color w:val="auto"/>
          <w:sz w:val="21"/>
          <w:szCs w:val="21"/>
          <w:highlight w:val="none"/>
          <w:lang w:eastAsia="zh-CN"/>
        </w:rPr>
        <w:t>。</w:t>
      </w:r>
    </w:p>
    <w:p w14:paraId="591D37D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2.1投标文件的初审</w:t>
      </w:r>
    </w:p>
    <w:p w14:paraId="29ADB920">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2.1.1资格性检查。依据法律法规和</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的规定，对投标文件中的资格证明</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等进行审查，以确定投标人是否具备投标资格。</w:t>
      </w:r>
    </w:p>
    <w:p w14:paraId="0B195F56">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2.1.2符合性检查。依据</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的规定，从投标文件的有效性、完整性和对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的响应程度进行审查，以确定投标人是否对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的实质性要求作出响应。</w:t>
      </w:r>
    </w:p>
    <w:p w14:paraId="7593A8C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2.2投标文件的澄清</w:t>
      </w:r>
    </w:p>
    <w:p w14:paraId="11B3623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在评标过程中，评标委员会认为需要，可要求投标单位对投标文件中的有关问题进行澄清或提供补充说明及有关资料，投标单位应做出书面答复。书面答复中不得变更价格、供货（服务）期、自报质量等实质性内容。</w:t>
      </w:r>
    </w:p>
    <w:p w14:paraId="0684D5D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1C9C5EAC">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  招标人不接受投标单位主动提出的澄清。</w:t>
      </w:r>
    </w:p>
    <w:p w14:paraId="34335270">
      <w:pPr>
        <w:jc w:val="center"/>
        <w:outlineLvl w:val="1"/>
        <w:rPr>
          <w:rFonts w:hint="eastAsia" w:ascii="宋体"/>
          <w:b/>
          <w:color w:val="auto"/>
          <w:sz w:val="28"/>
          <w:szCs w:val="28"/>
          <w:highlight w:val="none"/>
        </w:rPr>
      </w:pPr>
      <w:bookmarkStart w:id="61" w:name="_Toc449028878"/>
      <w:bookmarkStart w:id="62" w:name="_Toc58430318"/>
      <w:bookmarkStart w:id="63" w:name="_Toc29779"/>
      <w:r>
        <w:rPr>
          <w:rFonts w:hint="eastAsia" w:ascii="宋体"/>
          <w:b/>
          <w:color w:val="auto"/>
          <w:sz w:val="28"/>
          <w:szCs w:val="28"/>
          <w:highlight w:val="none"/>
        </w:rPr>
        <w:t>二、投标文件初审</w:t>
      </w:r>
      <w:bookmarkEnd w:id="61"/>
      <w:bookmarkEnd w:id="62"/>
    </w:p>
    <w:p w14:paraId="60FE3D0D">
      <w:pPr>
        <w:ind w:firstLine="310" w:firstLineChars="147"/>
        <w:rPr>
          <w:rFonts w:hint="eastAsia" w:ascii="宋体"/>
          <w:b/>
          <w:color w:val="auto"/>
          <w:szCs w:val="21"/>
          <w:highlight w:val="none"/>
        </w:rPr>
      </w:pPr>
      <w:r>
        <w:rPr>
          <w:rFonts w:hint="eastAsia" w:ascii="宋体"/>
          <w:b/>
          <w:color w:val="auto"/>
          <w:szCs w:val="21"/>
          <w:highlight w:val="none"/>
        </w:rPr>
        <w:t>3.资格性审查:</w:t>
      </w:r>
    </w:p>
    <w:p w14:paraId="31119948">
      <w:pPr>
        <w:spacing w:line="400" w:lineRule="exact"/>
        <w:ind w:firstLine="308" w:firstLineChars="147"/>
        <w:rPr>
          <w:rFonts w:hint="eastAsia"/>
          <w:color w:val="auto"/>
          <w:szCs w:val="21"/>
          <w:highlight w:val="none"/>
        </w:rPr>
      </w:pPr>
      <w:r>
        <w:rPr>
          <w:rFonts w:hint="eastAsia" w:ascii="宋体"/>
          <w:color w:val="auto"/>
          <w:szCs w:val="21"/>
          <w:highlight w:val="none"/>
        </w:rPr>
        <w:t>3.1</w:t>
      </w:r>
      <w:r>
        <w:rPr>
          <w:rFonts w:hint="eastAsia"/>
          <w:color w:val="auto"/>
          <w:szCs w:val="21"/>
          <w:highlight w:val="none"/>
        </w:rPr>
        <w:t>评审细则</w:t>
      </w:r>
    </w:p>
    <w:tbl>
      <w:tblPr>
        <w:tblStyle w:val="45"/>
        <w:tblW w:w="9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5296"/>
        <w:gridCol w:w="2326"/>
      </w:tblGrid>
      <w:tr w14:paraId="1697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7CC68F38">
            <w:pPr>
              <w:spacing w:line="320" w:lineRule="exact"/>
              <w:jc w:val="center"/>
              <w:rPr>
                <w:rFonts w:hint="eastAsia"/>
                <w:color w:val="auto"/>
                <w:highlight w:val="none"/>
              </w:rPr>
            </w:pPr>
            <w:r>
              <w:rPr>
                <w:rFonts w:hint="eastAsia" w:ascii="黑体" w:eastAsia="黑体" w:cs="黑体"/>
                <w:b/>
                <w:bCs/>
                <w:color w:val="auto"/>
                <w:szCs w:val="21"/>
                <w:highlight w:val="none"/>
              </w:rPr>
              <w:t>序号</w:t>
            </w:r>
          </w:p>
        </w:tc>
        <w:tc>
          <w:tcPr>
            <w:tcW w:w="6531" w:type="dxa"/>
            <w:gridSpan w:val="2"/>
            <w:noWrap w:val="0"/>
            <w:vAlign w:val="center"/>
          </w:tcPr>
          <w:p w14:paraId="7F5E48E7">
            <w:pPr>
              <w:spacing w:line="320" w:lineRule="exact"/>
              <w:jc w:val="center"/>
              <w:rPr>
                <w:rFonts w:hint="eastAsia"/>
                <w:color w:val="auto"/>
                <w:highlight w:val="none"/>
              </w:rPr>
            </w:pPr>
            <w:r>
              <w:rPr>
                <w:rFonts w:hint="eastAsia" w:ascii="宋体" w:hAnsi="宋体"/>
                <w:color w:val="auto"/>
                <w:szCs w:val="21"/>
                <w:highlight w:val="none"/>
              </w:rPr>
              <w:t>评审因素</w:t>
            </w:r>
          </w:p>
        </w:tc>
        <w:tc>
          <w:tcPr>
            <w:tcW w:w="2326" w:type="dxa"/>
            <w:noWrap w:val="0"/>
            <w:vAlign w:val="center"/>
          </w:tcPr>
          <w:p w14:paraId="52F81DF4">
            <w:pPr>
              <w:spacing w:line="320" w:lineRule="exact"/>
              <w:jc w:val="center"/>
              <w:rPr>
                <w:rFonts w:hint="eastAsia"/>
                <w:color w:val="auto"/>
                <w:highlight w:val="none"/>
              </w:rPr>
            </w:pPr>
            <w:r>
              <w:rPr>
                <w:rFonts w:hint="eastAsia" w:ascii="宋体" w:hAnsi="宋体"/>
                <w:color w:val="auto"/>
                <w:szCs w:val="21"/>
                <w:highlight w:val="none"/>
              </w:rPr>
              <w:t>评审标准</w:t>
            </w:r>
          </w:p>
        </w:tc>
      </w:tr>
      <w:tr w14:paraId="5D78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0B9A4B5D">
            <w:pPr>
              <w:spacing w:line="32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14:paraId="3034F54A">
            <w:pPr>
              <w:spacing w:line="320" w:lineRule="exact"/>
              <w:jc w:val="center"/>
              <w:rPr>
                <w:rFonts w:hint="eastAsia" w:ascii="宋体" w:hAnsi="宋体"/>
                <w:color w:val="auto"/>
                <w:szCs w:val="21"/>
                <w:highlight w:val="none"/>
              </w:rPr>
            </w:pPr>
            <w:r>
              <w:rPr>
                <w:rFonts w:hint="eastAsia" w:ascii="宋体"/>
                <w:color w:val="auto"/>
                <w:szCs w:val="21"/>
                <w:highlight w:val="none"/>
              </w:rPr>
              <w:t>重要要求</w:t>
            </w:r>
          </w:p>
        </w:tc>
        <w:tc>
          <w:tcPr>
            <w:tcW w:w="5296" w:type="dxa"/>
            <w:noWrap w:val="0"/>
            <w:vAlign w:val="center"/>
          </w:tcPr>
          <w:p w14:paraId="79A38230">
            <w:pPr>
              <w:spacing w:line="320" w:lineRule="exact"/>
              <w:rPr>
                <w:rFonts w:hint="eastAsia" w:ascii="宋体" w:hAnsi="宋体"/>
                <w:color w:val="auto"/>
                <w:szCs w:val="21"/>
                <w:highlight w:val="none"/>
              </w:rPr>
            </w:pPr>
            <w:r>
              <w:rPr>
                <w:rFonts w:hint="eastAsia"/>
                <w:color w:val="auto"/>
                <w:highlight w:val="none"/>
              </w:rPr>
              <w:t>（1）法定代表人身份证明和本人有效身份证(或法定代表人授权委托书和委托代理人有效身份证)</w:t>
            </w:r>
          </w:p>
        </w:tc>
        <w:tc>
          <w:tcPr>
            <w:tcW w:w="2326" w:type="dxa"/>
            <w:noWrap w:val="0"/>
            <w:vAlign w:val="center"/>
          </w:tcPr>
          <w:p w14:paraId="27142348">
            <w:pPr>
              <w:spacing w:line="320" w:lineRule="exact"/>
              <w:jc w:val="left"/>
              <w:rPr>
                <w:rFonts w:hint="eastAsia" w:ascii="宋体" w:hAnsi="宋体"/>
                <w:color w:val="auto"/>
                <w:szCs w:val="21"/>
                <w:highlight w:val="none"/>
              </w:rPr>
            </w:pPr>
            <w:r>
              <w:rPr>
                <w:rFonts w:hint="eastAsia"/>
                <w:color w:val="auto"/>
                <w:highlight w:val="none"/>
              </w:rPr>
              <w:t>检验电子标书。</w:t>
            </w:r>
          </w:p>
        </w:tc>
      </w:tr>
      <w:tr w14:paraId="206B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399706DB">
            <w:pPr>
              <w:spacing w:line="32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14:paraId="5C913C04">
            <w:pPr>
              <w:spacing w:line="320" w:lineRule="exact"/>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5296" w:type="dxa"/>
            <w:noWrap w:val="0"/>
            <w:vAlign w:val="center"/>
          </w:tcPr>
          <w:p w14:paraId="3C024E83">
            <w:pPr>
              <w:spacing w:line="320" w:lineRule="exac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）具有为本项目提供相应服务的能力</w:t>
            </w:r>
          </w:p>
        </w:tc>
        <w:tc>
          <w:tcPr>
            <w:tcW w:w="2326" w:type="dxa"/>
            <w:noWrap w:val="0"/>
            <w:vAlign w:val="center"/>
          </w:tcPr>
          <w:p w14:paraId="607FD99B">
            <w:pPr>
              <w:spacing w:line="320" w:lineRule="exact"/>
              <w:rPr>
                <w:rFonts w:hint="eastAsia" w:ascii="宋体" w:hAnsi="宋体"/>
                <w:color w:val="auto"/>
                <w:szCs w:val="21"/>
                <w:highlight w:val="none"/>
              </w:rPr>
            </w:pPr>
            <w:r>
              <w:rPr>
                <w:rFonts w:hint="eastAsia" w:ascii="宋体"/>
                <w:b/>
                <w:color w:val="auto"/>
                <w:szCs w:val="21"/>
                <w:highlight w:val="none"/>
              </w:rPr>
              <w:t>评审核验电子标书中的下列证书、证明材料：</w:t>
            </w:r>
          </w:p>
          <w:p w14:paraId="734641F7">
            <w:pPr>
              <w:spacing w:line="320" w:lineRule="exact"/>
              <w:rPr>
                <w:rFonts w:hint="eastAsia" w:ascii="宋体"/>
                <w:color w:val="auto"/>
                <w:szCs w:val="21"/>
                <w:highlight w:val="none"/>
              </w:rPr>
            </w:pPr>
            <w:r>
              <w:rPr>
                <w:rFonts w:hint="eastAsia"/>
                <w:color w:val="auto"/>
                <w:highlight w:val="none"/>
              </w:rPr>
              <w:t>投标人有效的营业执照、税务登记证、组</w:t>
            </w:r>
            <w:r>
              <w:rPr>
                <w:rFonts w:hint="eastAsia" w:ascii="Times New Roman" w:hAnsi="Times New Roman" w:eastAsia="宋体" w:cs="Times New Roman"/>
                <w:color w:val="auto"/>
                <w:highlight w:val="none"/>
              </w:rPr>
              <w:t>织机构码证（或“三证合一证书”）</w:t>
            </w:r>
          </w:p>
        </w:tc>
      </w:tr>
      <w:tr w14:paraId="7F07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21878E8D">
            <w:pPr>
              <w:spacing w:line="320" w:lineRule="exact"/>
              <w:jc w:val="center"/>
              <w:rPr>
                <w:rFonts w:hint="eastAsia" w:ascii="宋体" w:hAnsi="宋体"/>
                <w:color w:val="auto"/>
                <w:szCs w:val="21"/>
                <w:highlight w:val="none"/>
              </w:rPr>
            </w:pPr>
          </w:p>
        </w:tc>
        <w:tc>
          <w:tcPr>
            <w:tcW w:w="1235" w:type="dxa"/>
            <w:vMerge w:val="continue"/>
            <w:noWrap w:val="0"/>
            <w:vAlign w:val="center"/>
          </w:tcPr>
          <w:p w14:paraId="7227E239">
            <w:pPr>
              <w:spacing w:line="320" w:lineRule="exact"/>
              <w:rPr>
                <w:rFonts w:hint="eastAsia" w:ascii="宋体" w:hAnsi="宋体"/>
                <w:color w:val="auto"/>
                <w:szCs w:val="21"/>
                <w:highlight w:val="none"/>
              </w:rPr>
            </w:pPr>
          </w:p>
        </w:tc>
        <w:tc>
          <w:tcPr>
            <w:tcW w:w="5296" w:type="dxa"/>
            <w:noWrap w:val="0"/>
            <w:vAlign w:val="center"/>
          </w:tcPr>
          <w:p w14:paraId="45201212">
            <w:pPr>
              <w:spacing w:line="360" w:lineRule="exact"/>
              <w:jc w:val="both"/>
              <w:rPr>
                <w:rFonts w:hint="eastAsia" w:ascii="宋体" w:hAnsi="宋体" w:cs="宋体"/>
                <w:b/>
                <w:color w:val="auto"/>
                <w:szCs w:val="21"/>
                <w:highlight w:val="none"/>
              </w:rPr>
            </w:pPr>
            <w:r>
              <w:rPr>
                <w:rFonts w:hint="eastAsia"/>
                <w:color w:val="auto"/>
                <w:highlight w:val="none"/>
              </w:rPr>
              <w:t>（3）</w:t>
            </w:r>
            <w:r>
              <w:rPr>
                <w:rFonts w:hint="eastAsia" w:ascii="宋体" w:hAnsi="宋体" w:cs="宋体"/>
                <w:color w:val="auto"/>
                <w:sz w:val="21"/>
                <w:szCs w:val="21"/>
                <w:highlight w:val="none"/>
                <w:lang w:val="en-US" w:eastAsia="zh-CN"/>
              </w:rPr>
              <w:t>项目人员配备表</w:t>
            </w:r>
          </w:p>
        </w:tc>
        <w:tc>
          <w:tcPr>
            <w:tcW w:w="2326" w:type="dxa"/>
            <w:noWrap w:val="0"/>
            <w:vAlign w:val="center"/>
          </w:tcPr>
          <w:p w14:paraId="2E0E8AE1">
            <w:pPr>
              <w:spacing w:line="360" w:lineRule="exact"/>
              <w:jc w:val="both"/>
              <w:rPr>
                <w:rFonts w:hint="eastAsia" w:ascii="宋体"/>
                <w:b/>
                <w:color w:val="auto"/>
                <w:szCs w:val="21"/>
                <w:highlight w:val="none"/>
              </w:rPr>
            </w:pPr>
            <w:r>
              <w:rPr>
                <w:rFonts w:hint="eastAsia"/>
                <w:color w:val="auto"/>
                <w:highlight w:val="none"/>
              </w:rPr>
              <w:t>格式见附件，检验电子标书</w:t>
            </w:r>
          </w:p>
        </w:tc>
      </w:tr>
      <w:tr w14:paraId="5B8A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DD7B0EC">
            <w:pPr>
              <w:spacing w:line="320" w:lineRule="exact"/>
              <w:jc w:val="center"/>
              <w:rPr>
                <w:rFonts w:hint="eastAsia" w:ascii="宋体" w:hAnsi="宋体"/>
                <w:color w:val="auto"/>
                <w:szCs w:val="21"/>
                <w:highlight w:val="none"/>
              </w:rPr>
            </w:pPr>
          </w:p>
        </w:tc>
        <w:tc>
          <w:tcPr>
            <w:tcW w:w="1235" w:type="dxa"/>
            <w:vMerge w:val="continue"/>
            <w:noWrap w:val="0"/>
            <w:vAlign w:val="center"/>
          </w:tcPr>
          <w:p w14:paraId="2744FACC">
            <w:pPr>
              <w:spacing w:line="320" w:lineRule="exact"/>
              <w:rPr>
                <w:rFonts w:hint="eastAsia" w:ascii="宋体" w:hAnsi="宋体"/>
                <w:color w:val="auto"/>
                <w:szCs w:val="21"/>
                <w:highlight w:val="none"/>
              </w:rPr>
            </w:pPr>
          </w:p>
        </w:tc>
        <w:tc>
          <w:tcPr>
            <w:tcW w:w="5296" w:type="dxa"/>
            <w:noWrap w:val="0"/>
            <w:vAlign w:val="center"/>
          </w:tcPr>
          <w:p w14:paraId="69BC9D2B">
            <w:pPr>
              <w:spacing w:line="360" w:lineRule="exact"/>
              <w:jc w:val="both"/>
              <w:rPr>
                <w:rFonts w:hint="eastAsia"/>
                <w:color w:val="auto"/>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拟派项目负责人注册造价师证书</w:t>
            </w:r>
          </w:p>
        </w:tc>
        <w:tc>
          <w:tcPr>
            <w:tcW w:w="2326" w:type="dxa"/>
            <w:noWrap w:val="0"/>
            <w:vAlign w:val="center"/>
          </w:tcPr>
          <w:p w14:paraId="68DD7B74">
            <w:pPr>
              <w:spacing w:line="360" w:lineRule="exact"/>
              <w:jc w:val="both"/>
              <w:rPr>
                <w:rFonts w:hint="eastAsia"/>
                <w:color w:val="auto"/>
                <w:highlight w:val="none"/>
              </w:rPr>
            </w:pPr>
            <w:r>
              <w:rPr>
                <w:rFonts w:hint="eastAsia"/>
                <w:color w:val="auto"/>
                <w:highlight w:val="none"/>
              </w:rPr>
              <w:t>检验电子标书</w:t>
            </w:r>
          </w:p>
        </w:tc>
      </w:tr>
      <w:tr w14:paraId="4FBF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546C486">
            <w:pPr>
              <w:spacing w:line="320" w:lineRule="exact"/>
              <w:jc w:val="center"/>
              <w:rPr>
                <w:rFonts w:hint="eastAsia" w:ascii="宋体" w:hAnsi="宋体"/>
                <w:color w:val="auto"/>
                <w:szCs w:val="21"/>
                <w:highlight w:val="none"/>
              </w:rPr>
            </w:pPr>
          </w:p>
        </w:tc>
        <w:tc>
          <w:tcPr>
            <w:tcW w:w="1235" w:type="dxa"/>
            <w:vMerge w:val="continue"/>
            <w:noWrap w:val="0"/>
            <w:vAlign w:val="center"/>
          </w:tcPr>
          <w:p w14:paraId="7B141123">
            <w:pPr>
              <w:spacing w:line="320" w:lineRule="exact"/>
              <w:rPr>
                <w:rFonts w:hint="eastAsia" w:ascii="宋体" w:hAnsi="宋体"/>
                <w:color w:val="auto"/>
                <w:szCs w:val="21"/>
                <w:highlight w:val="none"/>
              </w:rPr>
            </w:pPr>
          </w:p>
        </w:tc>
        <w:tc>
          <w:tcPr>
            <w:tcW w:w="5296" w:type="dxa"/>
            <w:noWrap w:val="0"/>
            <w:vAlign w:val="center"/>
          </w:tcPr>
          <w:p w14:paraId="6F4CA723">
            <w:pPr>
              <w:spacing w:line="360" w:lineRule="exact"/>
              <w:jc w:val="both"/>
              <w:rPr>
                <w:rFonts w:hint="eastAsia"/>
                <w:color w:val="auto"/>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项目组其他成员（不含项目负责人）要求：不少于2名且具有在本单位注册的二级及以上造价工程师注册证书（土木建筑工程专业至少1名）（若注册证书上无法体现专业的，还需另行提供证明专业的证明材料）</w:t>
            </w:r>
          </w:p>
        </w:tc>
        <w:tc>
          <w:tcPr>
            <w:tcW w:w="2326" w:type="dxa"/>
            <w:noWrap w:val="0"/>
            <w:vAlign w:val="center"/>
          </w:tcPr>
          <w:p w14:paraId="551EAE52">
            <w:pPr>
              <w:spacing w:line="360" w:lineRule="exact"/>
              <w:jc w:val="both"/>
              <w:rPr>
                <w:rFonts w:hint="eastAsia"/>
                <w:color w:val="auto"/>
                <w:highlight w:val="none"/>
              </w:rPr>
            </w:pPr>
            <w:r>
              <w:rPr>
                <w:rFonts w:hint="eastAsia"/>
                <w:color w:val="auto"/>
                <w:highlight w:val="none"/>
              </w:rPr>
              <w:t>检验电子标书</w:t>
            </w:r>
          </w:p>
        </w:tc>
      </w:tr>
      <w:tr w14:paraId="386B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62FBCB7F">
            <w:pPr>
              <w:spacing w:line="320" w:lineRule="exact"/>
              <w:jc w:val="center"/>
              <w:rPr>
                <w:rFonts w:hint="eastAsia" w:ascii="宋体" w:hAnsi="宋体"/>
                <w:color w:val="auto"/>
                <w:szCs w:val="21"/>
                <w:highlight w:val="none"/>
              </w:rPr>
            </w:pPr>
          </w:p>
        </w:tc>
        <w:tc>
          <w:tcPr>
            <w:tcW w:w="1235" w:type="dxa"/>
            <w:vMerge w:val="continue"/>
            <w:noWrap w:val="0"/>
            <w:vAlign w:val="center"/>
          </w:tcPr>
          <w:p w14:paraId="1B267B9A">
            <w:pPr>
              <w:spacing w:line="320" w:lineRule="exact"/>
              <w:rPr>
                <w:rFonts w:hint="eastAsia" w:ascii="宋体" w:hAnsi="宋体"/>
                <w:color w:val="auto"/>
                <w:szCs w:val="21"/>
                <w:highlight w:val="none"/>
              </w:rPr>
            </w:pPr>
          </w:p>
        </w:tc>
        <w:tc>
          <w:tcPr>
            <w:tcW w:w="5296" w:type="dxa"/>
            <w:noWrap w:val="0"/>
            <w:vAlign w:val="center"/>
          </w:tcPr>
          <w:p w14:paraId="05277027">
            <w:pPr>
              <w:spacing w:line="360" w:lineRule="exact"/>
              <w:jc w:val="both"/>
              <w:rPr>
                <w:rFonts w:hint="eastAsia"/>
                <w:color w:val="auto"/>
                <w:highlight w:val="none"/>
              </w:rPr>
            </w:pPr>
            <w:r>
              <w:rPr>
                <w:rFonts w:hint="eastAsia" w:ascii="宋体" w:hAnsi="宋体" w:eastAsia="宋体" w:cs="宋体"/>
                <w:color w:val="auto"/>
                <w:sz w:val="21"/>
                <w:szCs w:val="21"/>
                <w:highlight w:val="none"/>
                <w:lang w:val="en-US" w:eastAsia="zh-CN"/>
              </w:rPr>
              <w:t>（6）承诺书1：投标人对所提供的上述材料作出承诺，若投标人存在弄虚作假，提供虚假资料的，若中标，则取消中标资格</w:t>
            </w:r>
          </w:p>
        </w:tc>
        <w:tc>
          <w:tcPr>
            <w:tcW w:w="2326" w:type="dxa"/>
            <w:noWrap w:val="0"/>
            <w:vAlign w:val="center"/>
          </w:tcPr>
          <w:p w14:paraId="7662CE20">
            <w:pPr>
              <w:spacing w:line="360" w:lineRule="exact"/>
              <w:jc w:val="both"/>
              <w:rPr>
                <w:rFonts w:hint="eastAsia"/>
                <w:color w:val="auto"/>
                <w:highlight w:val="none"/>
              </w:rPr>
            </w:pPr>
            <w:r>
              <w:rPr>
                <w:rFonts w:hint="eastAsia"/>
                <w:color w:val="auto"/>
                <w:highlight w:val="none"/>
              </w:rPr>
              <w:t>检验电子标书</w:t>
            </w:r>
          </w:p>
        </w:tc>
      </w:tr>
      <w:tr w14:paraId="5EF3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13D42F0B">
            <w:pPr>
              <w:spacing w:line="320" w:lineRule="exact"/>
              <w:jc w:val="center"/>
              <w:rPr>
                <w:rFonts w:hint="eastAsia" w:ascii="宋体" w:hAnsi="宋体"/>
                <w:color w:val="auto"/>
                <w:szCs w:val="21"/>
                <w:highlight w:val="none"/>
              </w:rPr>
            </w:pPr>
          </w:p>
        </w:tc>
        <w:tc>
          <w:tcPr>
            <w:tcW w:w="1235" w:type="dxa"/>
            <w:vMerge w:val="continue"/>
            <w:noWrap w:val="0"/>
            <w:vAlign w:val="center"/>
          </w:tcPr>
          <w:p w14:paraId="63886723">
            <w:pPr>
              <w:spacing w:line="320" w:lineRule="exact"/>
              <w:rPr>
                <w:rFonts w:hint="eastAsia" w:ascii="宋体" w:hAnsi="宋体"/>
                <w:color w:val="auto"/>
                <w:szCs w:val="21"/>
                <w:highlight w:val="none"/>
              </w:rPr>
            </w:pPr>
          </w:p>
        </w:tc>
        <w:tc>
          <w:tcPr>
            <w:tcW w:w="5296" w:type="dxa"/>
            <w:noWrap w:val="0"/>
            <w:vAlign w:val="center"/>
          </w:tcPr>
          <w:p w14:paraId="2A2A922E">
            <w:pPr>
              <w:spacing w:line="360" w:lineRule="exact"/>
              <w:jc w:val="both"/>
              <w:rPr>
                <w:rFonts w:hint="eastAsia"/>
                <w:color w:val="auto"/>
                <w:highlight w:val="none"/>
              </w:rPr>
            </w:pPr>
            <w:r>
              <w:rPr>
                <w:rFonts w:hint="eastAsia" w:ascii="宋体" w:hAnsi="宋体" w:eastAsia="宋体" w:cs="宋体"/>
                <w:color w:val="auto"/>
                <w:sz w:val="21"/>
                <w:szCs w:val="21"/>
                <w:highlight w:val="none"/>
                <w:lang w:val="en-US" w:eastAsia="zh-CN"/>
              </w:rPr>
              <w:t>（7）承诺书2：投标人承诺“跟踪审计项目开工前，投标单位需将项目任命文报综合计划科，综合计划科抄送工程建设科，同一个造价人员在市重点处同时承揽跟踪审计业务不得超过三个项目，且不得在两个以上市本级以外的地区同时承揽业务”。不按上述要求执行的，若中标，则取消中标资格。</w:t>
            </w:r>
          </w:p>
        </w:tc>
        <w:tc>
          <w:tcPr>
            <w:tcW w:w="2326" w:type="dxa"/>
            <w:noWrap w:val="0"/>
            <w:vAlign w:val="center"/>
          </w:tcPr>
          <w:p w14:paraId="48FC5614">
            <w:pPr>
              <w:spacing w:line="360" w:lineRule="exact"/>
              <w:jc w:val="both"/>
              <w:rPr>
                <w:rFonts w:hint="eastAsia"/>
                <w:color w:val="auto"/>
                <w:highlight w:val="none"/>
              </w:rPr>
            </w:pPr>
            <w:r>
              <w:rPr>
                <w:rFonts w:hint="eastAsia"/>
                <w:color w:val="auto"/>
                <w:highlight w:val="none"/>
              </w:rPr>
              <w:t>检验电子标书</w:t>
            </w:r>
          </w:p>
        </w:tc>
      </w:tr>
      <w:tr w14:paraId="708A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205D7143">
            <w:pPr>
              <w:spacing w:line="320" w:lineRule="exact"/>
              <w:jc w:val="center"/>
              <w:rPr>
                <w:rFonts w:hint="eastAsia" w:ascii="宋体" w:hAnsi="宋体"/>
                <w:color w:val="auto"/>
                <w:szCs w:val="21"/>
                <w:highlight w:val="none"/>
              </w:rPr>
            </w:pPr>
          </w:p>
        </w:tc>
        <w:tc>
          <w:tcPr>
            <w:tcW w:w="1235" w:type="dxa"/>
            <w:vMerge w:val="continue"/>
            <w:noWrap w:val="0"/>
            <w:vAlign w:val="center"/>
          </w:tcPr>
          <w:p w14:paraId="28996A16">
            <w:pPr>
              <w:spacing w:line="320" w:lineRule="exact"/>
              <w:rPr>
                <w:rFonts w:hint="eastAsia" w:ascii="宋体" w:hAnsi="宋体"/>
                <w:color w:val="auto"/>
                <w:szCs w:val="21"/>
                <w:highlight w:val="none"/>
              </w:rPr>
            </w:pPr>
          </w:p>
        </w:tc>
        <w:tc>
          <w:tcPr>
            <w:tcW w:w="5296" w:type="dxa"/>
            <w:noWrap w:val="0"/>
            <w:vAlign w:val="center"/>
          </w:tcPr>
          <w:p w14:paraId="2BA92C2C">
            <w:pPr>
              <w:spacing w:line="360" w:lineRule="exact"/>
              <w:jc w:val="both"/>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8</w:t>
            </w:r>
            <w:r>
              <w:rPr>
                <w:rFonts w:hint="eastAsia"/>
                <w:color w:val="auto"/>
                <w:highlight w:val="none"/>
                <w:lang w:eastAsia="zh-CN"/>
              </w:rPr>
              <w:t>）</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w:t>
            </w:r>
            <w:r>
              <w:rPr>
                <w:rFonts w:hint="eastAsia" w:ascii="宋体" w:hAnsi="宋体" w:eastAsia="宋体" w:cs="宋体"/>
                <w:color w:val="auto"/>
                <w:kern w:val="2"/>
                <w:sz w:val="21"/>
                <w:szCs w:val="21"/>
                <w:highlight w:val="none"/>
                <w:lang w:val="en-US" w:eastAsia="zh-CN" w:bidi="ar-SA"/>
              </w:rPr>
              <w:t>须持有社保部门出具的本单位为其缴纳的投标前近三个月内任意一月的养老保险证明</w:t>
            </w:r>
          </w:p>
        </w:tc>
        <w:tc>
          <w:tcPr>
            <w:tcW w:w="2326" w:type="dxa"/>
            <w:noWrap w:val="0"/>
            <w:vAlign w:val="center"/>
          </w:tcPr>
          <w:p w14:paraId="4606370E">
            <w:pPr>
              <w:spacing w:line="360" w:lineRule="exact"/>
              <w:jc w:val="both"/>
              <w:rPr>
                <w:rFonts w:hint="eastAsia"/>
                <w:color w:val="auto"/>
                <w:highlight w:val="none"/>
              </w:rPr>
            </w:pPr>
            <w:r>
              <w:rPr>
                <w:rFonts w:hint="eastAsia"/>
                <w:color w:val="auto"/>
                <w:highlight w:val="none"/>
              </w:rPr>
              <w:t>检验电子标书</w:t>
            </w:r>
          </w:p>
        </w:tc>
      </w:tr>
      <w:tr w14:paraId="646E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25" w:type="dxa"/>
            <w:vMerge w:val="continue"/>
            <w:noWrap w:val="0"/>
            <w:vAlign w:val="center"/>
          </w:tcPr>
          <w:p w14:paraId="1E9B2A14">
            <w:pPr>
              <w:spacing w:line="320" w:lineRule="exact"/>
              <w:jc w:val="center"/>
              <w:rPr>
                <w:rFonts w:hint="eastAsia" w:ascii="宋体" w:hAnsi="宋体"/>
                <w:color w:val="auto"/>
                <w:szCs w:val="21"/>
                <w:highlight w:val="none"/>
              </w:rPr>
            </w:pPr>
          </w:p>
        </w:tc>
        <w:tc>
          <w:tcPr>
            <w:tcW w:w="1235" w:type="dxa"/>
            <w:vMerge w:val="continue"/>
            <w:noWrap w:val="0"/>
            <w:vAlign w:val="center"/>
          </w:tcPr>
          <w:p w14:paraId="2546461F">
            <w:pPr>
              <w:spacing w:line="320" w:lineRule="exact"/>
              <w:rPr>
                <w:rFonts w:hint="eastAsia" w:ascii="宋体" w:hAnsi="宋体"/>
                <w:color w:val="auto"/>
                <w:szCs w:val="21"/>
                <w:highlight w:val="none"/>
              </w:rPr>
            </w:pPr>
          </w:p>
        </w:tc>
        <w:tc>
          <w:tcPr>
            <w:tcW w:w="5296" w:type="dxa"/>
            <w:noWrap w:val="0"/>
            <w:vAlign w:val="center"/>
          </w:tcPr>
          <w:p w14:paraId="202375EC">
            <w:pPr>
              <w:spacing w:line="360" w:lineRule="exact"/>
              <w:jc w:val="both"/>
              <w:rPr>
                <w:rFonts w:hint="eastAsia"/>
                <w:color w:val="auto"/>
                <w:highlight w:val="none"/>
              </w:rPr>
            </w:pPr>
            <w:r>
              <w:rPr>
                <w:rFonts w:hint="eastAsia" w:ascii="宋体" w:hAnsi="宋体" w:eastAsia="宋体" w:cs="宋体"/>
                <w:color w:val="auto"/>
                <w:sz w:val="21"/>
                <w:szCs w:val="21"/>
                <w:highlight w:val="none"/>
                <w:lang w:val="en-US" w:eastAsia="zh-CN"/>
              </w:rPr>
              <w:t>（9）投标函</w:t>
            </w:r>
          </w:p>
        </w:tc>
        <w:tc>
          <w:tcPr>
            <w:tcW w:w="2326" w:type="dxa"/>
            <w:noWrap w:val="0"/>
            <w:vAlign w:val="center"/>
          </w:tcPr>
          <w:p w14:paraId="3BC905C0">
            <w:pPr>
              <w:spacing w:line="360" w:lineRule="exact"/>
              <w:jc w:val="both"/>
              <w:rPr>
                <w:rFonts w:hint="eastAsia"/>
                <w:color w:val="auto"/>
                <w:highlight w:val="none"/>
              </w:rPr>
            </w:pPr>
            <w:r>
              <w:rPr>
                <w:rFonts w:hint="eastAsia"/>
                <w:color w:val="auto"/>
                <w:highlight w:val="none"/>
              </w:rPr>
              <w:t>格式见附件，检验电子标书</w:t>
            </w:r>
          </w:p>
        </w:tc>
      </w:tr>
    </w:tbl>
    <w:p w14:paraId="6C89B1B9">
      <w:pPr>
        <w:spacing w:line="400" w:lineRule="exact"/>
        <w:rPr>
          <w:rFonts w:hint="eastAsia" w:ascii="宋体" w:hAnsi="宋体"/>
          <w:b/>
          <w:color w:val="auto"/>
          <w:szCs w:val="21"/>
          <w:highlight w:val="none"/>
        </w:rPr>
      </w:pPr>
      <w:r>
        <w:rPr>
          <w:rFonts w:hint="eastAsia" w:ascii="宋体"/>
          <w:b/>
          <w:color w:val="auto"/>
          <w:szCs w:val="21"/>
          <w:highlight w:val="none"/>
          <w:lang w:val="en-US" w:eastAsia="zh-CN"/>
        </w:rPr>
        <w:t xml:space="preserve">3.2 </w:t>
      </w:r>
      <w:r>
        <w:rPr>
          <w:rFonts w:hint="eastAsia" w:ascii="宋体" w:hAnsi="宋体"/>
          <w:b/>
          <w:color w:val="auto"/>
          <w:szCs w:val="21"/>
          <w:highlight w:val="none"/>
        </w:rPr>
        <w:t>如评标专家在检验电子投标文件过程中，如果由于投标人自身原因导致评标专家无法查看并检验电子投标文件中相关资料的，否决其投标。即使投标人将原件携带至现场的，同样按否决投标处理。</w:t>
      </w:r>
    </w:p>
    <w:p w14:paraId="5DB09720">
      <w:pPr>
        <w:spacing w:line="440" w:lineRule="exact"/>
        <w:rPr>
          <w:rFonts w:hint="eastAsia" w:ascii="宋体"/>
          <w:b/>
          <w:color w:val="auto"/>
          <w:szCs w:val="21"/>
          <w:highlight w:val="none"/>
        </w:rPr>
      </w:pPr>
      <w:r>
        <w:rPr>
          <w:rFonts w:hint="eastAsia" w:ascii="宋体" w:hAnsi="宋体"/>
          <w:b/>
          <w:color w:val="auto"/>
          <w:szCs w:val="21"/>
          <w:highlight w:val="none"/>
        </w:rPr>
        <w:t>3.</w:t>
      </w:r>
      <w:r>
        <w:rPr>
          <w:rFonts w:hint="eastAsia" w:ascii="宋体" w:hAnsi="宋体"/>
          <w:b/>
          <w:color w:val="auto"/>
          <w:szCs w:val="21"/>
          <w:highlight w:val="none"/>
          <w:lang w:val="en-US" w:eastAsia="zh-CN"/>
        </w:rPr>
        <w:t>3</w:t>
      </w:r>
      <w:r>
        <w:rPr>
          <w:rFonts w:hint="eastAsia" w:ascii="宋体" w:hAnsi="宋体"/>
          <w:b/>
          <w:color w:val="auto"/>
          <w:szCs w:val="21"/>
          <w:highlight w:val="none"/>
        </w:rPr>
        <w:t>招标文件中资格审查及评标细则中涉及到的投标人需要提供企业的相关证书扫描件，如企业的资格证书、营业执照（或三证合一的有效证件）等可以提供公证件扫描件，公证件扫描件的效力等同于原件扫描件。交易活动资格审查和评标环节中，凡是要求提供相关证书或证明原件扫描件的，投标企业均可以提供带官方二维码的相关证书（证明）复印件扫描件替代原件扫描件，但投标企业自行承担复印件扫描件二维码不清晰，无法扫描，可能导致资格审查不通过的后果</w:t>
      </w:r>
      <w:r>
        <w:rPr>
          <w:rFonts w:hint="eastAsia" w:ascii="宋体"/>
          <w:b/>
          <w:color w:val="auto"/>
          <w:szCs w:val="21"/>
          <w:highlight w:val="none"/>
          <w:lang w:val="en-US" w:eastAsia="zh-CN"/>
        </w:rPr>
        <w:t xml:space="preserve">。 </w:t>
      </w:r>
    </w:p>
    <w:p w14:paraId="3E11B30C">
      <w:pPr>
        <w:spacing w:line="440" w:lineRule="exact"/>
        <w:ind w:firstLine="310" w:firstLineChars="147"/>
        <w:rPr>
          <w:rFonts w:hint="eastAsia" w:ascii="宋体"/>
          <w:b/>
          <w:color w:val="auto"/>
          <w:szCs w:val="21"/>
          <w:highlight w:val="none"/>
        </w:rPr>
      </w:pPr>
      <w:r>
        <w:rPr>
          <w:rFonts w:hint="eastAsia" w:ascii="宋体"/>
          <w:b/>
          <w:color w:val="auto"/>
          <w:szCs w:val="21"/>
          <w:highlight w:val="none"/>
        </w:rPr>
        <w:t>4.符合性审查</w:t>
      </w:r>
    </w:p>
    <w:p w14:paraId="52B4741C">
      <w:pPr>
        <w:spacing w:line="440" w:lineRule="exact"/>
        <w:ind w:firstLine="315" w:firstLineChars="150"/>
        <w:rPr>
          <w:rFonts w:hint="eastAsia" w:ascii="宋体"/>
          <w:color w:val="auto"/>
          <w:szCs w:val="21"/>
          <w:highlight w:val="none"/>
        </w:rPr>
      </w:pPr>
      <w:r>
        <w:rPr>
          <w:rFonts w:hint="eastAsia" w:ascii="宋体"/>
          <w:color w:val="auto"/>
          <w:szCs w:val="21"/>
          <w:highlight w:val="none"/>
        </w:rPr>
        <w:t>4．1评审细则</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21C1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44B6CA4D">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序号</w:t>
            </w:r>
          </w:p>
        </w:tc>
        <w:tc>
          <w:tcPr>
            <w:tcW w:w="4135" w:type="dxa"/>
            <w:gridSpan w:val="2"/>
            <w:noWrap w:val="0"/>
            <w:vAlign w:val="center"/>
          </w:tcPr>
          <w:p w14:paraId="39163DAC">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审查因素</w:t>
            </w:r>
          </w:p>
        </w:tc>
        <w:tc>
          <w:tcPr>
            <w:tcW w:w="4173" w:type="dxa"/>
            <w:noWrap w:val="0"/>
            <w:vAlign w:val="center"/>
          </w:tcPr>
          <w:p w14:paraId="40130CA8">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审查内容</w:t>
            </w:r>
          </w:p>
        </w:tc>
      </w:tr>
      <w:tr w14:paraId="6972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731" w:type="dxa"/>
            <w:vMerge w:val="restart"/>
            <w:noWrap w:val="0"/>
            <w:vAlign w:val="center"/>
          </w:tcPr>
          <w:p w14:paraId="5E30E1AC">
            <w:pPr>
              <w:spacing w:line="320" w:lineRule="atLeast"/>
              <w:jc w:val="center"/>
              <w:rPr>
                <w:rFonts w:hint="eastAsia" w:ascii="宋体"/>
                <w:color w:val="auto"/>
                <w:szCs w:val="21"/>
                <w:highlight w:val="none"/>
              </w:rPr>
            </w:pPr>
            <w:r>
              <w:rPr>
                <w:rFonts w:hint="eastAsia" w:ascii="宋体"/>
                <w:color w:val="auto"/>
                <w:szCs w:val="21"/>
                <w:highlight w:val="none"/>
              </w:rPr>
              <w:t>1</w:t>
            </w:r>
          </w:p>
        </w:tc>
        <w:tc>
          <w:tcPr>
            <w:tcW w:w="1204" w:type="dxa"/>
            <w:vMerge w:val="restart"/>
            <w:noWrap w:val="0"/>
            <w:vAlign w:val="center"/>
          </w:tcPr>
          <w:p w14:paraId="14328F55">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投标文件的有效性</w:t>
            </w:r>
          </w:p>
        </w:tc>
        <w:tc>
          <w:tcPr>
            <w:tcW w:w="2931" w:type="dxa"/>
            <w:noWrap w:val="0"/>
            <w:vAlign w:val="center"/>
          </w:tcPr>
          <w:p w14:paraId="01511831">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（1）投标文件签署</w:t>
            </w:r>
          </w:p>
        </w:tc>
        <w:tc>
          <w:tcPr>
            <w:tcW w:w="4173" w:type="dxa"/>
            <w:noWrap w:val="0"/>
            <w:vAlign w:val="center"/>
          </w:tcPr>
          <w:p w14:paraId="1DA41EB0">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签字、盖章符合要求。</w:t>
            </w:r>
          </w:p>
        </w:tc>
      </w:tr>
      <w:tr w14:paraId="553F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7905205E">
            <w:pPr>
              <w:spacing w:line="320" w:lineRule="atLeast"/>
              <w:rPr>
                <w:color w:val="auto"/>
                <w:highlight w:val="none"/>
              </w:rPr>
            </w:pPr>
          </w:p>
        </w:tc>
        <w:tc>
          <w:tcPr>
            <w:tcW w:w="1204" w:type="dxa"/>
            <w:vMerge w:val="continue"/>
            <w:noWrap w:val="0"/>
            <w:vAlign w:val="center"/>
          </w:tcPr>
          <w:p w14:paraId="0C50280C">
            <w:pPr>
              <w:spacing w:line="320" w:lineRule="atLeast"/>
              <w:rPr>
                <w:color w:val="auto"/>
                <w:highlight w:val="none"/>
              </w:rPr>
            </w:pPr>
          </w:p>
        </w:tc>
        <w:tc>
          <w:tcPr>
            <w:tcW w:w="2931" w:type="dxa"/>
            <w:noWrap w:val="0"/>
            <w:vAlign w:val="center"/>
          </w:tcPr>
          <w:p w14:paraId="3A2D0D42">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（2）投标方案</w:t>
            </w:r>
          </w:p>
        </w:tc>
        <w:tc>
          <w:tcPr>
            <w:tcW w:w="4173" w:type="dxa"/>
            <w:noWrap w:val="0"/>
            <w:vAlign w:val="center"/>
          </w:tcPr>
          <w:p w14:paraId="49240866">
            <w:pPr>
              <w:spacing w:line="320" w:lineRule="atLeast"/>
              <w:rPr>
                <w:rFonts w:hint="eastAsia" w:ascii="宋体" w:cs="宋体"/>
                <w:color w:val="auto"/>
                <w:szCs w:val="21"/>
                <w:highlight w:val="none"/>
              </w:rPr>
            </w:pPr>
            <w:r>
              <w:rPr>
                <w:rFonts w:hint="eastAsia" w:ascii="宋体" w:hAnsi="宋体" w:cs="仿宋_GB2312"/>
                <w:color w:val="auto"/>
                <w:szCs w:val="21"/>
                <w:highlight w:val="none"/>
                <w:lang w:val="zh-CN"/>
              </w:rPr>
              <w:t>每个分包只能有一个方案投标。</w:t>
            </w:r>
          </w:p>
        </w:tc>
      </w:tr>
      <w:tr w14:paraId="3DA8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3B748B3B">
            <w:pPr>
              <w:spacing w:line="320" w:lineRule="atLeast"/>
              <w:rPr>
                <w:color w:val="auto"/>
                <w:highlight w:val="none"/>
              </w:rPr>
            </w:pPr>
          </w:p>
        </w:tc>
        <w:tc>
          <w:tcPr>
            <w:tcW w:w="1204" w:type="dxa"/>
            <w:vMerge w:val="continue"/>
            <w:noWrap w:val="0"/>
            <w:vAlign w:val="center"/>
          </w:tcPr>
          <w:p w14:paraId="58AA67A8">
            <w:pPr>
              <w:spacing w:line="320" w:lineRule="atLeast"/>
              <w:rPr>
                <w:color w:val="auto"/>
                <w:highlight w:val="none"/>
              </w:rPr>
            </w:pPr>
          </w:p>
        </w:tc>
        <w:tc>
          <w:tcPr>
            <w:tcW w:w="2931" w:type="dxa"/>
            <w:noWrap w:val="0"/>
            <w:vAlign w:val="center"/>
          </w:tcPr>
          <w:p w14:paraId="16A8D7B3">
            <w:pPr>
              <w:spacing w:line="320" w:lineRule="atLeast"/>
              <w:rPr>
                <w:rFonts w:hint="eastAsia" w:ascii="宋体" w:cs="仿宋_GB2312"/>
                <w:color w:val="auto"/>
                <w:szCs w:val="21"/>
                <w:highlight w:val="none"/>
                <w:lang w:val="zh-CN"/>
              </w:rPr>
            </w:pPr>
            <w:r>
              <w:rPr>
                <w:rFonts w:hint="eastAsia" w:ascii="宋体"/>
                <w:color w:val="auto"/>
                <w:szCs w:val="21"/>
                <w:highlight w:val="none"/>
              </w:rPr>
              <w:t>（3）报价唯一</w:t>
            </w:r>
          </w:p>
        </w:tc>
        <w:tc>
          <w:tcPr>
            <w:tcW w:w="4173" w:type="dxa"/>
            <w:noWrap w:val="0"/>
            <w:vAlign w:val="center"/>
          </w:tcPr>
          <w:p w14:paraId="5B76B05E">
            <w:pPr>
              <w:spacing w:line="320" w:lineRule="atLeast"/>
              <w:rPr>
                <w:rFonts w:hint="eastAsia" w:ascii="宋体" w:cs="宋体"/>
                <w:color w:val="auto"/>
                <w:szCs w:val="21"/>
                <w:highlight w:val="none"/>
              </w:rPr>
            </w:pPr>
            <w:r>
              <w:rPr>
                <w:rFonts w:hint="eastAsia" w:ascii="宋体" w:cs="仿宋_GB2312"/>
                <w:color w:val="auto"/>
                <w:szCs w:val="21"/>
                <w:highlight w:val="none"/>
                <w:lang w:val="zh-CN"/>
              </w:rPr>
              <w:t>只能在限价范围内报价，</w:t>
            </w:r>
            <w:r>
              <w:rPr>
                <w:rFonts w:hint="eastAsia" w:ascii="宋体"/>
                <w:color w:val="auto"/>
                <w:szCs w:val="21"/>
                <w:highlight w:val="none"/>
              </w:rPr>
              <w:t>只能有一个有效报价，不得提交选择性报价。</w:t>
            </w:r>
          </w:p>
        </w:tc>
      </w:tr>
      <w:tr w14:paraId="6D9B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5BB5A752">
            <w:pPr>
              <w:spacing w:line="320" w:lineRule="atLeast"/>
              <w:rPr>
                <w:color w:val="auto"/>
                <w:highlight w:val="none"/>
              </w:rPr>
            </w:pPr>
          </w:p>
        </w:tc>
        <w:tc>
          <w:tcPr>
            <w:tcW w:w="1204" w:type="dxa"/>
            <w:vMerge w:val="continue"/>
            <w:noWrap w:val="0"/>
            <w:vAlign w:val="center"/>
          </w:tcPr>
          <w:p w14:paraId="3D464BDC">
            <w:pPr>
              <w:spacing w:line="320" w:lineRule="atLeast"/>
              <w:rPr>
                <w:color w:val="auto"/>
                <w:highlight w:val="none"/>
              </w:rPr>
            </w:pPr>
          </w:p>
        </w:tc>
        <w:tc>
          <w:tcPr>
            <w:tcW w:w="2931" w:type="dxa"/>
            <w:noWrap w:val="0"/>
            <w:vAlign w:val="center"/>
          </w:tcPr>
          <w:p w14:paraId="1570C2C0">
            <w:pPr>
              <w:spacing w:line="320" w:lineRule="atLeast"/>
              <w:rPr>
                <w:rFonts w:hint="eastAsia" w:ascii="宋体"/>
                <w:color w:val="auto"/>
                <w:szCs w:val="21"/>
                <w:highlight w:val="none"/>
              </w:rPr>
            </w:pPr>
            <w:r>
              <w:rPr>
                <w:rFonts w:hint="eastAsia" w:ascii="宋体"/>
                <w:color w:val="auto"/>
                <w:szCs w:val="21"/>
                <w:highlight w:val="none"/>
              </w:rPr>
              <w:t xml:space="preserve"> (4) 投标文件的有效期</w:t>
            </w:r>
          </w:p>
        </w:tc>
        <w:tc>
          <w:tcPr>
            <w:tcW w:w="4173" w:type="dxa"/>
            <w:noWrap w:val="0"/>
            <w:vAlign w:val="center"/>
          </w:tcPr>
          <w:p w14:paraId="0A104765">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完全响应。</w:t>
            </w:r>
          </w:p>
        </w:tc>
      </w:tr>
      <w:tr w14:paraId="4B6B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4503882E">
            <w:pPr>
              <w:spacing w:line="320" w:lineRule="atLeast"/>
              <w:jc w:val="center"/>
              <w:rPr>
                <w:rFonts w:hint="eastAsia" w:ascii="宋体"/>
                <w:color w:val="auto"/>
                <w:szCs w:val="21"/>
                <w:highlight w:val="none"/>
              </w:rPr>
            </w:pPr>
            <w:r>
              <w:rPr>
                <w:rFonts w:hint="eastAsia" w:ascii="宋体"/>
                <w:color w:val="auto"/>
                <w:szCs w:val="21"/>
                <w:highlight w:val="none"/>
              </w:rPr>
              <w:t>2</w:t>
            </w:r>
          </w:p>
        </w:tc>
        <w:tc>
          <w:tcPr>
            <w:tcW w:w="1204" w:type="dxa"/>
            <w:vMerge w:val="restart"/>
            <w:noWrap w:val="0"/>
            <w:vAlign w:val="center"/>
          </w:tcPr>
          <w:p w14:paraId="7F325341">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投标文件的完整性</w:t>
            </w:r>
          </w:p>
        </w:tc>
        <w:tc>
          <w:tcPr>
            <w:tcW w:w="2931" w:type="dxa"/>
            <w:noWrap w:val="0"/>
            <w:vAlign w:val="center"/>
          </w:tcPr>
          <w:p w14:paraId="5EF20D31">
            <w:pPr>
              <w:spacing w:line="320" w:lineRule="atLeast"/>
              <w:rPr>
                <w:rFonts w:hint="eastAsia" w:ascii="宋体" w:cs="宋体"/>
                <w:color w:val="auto"/>
                <w:szCs w:val="21"/>
                <w:highlight w:val="none"/>
              </w:rPr>
            </w:pPr>
            <w:r>
              <w:rPr>
                <w:rFonts w:hint="eastAsia" w:ascii="宋体" w:cs="仿宋_GB2312"/>
                <w:color w:val="auto"/>
                <w:szCs w:val="21"/>
                <w:highlight w:val="none"/>
                <w:lang w:val="zh-CN"/>
              </w:rPr>
              <w:t>（5）投标文件份数</w:t>
            </w:r>
          </w:p>
        </w:tc>
        <w:tc>
          <w:tcPr>
            <w:tcW w:w="4173" w:type="dxa"/>
            <w:noWrap w:val="0"/>
            <w:vAlign w:val="center"/>
          </w:tcPr>
          <w:p w14:paraId="0504A0B0">
            <w:pPr>
              <w:spacing w:line="320" w:lineRule="atLeast"/>
              <w:rPr>
                <w:rFonts w:hint="eastAsia" w:ascii="宋体" w:cs="宋体"/>
                <w:color w:val="auto"/>
                <w:szCs w:val="21"/>
                <w:highlight w:val="none"/>
              </w:rPr>
            </w:pPr>
            <w:r>
              <w:rPr>
                <w:rFonts w:hint="eastAsia" w:ascii="宋体" w:hAnsi="宋体" w:cs="宋体"/>
                <w:color w:val="auto"/>
                <w:szCs w:val="21"/>
                <w:highlight w:val="none"/>
              </w:rPr>
              <w:t>网上递交的电子投标文件：一份</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tc>
      </w:tr>
      <w:tr w14:paraId="2B6B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54C11AB6">
            <w:pPr>
              <w:spacing w:line="320" w:lineRule="atLeast"/>
              <w:rPr>
                <w:color w:val="auto"/>
                <w:highlight w:val="none"/>
              </w:rPr>
            </w:pPr>
          </w:p>
        </w:tc>
        <w:tc>
          <w:tcPr>
            <w:tcW w:w="1204" w:type="dxa"/>
            <w:vMerge w:val="continue"/>
            <w:noWrap w:val="0"/>
            <w:vAlign w:val="center"/>
          </w:tcPr>
          <w:p w14:paraId="068F4ED8">
            <w:pPr>
              <w:spacing w:line="320" w:lineRule="atLeast"/>
              <w:rPr>
                <w:color w:val="auto"/>
                <w:highlight w:val="none"/>
              </w:rPr>
            </w:pPr>
          </w:p>
        </w:tc>
        <w:tc>
          <w:tcPr>
            <w:tcW w:w="2931" w:type="dxa"/>
            <w:noWrap w:val="0"/>
            <w:vAlign w:val="center"/>
          </w:tcPr>
          <w:p w14:paraId="5F71AFEB">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（6）投标文件形式内容</w:t>
            </w:r>
          </w:p>
        </w:tc>
        <w:tc>
          <w:tcPr>
            <w:tcW w:w="4173" w:type="dxa"/>
            <w:noWrap w:val="0"/>
            <w:vAlign w:val="center"/>
          </w:tcPr>
          <w:p w14:paraId="253308E2">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投标文件内容清晰、齐全无遗漏。</w:t>
            </w:r>
          </w:p>
        </w:tc>
      </w:tr>
      <w:tr w14:paraId="713D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noWrap w:val="0"/>
            <w:vAlign w:val="center"/>
          </w:tcPr>
          <w:p w14:paraId="390BF16A">
            <w:pPr>
              <w:spacing w:line="320" w:lineRule="atLeast"/>
              <w:jc w:val="center"/>
              <w:rPr>
                <w:rFonts w:hint="eastAsia" w:ascii="宋体"/>
                <w:color w:val="auto"/>
                <w:szCs w:val="21"/>
                <w:highlight w:val="none"/>
              </w:rPr>
            </w:pPr>
            <w:r>
              <w:rPr>
                <w:rFonts w:hint="eastAsia" w:ascii="宋体"/>
                <w:color w:val="auto"/>
                <w:szCs w:val="21"/>
                <w:highlight w:val="none"/>
              </w:rPr>
              <w:t>3</w:t>
            </w:r>
          </w:p>
        </w:tc>
        <w:tc>
          <w:tcPr>
            <w:tcW w:w="1204" w:type="dxa"/>
            <w:vMerge w:val="restart"/>
            <w:noWrap w:val="0"/>
            <w:vAlign w:val="center"/>
          </w:tcPr>
          <w:p w14:paraId="7CDB2375">
            <w:pPr>
              <w:spacing w:line="320" w:lineRule="atLeast"/>
              <w:jc w:val="center"/>
              <w:rPr>
                <w:rFonts w:hint="eastAsia" w:ascii="宋体" w:cs="仿宋_GB2312"/>
                <w:color w:val="auto"/>
                <w:szCs w:val="21"/>
                <w:highlight w:val="none"/>
                <w:lang w:val="zh-CN"/>
              </w:rPr>
            </w:pPr>
            <w:r>
              <w:rPr>
                <w:rFonts w:hint="eastAsia" w:ascii="宋体" w:cs="仿宋_GB2312"/>
                <w:color w:val="auto"/>
                <w:szCs w:val="21"/>
                <w:highlight w:val="none"/>
                <w:lang w:val="zh-CN"/>
              </w:rPr>
              <w:t>投标文件的响应程度</w:t>
            </w:r>
          </w:p>
        </w:tc>
        <w:tc>
          <w:tcPr>
            <w:tcW w:w="2931" w:type="dxa"/>
            <w:noWrap w:val="0"/>
            <w:vAlign w:val="center"/>
          </w:tcPr>
          <w:p w14:paraId="76621B39">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（7）采购需求响应程度</w:t>
            </w:r>
          </w:p>
        </w:tc>
        <w:tc>
          <w:tcPr>
            <w:tcW w:w="4173" w:type="dxa"/>
            <w:noWrap w:val="0"/>
            <w:vAlign w:val="center"/>
          </w:tcPr>
          <w:p w14:paraId="3CC7D23C">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响应招标文件要求。</w:t>
            </w:r>
          </w:p>
        </w:tc>
      </w:tr>
      <w:tr w14:paraId="7B43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1" w:type="dxa"/>
            <w:vMerge w:val="continue"/>
            <w:noWrap w:val="0"/>
            <w:vAlign w:val="center"/>
          </w:tcPr>
          <w:p w14:paraId="7E2F7823">
            <w:pPr>
              <w:spacing w:line="320" w:lineRule="atLeast"/>
              <w:rPr>
                <w:color w:val="auto"/>
                <w:highlight w:val="none"/>
              </w:rPr>
            </w:pPr>
          </w:p>
        </w:tc>
        <w:tc>
          <w:tcPr>
            <w:tcW w:w="1204" w:type="dxa"/>
            <w:vMerge w:val="continue"/>
            <w:noWrap w:val="0"/>
            <w:vAlign w:val="center"/>
          </w:tcPr>
          <w:p w14:paraId="3B6CA584">
            <w:pPr>
              <w:spacing w:line="320" w:lineRule="atLeast"/>
              <w:rPr>
                <w:color w:val="auto"/>
                <w:highlight w:val="none"/>
              </w:rPr>
            </w:pPr>
          </w:p>
        </w:tc>
        <w:tc>
          <w:tcPr>
            <w:tcW w:w="2931" w:type="dxa"/>
            <w:noWrap w:val="0"/>
            <w:vAlign w:val="center"/>
          </w:tcPr>
          <w:p w14:paraId="0D9E24C6">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（8）商务条款响应程度（包括不限于业绩、服务期、售后服务、技术培训等）</w:t>
            </w:r>
          </w:p>
        </w:tc>
        <w:tc>
          <w:tcPr>
            <w:tcW w:w="4173" w:type="dxa"/>
            <w:noWrap w:val="0"/>
            <w:vAlign w:val="center"/>
          </w:tcPr>
          <w:p w14:paraId="1DE6E434">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响应招标文件要求。</w:t>
            </w:r>
          </w:p>
        </w:tc>
      </w:tr>
    </w:tbl>
    <w:p w14:paraId="114D3165">
      <w:pPr>
        <w:spacing w:line="400" w:lineRule="exact"/>
        <w:ind w:firstLine="506" w:firstLineChars="241"/>
        <w:rPr>
          <w:rFonts w:hint="eastAsia" w:ascii="宋体"/>
          <w:color w:val="auto"/>
          <w:szCs w:val="21"/>
          <w:highlight w:val="none"/>
        </w:rPr>
      </w:pPr>
      <w:r>
        <w:rPr>
          <w:rFonts w:hint="eastAsia" w:ascii="宋体"/>
          <w:color w:val="auto"/>
          <w:szCs w:val="21"/>
          <w:highlight w:val="none"/>
        </w:rPr>
        <w:t>4.2资格审查及评分细则中涉及的有关证明材料及相关证书，电子投标文件中须按招标文件要求上传</w:t>
      </w:r>
      <w:r>
        <w:rPr>
          <w:rFonts w:hint="eastAsia" w:ascii="宋体" w:hAnsi="宋体"/>
          <w:b/>
          <w:color w:val="auto"/>
          <w:szCs w:val="21"/>
          <w:highlight w:val="none"/>
        </w:rPr>
        <w:t>扫描件</w:t>
      </w:r>
      <w:r>
        <w:rPr>
          <w:rFonts w:hint="eastAsia" w:ascii="宋体"/>
          <w:color w:val="auto"/>
          <w:szCs w:val="21"/>
          <w:highlight w:val="none"/>
        </w:rPr>
        <w:t>，以供审查。</w:t>
      </w:r>
    </w:p>
    <w:p w14:paraId="65BB3E56">
      <w:pPr>
        <w:spacing w:line="400" w:lineRule="exact"/>
        <w:ind w:firstLine="506" w:firstLineChars="241"/>
        <w:rPr>
          <w:rFonts w:hint="eastAsia" w:ascii="宋体"/>
          <w:color w:val="auto"/>
          <w:szCs w:val="21"/>
          <w:highlight w:val="none"/>
        </w:rPr>
      </w:pPr>
      <w:r>
        <w:rPr>
          <w:rFonts w:hint="eastAsia" w:ascii="宋体"/>
          <w:color w:val="auto"/>
          <w:szCs w:val="21"/>
          <w:highlight w:val="none"/>
        </w:rPr>
        <w:t>4.3．评标委员会判定投标文件的响应性只根据投标文件本身的内容，而不寻求外部的证据，但投标有不真实不正确的内容时除外。</w:t>
      </w:r>
    </w:p>
    <w:p w14:paraId="2D7B31BE">
      <w:pPr>
        <w:spacing w:line="400" w:lineRule="exact"/>
        <w:ind w:firstLine="525" w:firstLineChars="250"/>
        <w:rPr>
          <w:rFonts w:hint="eastAsia" w:ascii="宋体"/>
          <w:color w:val="auto"/>
          <w:szCs w:val="21"/>
          <w:highlight w:val="none"/>
        </w:rPr>
      </w:pPr>
      <w:r>
        <w:rPr>
          <w:rFonts w:hint="eastAsia" w:ascii="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12E29A7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b/>
          <w:bCs/>
          <w:color w:val="auto"/>
          <w:sz w:val="24"/>
          <w:szCs w:val="24"/>
          <w:highlight w:val="none"/>
        </w:rPr>
      </w:pPr>
    </w:p>
    <w:p w14:paraId="7D924252">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投标文件的澄清和补正</w:t>
      </w:r>
      <w:bookmarkEnd w:id="63"/>
    </w:p>
    <w:p w14:paraId="4E35044F">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评审阶段，评委可能会要求有关投标人就其投标书中含义不明确、同类问题表述不一致或者有明显文字和计算错误的内容进行澄清。</w:t>
      </w:r>
      <w:r>
        <w:rPr>
          <w:rFonts w:hint="eastAsia" w:ascii="宋体" w:hAnsi="宋体" w:eastAsia="宋体" w:cs="宋体"/>
          <w:b/>
          <w:bCs/>
          <w:color w:val="auto"/>
          <w:sz w:val="21"/>
          <w:szCs w:val="21"/>
          <w:highlight w:val="none"/>
        </w:rPr>
        <w:t>如因投标人未参加开标导致开评标过程中无法澄清、说明或补正的，视同投标人放弃该权利。</w:t>
      </w:r>
    </w:p>
    <w:p w14:paraId="33FDDA61">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投标人的澄清、说明或者补</w:t>
      </w:r>
    </w:p>
    <w:p w14:paraId="267F1FA5">
      <w:pPr>
        <w:keepNext w:val="0"/>
        <w:keepLines w:val="0"/>
        <w:pageBreakBefore w:val="0"/>
        <w:widowControl w:val="0"/>
        <w:kinsoku/>
        <w:wordWrap/>
        <w:overflowPunct/>
        <w:topLinePunct w:val="0"/>
        <w:autoSpaceDE/>
        <w:autoSpaceDN/>
        <w:bidi w:val="0"/>
        <w:adjustRightInd/>
        <w:snapToGrid/>
        <w:spacing w:line="440" w:lineRule="exact"/>
        <w:ind w:firstLine="527" w:firstLineChars="250"/>
        <w:textAlignment w:val="auto"/>
        <w:rPr>
          <w:rFonts w:hint="eastAsia" w:ascii="宋体" w:hAnsi="宋体" w:eastAsia="宋体" w:cs="宋体"/>
          <w:color w:val="auto"/>
          <w:sz w:val="21"/>
          <w:szCs w:val="21"/>
          <w:highlight w:val="none"/>
        </w:rPr>
      </w:pPr>
      <w:r>
        <w:rPr>
          <w:rFonts w:hint="eastAsia" w:ascii="宋体" w:hAnsi="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r>
        <w:rPr>
          <w:rFonts w:hint="eastAsia" w:ascii="宋体" w:hAnsi="宋体" w:cs="宋体"/>
          <w:b/>
          <w:bCs/>
          <w:color w:val="auto"/>
          <w:szCs w:val="21"/>
          <w:highlight w:val="none"/>
        </w:rPr>
        <w:t>。</w:t>
      </w:r>
    </w:p>
    <w:p w14:paraId="23841C5D">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评委会修正错误的原则：</w:t>
      </w:r>
    </w:p>
    <w:p w14:paraId="1053594E">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如果数字表示的金额和用文字表示的金额不一致时，以文字表示的金额为准</w:t>
      </w:r>
      <w:r>
        <w:rPr>
          <w:rFonts w:hint="eastAsia" w:ascii="宋体" w:hAnsi="宋体" w:eastAsia="宋体" w:cs="宋体"/>
          <w:color w:val="auto"/>
          <w:sz w:val="21"/>
          <w:szCs w:val="21"/>
          <w:highlight w:val="none"/>
          <w:lang w:eastAsia="zh-CN"/>
        </w:rPr>
        <w:t>。</w:t>
      </w:r>
    </w:p>
    <w:p w14:paraId="2973CB46">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如果单价与数量的乘积和总价不一致，以单价为准，修正总价；当单价小数点有明显的错位时，评委会将以总价为准，并修正其单价；投标的数量与招标的数量不一致时，以招标数量为准。</w:t>
      </w:r>
    </w:p>
    <w:p w14:paraId="1138E099">
      <w:pPr>
        <w:keepNext w:val="0"/>
        <w:keepLines w:val="0"/>
        <w:pageBreakBefore w:val="0"/>
        <w:widowControl w:val="0"/>
        <w:kinsoku/>
        <w:wordWrap/>
        <w:overflowPunct/>
        <w:topLinePunct w:val="0"/>
        <w:autoSpaceDE/>
        <w:autoSpaceDN/>
        <w:bidi w:val="0"/>
        <w:adjustRightInd/>
        <w:snapToGrid/>
        <w:spacing w:line="440" w:lineRule="exact"/>
        <w:ind w:firstLine="403" w:firstLineChars="192"/>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评委会将按上述修正错误的方法调整投标文件中的投标报价，调整后的价格应对投标人具有约束力。无论投标人是接受或是拒绝调整后的价格，都应当由法定代表人（或委托代理人）签字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予以确认。投标人拒绝对投标文件出现的错漏按上述原则进行修正、澄清、说明，评标委员会应当否决其投标。</w:t>
      </w:r>
    </w:p>
    <w:p w14:paraId="05EF3AE5">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p>
    <w:p w14:paraId="49A6CEAA">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bookmarkStart w:id="64" w:name="_Toc30419"/>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、投标报价评分细则</w:t>
      </w:r>
      <w:bookmarkEnd w:id="64"/>
    </w:p>
    <w:tbl>
      <w:tblPr>
        <w:tblStyle w:val="45"/>
        <w:tblW w:w="966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49"/>
        <w:gridCol w:w="1842"/>
        <w:gridCol w:w="6067"/>
      </w:tblGrid>
      <w:tr w14:paraId="5A1E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758" w:type="dxa"/>
            <w:gridSpan w:val="2"/>
            <w:vAlign w:val="center"/>
          </w:tcPr>
          <w:p w14:paraId="14609569">
            <w:pPr>
              <w:pageBreakBefore w:val="0"/>
              <w:kinsoku/>
              <w:wordWrap/>
              <w:overflowPunct/>
              <w:bidi w:val="0"/>
              <w:adjustRightIn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评审项</w:t>
            </w:r>
          </w:p>
        </w:tc>
        <w:tc>
          <w:tcPr>
            <w:tcW w:w="1842" w:type="dxa"/>
            <w:vAlign w:val="center"/>
          </w:tcPr>
          <w:p w14:paraId="2E66EDB0">
            <w:pPr>
              <w:pageBreakBefore w:val="0"/>
              <w:kinsoku/>
              <w:wordWrap/>
              <w:overflowPunct/>
              <w:bidi w:val="0"/>
              <w:adjustRightIn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6067" w:type="dxa"/>
            <w:vAlign w:val="center"/>
          </w:tcPr>
          <w:p w14:paraId="22D39B9C">
            <w:pPr>
              <w:pageBreakBefore w:val="0"/>
              <w:kinsoku/>
              <w:wordWrap/>
              <w:overflowPunct/>
              <w:bidi w:val="0"/>
              <w:adjustRightIn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14:paraId="5FC8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Merge w:val="restart"/>
            <w:vAlign w:val="center"/>
          </w:tcPr>
          <w:p w14:paraId="46BB2427">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49" w:type="dxa"/>
            <w:vMerge w:val="restart"/>
            <w:vAlign w:val="center"/>
          </w:tcPr>
          <w:p w14:paraId="4F98269D">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1842" w:type="dxa"/>
            <w:vAlign w:val="center"/>
          </w:tcPr>
          <w:p w14:paraId="2BBC26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投标函签字盖章</w:t>
            </w:r>
          </w:p>
        </w:tc>
        <w:tc>
          <w:tcPr>
            <w:tcW w:w="6067" w:type="dxa"/>
            <w:vAlign w:val="center"/>
          </w:tcPr>
          <w:p w14:paraId="4DD036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须按格式文件要求签字或盖章，否则经评委会一致认定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 按照无效投标处理。</w:t>
            </w:r>
          </w:p>
        </w:tc>
      </w:tr>
      <w:tr w14:paraId="2A66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09" w:type="dxa"/>
            <w:vMerge w:val="continue"/>
            <w:vAlign w:val="center"/>
          </w:tcPr>
          <w:p w14:paraId="68D41E70">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5EB6DDCA">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5F207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6067" w:type="dxa"/>
            <w:vAlign w:val="center"/>
          </w:tcPr>
          <w:p w14:paraId="2DA2E22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符合“投标文件格式”的要求，否则经评委会一致认定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,按照无效投标处理.</w:t>
            </w:r>
          </w:p>
        </w:tc>
      </w:tr>
      <w:tr w14:paraId="0D48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09" w:type="dxa"/>
            <w:vMerge w:val="continue"/>
            <w:vAlign w:val="center"/>
          </w:tcPr>
          <w:p w14:paraId="0F6B7664">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2D64B556">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69A3E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6067" w:type="dxa"/>
            <w:vAlign w:val="center"/>
          </w:tcPr>
          <w:p w14:paraId="0E620C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只能有一个报价，否则按无效标处理</w:t>
            </w:r>
          </w:p>
        </w:tc>
      </w:tr>
      <w:tr w14:paraId="506B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09" w:type="dxa"/>
            <w:vMerge w:val="continue"/>
            <w:vAlign w:val="center"/>
          </w:tcPr>
          <w:p w14:paraId="37040A36">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025AADEE">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7CFA88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投标函的报价</w:t>
            </w:r>
          </w:p>
        </w:tc>
        <w:tc>
          <w:tcPr>
            <w:tcW w:w="6067" w:type="dxa"/>
            <w:vAlign w:val="center"/>
          </w:tcPr>
          <w:p w14:paraId="7E1DB2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不高于最高限价</w:t>
            </w:r>
          </w:p>
        </w:tc>
      </w:tr>
      <w:tr w14:paraId="78A9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vAlign w:val="center"/>
          </w:tcPr>
          <w:p w14:paraId="69CF0CD0">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049" w:type="dxa"/>
            <w:vAlign w:val="center"/>
          </w:tcPr>
          <w:p w14:paraId="038F4360">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投标报价评分</w:t>
            </w:r>
          </w:p>
          <w:p w14:paraId="4F8F8467">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分）</w:t>
            </w:r>
          </w:p>
        </w:tc>
        <w:tc>
          <w:tcPr>
            <w:tcW w:w="7909" w:type="dxa"/>
            <w:gridSpan w:val="2"/>
            <w:vAlign w:val="center"/>
          </w:tcPr>
          <w:p w14:paraId="5346C20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1、招标人设置投标报价最高限价，各投标人有效报价不得高于最高限价，否则，其投标文件按无效标处理。（投标报价不可以填报0或负数，否则按无效标处理）（以基本费作为评审价格）</w:t>
            </w:r>
          </w:p>
          <w:p w14:paraId="019240D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2、评标基准值为所有投标人投标报价的算术平均值。</w:t>
            </w:r>
          </w:p>
          <w:p w14:paraId="6DB59D4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3、计算报价偏差率</w:t>
            </w:r>
          </w:p>
          <w:p w14:paraId="4699A01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①偏差率=|（投标报价-评标基准价）/评标基准价|×100%</w:t>
            </w:r>
          </w:p>
          <w:p w14:paraId="4296C24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4、计算报价得分</w:t>
            </w:r>
          </w:p>
          <w:p w14:paraId="76A5348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①投标报价等于评标基准价的得满分。</w:t>
            </w:r>
          </w:p>
          <w:p w14:paraId="1940B4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②投标报价高于评标基准价的，投标报价得分=报价满分值-偏差率×100×1</w:t>
            </w:r>
          </w:p>
          <w:p w14:paraId="7416A82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③投标报价低于评标基准价的，投标报价得分=报价满分值-偏差率×100×0.5</w:t>
            </w:r>
          </w:p>
          <w:p w14:paraId="32C8AEE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rPr>
            </w:pPr>
            <w:r>
              <w:rPr>
                <w:rFonts w:hint="eastAsia" w:ascii="宋体" w:hAnsi="宋体" w:eastAsia="宋体" w:cs="宋体"/>
                <w:color w:val="auto"/>
                <w:sz w:val="21"/>
                <w:szCs w:val="21"/>
                <w:highlight w:val="none"/>
              </w:rPr>
              <w:t>注：计算过程中，评标基准值、偏差率、报价得分均保留两位小数，小数点后第三位四舍五入。</w:t>
            </w:r>
          </w:p>
        </w:tc>
      </w:tr>
    </w:tbl>
    <w:p w14:paraId="003755BC">
      <w:pPr>
        <w:pageBreakBefore w:val="0"/>
        <w:kinsoku/>
        <w:wordWrap/>
        <w:overflowPunct/>
        <w:bidi w:val="0"/>
        <w:adjustRightInd/>
        <w:spacing w:line="360" w:lineRule="exact"/>
        <w:jc w:val="center"/>
        <w:textAlignment w:val="auto"/>
        <w:outlineLvl w:val="1"/>
        <w:rPr>
          <w:rFonts w:hint="eastAsia" w:ascii="宋体" w:hAnsi="宋体" w:eastAsia="宋体" w:cs="宋体"/>
          <w:b/>
          <w:bCs/>
          <w:color w:val="auto"/>
          <w:sz w:val="24"/>
          <w:szCs w:val="24"/>
          <w:highlight w:val="none"/>
        </w:rPr>
      </w:pPr>
    </w:p>
    <w:p w14:paraId="1DD67D2D">
      <w:pPr>
        <w:pageBreakBefore w:val="0"/>
        <w:kinsoku/>
        <w:wordWrap/>
        <w:overflowPunct/>
        <w:bidi w:val="0"/>
        <w:adjustRightInd/>
        <w:spacing w:line="360" w:lineRule="exact"/>
        <w:jc w:val="center"/>
        <w:textAlignment w:val="auto"/>
        <w:outlineLvl w:val="1"/>
        <w:rPr>
          <w:rFonts w:hint="eastAsia" w:ascii="宋体" w:hAnsi="宋体" w:eastAsia="宋体" w:cs="宋体"/>
          <w:b/>
          <w:bCs/>
          <w:color w:val="auto"/>
          <w:sz w:val="24"/>
          <w:szCs w:val="24"/>
          <w:highlight w:val="none"/>
        </w:rPr>
      </w:pPr>
      <w:bookmarkStart w:id="65" w:name="_Toc20318"/>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推荐中标候选人</w:t>
      </w:r>
      <w:bookmarkEnd w:id="65"/>
    </w:p>
    <w:p w14:paraId="1BD855F9">
      <w:pPr>
        <w:pStyle w:val="2"/>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评标</w:t>
      </w:r>
      <w:r>
        <w:rPr>
          <w:rFonts w:hint="eastAsia" w:ascii="宋体" w:hAnsi="宋体" w:eastAsia="宋体" w:cs="宋体"/>
          <w:color w:val="auto"/>
          <w:sz w:val="21"/>
          <w:szCs w:val="21"/>
          <w:highlight w:val="none"/>
          <w:lang w:val="en-US" w:eastAsia="zh-CN"/>
        </w:rPr>
        <w:t>小组先</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投标报价不高于投标限价的</w:t>
      </w:r>
      <w:r>
        <w:rPr>
          <w:rFonts w:hint="eastAsia" w:ascii="宋体" w:hAnsi="宋体" w:eastAsia="宋体" w:cs="宋体"/>
          <w:color w:val="auto"/>
          <w:sz w:val="21"/>
          <w:szCs w:val="21"/>
          <w:highlight w:val="none"/>
        </w:rPr>
        <w:t>投标人报价按计算标准计算得分，得分按照从高到低进行排序（如总得分相等，以投标报价低的优先，投标报价仍相等，由招标人</w:t>
      </w:r>
      <w:r>
        <w:rPr>
          <w:rFonts w:hint="eastAsia" w:ascii="宋体" w:hAnsi="宋体" w:eastAsia="宋体" w:cs="宋体"/>
          <w:color w:val="auto"/>
          <w:sz w:val="21"/>
          <w:szCs w:val="21"/>
          <w:highlight w:val="none"/>
          <w:lang w:val="en-US" w:eastAsia="zh-CN"/>
        </w:rPr>
        <w:t>或评标委员会</w:t>
      </w:r>
      <w:r>
        <w:rPr>
          <w:rFonts w:hint="eastAsia" w:ascii="宋体" w:hAnsi="宋体" w:eastAsia="宋体" w:cs="宋体"/>
          <w:color w:val="auto"/>
          <w:sz w:val="21"/>
          <w:szCs w:val="21"/>
          <w:highlight w:val="none"/>
        </w:rPr>
        <w:t>随机抽取确定排名，不得并列）。对排序前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文件进行评审并确定中标候选人。若排序前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文件评审不通过，则按得分排序递补至</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家投标人进行</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w:t>
      </w:r>
    </w:p>
    <w:p w14:paraId="2D219C1B">
      <w:pPr>
        <w:snapToGrid w:val="0"/>
        <w:spacing w:line="400" w:lineRule="exact"/>
        <w:ind w:firstLine="570"/>
        <w:rPr>
          <w:rFonts w:hint="eastAsia" w:ascii="宋体"/>
          <w:b/>
          <w:color w:val="auto"/>
          <w:szCs w:val="21"/>
          <w:highlight w:val="none"/>
        </w:rPr>
      </w:pPr>
      <w:r>
        <w:rPr>
          <w:rFonts w:hint="eastAsia" w:ascii="宋体"/>
          <w:b/>
          <w:color w:val="auto"/>
          <w:szCs w:val="21"/>
          <w:highlight w:val="none"/>
          <w:lang w:val="en-US" w:eastAsia="zh-CN"/>
        </w:rPr>
        <w:t>9.</w:t>
      </w:r>
      <w:r>
        <w:rPr>
          <w:rFonts w:hint="eastAsia" w:ascii="宋体" w:hAnsi="宋体"/>
          <w:b/>
          <w:color w:val="auto"/>
          <w:sz w:val="24"/>
          <w:highlight w:val="none"/>
        </w:rPr>
        <w:t xml:space="preserve"> </w:t>
      </w:r>
      <w:r>
        <w:rPr>
          <w:rFonts w:hint="eastAsia" w:ascii="宋体"/>
          <w:b/>
          <w:color w:val="auto"/>
          <w:szCs w:val="21"/>
          <w:highlight w:val="none"/>
        </w:rPr>
        <w:t>无效投标条款</w:t>
      </w:r>
    </w:p>
    <w:p w14:paraId="4C4B7412">
      <w:pPr>
        <w:snapToGrid w:val="0"/>
        <w:spacing w:line="400" w:lineRule="exact"/>
        <w:ind w:firstLine="525" w:firstLineChars="250"/>
        <w:rPr>
          <w:rFonts w:hint="eastAsia" w:ascii="宋体" w:cs="宋体"/>
          <w:color w:val="auto"/>
          <w:szCs w:val="21"/>
          <w:highlight w:val="none"/>
        </w:rPr>
      </w:pPr>
      <w:r>
        <w:rPr>
          <w:rFonts w:hint="eastAsia" w:ascii="宋体" w:cs="宋体"/>
          <w:color w:val="auto"/>
          <w:szCs w:val="21"/>
          <w:highlight w:val="none"/>
          <w:lang w:val="en-US" w:eastAsia="zh-CN"/>
        </w:rPr>
        <w:t>9</w:t>
      </w:r>
      <w:r>
        <w:rPr>
          <w:rFonts w:hint="eastAsia" w:ascii="宋体" w:cs="宋体"/>
          <w:color w:val="auto"/>
          <w:szCs w:val="21"/>
          <w:highlight w:val="none"/>
        </w:rPr>
        <w:t>.1投标文件有下列情形之一的,其投标文件拒收:</w:t>
      </w:r>
    </w:p>
    <w:p w14:paraId="27A02168">
      <w:pPr>
        <w:snapToGrid w:val="0"/>
        <w:spacing w:line="400" w:lineRule="exact"/>
        <w:ind w:firstLine="420"/>
        <w:rPr>
          <w:rFonts w:hint="eastAsia" w:ascii="宋体" w:hAnsi="宋体" w:cs="宋体"/>
          <w:b/>
          <w:bCs/>
          <w:color w:val="auto"/>
          <w:szCs w:val="21"/>
          <w:highlight w:val="none"/>
        </w:rPr>
      </w:pPr>
      <w:r>
        <w:rPr>
          <w:rFonts w:hint="eastAsia" w:ascii="宋体" w:cs="宋体"/>
          <w:color w:val="auto"/>
          <w:szCs w:val="21"/>
          <w:highlight w:val="none"/>
        </w:rPr>
        <w:t xml:space="preserve"> </w:t>
      </w:r>
      <w:r>
        <w:rPr>
          <w:rFonts w:hint="eastAsia" w:ascii="宋体" w:hAnsi="宋体" w:cs="宋体"/>
          <w:b/>
          <w:bCs/>
          <w:color w:val="auto"/>
          <w:szCs w:val="21"/>
          <w:highlight w:val="none"/>
        </w:rPr>
        <w:t>(1) 未在开标截止时间前通过网上招标投标系统递交有效电子投标文件的，开标系统不予接收，投标将被拒绝。</w:t>
      </w:r>
    </w:p>
    <w:p w14:paraId="257D62F8">
      <w:pPr>
        <w:snapToGrid w:val="0"/>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2）投标企业接到远程解密指令后，须在规定时间内解密。因投标人自身原因导致投标文件在规定时间内未能解密、解密失败或解密超时，投标文件无效；解密时间：从本项目投标截止时间开始计时，至完成投标文件解密时间，不得超过</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分钟，否则投标文件将被拒绝。</w:t>
      </w:r>
    </w:p>
    <w:p w14:paraId="60948C9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.2投标人有下列情形之一的,资格审查后其投标作无效投标处理：</w:t>
      </w:r>
    </w:p>
    <w:p w14:paraId="5560F39C">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）投标人为本项目提供招标代理服务的；</w:t>
      </w:r>
    </w:p>
    <w:p w14:paraId="439C100A">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）投标人与在本项目代理机构存在相互任职或工作的；</w:t>
      </w:r>
    </w:p>
    <w:p w14:paraId="09E3046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）评标专家无法查看并检验电子投标文件中相关资料的；</w:t>
      </w:r>
    </w:p>
    <w:p w14:paraId="3C99BAF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）联合体投标未提交联合体协议的；</w:t>
      </w:r>
    </w:p>
    <w:p w14:paraId="16A15BB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）被暂停营业的；</w:t>
      </w:r>
    </w:p>
    <w:p w14:paraId="348F643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）被暂停或取消投标资格的；</w:t>
      </w:r>
    </w:p>
    <w:p w14:paraId="6F19C305">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）财产被接管或冻结的；</w:t>
      </w:r>
    </w:p>
    <w:p w14:paraId="6F3BA6B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）投标人单位负责人为同一人或者存在控股、管理关系的不同单位的；</w:t>
      </w:r>
    </w:p>
    <w:p w14:paraId="2B286FD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）保证金不按第</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章“投标人须知”及其前附表要求提交投标保证金的；</w:t>
      </w:r>
    </w:p>
    <w:p w14:paraId="31DF76D0">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）投标人未办理省主体库登记入库手续的；</w:t>
      </w:r>
    </w:p>
    <w:p w14:paraId="27D6A744">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）投标人申请开具电子保函 MAC 地址一致的；</w:t>
      </w:r>
    </w:p>
    <w:p w14:paraId="430169F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）投标人基本资格条件和特定资格条件中有一项及以上不符合要求的；</w:t>
      </w:r>
    </w:p>
    <w:p w14:paraId="1C6FAF8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47FA9328">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）其它情形，经评标委员会委提出按无效投标处理；</w:t>
      </w:r>
    </w:p>
    <w:p w14:paraId="1D9C701F">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）投标人投标MAC地址或投标人联系人或联系电话相同的，由评标委员会否决其投标，并进一步调查；</w:t>
      </w:r>
    </w:p>
    <w:p w14:paraId="4416314A">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）投标人单方面出现其他投标人材料的；</w:t>
      </w:r>
    </w:p>
    <w:p w14:paraId="45E4C8BD">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）招标文件规定的其它无效投标情形。</w:t>
      </w:r>
    </w:p>
    <w:p w14:paraId="56DF612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.3 投标人有下列情形之一的,符合性审查后其投标按无效投标处理：</w:t>
      </w:r>
    </w:p>
    <w:p w14:paraId="79D7196A">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）投标文件签字、盖章不全，经评标委员会一致认定对开评标内容有实质性影响的；</w:t>
      </w:r>
    </w:p>
    <w:p w14:paraId="71D14C6F">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）未按规定的格式填写</w:t>
      </w:r>
      <w:r>
        <w:rPr>
          <w:rFonts w:hint="eastAsia" w:ascii="宋体" w:hAnsi="宋体" w:cs="宋体"/>
          <w:color w:val="auto"/>
          <w:szCs w:val="21"/>
          <w:highlight w:val="none"/>
          <w:lang w:val="en-US" w:eastAsia="zh-CN"/>
        </w:rPr>
        <w:t>导致</w:t>
      </w:r>
      <w:r>
        <w:rPr>
          <w:rFonts w:hint="eastAsia" w:ascii="宋体" w:hAnsi="宋体" w:cs="宋体"/>
          <w:color w:val="auto"/>
          <w:szCs w:val="21"/>
          <w:highlight w:val="none"/>
        </w:rPr>
        <w:t>实质性内容不全</w:t>
      </w:r>
      <w:r>
        <w:rPr>
          <w:rFonts w:hint="eastAsia" w:ascii="宋体" w:hAnsi="宋体" w:cs="宋体"/>
          <w:color w:val="auto"/>
          <w:szCs w:val="21"/>
          <w:highlight w:val="none"/>
          <w:lang w:val="en-US" w:eastAsia="zh-CN"/>
        </w:rPr>
        <w:t>以及实质上不响应，</w:t>
      </w:r>
      <w:r>
        <w:rPr>
          <w:rFonts w:hint="eastAsia" w:ascii="宋体" w:hAnsi="宋体" w:cs="宋体"/>
          <w:color w:val="auto"/>
          <w:szCs w:val="21"/>
          <w:highlight w:val="none"/>
        </w:rPr>
        <w:t>或</w:t>
      </w:r>
      <w:r>
        <w:rPr>
          <w:rFonts w:hint="eastAsia" w:ascii="宋体" w:hAnsi="宋体" w:cs="宋体"/>
          <w:color w:val="auto"/>
          <w:szCs w:val="21"/>
          <w:highlight w:val="none"/>
          <w:lang w:val="en-US" w:eastAsia="zh-CN"/>
        </w:rPr>
        <w:t>者</w:t>
      </w:r>
      <w:r>
        <w:rPr>
          <w:rFonts w:hint="eastAsia" w:ascii="宋体" w:hAnsi="宋体" w:cs="宋体"/>
          <w:color w:val="auto"/>
          <w:szCs w:val="21"/>
          <w:highlight w:val="none"/>
        </w:rPr>
        <w:t>关键字迹模糊、无法辨认；</w:t>
      </w:r>
    </w:p>
    <w:p w14:paraId="66318CA2">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）同一投标人提交两个以上不同的投标文件或者投标报价，但招标文件规定提交备选方案的除外；</w:t>
      </w:r>
    </w:p>
    <w:p w14:paraId="7CC4909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）投标文件没有对招标文件的实质性要求和条件作出响应;</w:t>
      </w:r>
    </w:p>
    <w:p w14:paraId="0C4016D3">
      <w:pPr>
        <w:keepNext w:val="0"/>
        <w:keepLines w:val="0"/>
        <w:pageBreakBefore w:val="0"/>
        <w:widowControl w:val="0"/>
        <w:kinsoku/>
        <w:wordWrap/>
        <w:overflowPunct/>
        <w:topLinePunct w:val="0"/>
        <w:autoSpaceDE/>
        <w:autoSpaceDN/>
        <w:bidi w:val="0"/>
        <w:adjustRightInd/>
        <w:spacing w:line="420" w:lineRule="exact"/>
        <w:ind w:right="-212" w:rightChars="-101" w:firstLine="420" w:firstLineChars="200"/>
        <w:jc w:val="left"/>
        <w:textAlignment w:val="auto"/>
        <w:rPr>
          <w:rFonts w:hint="eastAsia" w:ascii="宋体" w:hAnsi="宋体" w:cs="宋体"/>
          <w:b/>
          <w:bCs/>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）投标报价超出规定的投标限价或公布的采购预算的或投标人的投标报价各项单价高于招标文件给定的单价最高限价；</w:t>
      </w:r>
    </w:p>
    <w:p w14:paraId="651ECF07">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）不按评标委员会要求澄清、说明或补正的，或者评标委员会根据招标文件的规定对</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文件的计算错误进行修正后，投标人不接受修正的投标报价的。</w:t>
      </w:r>
    </w:p>
    <w:p w14:paraId="55085D8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（7）其它情形，经评标委员会委提出按无效投标处理，并经公共资源交易监督部门核准的；</w:t>
      </w:r>
    </w:p>
    <w:p w14:paraId="46FF0A7C">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（8）投标文件含有招标人不能接受的附加条件的;</w:t>
      </w:r>
    </w:p>
    <w:p w14:paraId="280CABC2">
      <w:pPr>
        <w:keepNext w:val="0"/>
        <w:keepLines w:val="0"/>
        <w:pageBreakBefore w:val="0"/>
        <w:widowControl w:val="0"/>
        <w:tabs>
          <w:tab w:val="left" w:pos="1123"/>
        </w:tabs>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5C181207">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.4 投标人有下列情形之一的, 详细评审后其投标按无效投标处理：</w:t>
      </w:r>
    </w:p>
    <w:p w14:paraId="33F2018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）投标产品不符合必须强制执行的国家标准的；</w:t>
      </w:r>
    </w:p>
    <w:p w14:paraId="089679DE">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）投标人有串通投标、弄虚作假、行贿等违法行为；</w:t>
      </w:r>
    </w:p>
    <w:p w14:paraId="67F9813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）投标文件含有违反国家法律、法规的内容，或附有招标人不能接受的条件的；</w:t>
      </w:r>
    </w:p>
    <w:p w14:paraId="154B8023">
      <w:pPr>
        <w:keepNext w:val="0"/>
        <w:keepLines w:val="0"/>
        <w:pageBreakBefore w:val="0"/>
        <w:widowControl w:val="0"/>
        <w:kinsoku/>
        <w:wordWrap/>
        <w:overflowPunct/>
        <w:topLinePunct w:val="0"/>
        <w:autoSpaceDE/>
        <w:autoSpaceDN/>
        <w:bidi w:val="0"/>
        <w:adjustRightInd/>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）报价明显低于其他投标人，且不能证明报价合理性的投标无效；</w:t>
      </w:r>
    </w:p>
    <w:p w14:paraId="65F25D2A">
      <w:pPr>
        <w:keepNext w:val="0"/>
        <w:keepLines w:val="0"/>
        <w:pageBreakBefore w:val="0"/>
        <w:widowControl w:val="0"/>
        <w:kinsoku/>
        <w:wordWrap/>
        <w:overflowPunct/>
        <w:topLinePunct w:val="0"/>
        <w:autoSpaceDE/>
        <w:autoSpaceDN/>
        <w:bidi w:val="0"/>
        <w:adjustRightInd/>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）拒不确认评标委员会评审修正的投标无效；</w:t>
      </w:r>
    </w:p>
    <w:p w14:paraId="76381DE8">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）其它情形，经评标委员会委提出按无效投标处理，并经公共资源交易监督部门核准的；</w:t>
      </w:r>
    </w:p>
    <w:p w14:paraId="095585C1">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）招标文件规定的其它无效投标情形。</w:t>
      </w:r>
    </w:p>
    <w:p w14:paraId="1825D070">
      <w:pPr>
        <w:rPr>
          <w:rFonts w:hint="eastAsia"/>
          <w:color w:val="auto"/>
          <w:highlight w:val="none"/>
        </w:rPr>
      </w:pPr>
    </w:p>
    <w:p w14:paraId="79D4181F">
      <w:pPr>
        <w:pStyle w:val="6"/>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sz w:val="44"/>
          <w:szCs w:val="44"/>
          <w:highlight w:val="none"/>
          <w:lang w:val="en-US" w:eastAsia="zh-CN"/>
        </w:rPr>
      </w:pPr>
      <w:bookmarkStart w:id="66" w:name="_Toc3848"/>
      <w:r>
        <w:rPr>
          <w:rFonts w:hint="eastAsia" w:ascii="宋体" w:hAnsi="宋体" w:eastAsia="宋体" w:cs="宋体"/>
          <w:color w:val="auto"/>
          <w:sz w:val="44"/>
          <w:szCs w:val="44"/>
          <w:highlight w:val="none"/>
          <w:lang w:val="en-US" w:eastAsia="zh-CN"/>
        </w:rPr>
        <w:t>第三章 合同条款</w:t>
      </w:r>
      <w:bookmarkEnd w:id="56"/>
      <w:bookmarkEnd w:id="57"/>
      <w:bookmarkEnd w:id="66"/>
    </w:p>
    <w:p w14:paraId="209DF1AC">
      <w:pPr>
        <w:rPr>
          <w:rFonts w:hint="eastAsia" w:ascii="宋体" w:hAnsi="宋体" w:eastAsia="宋体" w:cs="宋体"/>
          <w:color w:val="auto"/>
          <w:highlight w:val="none"/>
        </w:rPr>
      </w:pPr>
    </w:p>
    <w:p w14:paraId="693D8329">
      <w:pPr>
        <w:spacing w:line="360" w:lineRule="auto"/>
        <w:jc w:val="center"/>
        <w:rPr>
          <w:rFonts w:hint="eastAsia" w:ascii="宋体" w:hAnsi="宋体" w:eastAsia="宋体" w:cs="宋体"/>
          <w:color w:val="auto"/>
          <w:w w:val="90"/>
          <w:sz w:val="72"/>
          <w:szCs w:val="52"/>
          <w:highlight w:val="none"/>
        </w:rPr>
      </w:pPr>
      <w:r>
        <w:rPr>
          <w:rFonts w:hint="eastAsia" w:ascii="宋体" w:hAnsi="宋体" w:eastAsia="宋体" w:cs="宋体"/>
          <w:color w:val="auto"/>
          <w:w w:val="90"/>
          <w:sz w:val="72"/>
          <w:szCs w:val="52"/>
          <w:highlight w:val="none"/>
        </w:rPr>
        <w:t>建设工程造价咨询合同</w:t>
      </w:r>
    </w:p>
    <w:p w14:paraId="189065E5">
      <w:pPr>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（结算审计复核）</w:t>
      </w:r>
    </w:p>
    <w:p w14:paraId="4EA17EE1">
      <w:pPr>
        <w:jc w:val="center"/>
        <w:rPr>
          <w:rFonts w:hint="eastAsia" w:ascii="宋体" w:hAnsi="宋体" w:eastAsia="宋体" w:cs="宋体"/>
          <w:color w:val="auto"/>
          <w:sz w:val="72"/>
          <w:szCs w:val="72"/>
          <w:highlight w:val="none"/>
        </w:rPr>
      </w:pPr>
    </w:p>
    <w:p w14:paraId="1B2783B7">
      <w:pPr>
        <w:jc w:val="center"/>
        <w:rPr>
          <w:rFonts w:hint="eastAsia" w:ascii="宋体" w:hAnsi="宋体" w:eastAsia="宋体" w:cs="宋体"/>
          <w:color w:val="auto"/>
          <w:sz w:val="72"/>
          <w:szCs w:val="72"/>
          <w:highlight w:val="none"/>
        </w:rPr>
      </w:pPr>
    </w:p>
    <w:p w14:paraId="759B9A9B">
      <w:pPr>
        <w:jc w:val="center"/>
        <w:rPr>
          <w:rFonts w:hint="eastAsia" w:ascii="宋体" w:hAnsi="宋体" w:eastAsia="宋体" w:cs="宋体"/>
          <w:color w:val="auto"/>
          <w:sz w:val="72"/>
          <w:szCs w:val="72"/>
          <w:highlight w:val="none"/>
        </w:rPr>
      </w:pPr>
    </w:p>
    <w:p w14:paraId="16FD3861">
      <w:pPr>
        <w:pStyle w:val="2"/>
        <w:rPr>
          <w:rFonts w:hint="eastAsia" w:ascii="宋体" w:hAnsi="宋体" w:eastAsia="宋体" w:cs="宋体"/>
          <w:color w:val="auto"/>
          <w:highlight w:val="none"/>
        </w:rPr>
      </w:pPr>
    </w:p>
    <w:p w14:paraId="13EB1CA0">
      <w:pPr>
        <w:rPr>
          <w:rFonts w:hint="eastAsia" w:ascii="宋体" w:hAnsi="宋体" w:eastAsia="宋体" w:cs="宋体"/>
          <w:color w:val="auto"/>
          <w:highlight w:val="none"/>
        </w:rPr>
      </w:pPr>
    </w:p>
    <w:p w14:paraId="72C77FA6">
      <w:pPr>
        <w:spacing w:line="240" w:lineRule="exact"/>
        <w:jc w:val="center"/>
        <w:rPr>
          <w:rFonts w:hint="eastAsia" w:ascii="宋体" w:hAnsi="宋体" w:eastAsia="宋体" w:cs="宋体"/>
          <w:color w:val="auto"/>
          <w:sz w:val="72"/>
          <w:szCs w:val="72"/>
          <w:highlight w:val="none"/>
        </w:rPr>
      </w:pPr>
    </w:p>
    <w:p w14:paraId="13C424BC">
      <w:pPr>
        <w:spacing w:line="240" w:lineRule="exact"/>
        <w:jc w:val="center"/>
        <w:rPr>
          <w:rFonts w:hint="eastAsia" w:ascii="宋体" w:hAnsi="宋体" w:eastAsia="宋体" w:cs="宋体"/>
          <w:color w:val="auto"/>
          <w:sz w:val="72"/>
          <w:szCs w:val="72"/>
          <w:highlight w:val="none"/>
        </w:rPr>
      </w:pPr>
    </w:p>
    <w:p w14:paraId="6BD46474">
      <w:pPr>
        <w:spacing w:line="800" w:lineRule="exact"/>
        <w:rPr>
          <w:rFonts w:hint="eastAsia" w:ascii="宋体" w:hAnsi="宋体" w:eastAsia="宋体" w:cs="宋体"/>
          <w:color w:val="auto"/>
          <w:sz w:val="36"/>
          <w:szCs w:val="30"/>
          <w:highlight w:val="none"/>
          <w:u w:val="single"/>
        </w:rPr>
      </w:pPr>
      <w:r>
        <w:rPr>
          <w:rFonts w:hint="eastAsia" w:ascii="宋体" w:hAnsi="宋体" w:eastAsia="宋体" w:cs="宋体"/>
          <w:color w:val="auto"/>
          <w:sz w:val="36"/>
          <w:szCs w:val="30"/>
          <w:highlight w:val="none"/>
        </w:rPr>
        <w:t>委托单位：</w:t>
      </w:r>
      <w:r>
        <w:rPr>
          <w:rFonts w:hint="eastAsia" w:ascii="宋体" w:hAnsi="宋体" w:eastAsia="宋体" w:cs="宋体"/>
          <w:color w:val="auto"/>
          <w:sz w:val="36"/>
          <w:szCs w:val="30"/>
          <w:highlight w:val="none"/>
          <w:u w:val="single"/>
          <w:lang w:val="en-US" w:eastAsia="zh-CN"/>
        </w:rPr>
        <w:t>滁州市市政设施管理中心</w:t>
      </w:r>
    </w:p>
    <w:p w14:paraId="008F8D69">
      <w:pPr>
        <w:spacing w:line="800" w:lineRule="exact"/>
        <w:rPr>
          <w:rFonts w:hint="eastAsia" w:ascii="宋体" w:hAnsi="宋体" w:eastAsia="宋体" w:cs="宋体"/>
          <w:color w:val="auto"/>
          <w:sz w:val="36"/>
          <w:szCs w:val="30"/>
          <w:highlight w:val="none"/>
          <w:u w:val="single"/>
          <w:lang w:eastAsia="zh-CN"/>
        </w:rPr>
      </w:pPr>
      <w:r>
        <w:rPr>
          <w:rFonts w:hint="eastAsia" w:ascii="宋体" w:hAnsi="宋体" w:eastAsia="宋体" w:cs="宋体"/>
          <w:color w:val="auto"/>
          <w:sz w:val="36"/>
          <w:szCs w:val="30"/>
          <w:highlight w:val="none"/>
        </w:rPr>
        <w:t>工程名称：</w:t>
      </w:r>
      <w:r>
        <w:rPr>
          <w:rFonts w:hint="eastAsia" w:ascii="宋体" w:hAnsi="宋体" w:cs="宋体"/>
          <w:color w:val="auto"/>
          <w:sz w:val="36"/>
          <w:szCs w:val="30"/>
          <w:highlight w:val="none"/>
          <w:u w:val="single"/>
          <w:lang w:val="en-US" w:eastAsia="zh-CN"/>
        </w:rPr>
        <w:t>2024年市政基础设施中修、安保和养护工程桥梁养护维修项目结算复核服务</w:t>
      </w:r>
    </w:p>
    <w:p w14:paraId="0EB3D2B5">
      <w:pPr>
        <w:spacing w:line="800" w:lineRule="exact"/>
        <w:rPr>
          <w:rFonts w:hint="eastAsia" w:ascii="宋体" w:hAnsi="宋体" w:eastAsia="宋体" w:cs="宋体"/>
          <w:color w:val="auto"/>
          <w:sz w:val="36"/>
          <w:szCs w:val="30"/>
          <w:highlight w:val="none"/>
        </w:rPr>
      </w:pPr>
      <w:r>
        <w:rPr>
          <w:rFonts w:hint="eastAsia" w:ascii="宋体" w:hAnsi="宋体" w:eastAsia="宋体" w:cs="宋体"/>
          <w:color w:val="auto"/>
          <w:sz w:val="36"/>
          <w:szCs w:val="30"/>
          <w:highlight w:val="none"/>
        </w:rPr>
        <w:t>签订时间：</w:t>
      </w:r>
      <w:r>
        <w:rPr>
          <w:rFonts w:hint="eastAsia" w:ascii="宋体" w:hAnsi="宋体" w:eastAsia="宋体" w:cs="宋体"/>
          <w:color w:val="auto"/>
          <w:sz w:val="36"/>
          <w:szCs w:val="30"/>
          <w:highlight w:val="none"/>
          <w:u w:val="single"/>
        </w:rPr>
        <w:t xml:space="preserve"> 202</w:t>
      </w:r>
      <w:r>
        <w:rPr>
          <w:rFonts w:hint="eastAsia" w:ascii="宋体" w:hAnsi="宋体" w:cs="宋体"/>
          <w:color w:val="auto"/>
          <w:sz w:val="36"/>
          <w:szCs w:val="30"/>
          <w:highlight w:val="none"/>
          <w:u w:val="single"/>
          <w:lang w:val="en-US" w:eastAsia="zh-CN"/>
        </w:rPr>
        <w:t>6</w:t>
      </w:r>
      <w:r>
        <w:rPr>
          <w:rFonts w:hint="eastAsia" w:ascii="宋体" w:hAnsi="宋体" w:eastAsia="宋体" w:cs="宋体"/>
          <w:color w:val="auto"/>
          <w:sz w:val="36"/>
          <w:szCs w:val="30"/>
          <w:highlight w:val="none"/>
        </w:rPr>
        <w:t>年</w:t>
      </w:r>
      <w:r>
        <w:rPr>
          <w:rFonts w:hint="eastAsia" w:ascii="宋体" w:hAnsi="宋体" w:eastAsia="宋体" w:cs="宋体"/>
          <w:color w:val="auto"/>
          <w:sz w:val="36"/>
          <w:szCs w:val="30"/>
          <w:highlight w:val="none"/>
          <w:u w:val="single"/>
        </w:rPr>
        <w:t xml:space="preserve">      </w:t>
      </w:r>
      <w:r>
        <w:rPr>
          <w:rFonts w:hint="eastAsia" w:ascii="宋体" w:hAnsi="宋体" w:eastAsia="宋体" w:cs="宋体"/>
          <w:color w:val="auto"/>
          <w:sz w:val="36"/>
          <w:szCs w:val="30"/>
          <w:highlight w:val="none"/>
        </w:rPr>
        <w:t>月</w:t>
      </w:r>
      <w:r>
        <w:rPr>
          <w:rFonts w:hint="eastAsia" w:ascii="宋体" w:hAnsi="宋体" w:eastAsia="宋体" w:cs="宋体"/>
          <w:color w:val="auto"/>
          <w:sz w:val="36"/>
          <w:szCs w:val="30"/>
          <w:highlight w:val="none"/>
          <w:u w:val="single"/>
        </w:rPr>
        <w:t xml:space="preserve">      </w:t>
      </w:r>
      <w:r>
        <w:rPr>
          <w:rFonts w:hint="eastAsia" w:ascii="宋体" w:hAnsi="宋体" w:eastAsia="宋体" w:cs="宋体"/>
          <w:color w:val="auto"/>
          <w:sz w:val="36"/>
          <w:szCs w:val="30"/>
          <w:highlight w:val="none"/>
        </w:rPr>
        <w:t>日</w:t>
      </w:r>
    </w:p>
    <w:p w14:paraId="10A6F23C">
      <w:pPr>
        <w:pStyle w:val="2"/>
        <w:rPr>
          <w:rFonts w:hint="eastAsia" w:ascii="宋体" w:hAnsi="宋体" w:eastAsia="宋体" w:cs="宋体"/>
          <w:color w:val="auto"/>
          <w:highlight w:val="none"/>
        </w:rPr>
      </w:pPr>
    </w:p>
    <w:p w14:paraId="563F2715">
      <w:pPr>
        <w:pStyle w:val="2"/>
        <w:rPr>
          <w:rFonts w:hint="eastAsia" w:ascii="宋体" w:hAnsi="宋体" w:eastAsia="宋体" w:cs="宋体"/>
          <w:color w:val="auto"/>
          <w:highlight w:val="none"/>
        </w:rPr>
      </w:pPr>
    </w:p>
    <w:p w14:paraId="1E562EAA">
      <w:pPr>
        <w:pStyle w:val="6"/>
        <w:keepNext/>
        <w:keepLines/>
        <w:pageBreakBefore/>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sz w:val="44"/>
          <w:highlight w:val="none"/>
        </w:rPr>
      </w:pPr>
      <w:r>
        <w:rPr>
          <w:rFonts w:hint="eastAsia" w:ascii="宋体" w:hAnsi="宋体" w:eastAsia="宋体" w:cs="宋体"/>
          <w:b/>
          <w:color w:val="auto"/>
          <w:sz w:val="44"/>
          <w:highlight w:val="none"/>
        </w:rPr>
        <w:t>结算审计复核委托协议</w:t>
      </w:r>
    </w:p>
    <w:p w14:paraId="15C5F011">
      <w:pPr>
        <w:adjustRightInd w:val="0"/>
        <w:snapToGrid w:val="0"/>
        <w:jc w:val="left"/>
        <w:rPr>
          <w:rFonts w:hint="eastAsia" w:ascii="宋体" w:hAnsi="宋体" w:eastAsia="宋体" w:cs="宋体"/>
          <w:color w:val="auto"/>
          <w:sz w:val="18"/>
          <w:szCs w:val="18"/>
          <w:highlight w:val="none"/>
        </w:rPr>
      </w:pPr>
    </w:p>
    <w:p w14:paraId="3F2FCB2A">
      <w:pPr>
        <w:adjustRightInd w:val="0"/>
        <w:snapToGrid w:val="0"/>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委托人（全称）：</w:t>
      </w:r>
      <w:r>
        <w:rPr>
          <w:rFonts w:hint="eastAsia" w:ascii="宋体" w:hAnsi="宋体" w:eastAsia="宋体" w:cs="宋体"/>
          <w:color w:val="auto"/>
          <w:sz w:val="28"/>
          <w:szCs w:val="28"/>
          <w:highlight w:val="none"/>
          <w:lang w:val="en-US" w:eastAsia="zh-CN"/>
        </w:rPr>
        <w:t>滁州市市政设施管理中心</w:t>
      </w:r>
      <w:r>
        <w:rPr>
          <w:rFonts w:hint="eastAsia" w:ascii="宋体" w:hAnsi="宋体" w:eastAsia="宋体" w:cs="宋体"/>
          <w:color w:val="auto"/>
          <w:sz w:val="28"/>
          <w:szCs w:val="28"/>
          <w:highlight w:val="none"/>
        </w:rPr>
        <w:t xml:space="preserve"> </w:t>
      </w:r>
    </w:p>
    <w:p w14:paraId="4AC18DA2">
      <w:pPr>
        <w:adjustRightInd w:val="0"/>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受托人（全称）：</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7402B6BA">
      <w:pPr>
        <w:ind w:firstLine="560" w:firstLineChars="200"/>
        <w:rPr>
          <w:rFonts w:hint="eastAsia" w:ascii="宋体" w:hAnsi="宋体" w:eastAsia="宋体" w:cs="宋体"/>
          <w:color w:val="auto"/>
          <w:sz w:val="28"/>
          <w:szCs w:val="28"/>
          <w:highlight w:val="none"/>
        </w:rPr>
      </w:pPr>
    </w:p>
    <w:p w14:paraId="374D1E89">
      <w:pPr>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为保证滁州市政府投资项目审计工作质量和效率，依据《中华人民共和国</w:t>
      </w:r>
      <w:r>
        <w:rPr>
          <w:rFonts w:hint="eastAsia" w:ascii="宋体" w:hAnsi="宋体" w:eastAsia="宋体" w:cs="宋体"/>
          <w:color w:val="auto"/>
          <w:sz w:val="28"/>
          <w:szCs w:val="28"/>
          <w:highlight w:val="none"/>
          <w:lang w:eastAsia="zh-CN"/>
        </w:rPr>
        <w:t>民法典</w:t>
      </w:r>
      <w:r>
        <w:rPr>
          <w:rFonts w:hint="eastAsia" w:ascii="宋体" w:hAnsi="宋体" w:eastAsia="宋体" w:cs="宋体"/>
          <w:color w:val="auto"/>
          <w:sz w:val="28"/>
          <w:szCs w:val="28"/>
          <w:highlight w:val="none"/>
        </w:rPr>
        <w:t>》等有关法律规定，遵循平等、自愿、公平和诚实信用的原则，双方就</w:t>
      </w:r>
      <w:r>
        <w:rPr>
          <w:rFonts w:hint="eastAsia" w:ascii="宋体" w:hAnsi="宋体" w:cs="宋体"/>
          <w:color w:val="auto"/>
          <w:sz w:val="28"/>
          <w:szCs w:val="28"/>
          <w:highlight w:val="none"/>
          <w:u w:val="single"/>
          <w:lang w:val="en-US" w:eastAsia="zh-CN"/>
        </w:rPr>
        <w:t xml:space="preserve"> 2024年市政基础设施中修、安保和养护工程桥梁养护维修项目 </w:t>
      </w:r>
      <w:r>
        <w:rPr>
          <w:rFonts w:hint="eastAsia" w:ascii="宋体" w:hAnsi="宋体" w:eastAsia="宋体" w:cs="宋体"/>
          <w:color w:val="auto"/>
          <w:sz w:val="28"/>
          <w:szCs w:val="28"/>
          <w:highlight w:val="none"/>
        </w:rPr>
        <w:t>及有关事项协商一致，共同达成如下协议：</w:t>
      </w:r>
    </w:p>
    <w:p w14:paraId="1D6BB499">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一、项目概况</w:t>
      </w:r>
    </w:p>
    <w:p w14:paraId="2CE4B9EA">
      <w:pPr>
        <w:ind w:firstLine="560" w:firstLineChars="200"/>
        <w:jc w:val="left"/>
        <w:rPr>
          <w:rFonts w:hint="eastAsia" w:ascii="宋体" w:hAnsi="宋体" w:eastAsia="宋体" w:cs="宋体"/>
          <w:color w:val="auto"/>
          <w:sz w:val="28"/>
          <w:szCs w:val="28"/>
          <w:highlight w:val="none"/>
          <w:u w:val="single"/>
          <w:lang w:val="en-US" w:eastAsia="zh-CN"/>
        </w:rPr>
      </w:pPr>
      <w:r>
        <w:rPr>
          <w:rFonts w:hint="eastAsia" w:ascii="宋体" w:hAnsi="宋体" w:eastAsia="宋体" w:cs="宋体"/>
          <w:bCs/>
          <w:color w:val="auto"/>
          <w:sz w:val="28"/>
          <w:szCs w:val="28"/>
          <w:highlight w:val="none"/>
        </w:rPr>
        <w:t>1、项目名称</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u w:val="single"/>
          <w:lang w:val="en-US" w:eastAsia="zh-CN"/>
        </w:rPr>
        <w:t>2024年市政基础设施中修、安保和养护工程桥梁养护维修项目结算复核服务</w:t>
      </w:r>
    </w:p>
    <w:p w14:paraId="1BD8E276">
      <w:pPr>
        <w:ind w:firstLine="560" w:firstLineChars="20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2、项目造价</w:t>
      </w:r>
      <w:r>
        <w:rPr>
          <w:rFonts w:hint="eastAsia" w:ascii="宋体" w:hAnsi="宋体" w:eastAsia="宋体" w:cs="宋体"/>
          <w:bCs/>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lang w:eastAsia="zh-CN"/>
        </w:rPr>
        <w:t>。</w:t>
      </w:r>
    </w:p>
    <w:p w14:paraId="356432EA">
      <w:pPr>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3、委托内容：</w:t>
      </w:r>
      <w:r>
        <w:rPr>
          <w:rFonts w:hint="eastAsia" w:ascii="宋体" w:hAnsi="宋体" w:eastAsia="宋体" w:cs="宋体"/>
          <w:color w:val="auto"/>
          <w:sz w:val="28"/>
          <w:szCs w:val="28"/>
          <w:highlight w:val="none"/>
          <w:u w:val="single"/>
        </w:rPr>
        <w:t>结算审计复核。</w:t>
      </w:r>
    </w:p>
    <w:p w14:paraId="753C4C67">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二、项目结算复核人员配备</w:t>
      </w:r>
    </w:p>
    <w:p w14:paraId="5F823F2F">
      <w:pPr>
        <w:widowControl/>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项目组成人员要求：企业拟派的项目负责人：</w:t>
      </w:r>
      <w:r>
        <w:rPr>
          <w:rFonts w:hint="eastAsia" w:ascii="宋体" w:hAnsi="宋体" w:cs="宋体"/>
          <w:color w:val="auto"/>
          <w:sz w:val="28"/>
          <w:szCs w:val="28"/>
          <w:highlight w:val="none"/>
          <w:lang w:val="en-US" w:eastAsia="zh-CN"/>
        </w:rPr>
        <w:t>一级</w:t>
      </w:r>
      <w:r>
        <w:rPr>
          <w:rFonts w:hint="eastAsia" w:ascii="宋体" w:hAnsi="宋体" w:eastAsia="宋体" w:cs="宋体"/>
          <w:color w:val="auto"/>
          <w:sz w:val="28"/>
          <w:szCs w:val="28"/>
          <w:highlight w:val="none"/>
        </w:rPr>
        <w:t>注册造价工程师（或一级造价师）1名；项目组成人员：</w:t>
      </w:r>
      <w:r>
        <w:rPr>
          <w:rFonts w:hint="eastAsia" w:ascii="宋体" w:hAnsi="宋体" w:eastAsia="宋体" w:cs="宋体"/>
          <w:color w:val="auto"/>
          <w:sz w:val="28"/>
          <w:szCs w:val="28"/>
          <w:highlight w:val="none"/>
          <w:lang w:val="en-US" w:eastAsia="zh-CN"/>
        </w:rPr>
        <w:t>二级及以上</w:t>
      </w:r>
      <w:r>
        <w:rPr>
          <w:rFonts w:hint="eastAsia" w:ascii="宋体" w:hAnsi="宋体" w:eastAsia="宋体" w:cs="宋体"/>
          <w:color w:val="auto"/>
          <w:sz w:val="28"/>
          <w:szCs w:val="28"/>
          <w:highlight w:val="none"/>
        </w:rPr>
        <w:t>注册造价工程师不少于</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名。</w:t>
      </w:r>
    </w:p>
    <w:p w14:paraId="5377CF51">
      <w:pPr>
        <w:widowControl/>
        <w:ind w:left="57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本项目结算复核人员为：</w:t>
      </w:r>
    </w:p>
    <w:p w14:paraId="1C039C48">
      <w:pPr>
        <w:widowControl/>
        <w:wordWrap w:val="0"/>
        <w:ind w:left="573"/>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项目负责人：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；身份证号：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；证书编号：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single"/>
        </w:rPr>
        <w:t xml:space="preserve">  </w:t>
      </w:r>
    </w:p>
    <w:p w14:paraId="5CA34A8E">
      <w:pPr>
        <w:widowControl/>
        <w:wordWrap w:val="0"/>
        <w:ind w:left="573"/>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项目组成人员：</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；身份证号：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；证书编号：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single"/>
        </w:rPr>
        <w:t xml:space="preserve">  </w:t>
      </w:r>
    </w:p>
    <w:p w14:paraId="12514649">
      <w:pPr>
        <w:widowControl/>
        <w:wordWrap w:val="0"/>
        <w:ind w:left="573"/>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项目组成人员：</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；身份证号：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；证书编号：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single"/>
        </w:rPr>
        <w:t xml:space="preserve">  </w:t>
      </w:r>
    </w:p>
    <w:p w14:paraId="02BBEC5A">
      <w:pPr>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三、咨询期限</w:t>
      </w:r>
    </w:p>
    <w:p w14:paraId="1EC3B369">
      <w:pPr>
        <w:spacing w:line="58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1、计划开始日期：</w:t>
      </w:r>
      <w:r>
        <w:rPr>
          <w:rFonts w:hint="eastAsia" w:ascii="宋体" w:hAnsi="宋体" w:eastAsia="宋体" w:cs="宋体"/>
          <w:bCs/>
          <w:color w:val="auto"/>
          <w:sz w:val="28"/>
          <w:szCs w:val="28"/>
          <w:highlight w:val="none"/>
          <w:u w:val="single"/>
        </w:rPr>
        <w:t xml:space="preserve">  202</w:t>
      </w:r>
      <w:r>
        <w:rPr>
          <w:rFonts w:hint="eastAsia" w:ascii="宋体" w:hAnsi="宋体" w:cs="宋体"/>
          <w:bCs/>
          <w:color w:val="auto"/>
          <w:sz w:val="28"/>
          <w:szCs w:val="28"/>
          <w:highlight w:val="none"/>
          <w:u w:val="single"/>
          <w:lang w:val="en-US" w:eastAsia="zh-CN"/>
        </w:rPr>
        <w:t>6</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年</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月</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w:t>
      </w:r>
    </w:p>
    <w:p w14:paraId="6317D9E1">
      <w:pPr>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2、计划结束日期：</w:t>
      </w:r>
      <w:r>
        <w:rPr>
          <w:rFonts w:hint="eastAsia" w:ascii="宋体" w:hAnsi="宋体" w:eastAsia="宋体" w:cs="宋体"/>
          <w:bCs/>
          <w:color w:val="auto"/>
          <w:sz w:val="28"/>
          <w:szCs w:val="28"/>
          <w:highlight w:val="none"/>
          <w:u w:val="single"/>
        </w:rPr>
        <w:t xml:space="preserve">  202</w:t>
      </w:r>
      <w:r>
        <w:rPr>
          <w:rFonts w:hint="eastAsia" w:ascii="宋体" w:hAnsi="宋体" w:cs="宋体"/>
          <w:bCs/>
          <w:color w:val="auto"/>
          <w:sz w:val="28"/>
          <w:szCs w:val="28"/>
          <w:highlight w:val="none"/>
          <w:u w:val="single"/>
          <w:lang w:val="en-US" w:eastAsia="zh-CN"/>
        </w:rPr>
        <w:t>6</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年</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月</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w:t>
      </w:r>
    </w:p>
    <w:p w14:paraId="47AB2734">
      <w:pPr>
        <w:pStyle w:val="2"/>
        <w:ind w:left="0" w:leftChars="0" w:firstLine="6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3、结算复核时限要求：执行滁重〔</w:t>
      </w:r>
      <w:r>
        <w:rPr>
          <w:rFonts w:hint="eastAsia" w:ascii="宋体" w:hAnsi="宋体" w:eastAsia="宋体" w:cs="宋体"/>
          <w:bCs/>
          <w:color w:val="auto"/>
          <w:sz w:val="28"/>
          <w:szCs w:val="28"/>
          <w:highlight w:val="none"/>
          <w:lang w:eastAsia="zh-CN"/>
        </w:rPr>
        <w:t>20</w:t>
      </w:r>
      <w:r>
        <w:rPr>
          <w:rFonts w:hint="eastAsia" w:ascii="宋体" w:hAnsi="宋体" w:eastAsia="宋体" w:cs="宋体"/>
          <w:bCs/>
          <w:color w:val="auto"/>
          <w:sz w:val="28"/>
          <w:szCs w:val="28"/>
          <w:highlight w:val="none"/>
          <w:lang w:val="en-US" w:eastAsia="zh-CN"/>
        </w:rPr>
        <w:t>22</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55号</w:t>
      </w:r>
      <w:r>
        <w:rPr>
          <w:rFonts w:hint="eastAsia" w:ascii="宋体" w:hAnsi="宋体" w:eastAsia="宋体" w:cs="宋体"/>
          <w:bCs/>
          <w:color w:val="auto"/>
          <w:sz w:val="28"/>
          <w:szCs w:val="28"/>
          <w:highlight w:val="none"/>
        </w:rPr>
        <w:t>《工程</w:t>
      </w:r>
      <w:r>
        <w:rPr>
          <w:rFonts w:hint="eastAsia" w:ascii="宋体" w:hAnsi="宋体" w:eastAsia="宋体" w:cs="宋体"/>
          <w:color w:val="auto"/>
          <w:sz w:val="28"/>
          <w:szCs w:val="28"/>
          <w:highlight w:val="none"/>
        </w:rPr>
        <w:t>造价咨询服务管理办法》的通知第十</w:t>
      </w:r>
      <w:r>
        <w:rPr>
          <w:rFonts w:hint="eastAsia" w:ascii="宋体" w:hAnsi="宋体" w:eastAsia="宋体" w:cs="宋体"/>
          <w:color w:val="auto"/>
          <w:sz w:val="28"/>
          <w:szCs w:val="28"/>
          <w:highlight w:val="none"/>
          <w:lang w:eastAsia="zh-CN"/>
        </w:rPr>
        <w:t>八</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十九</w:t>
      </w:r>
      <w:r>
        <w:rPr>
          <w:rFonts w:hint="eastAsia" w:ascii="宋体" w:hAnsi="宋体" w:eastAsia="宋体" w:cs="宋体"/>
          <w:color w:val="auto"/>
          <w:sz w:val="28"/>
          <w:szCs w:val="28"/>
          <w:highlight w:val="none"/>
        </w:rPr>
        <w:t>条规定。</w:t>
      </w:r>
    </w:p>
    <w:p w14:paraId="5F248DCD">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四、质量标准</w:t>
      </w:r>
    </w:p>
    <w:p w14:paraId="1FD0EAFC">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工程造价咨询成果文件质量符合</w:t>
      </w:r>
      <w:r>
        <w:rPr>
          <w:rFonts w:hint="eastAsia" w:ascii="宋体" w:hAnsi="宋体" w:eastAsia="宋体" w:cs="宋体"/>
          <w:color w:val="auto"/>
          <w:sz w:val="28"/>
          <w:szCs w:val="28"/>
          <w:highlight w:val="none"/>
          <w:u w:val="single"/>
        </w:rPr>
        <w:t xml:space="preserve">《建设工程造价咨询成果文件质量标准》（CECA/GC7-2012)要求 </w:t>
      </w:r>
      <w:r>
        <w:rPr>
          <w:rFonts w:hint="eastAsia" w:ascii="宋体" w:hAnsi="宋体" w:eastAsia="宋体" w:cs="宋体"/>
          <w:color w:val="auto"/>
          <w:sz w:val="28"/>
          <w:szCs w:val="28"/>
          <w:highlight w:val="none"/>
        </w:rPr>
        <w:t>标准。</w:t>
      </w:r>
    </w:p>
    <w:p w14:paraId="2EDA499F">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五、咨询酬金 </w:t>
      </w:r>
    </w:p>
    <w:tbl>
      <w:tblPr>
        <w:tblStyle w:val="45"/>
        <w:tblW w:w="0" w:type="auto"/>
        <w:jc w:val="center"/>
        <w:tblLayout w:type="fixed"/>
        <w:tblCellMar>
          <w:top w:w="0" w:type="dxa"/>
          <w:left w:w="108" w:type="dxa"/>
          <w:bottom w:w="0" w:type="dxa"/>
          <w:right w:w="108" w:type="dxa"/>
        </w:tblCellMar>
      </w:tblPr>
      <w:tblGrid>
        <w:gridCol w:w="3705"/>
        <w:gridCol w:w="2280"/>
        <w:gridCol w:w="2340"/>
      </w:tblGrid>
      <w:tr w14:paraId="41EE2414">
        <w:tblPrEx>
          <w:tblCellMar>
            <w:top w:w="0" w:type="dxa"/>
            <w:left w:w="108" w:type="dxa"/>
            <w:bottom w:w="0" w:type="dxa"/>
            <w:right w:w="108" w:type="dxa"/>
          </w:tblCellMar>
        </w:tblPrEx>
        <w:trPr>
          <w:trHeight w:val="435"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3D0D602F">
            <w:pPr>
              <w:keepNext w:val="0"/>
              <w:keepLines w:val="0"/>
              <w:pageBreakBefore w:val="0"/>
              <w:widowControl/>
              <w:kinsoku/>
              <w:wordWrap/>
              <w:overflowPunct/>
              <w:topLinePunct w:val="0"/>
              <w:autoSpaceDE/>
              <w:autoSpaceDN/>
              <w:bidi w:val="0"/>
              <w:adjustRightInd/>
              <w:spacing w:line="600" w:lineRule="exact"/>
              <w:ind w:left="0" w:leftChars="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工程造价金额（万元）</w:t>
            </w:r>
          </w:p>
        </w:tc>
        <w:tc>
          <w:tcPr>
            <w:tcW w:w="2280" w:type="dxa"/>
            <w:tcBorders>
              <w:top w:val="single" w:color="auto" w:sz="4" w:space="0"/>
              <w:left w:val="nil"/>
              <w:bottom w:val="single" w:color="auto" w:sz="4" w:space="0"/>
              <w:right w:val="single" w:color="auto" w:sz="4" w:space="0"/>
            </w:tcBorders>
            <w:noWrap w:val="0"/>
            <w:vAlign w:val="center"/>
          </w:tcPr>
          <w:p w14:paraId="736D8FAD">
            <w:pPr>
              <w:keepNext w:val="0"/>
              <w:keepLines w:val="0"/>
              <w:pageBreakBefore w:val="0"/>
              <w:widowControl/>
              <w:kinsoku/>
              <w:wordWrap/>
              <w:overflowPunct/>
              <w:topLinePunct w:val="0"/>
              <w:autoSpaceDE/>
              <w:autoSpaceDN/>
              <w:bidi w:val="0"/>
              <w:adjustRightInd/>
              <w:spacing w:line="600" w:lineRule="exact"/>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基本费</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元</w:t>
            </w:r>
            <w:r>
              <w:rPr>
                <w:rFonts w:hint="eastAsia" w:ascii="宋体" w:hAnsi="宋体" w:eastAsia="宋体" w:cs="宋体"/>
                <w:color w:val="auto"/>
                <w:kern w:val="0"/>
                <w:sz w:val="28"/>
                <w:szCs w:val="28"/>
                <w:highlight w:val="none"/>
                <w:lang w:eastAsia="zh-CN"/>
              </w:rPr>
              <w:t>）</w:t>
            </w:r>
          </w:p>
        </w:tc>
        <w:tc>
          <w:tcPr>
            <w:tcW w:w="2340" w:type="dxa"/>
            <w:tcBorders>
              <w:top w:val="single" w:color="auto" w:sz="4" w:space="0"/>
              <w:left w:val="nil"/>
              <w:bottom w:val="single" w:color="auto" w:sz="4" w:space="0"/>
              <w:right w:val="single" w:color="auto" w:sz="4" w:space="0"/>
            </w:tcBorders>
            <w:noWrap w:val="0"/>
            <w:vAlign w:val="center"/>
          </w:tcPr>
          <w:p w14:paraId="3C0870F7">
            <w:pPr>
              <w:keepNext w:val="0"/>
              <w:keepLines w:val="0"/>
              <w:pageBreakBefore w:val="0"/>
              <w:widowControl/>
              <w:kinsoku/>
              <w:wordWrap/>
              <w:overflowPunct/>
              <w:topLinePunct w:val="0"/>
              <w:autoSpaceDE/>
              <w:autoSpaceDN/>
              <w:bidi w:val="0"/>
              <w:adjustRightInd/>
              <w:spacing w:line="600" w:lineRule="exact"/>
              <w:ind w:left="0" w:leftChars="0" w:firstLine="280" w:firstLineChars="1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rPr>
              <w:t>审核成果费</w:t>
            </w:r>
            <w:r>
              <w:rPr>
                <w:rFonts w:hint="eastAsia" w:ascii="宋体" w:hAnsi="宋体" w:eastAsia="宋体" w:cs="宋体"/>
                <w:color w:val="auto"/>
                <w:kern w:val="0"/>
                <w:sz w:val="28"/>
                <w:szCs w:val="28"/>
                <w:highlight w:val="none"/>
                <w:lang w:val="en-US" w:eastAsia="zh-CN"/>
              </w:rPr>
              <w:t>率</w:t>
            </w:r>
          </w:p>
        </w:tc>
      </w:tr>
      <w:tr w14:paraId="09FFB09A">
        <w:tblPrEx>
          <w:tblCellMar>
            <w:top w:w="0" w:type="dxa"/>
            <w:left w:w="108" w:type="dxa"/>
            <w:bottom w:w="0" w:type="dxa"/>
            <w:right w:w="108" w:type="dxa"/>
          </w:tblCellMar>
        </w:tblPrEx>
        <w:trPr>
          <w:trHeight w:val="430" w:hRule="atLeast"/>
          <w:jc w:val="center"/>
        </w:trPr>
        <w:tc>
          <w:tcPr>
            <w:tcW w:w="3705" w:type="dxa"/>
            <w:tcBorders>
              <w:top w:val="nil"/>
              <w:left w:val="single" w:color="auto" w:sz="4" w:space="0"/>
              <w:bottom w:val="single" w:color="auto" w:sz="4" w:space="0"/>
              <w:right w:val="single" w:color="auto" w:sz="4" w:space="0"/>
            </w:tcBorders>
            <w:noWrap w:val="0"/>
            <w:vAlign w:val="center"/>
          </w:tcPr>
          <w:p w14:paraId="0CDF944F">
            <w:pPr>
              <w:keepNext w:val="0"/>
              <w:keepLines w:val="0"/>
              <w:pageBreakBefore w:val="0"/>
              <w:widowControl/>
              <w:kinsoku/>
              <w:wordWrap/>
              <w:overflowPunct/>
              <w:topLinePunct w:val="0"/>
              <w:autoSpaceDE/>
              <w:autoSpaceDN/>
              <w:bidi w:val="0"/>
              <w:adjustRightInd/>
              <w:spacing w:line="600" w:lineRule="exact"/>
              <w:ind w:left="0" w:leftChars="0"/>
              <w:jc w:val="center"/>
              <w:textAlignment w:val="auto"/>
              <w:rPr>
                <w:rFonts w:hint="eastAsia" w:ascii="宋体" w:hAnsi="宋体" w:eastAsia="宋体" w:cs="宋体"/>
                <w:color w:val="auto"/>
                <w:kern w:val="0"/>
                <w:sz w:val="28"/>
                <w:szCs w:val="28"/>
                <w:highlight w:val="none"/>
              </w:rPr>
            </w:pPr>
          </w:p>
        </w:tc>
        <w:tc>
          <w:tcPr>
            <w:tcW w:w="2280" w:type="dxa"/>
            <w:tcBorders>
              <w:top w:val="nil"/>
              <w:left w:val="nil"/>
              <w:bottom w:val="single" w:color="auto" w:sz="4" w:space="0"/>
              <w:right w:val="single" w:color="auto" w:sz="4" w:space="0"/>
            </w:tcBorders>
            <w:noWrap w:val="0"/>
            <w:vAlign w:val="center"/>
          </w:tcPr>
          <w:p w14:paraId="17D1D8D8">
            <w:pPr>
              <w:keepNext w:val="0"/>
              <w:keepLines w:val="0"/>
              <w:pageBreakBefore w:val="0"/>
              <w:widowControl/>
              <w:kinsoku/>
              <w:wordWrap/>
              <w:overflowPunct/>
              <w:topLinePunct w:val="0"/>
              <w:autoSpaceDE/>
              <w:autoSpaceDN/>
              <w:bidi w:val="0"/>
              <w:adjustRightInd/>
              <w:spacing w:line="600" w:lineRule="exact"/>
              <w:ind w:left="0" w:leftChars="0"/>
              <w:jc w:val="center"/>
              <w:textAlignment w:val="auto"/>
              <w:rPr>
                <w:rFonts w:hint="eastAsia" w:ascii="宋体" w:hAnsi="宋体" w:eastAsia="宋体" w:cs="宋体"/>
                <w:color w:val="auto"/>
                <w:kern w:val="0"/>
                <w:sz w:val="28"/>
                <w:szCs w:val="28"/>
                <w:highlight w:val="none"/>
              </w:rPr>
            </w:pPr>
          </w:p>
        </w:tc>
        <w:tc>
          <w:tcPr>
            <w:tcW w:w="2340" w:type="dxa"/>
            <w:tcBorders>
              <w:top w:val="nil"/>
              <w:left w:val="nil"/>
              <w:bottom w:val="single" w:color="auto" w:sz="4" w:space="0"/>
              <w:right w:val="single" w:color="auto" w:sz="4" w:space="0"/>
            </w:tcBorders>
            <w:noWrap w:val="0"/>
            <w:vAlign w:val="center"/>
          </w:tcPr>
          <w:p w14:paraId="2D1FF148">
            <w:pPr>
              <w:keepNext w:val="0"/>
              <w:keepLines w:val="0"/>
              <w:pageBreakBefore w:val="0"/>
              <w:widowControl/>
              <w:kinsoku/>
              <w:wordWrap/>
              <w:overflowPunct/>
              <w:topLinePunct w:val="0"/>
              <w:autoSpaceDE/>
              <w:autoSpaceDN/>
              <w:bidi w:val="0"/>
              <w:adjustRightInd/>
              <w:spacing w:line="600" w:lineRule="exact"/>
              <w:ind w:left="0" w:leftChars="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4</w:t>
            </w:r>
            <w:r>
              <w:rPr>
                <w:rFonts w:hint="eastAsia" w:ascii="宋体" w:hAnsi="宋体" w:eastAsia="宋体" w:cs="宋体"/>
                <w:b/>
                <w:bCs/>
                <w:color w:val="auto"/>
                <w:kern w:val="0"/>
                <w:sz w:val="28"/>
                <w:szCs w:val="28"/>
                <w:highlight w:val="none"/>
              </w:rPr>
              <w:t>%</w:t>
            </w:r>
          </w:p>
        </w:tc>
      </w:tr>
    </w:tbl>
    <w:p w14:paraId="4DF8A5A3">
      <w:pPr>
        <w:keepNext w:val="0"/>
        <w:keepLines w:val="0"/>
        <w:pageBreakBefore w:val="0"/>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w:t>
      </w:r>
      <w:r>
        <w:rPr>
          <w:rFonts w:hint="eastAsia" w:ascii="宋体" w:hAnsi="宋体" w:eastAsia="宋体" w:cs="宋体"/>
          <w:color w:val="auto"/>
          <w:sz w:val="28"/>
          <w:szCs w:val="28"/>
          <w:highlight w:val="none"/>
          <w:lang w:val="en-US" w:eastAsia="zh-CN"/>
        </w:rPr>
        <w:t xml:space="preserve">1. </w:t>
      </w:r>
      <w:r>
        <w:rPr>
          <w:rFonts w:hint="eastAsia" w:ascii="宋体" w:hAnsi="宋体" w:eastAsia="宋体" w:cs="宋体"/>
          <w:color w:val="auto"/>
          <w:sz w:val="28"/>
          <w:szCs w:val="28"/>
          <w:highlight w:val="none"/>
          <w:lang w:eastAsia="zh-CN"/>
        </w:rPr>
        <w:t>服务</w:t>
      </w:r>
      <w:r>
        <w:rPr>
          <w:rFonts w:hint="eastAsia" w:ascii="宋体" w:hAnsi="宋体" w:eastAsia="宋体" w:cs="宋体"/>
          <w:color w:val="auto"/>
          <w:sz w:val="28"/>
          <w:szCs w:val="28"/>
          <w:highlight w:val="none"/>
        </w:rPr>
        <w:t>费计算方式为：基本费+审核成果费。其中，审核成果费计算基数为</w:t>
      </w:r>
      <w:r>
        <w:rPr>
          <w:rFonts w:hint="eastAsia" w:ascii="宋体" w:hAnsi="宋体" w:eastAsia="宋体" w:cs="宋体"/>
          <w:color w:val="auto"/>
          <w:sz w:val="28"/>
          <w:szCs w:val="28"/>
          <w:highlight w:val="none"/>
          <w:lang w:eastAsia="zh-CN"/>
        </w:rPr>
        <w:t>独立</w:t>
      </w:r>
      <w:r>
        <w:rPr>
          <w:rFonts w:hint="eastAsia" w:ascii="宋体" w:hAnsi="宋体" w:eastAsia="宋体" w:cs="宋体"/>
          <w:color w:val="auto"/>
          <w:sz w:val="28"/>
          <w:szCs w:val="28"/>
          <w:highlight w:val="none"/>
        </w:rPr>
        <w:t>核减金额。</w:t>
      </w:r>
    </w:p>
    <w:p w14:paraId="0E32F42A">
      <w:pPr>
        <w:keepNext w:val="0"/>
        <w:keepLines w:val="0"/>
        <w:pageBreakBefore w:val="0"/>
        <w:numPr>
          <w:ilvl w:val="0"/>
          <w:numId w:val="0"/>
        </w:numPr>
        <w:kinsoku/>
        <w:wordWrap/>
        <w:overflowPunct/>
        <w:topLinePunct w:val="0"/>
        <w:autoSpaceDE/>
        <w:autoSpaceDN/>
        <w:bidi w:val="0"/>
        <w:adjustRightInd/>
        <w:spacing w:line="60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工程造价审减率超过</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w:t>
      </w:r>
      <w:r>
        <w:rPr>
          <w:rFonts w:hint="eastAsia" w:ascii="宋体" w:hAnsi="宋体" w:eastAsia="宋体" w:cs="宋体"/>
          <w:color w:val="auto"/>
          <w:sz w:val="28"/>
          <w:szCs w:val="28"/>
          <w:highlight w:val="none"/>
          <w:lang w:eastAsia="zh-CN"/>
        </w:rPr>
        <w:t>时</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将对施工单位进行处罚，处罚金额为</w:t>
      </w:r>
      <w:r>
        <w:rPr>
          <w:rFonts w:hint="eastAsia" w:ascii="宋体" w:hAnsi="宋体" w:eastAsia="宋体" w:cs="宋体"/>
          <w:color w:val="auto"/>
          <w:sz w:val="28"/>
          <w:szCs w:val="28"/>
          <w:highlight w:val="none"/>
        </w:rPr>
        <w:t>审减率</w:t>
      </w:r>
      <w:r>
        <w:rPr>
          <w:rFonts w:hint="eastAsia" w:ascii="宋体" w:hAnsi="宋体" w:eastAsia="宋体" w:cs="宋体"/>
          <w:color w:val="auto"/>
          <w:sz w:val="28"/>
          <w:szCs w:val="28"/>
          <w:highlight w:val="none"/>
          <w:lang w:eastAsia="zh-CN"/>
        </w:rPr>
        <w:t>超出</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以上的报送金额的</w:t>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由综合计划科在定案时明确处罚金额报工程监管科落实处罚</w:t>
      </w:r>
      <w:r>
        <w:rPr>
          <w:rFonts w:hint="eastAsia" w:ascii="宋体" w:hAnsi="宋体" w:eastAsia="宋体" w:cs="宋体"/>
          <w:b w:val="0"/>
          <w:bCs w:val="0"/>
          <w:color w:val="auto"/>
          <w:sz w:val="28"/>
          <w:szCs w:val="28"/>
          <w:highlight w:val="none"/>
        </w:rPr>
        <w:t>。</w:t>
      </w:r>
    </w:p>
    <w:p w14:paraId="2C03AEA1">
      <w:pPr>
        <w:ind w:firstLine="562" w:firstLineChars="200"/>
        <w:rPr>
          <w:rFonts w:hint="eastAsia" w:ascii="宋体" w:hAnsi="宋体" w:eastAsia="宋体" w:cs="宋体"/>
          <w:color w:val="auto"/>
          <w:sz w:val="28"/>
          <w:szCs w:val="28"/>
          <w:highlight w:val="none"/>
        </w:rPr>
      </w:pPr>
      <w:r>
        <w:rPr>
          <w:rFonts w:hint="eastAsia" w:ascii="宋体" w:hAnsi="宋体" w:eastAsia="宋体" w:cs="宋体"/>
          <w:b/>
          <w:bCs/>
          <w:color w:val="auto"/>
          <w:kern w:val="2"/>
          <w:sz w:val="28"/>
          <w:szCs w:val="28"/>
          <w:highlight w:val="none"/>
          <w:lang w:val="en-US" w:eastAsia="zh-CN" w:bidi="ar-SA"/>
        </w:rPr>
        <w:t>付款方式：出具审核报告，交付招标人初审确认，报经招标人备案审查通过后，按照招标人审查备案金额结算支付审计服务费用。（注：发包人在政府资金调度会批准且发票送达后完成支付）。</w:t>
      </w:r>
    </w:p>
    <w:p w14:paraId="16DD103B">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六、处罚规定</w:t>
      </w:r>
    </w:p>
    <w:p w14:paraId="65D7F829">
      <w:pPr>
        <w:pStyle w:val="2"/>
        <w:ind w:left="0" w:leftChars="0" w:firstLine="64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执行</w:t>
      </w:r>
      <w:r>
        <w:rPr>
          <w:rFonts w:hint="eastAsia" w:ascii="宋体" w:hAnsi="宋体" w:eastAsia="宋体" w:cs="宋体"/>
          <w:bCs/>
          <w:color w:val="auto"/>
          <w:sz w:val="28"/>
          <w:szCs w:val="28"/>
          <w:highlight w:val="none"/>
        </w:rPr>
        <w:t>《工程</w:t>
      </w:r>
      <w:r>
        <w:rPr>
          <w:rFonts w:hint="eastAsia" w:ascii="宋体" w:hAnsi="宋体" w:eastAsia="宋体" w:cs="宋体"/>
          <w:color w:val="auto"/>
          <w:sz w:val="28"/>
          <w:szCs w:val="28"/>
          <w:highlight w:val="none"/>
        </w:rPr>
        <w:t>造价咨询服务管理办法》（</w:t>
      </w:r>
      <w:r>
        <w:rPr>
          <w:rFonts w:hint="eastAsia" w:ascii="宋体" w:hAnsi="宋体" w:eastAsia="宋体" w:cs="宋体"/>
          <w:bCs/>
          <w:color w:val="auto"/>
          <w:sz w:val="28"/>
          <w:szCs w:val="28"/>
          <w:highlight w:val="none"/>
        </w:rPr>
        <w:t>滁重〔</w:t>
      </w:r>
      <w:r>
        <w:rPr>
          <w:rFonts w:hint="eastAsia" w:ascii="宋体" w:hAnsi="宋体" w:eastAsia="宋体" w:cs="宋体"/>
          <w:bCs/>
          <w:color w:val="auto"/>
          <w:sz w:val="28"/>
          <w:szCs w:val="28"/>
          <w:highlight w:val="none"/>
          <w:lang w:eastAsia="zh-CN"/>
        </w:rPr>
        <w:t>20</w:t>
      </w:r>
      <w:r>
        <w:rPr>
          <w:rFonts w:hint="eastAsia" w:ascii="宋体" w:hAnsi="宋体" w:eastAsia="宋体" w:cs="宋体"/>
          <w:bCs/>
          <w:color w:val="auto"/>
          <w:sz w:val="28"/>
          <w:szCs w:val="28"/>
          <w:highlight w:val="none"/>
          <w:lang w:val="en-US" w:eastAsia="zh-CN"/>
        </w:rPr>
        <w:t>22</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55号</w:t>
      </w:r>
      <w:r>
        <w:rPr>
          <w:rFonts w:hint="eastAsia" w:ascii="宋体" w:hAnsi="宋体" w:eastAsia="宋体" w:cs="宋体"/>
          <w:color w:val="auto"/>
          <w:sz w:val="28"/>
          <w:szCs w:val="28"/>
          <w:highlight w:val="none"/>
        </w:rPr>
        <w:t>）第七章。</w:t>
      </w:r>
    </w:p>
    <w:p w14:paraId="1D72AA88">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七、签订时间</w:t>
      </w:r>
    </w:p>
    <w:p w14:paraId="0A8BDA9C">
      <w:pPr>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本合同于</w:t>
      </w:r>
      <w:r>
        <w:rPr>
          <w:rFonts w:hint="eastAsia" w:ascii="宋体" w:hAnsi="宋体" w:eastAsia="宋体" w:cs="宋体"/>
          <w:color w:val="auto"/>
          <w:sz w:val="28"/>
          <w:szCs w:val="28"/>
          <w:highlight w:val="none"/>
          <w:u w:val="single"/>
        </w:rPr>
        <w:t xml:space="preserve">  20</w:t>
      </w:r>
      <w:r>
        <w:rPr>
          <w:rFonts w:hint="eastAsia" w:ascii="宋体" w:hAnsi="宋体" w:eastAsia="宋体" w:cs="宋体"/>
          <w:color w:val="auto"/>
          <w:sz w:val="28"/>
          <w:szCs w:val="28"/>
          <w:highlight w:val="none"/>
          <w:u w:val="single"/>
          <w:lang w:val="en-US" w:eastAsia="zh-CN"/>
        </w:rPr>
        <w:t>2</w:t>
      </w:r>
      <w:r>
        <w:rPr>
          <w:rFonts w:hint="eastAsia" w:ascii="宋体" w:hAnsi="宋体" w:cs="宋体"/>
          <w:color w:val="auto"/>
          <w:sz w:val="28"/>
          <w:szCs w:val="28"/>
          <w:highlight w:val="none"/>
          <w:u w:val="single"/>
          <w:lang w:val="en-US" w:eastAsia="zh-CN"/>
        </w:rPr>
        <w:t>6</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hint="eastAsia" w:ascii="宋体" w:hAnsi="宋体" w:eastAsia="宋体" w:cs="宋体"/>
          <w:bCs/>
          <w:color w:val="auto"/>
          <w:sz w:val="28"/>
          <w:szCs w:val="28"/>
          <w:highlight w:val="none"/>
        </w:rPr>
        <w:t>签订</w:t>
      </w:r>
      <w:r>
        <w:rPr>
          <w:rFonts w:hint="eastAsia" w:ascii="宋体" w:hAnsi="宋体" w:eastAsia="宋体" w:cs="宋体"/>
          <w:color w:val="auto"/>
          <w:sz w:val="28"/>
          <w:szCs w:val="28"/>
          <w:highlight w:val="none"/>
        </w:rPr>
        <w:t>。</w:t>
      </w:r>
    </w:p>
    <w:p w14:paraId="04EBCAFB">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八、签订地点</w:t>
      </w:r>
    </w:p>
    <w:p w14:paraId="6F935966">
      <w:pPr>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本合同在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滁州市市政设施管理中心</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签订。</w:t>
      </w:r>
    </w:p>
    <w:p w14:paraId="630D3FCC">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九、补充协议</w:t>
      </w:r>
    </w:p>
    <w:p w14:paraId="6022A717">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合同未尽事宜，合同当事人另行签订补充协议，补充协议是合同的组成部分。</w:t>
      </w:r>
    </w:p>
    <w:p w14:paraId="7A2EF4F9">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十、合同生效</w:t>
      </w:r>
    </w:p>
    <w:p w14:paraId="37163273">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本合同自</w:t>
      </w:r>
      <w:r>
        <w:rPr>
          <w:rFonts w:hint="eastAsia" w:ascii="宋体" w:hAnsi="宋体" w:eastAsia="宋体" w:cs="宋体"/>
          <w:color w:val="auto"/>
          <w:sz w:val="28"/>
          <w:szCs w:val="28"/>
          <w:highlight w:val="none"/>
          <w:u w:val="single"/>
        </w:rPr>
        <w:t xml:space="preserve">   签订之日起   </w:t>
      </w:r>
      <w:r>
        <w:rPr>
          <w:rFonts w:hint="eastAsia" w:ascii="宋体" w:hAnsi="宋体" w:eastAsia="宋体" w:cs="宋体"/>
          <w:color w:val="auto"/>
          <w:sz w:val="28"/>
          <w:szCs w:val="28"/>
          <w:highlight w:val="none"/>
        </w:rPr>
        <w:t>生效。</w:t>
      </w:r>
    </w:p>
    <w:p w14:paraId="793F1473">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十一、合同份数</w:t>
      </w:r>
    </w:p>
    <w:p w14:paraId="5B85F39B">
      <w:pPr>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本合同一式</w:t>
      </w:r>
      <w:r>
        <w:rPr>
          <w:rFonts w:hint="eastAsia" w:ascii="宋体" w:hAnsi="宋体" w:eastAsia="宋体" w:cs="宋体"/>
          <w:color w:val="auto"/>
          <w:sz w:val="28"/>
          <w:szCs w:val="28"/>
          <w:highlight w:val="none"/>
          <w:u w:val="single"/>
        </w:rPr>
        <w:t xml:space="preserve">  肆  </w:t>
      </w:r>
      <w:r>
        <w:rPr>
          <w:rFonts w:hint="eastAsia" w:ascii="宋体" w:hAnsi="宋体" w:eastAsia="宋体" w:cs="宋体"/>
          <w:color w:val="auto"/>
          <w:sz w:val="28"/>
          <w:szCs w:val="28"/>
          <w:highlight w:val="none"/>
        </w:rPr>
        <w:t>份，均具有同等法律效力，委托人</w:t>
      </w:r>
      <w:r>
        <w:rPr>
          <w:rFonts w:hint="eastAsia" w:ascii="宋体" w:hAnsi="宋体" w:eastAsia="宋体" w:cs="宋体"/>
          <w:color w:val="auto"/>
          <w:sz w:val="28"/>
          <w:szCs w:val="28"/>
          <w:highlight w:val="none"/>
          <w:u w:val="single"/>
        </w:rPr>
        <w:t xml:space="preserve">  贰  </w:t>
      </w:r>
      <w:r>
        <w:rPr>
          <w:rFonts w:hint="eastAsia" w:ascii="宋体" w:hAnsi="宋体" w:eastAsia="宋体" w:cs="宋体"/>
          <w:color w:val="auto"/>
          <w:sz w:val="28"/>
          <w:szCs w:val="28"/>
          <w:highlight w:val="none"/>
        </w:rPr>
        <w:t>份，咨询人</w:t>
      </w:r>
      <w:r>
        <w:rPr>
          <w:rFonts w:hint="eastAsia" w:ascii="宋体" w:hAnsi="宋体" w:eastAsia="宋体" w:cs="宋体"/>
          <w:color w:val="auto"/>
          <w:sz w:val="28"/>
          <w:szCs w:val="28"/>
          <w:highlight w:val="none"/>
          <w:u w:val="single"/>
        </w:rPr>
        <w:t xml:space="preserve">  贰  </w:t>
      </w:r>
      <w:r>
        <w:rPr>
          <w:rFonts w:hint="eastAsia" w:ascii="宋体" w:hAnsi="宋体" w:eastAsia="宋体" w:cs="宋体"/>
          <w:color w:val="auto"/>
          <w:sz w:val="28"/>
          <w:szCs w:val="28"/>
          <w:highlight w:val="none"/>
        </w:rPr>
        <w:t>份。</w:t>
      </w:r>
    </w:p>
    <w:p w14:paraId="22D1C898">
      <w:pPr>
        <w:pStyle w:val="2"/>
        <w:ind w:left="420" w:firstLine="600"/>
        <w:rPr>
          <w:rFonts w:hint="eastAsia" w:ascii="宋体" w:hAnsi="宋体" w:eastAsia="宋体" w:cs="宋体"/>
          <w:bCs/>
          <w:color w:val="auto"/>
          <w:sz w:val="28"/>
          <w:szCs w:val="28"/>
          <w:highlight w:val="none"/>
        </w:rPr>
      </w:pPr>
    </w:p>
    <w:p w14:paraId="5B7D3CE4">
      <w:pPr>
        <w:rPr>
          <w:rFonts w:hint="eastAsia" w:ascii="宋体" w:hAnsi="宋体" w:eastAsia="宋体" w:cs="宋体"/>
          <w:color w:val="auto"/>
          <w:sz w:val="28"/>
          <w:szCs w:val="28"/>
          <w:highlight w:val="none"/>
        </w:rPr>
      </w:pPr>
    </w:p>
    <w:p w14:paraId="09E878C0">
      <w:pPr>
        <w:tabs>
          <w:tab w:val="left" w:pos="483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委托人：  (公章)                受托人：  (公章)         </w:t>
      </w:r>
    </w:p>
    <w:p w14:paraId="26F5EC20">
      <w:pPr>
        <w:tabs>
          <w:tab w:val="left" w:pos="483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30A7284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     法定代表人或其委托代理人：</w:t>
      </w:r>
    </w:p>
    <w:p w14:paraId="035B405F">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（签字）                       （签字）</w:t>
      </w:r>
    </w:p>
    <w:p w14:paraId="6734B7DB">
      <w:pPr>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                      年  月  日</w:t>
      </w:r>
    </w:p>
    <w:p w14:paraId="4FB659AE">
      <w:pPr>
        <w:pStyle w:val="2"/>
        <w:rPr>
          <w:rFonts w:hint="eastAsia" w:ascii="宋体" w:hAnsi="宋体" w:eastAsia="宋体" w:cs="宋体"/>
          <w:color w:val="auto"/>
          <w:sz w:val="30"/>
          <w:szCs w:val="30"/>
          <w:highlight w:val="none"/>
        </w:rPr>
      </w:pPr>
    </w:p>
    <w:p w14:paraId="10CCF302">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80" w:firstLineChars="200"/>
        <w:textAlignment w:val="auto"/>
        <w:rPr>
          <w:rFonts w:hint="eastAsia" w:ascii="宋体" w:hAnsi="宋体" w:eastAsia="宋体" w:cs="宋体"/>
          <w:color w:val="auto"/>
          <w:kern w:val="2"/>
          <w:sz w:val="24"/>
          <w:szCs w:val="24"/>
          <w:highlight w:val="none"/>
        </w:rPr>
      </w:pPr>
    </w:p>
    <w:p w14:paraId="50CBD3E3">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80" w:firstLineChars="200"/>
        <w:textAlignment w:val="auto"/>
        <w:rPr>
          <w:rFonts w:hint="eastAsia" w:ascii="宋体" w:hAnsi="宋体" w:eastAsia="宋体" w:cs="宋体"/>
          <w:color w:val="auto"/>
          <w:kern w:val="2"/>
          <w:sz w:val="24"/>
          <w:szCs w:val="24"/>
          <w:highlight w:val="none"/>
        </w:rPr>
      </w:pPr>
    </w:p>
    <w:p w14:paraId="2FE4916C">
      <w:pPr>
        <w:pStyle w:val="6"/>
        <w:spacing w:before="0" w:after="0"/>
        <w:rPr>
          <w:rFonts w:hint="eastAsia" w:ascii="宋体" w:hAnsi="宋体" w:eastAsia="宋体" w:cs="宋体"/>
          <w:color w:val="auto"/>
          <w:highlight w:val="none"/>
          <w:lang w:val="en-US" w:eastAsia="zh-CN"/>
        </w:rPr>
      </w:pPr>
    </w:p>
    <w:p w14:paraId="72B18565">
      <w:pPr>
        <w:pStyle w:val="6"/>
        <w:spacing w:before="0" w:after="0"/>
        <w:rPr>
          <w:rFonts w:hint="eastAsia" w:ascii="宋体" w:hAnsi="宋体" w:eastAsia="宋体" w:cs="宋体"/>
          <w:color w:val="auto"/>
          <w:highlight w:val="none"/>
          <w:lang w:val="en-US" w:eastAsia="zh-CN"/>
        </w:rPr>
      </w:pPr>
    </w:p>
    <w:p w14:paraId="60066C57">
      <w:pPr>
        <w:rPr>
          <w:rFonts w:hint="eastAsia" w:ascii="宋体" w:hAnsi="宋体" w:eastAsia="宋体" w:cs="宋体"/>
          <w:color w:val="auto"/>
          <w:highlight w:val="none"/>
          <w:lang w:val="en-US" w:eastAsia="zh-CN"/>
        </w:rPr>
      </w:pPr>
    </w:p>
    <w:p w14:paraId="38ED02D7">
      <w:pPr>
        <w:pStyle w:val="2"/>
        <w:rPr>
          <w:rFonts w:hint="eastAsia" w:ascii="宋体" w:hAnsi="宋体" w:eastAsia="宋体" w:cs="宋体"/>
          <w:color w:val="auto"/>
          <w:highlight w:val="none"/>
          <w:lang w:val="en-US" w:eastAsia="zh-CN"/>
        </w:rPr>
      </w:pPr>
    </w:p>
    <w:p w14:paraId="7E1EBAFE">
      <w:pPr>
        <w:rPr>
          <w:rFonts w:hint="eastAsia" w:ascii="宋体" w:hAnsi="宋体" w:eastAsia="宋体" w:cs="宋体"/>
          <w:color w:val="auto"/>
          <w:highlight w:val="none"/>
          <w:lang w:val="en-US" w:eastAsia="zh-CN"/>
        </w:rPr>
      </w:pPr>
    </w:p>
    <w:p w14:paraId="79E78C80">
      <w:pPr>
        <w:pStyle w:val="2"/>
        <w:rPr>
          <w:rFonts w:hint="eastAsia" w:ascii="宋体" w:hAnsi="宋体" w:eastAsia="宋体" w:cs="宋体"/>
          <w:color w:val="auto"/>
          <w:highlight w:val="none"/>
          <w:lang w:val="en-US" w:eastAsia="zh-CN"/>
        </w:rPr>
      </w:pPr>
    </w:p>
    <w:p w14:paraId="6BCD3E8E">
      <w:pPr>
        <w:pStyle w:val="6"/>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67" w:name="_Toc30675"/>
      <w:r>
        <w:rPr>
          <w:rFonts w:hint="eastAsia" w:ascii="宋体" w:hAnsi="宋体" w:eastAsia="宋体" w:cs="宋体"/>
          <w:color w:val="auto"/>
          <w:highlight w:val="none"/>
          <w:lang w:val="en-US" w:eastAsia="zh-CN"/>
        </w:rPr>
        <w:t>第四章 投标文件格式</w:t>
      </w:r>
      <w:bookmarkEnd w:id="67"/>
    </w:p>
    <w:p w14:paraId="0E6ABB34">
      <w:pPr>
        <w:jc w:val="center"/>
        <w:rPr>
          <w:rFonts w:hint="eastAsia" w:ascii="宋体" w:hAnsi="宋体" w:eastAsia="宋体" w:cs="宋体"/>
          <w:color w:val="auto"/>
          <w:sz w:val="28"/>
          <w:szCs w:val="28"/>
          <w:highlight w:val="none"/>
          <w:u w:val="single"/>
        </w:rPr>
      </w:pPr>
    </w:p>
    <w:p w14:paraId="60EA8196">
      <w:pPr>
        <w:jc w:val="center"/>
        <w:rPr>
          <w:rFonts w:hint="eastAsia" w:ascii="宋体" w:hAnsi="宋体" w:eastAsia="宋体" w:cs="宋体"/>
          <w:color w:val="auto"/>
          <w:sz w:val="28"/>
          <w:szCs w:val="28"/>
          <w:highlight w:val="none"/>
          <w:u w:val="single"/>
        </w:rPr>
      </w:pPr>
    </w:p>
    <w:p w14:paraId="16B002C1">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2BF899C5">
      <w:pPr>
        <w:jc w:val="center"/>
        <w:rPr>
          <w:rFonts w:hint="eastAsia" w:ascii="宋体" w:hAnsi="宋体" w:eastAsia="宋体" w:cs="宋体"/>
          <w:color w:val="auto"/>
          <w:sz w:val="20"/>
          <w:szCs w:val="20"/>
          <w:highlight w:val="none"/>
        </w:rPr>
      </w:pPr>
    </w:p>
    <w:p w14:paraId="5984FAB0">
      <w:pPr>
        <w:jc w:val="center"/>
        <w:rPr>
          <w:rFonts w:hint="eastAsia" w:ascii="宋体" w:hAnsi="宋体" w:eastAsia="宋体" w:cs="宋体"/>
          <w:color w:val="auto"/>
          <w:sz w:val="20"/>
          <w:szCs w:val="20"/>
          <w:highlight w:val="none"/>
        </w:rPr>
      </w:pPr>
    </w:p>
    <w:p w14:paraId="774E9746">
      <w:pPr>
        <w:jc w:val="center"/>
        <w:rPr>
          <w:rFonts w:hint="eastAsia" w:ascii="宋体" w:hAnsi="宋体" w:eastAsia="宋体" w:cs="宋体"/>
          <w:color w:val="auto"/>
          <w:sz w:val="20"/>
          <w:szCs w:val="20"/>
          <w:highlight w:val="none"/>
        </w:rPr>
      </w:pPr>
    </w:p>
    <w:p w14:paraId="530D7441">
      <w:pPr>
        <w:rPr>
          <w:rFonts w:hint="eastAsia" w:ascii="宋体" w:hAnsi="宋体" w:eastAsia="宋体" w:cs="宋体"/>
          <w:color w:val="auto"/>
          <w:sz w:val="20"/>
          <w:szCs w:val="20"/>
          <w:highlight w:val="none"/>
        </w:rPr>
      </w:pPr>
    </w:p>
    <w:p w14:paraId="00D858C3">
      <w:pPr>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投标文件</w:t>
      </w:r>
    </w:p>
    <w:p w14:paraId="28867CFF">
      <w:pPr>
        <w:ind w:firstLine="2880" w:firstLineChars="900"/>
        <w:jc w:val="both"/>
        <w:rPr>
          <w:rFonts w:hint="eastAsia" w:ascii="宋体" w:hAnsi="宋体" w:eastAsia="宋体" w:cs="宋体"/>
          <w:color w:val="auto"/>
          <w:sz w:val="32"/>
          <w:highlight w:val="none"/>
          <w:u w:val="none"/>
          <w:lang w:val="en-US" w:eastAsia="zh-CN"/>
        </w:rPr>
      </w:pPr>
    </w:p>
    <w:p w14:paraId="3D29AF2E">
      <w:pPr>
        <w:ind w:firstLine="2880" w:firstLineChars="900"/>
        <w:jc w:val="both"/>
        <w:rPr>
          <w:rFonts w:hint="default" w:ascii="宋体" w:hAnsi="宋体" w:eastAsia="宋体" w:cs="宋体"/>
          <w:color w:val="auto"/>
          <w:sz w:val="44"/>
          <w:szCs w:val="44"/>
          <w:highlight w:val="none"/>
          <w:u w:val="single"/>
          <w:lang w:val="en-US"/>
        </w:rPr>
      </w:pPr>
      <w:r>
        <w:rPr>
          <w:rFonts w:hint="eastAsia" w:ascii="宋体" w:hAnsi="宋体" w:eastAsia="宋体" w:cs="宋体"/>
          <w:color w:val="auto"/>
          <w:sz w:val="32"/>
          <w:highlight w:val="none"/>
          <w:u w:val="none"/>
          <w:lang w:val="en-US" w:eastAsia="zh-CN"/>
        </w:rPr>
        <w:t>项目编号：</w:t>
      </w:r>
      <w:r>
        <w:rPr>
          <w:rFonts w:hint="eastAsia" w:ascii="宋体" w:hAnsi="宋体" w:cs="宋体"/>
          <w:color w:val="auto"/>
          <w:sz w:val="32"/>
          <w:highlight w:val="none"/>
          <w:u w:val="none"/>
          <w:lang w:val="en-US" w:eastAsia="zh-CN"/>
        </w:rPr>
        <w:t xml:space="preserve">          </w:t>
      </w:r>
    </w:p>
    <w:p w14:paraId="0366733A">
      <w:pPr>
        <w:rPr>
          <w:rFonts w:hint="eastAsia" w:ascii="宋体" w:hAnsi="宋体" w:eastAsia="宋体" w:cs="宋体"/>
          <w:color w:val="auto"/>
          <w:sz w:val="28"/>
          <w:szCs w:val="28"/>
          <w:highlight w:val="none"/>
        </w:rPr>
      </w:pPr>
    </w:p>
    <w:p w14:paraId="51E6DC1B">
      <w:pPr>
        <w:rPr>
          <w:rFonts w:hint="eastAsia" w:ascii="宋体" w:hAnsi="宋体" w:eastAsia="宋体" w:cs="宋体"/>
          <w:color w:val="auto"/>
          <w:sz w:val="28"/>
          <w:szCs w:val="28"/>
          <w:highlight w:val="none"/>
        </w:rPr>
      </w:pPr>
    </w:p>
    <w:p w14:paraId="2A26D9A6">
      <w:pPr>
        <w:rPr>
          <w:rFonts w:hint="eastAsia" w:ascii="宋体" w:hAnsi="宋体" w:eastAsia="宋体" w:cs="宋体"/>
          <w:color w:val="auto"/>
          <w:sz w:val="28"/>
          <w:szCs w:val="28"/>
          <w:highlight w:val="none"/>
        </w:rPr>
      </w:pPr>
    </w:p>
    <w:p w14:paraId="740AB8F5">
      <w:pPr>
        <w:rPr>
          <w:rFonts w:hint="eastAsia" w:ascii="宋体" w:hAnsi="宋体" w:eastAsia="宋体" w:cs="宋体"/>
          <w:color w:val="auto"/>
          <w:sz w:val="28"/>
          <w:szCs w:val="28"/>
          <w:highlight w:val="none"/>
        </w:rPr>
      </w:pPr>
    </w:p>
    <w:p w14:paraId="178B625A">
      <w:pPr>
        <w:rPr>
          <w:rFonts w:hint="eastAsia" w:ascii="宋体" w:hAnsi="宋体" w:eastAsia="宋体" w:cs="宋体"/>
          <w:color w:val="auto"/>
          <w:sz w:val="28"/>
          <w:szCs w:val="28"/>
          <w:highlight w:val="none"/>
        </w:rPr>
      </w:pPr>
    </w:p>
    <w:p w14:paraId="053334BB">
      <w:pPr>
        <w:rPr>
          <w:rFonts w:hint="eastAsia" w:ascii="宋体" w:hAnsi="宋体" w:eastAsia="宋体" w:cs="宋体"/>
          <w:color w:val="auto"/>
          <w:sz w:val="28"/>
          <w:szCs w:val="28"/>
          <w:highlight w:val="none"/>
        </w:rPr>
      </w:pPr>
    </w:p>
    <w:p w14:paraId="4DB35F7F">
      <w:pPr>
        <w:rPr>
          <w:rFonts w:hint="eastAsia" w:ascii="宋体" w:hAnsi="宋体" w:eastAsia="宋体" w:cs="宋体"/>
          <w:color w:val="auto"/>
          <w:sz w:val="28"/>
          <w:szCs w:val="28"/>
          <w:highlight w:val="none"/>
        </w:rPr>
      </w:pPr>
    </w:p>
    <w:p w14:paraId="7EB0B0BD">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699EC1E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4D73F47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FC5272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6C9FDD6">
      <w:pPr>
        <w:spacing w:line="480" w:lineRule="auto"/>
        <w:ind w:right="980" w:firstLine="602" w:firstLineChars="200"/>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目录</w:t>
      </w:r>
    </w:p>
    <w:p w14:paraId="39D23EC1">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（1）法定代表人身份证明文件和本人有效身份证(或法定代表人授权委托书和委托代理人有效身份证)；（格式见附件）</w:t>
      </w:r>
    </w:p>
    <w:p w14:paraId="7D94E628">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（2）企业法人营业执照； </w:t>
      </w:r>
    </w:p>
    <w:p w14:paraId="7154F698">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（3）项目人员配备表；（格式见附件）</w:t>
      </w:r>
    </w:p>
    <w:p w14:paraId="51A12C0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（4）拟派项目负责人注册造价师证书（若注册证书上无法体现专业的，还需另行提供证明专业的证明材料）； </w:t>
      </w:r>
    </w:p>
    <w:p w14:paraId="11B1B31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（5）项目组其他成员（不含项目负责人）：不少于2名且具有在本单位注册的二级及以上造价工程师注册证书（土木建筑工程专业至少1名）（若注册证书上无法体现专业的，还需另行提供证明专业的证明材料）； </w:t>
      </w:r>
    </w:p>
    <w:p w14:paraId="0380B96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（6）承诺书1：投标人对所提供的上述材料作出承诺，若投标人存在弄虚作假，提供虚假资料的，若中标，则取消中标资格。（承诺书格式自拟并注明开标日期，加盖投标单位公章）</w:t>
      </w:r>
    </w:p>
    <w:p w14:paraId="1401DF38">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诺书2：投标人承诺“跟踪审计项目开工前，投标单位需将项目任命文报综合计划科，综合计划科抄送工程建设科，同一个造价人员在市重点处同时承揽跟踪审计业务不得超过三个项目，且不得在两个以上市本级以外的地区同时承揽业务”。不按上述要求执行的，若中标，则取消中标资格。（承诺书格式自拟并注明开标日期，加盖投标单位公章）</w:t>
      </w:r>
    </w:p>
    <w:p w14:paraId="0DA69DE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法定代表人（或委托代理人）、项目负责人、项目组其他成员须持有社保部门出具的本单位为其缴纳的投标前近三个月内任意一月的养老保险证明（含官网在线打印件，证明文件两个月内有效），或投标人提供承诺已为上述人员缴纳养老保险证明的承诺书（格式自拟）。</w:t>
      </w:r>
    </w:p>
    <w:p w14:paraId="5A00039F">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（9）投标函；</w:t>
      </w:r>
    </w:p>
    <w:p w14:paraId="7AE780D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（10）投标人认为需要提供的其他材料</w:t>
      </w:r>
      <w:r>
        <w:rPr>
          <w:rFonts w:hint="eastAsia" w:ascii="宋体" w:hAnsi="宋体" w:eastAsia="宋体" w:cs="宋体"/>
          <w:color w:val="auto"/>
          <w:sz w:val="21"/>
          <w:szCs w:val="21"/>
          <w:highlight w:val="none"/>
          <w:lang w:val="en-US" w:eastAsia="zh-CN"/>
        </w:rPr>
        <w:t>。</w:t>
      </w:r>
    </w:p>
    <w:p w14:paraId="7525A41F">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p>
    <w:p w14:paraId="0CC44DA1">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0AF3D236">
      <w:pPr>
        <w:jc w:val="center"/>
        <w:rPr>
          <w:rFonts w:hint="eastAsia" w:ascii="宋体" w:hAnsi="宋体" w:eastAsia="宋体" w:cs="宋体"/>
          <w:color w:val="auto"/>
          <w:sz w:val="32"/>
          <w:szCs w:val="32"/>
          <w:highlight w:val="none"/>
        </w:rPr>
      </w:pPr>
      <w:r>
        <w:rPr>
          <w:rFonts w:hint="eastAsia" w:ascii="宋体" w:hAnsi="宋体" w:eastAsia="宋体" w:cs="宋体"/>
          <w:b/>
          <w:color w:val="auto"/>
          <w:sz w:val="28"/>
          <w:szCs w:val="28"/>
          <w:highlight w:val="none"/>
        </w:rPr>
        <w:t>法定代表人身份证明或授权委托书</w:t>
      </w:r>
    </w:p>
    <w:p w14:paraId="0E2F3567">
      <w:pPr>
        <w:pStyle w:val="145"/>
        <w:keepNext w:val="0"/>
        <w:keepLines w:val="0"/>
        <w:pageBreakBefore w:val="0"/>
        <w:widowControl/>
        <w:kinsoku/>
        <w:wordWrap/>
        <w:overflowPunct/>
        <w:topLinePunct w:val="0"/>
        <w:autoSpaceDE/>
        <w:autoSpaceDN/>
        <w:bidi w:val="0"/>
        <w:adjustRightInd/>
        <w:snapToGrid/>
        <w:spacing w:line="480" w:lineRule="exact"/>
        <w:ind w:firstLine="180" w:firstLineChars="75"/>
        <w:textAlignment w:val="baseline"/>
        <w:rPr>
          <w:rFonts w:hint="eastAsia" w:ascii="宋体" w:hAnsi="宋体" w:eastAsia="宋体" w:cs="宋体"/>
          <w:b/>
          <w:color w:val="auto"/>
          <w:sz w:val="24"/>
          <w:szCs w:val="24"/>
          <w:highlight w:val="none"/>
        </w:rPr>
      </w:pPr>
      <w:bookmarkStart w:id="68" w:name="OLE_LINK13"/>
      <w:r>
        <w:rPr>
          <w:rFonts w:hint="eastAsia" w:ascii="宋体" w:hAnsi="宋体" w:eastAsia="宋体" w:cs="宋体"/>
          <w:color w:val="auto"/>
          <w:sz w:val="24"/>
          <w:szCs w:val="24"/>
          <w:highlight w:val="none"/>
        </w:rPr>
        <w:t>1、法定代表人身份证明</w:t>
      </w:r>
    </w:p>
    <w:p w14:paraId="41F8C1B0">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00D46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04F28CA">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6CFE56">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B928DC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438176A">
      <w:pPr>
        <w:spacing w:line="480" w:lineRule="exact"/>
        <w:ind w:firstLine="144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40"/>
          <w:sz w:val="24"/>
          <w:szCs w:val="24"/>
          <w:highlight w:val="none"/>
        </w:rPr>
        <w:t>姓</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6C8CAD9F">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3DACF58B">
      <w:pPr>
        <w:spacing w:line="48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9F19DA4">
      <w:pPr>
        <w:spacing w:line="360" w:lineRule="auto"/>
        <w:ind w:firstLine="3480" w:firstLineChars="1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（签章）</w:t>
      </w:r>
    </w:p>
    <w:p w14:paraId="71183C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bookmarkEnd w:id="68"/>
    <w:p w14:paraId="24F496D8">
      <w:pPr>
        <w:rPr>
          <w:rFonts w:hint="eastAsia" w:ascii="宋体" w:hAnsi="宋体" w:eastAsia="宋体" w:cs="宋体"/>
          <w:color w:val="auto"/>
          <w:sz w:val="24"/>
          <w:szCs w:val="24"/>
          <w:highlight w:val="none"/>
        </w:rPr>
      </w:pPr>
    </w:p>
    <w:p w14:paraId="1102F2AB">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2、授权委托书</w:t>
      </w:r>
    </w:p>
    <w:p w14:paraId="0864FD2B">
      <w:pPr>
        <w:spacing w:line="480" w:lineRule="auto"/>
        <w:ind w:left="239"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的法定代表人，现授权委托</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为我公司法定代表人授权委托代理人，参加</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招标人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工程的投标活动。代理人在投标、开标、评标、合同谈判过程中所签署的一切文件和处理与之有关的一切事务，我均予以承认。</w:t>
      </w:r>
    </w:p>
    <w:p w14:paraId="3D2F7968">
      <w:pPr>
        <w:spacing w:line="480" w:lineRule="auto"/>
        <w:ind w:firstLine="480" w:firstLineChars="200"/>
        <w:rPr>
          <w:rFonts w:hint="eastAsia" w:ascii="宋体" w:hAnsi="宋体" w:eastAsia="宋体" w:cs="宋体"/>
          <w:color w:val="auto"/>
          <w:sz w:val="24"/>
          <w:szCs w:val="24"/>
          <w:highlight w:val="none"/>
        </w:rPr>
      </w:pPr>
      <w:r>
        <w:rPr>
          <w:rFonts w:hint="eastAsia" w:ascii="宋体"/>
          <w:color w:val="auto"/>
          <w:sz w:val="24"/>
          <w:highlight w:val="none"/>
        </w:rPr>
        <w:t>委托期限：</w:t>
      </w:r>
      <w:r>
        <w:rPr>
          <w:rFonts w:hint="eastAsia" w:ascii="宋体"/>
          <w:color w:val="auto"/>
          <w:sz w:val="24"/>
          <w:highlight w:val="none"/>
          <w:u w:val="single"/>
        </w:rPr>
        <w:t xml:space="preserve">                         </w:t>
      </w:r>
      <w:r>
        <w:rPr>
          <w:rFonts w:hint="eastAsia" w:ascii="宋体"/>
          <w:color w:val="auto"/>
          <w:sz w:val="24"/>
          <w:highlight w:val="none"/>
          <w:lang w:eastAsia="zh-CN"/>
        </w:rPr>
        <w:t>。</w:t>
      </w:r>
    </w:p>
    <w:p w14:paraId="5186FBC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14:paraId="7ECF78C8">
      <w:pPr>
        <w:spacing w:line="480" w:lineRule="exact"/>
        <w:ind w:firstLine="480" w:firstLineChars="200"/>
        <w:rPr>
          <w:rFonts w:hint="eastAsia" w:ascii="宋体" w:eastAsia="宋体"/>
          <w:color w:val="auto"/>
          <w:sz w:val="24"/>
          <w:highlight w:val="none"/>
          <w:lang w:val="en-US" w:eastAsia="zh-CN"/>
        </w:rPr>
      </w:pPr>
      <w:r>
        <w:rPr>
          <w:rFonts w:hint="eastAsia" w:ascii="宋体" w:hAnsi="宋体" w:eastAsia="宋体" w:cs="宋体"/>
          <w:color w:val="auto"/>
          <w:sz w:val="24"/>
          <w:szCs w:val="24"/>
          <w:highlight w:val="none"/>
        </w:rPr>
        <w:t>附：</w:t>
      </w:r>
      <w:r>
        <w:rPr>
          <w:rFonts w:hint="eastAsia" w:ascii="宋体"/>
          <w:color w:val="auto"/>
          <w:sz w:val="24"/>
          <w:highlight w:val="none"/>
        </w:rPr>
        <w:t>授权委托人有效身份证</w:t>
      </w:r>
      <w:r>
        <w:rPr>
          <w:rFonts w:hint="eastAsia" w:ascii="宋体"/>
          <w:color w:val="auto"/>
          <w:sz w:val="24"/>
          <w:highlight w:val="none"/>
          <w:lang w:val="en-US" w:eastAsia="zh-CN"/>
        </w:rPr>
        <w:t>复印件</w:t>
      </w:r>
    </w:p>
    <w:p w14:paraId="54CB3CE1">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color w:val="auto"/>
          <w:sz w:val="24"/>
          <w:highlight w:val="none"/>
        </w:rPr>
        <w:t xml:space="preserve">                                    </w:t>
      </w:r>
      <w:r>
        <w:rPr>
          <w:rFonts w:hint="eastAsia" w:ascii="宋体" w:hAnsi="Times New Roman" w:eastAsia="宋体" w:cs="Times New Roman"/>
          <w:color w:val="auto"/>
          <w:sz w:val="24"/>
          <w:highlight w:val="none"/>
        </w:rPr>
        <w:t xml:space="preserve"> 投标人：             （签章）</w:t>
      </w:r>
    </w:p>
    <w:p w14:paraId="62537F1C">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（签章）</w:t>
      </w:r>
    </w:p>
    <w:p w14:paraId="0648E733">
      <w:pPr>
        <w:spacing w:line="480" w:lineRule="exact"/>
        <w:ind w:firstLine="480" w:firstLineChars="200"/>
        <w:jc w:val="center"/>
        <w:rPr>
          <w:rFonts w:hint="eastAsia" w:ascii="宋体" w:hAnsi="Times New Roman" w:eastAsia="宋体" w:cs="Times New Roman"/>
          <w:color w:val="auto"/>
          <w:sz w:val="24"/>
          <w:highlight w:val="none"/>
        </w:rPr>
      </w:pPr>
      <w:r>
        <w:rPr>
          <w:rFonts w:hint="eastAsia" w:ascii="宋体" w:cs="Times New Roman"/>
          <w:color w:val="auto"/>
          <w:sz w:val="24"/>
          <w:highlight w:val="none"/>
          <w:lang w:val="en-US" w:eastAsia="zh-CN"/>
        </w:rPr>
        <w:t xml:space="preserve">        </w:t>
      </w:r>
      <w:r>
        <w:rPr>
          <w:rFonts w:hint="eastAsia" w:ascii="宋体" w:hAnsi="Times New Roman" w:eastAsia="宋体" w:cs="Times New Roman"/>
          <w:color w:val="auto"/>
          <w:sz w:val="24"/>
          <w:highlight w:val="none"/>
        </w:rPr>
        <w:t xml:space="preserve">委托代理人（身份证号码）：               </w:t>
      </w:r>
    </w:p>
    <w:p w14:paraId="2B8D027D">
      <w:pPr>
        <w:spacing w:line="480" w:lineRule="exact"/>
        <w:ind w:firstLine="5760" w:firstLineChars="2400"/>
        <w:jc w:val="both"/>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联系电话：</w:t>
      </w:r>
    </w:p>
    <w:p w14:paraId="133159AC">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10F35531">
      <w:pPr>
        <w:keepNext w:val="0"/>
        <w:keepLines w:val="0"/>
        <w:pageBreakBefore w:val="0"/>
        <w:widowControl w:val="0"/>
        <w:kinsoku/>
        <w:wordWrap/>
        <w:overflowPunct/>
        <w:topLinePunct w:val="0"/>
        <w:autoSpaceDE/>
        <w:autoSpaceDN/>
        <w:bidi w:val="0"/>
        <w:adjustRightInd/>
        <w:snapToGrid/>
        <w:spacing w:line="440" w:lineRule="exact"/>
        <w:ind w:right="0" w:firstLine="482" w:firstLineChars="200"/>
        <w:jc w:val="center"/>
        <w:textAlignment w:val="auto"/>
        <w:rPr>
          <w:rFonts w:hint="eastAsia" w:ascii="宋体" w:hAnsi="宋体" w:eastAsia="宋体" w:cs="宋体"/>
          <w:b/>
          <w:bCs/>
          <w:color w:val="auto"/>
          <w:kern w:val="0"/>
          <w:sz w:val="24"/>
          <w:szCs w:val="24"/>
          <w:highlight w:val="none"/>
        </w:rPr>
      </w:pPr>
    </w:p>
    <w:p w14:paraId="4C19285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color w:val="auto"/>
          <w:sz w:val="28"/>
          <w:szCs w:val="28"/>
          <w:highlight w:val="none"/>
        </w:rPr>
      </w:pPr>
      <w:r>
        <w:rPr>
          <w:rFonts w:hint="eastAsia" w:ascii="宋体" w:hAnsi="宋体" w:eastAsia="宋体" w:cs="宋体"/>
          <w:b/>
          <w:bCs/>
          <w:color w:val="auto"/>
          <w:kern w:val="0"/>
          <w:sz w:val="30"/>
          <w:szCs w:val="30"/>
          <w:highlight w:val="none"/>
        </w:rPr>
        <w:br w:type="page"/>
      </w:r>
    </w:p>
    <w:p w14:paraId="21FDDC94">
      <w:pPr>
        <w:pStyle w:val="42"/>
        <w:keepNext w:val="0"/>
        <w:keepLines w:val="0"/>
        <w:pageBreakBefore w:val="0"/>
        <w:kinsoku/>
        <w:wordWrap/>
        <w:overflowPunct/>
        <w:topLinePunct w:val="0"/>
        <w:autoSpaceDE/>
        <w:autoSpaceDN/>
        <w:bidi w:val="0"/>
        <w:snapToGrid w:val="0"/>
        <w:spacing w:before="0" w:beforeAutospacing="0" w:after="0" w:afterAutospacing="0" w:line="500" w:lineRule="exact"/>
        <w:jc w:val="center"/>
        <w:textAlignment w:val="auto"/>
        <w:rPr>
          <w:rFonts w:hint="default" w:ascii="宋体" w:hAnsi="宋体" w:eastAsia="宋体" w:cs="宋体"/>
          <w:b/>
          <w:color w:val="auto"/>
          <w:kern w:val="2"/>
          <w:sz w:val="28"/>
          <w:szCs w:val="28"/>
          <w:highlight w:val="none"/>
          <w:lang w:val="en-US" w:eastAsia="zh-CN" w:bidi="ar-SA"/>
        </w:rPr>
      </w:pPr>
      <w:r>
        <w:rPr>
          <w:rFonts w:hint="default" w:ascii="宋体" w:hAnsi="宋体" w:eastAsia="宋体" w:cs="宋体"/>
          <w:b/>
          <w:color w:val="auto"/>
          <w:kern w:val="2"/>
          <w:sz w:val="28"/>
          <w:szCs w:val="28"/>
          <w:highlight w:val="none"/>
          <w:lang w:val="en-US" w:eastAsia="zh-CN" w:bidi="ar-SA"/>
        </w:rPr>
        <w:t>项目人员配备表</w:t>
      </w:r>
    </w:p>
    <w:tbl>
      <w:tblPr>
        <w:tblStyle w:val="46"/>
        <w:tblW w:w="9352"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782"/>
        <w:gridCol w:w="792"/>
        <w:gridCol w:w="1454"/>
        <w:gridCol w:w="2355"/>
        <w:gridCol w:w="1183"/>
        <w:gridCol w:w="1292"/>
      </w:tblGrid>
      <w:tr w14:paraId="4F16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center"/>
          </w:tcPr>
          <w:p w14:paraId="39F5E912">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岗位</w:t>
            </w:r>
          </w:p>
        </w:tc>
        <w:tc>
          <w:tcPr>
            <w:tcW w:w="782" w:type="dxa"/>
            <w:noWrap w:val="0"/>
            <w:vAlign w:val="center"/>
          </w:tcPr>
          <w:p w14:paraId="299851A4">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姓名</w:t>
            </w:r>
          </w:p>
        </w:tc>
        <w:tc>
          <w:tcPr>
            <w:tcW w:w="792" w:type="dxa"/>
            <w:noWrap w:val="0"/>
            <w:vAlign w:val="center"/>
          </w:tcPr>
          <w:p w14:paraId="11BFADFC">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性别</w:t>
            </w:r>
          </w:p>
        </w:tc>
        <w:tc>
          <w:tcPr>
            <w:tcW w:w="1454" w:type="dxa"/>
            <w:noWrap w:val="0"/>
            <w:vAlign w:val="center"/>
          </w:tcPr>
          <w:p w14:paraId="7B59E80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身份证号码</w:t>
            </w:r>
          </w:p>
        </w:tc>
        <w:tc>
          <w:tcPr>
            <w:tcW w:w="2355" w:type="dxa"/>
            <w:noWrap w:val="0"/>
            <w:vAlign w:val="center"/>
          </w:tcPr>
          <w:p w14:paraId="50D228A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注册证书资格等级</w:t>
            </w:r>
          </w:p>
        </w:tc>
        <w:tc>
          <w:tcPr>
            <w:tcW w:w="1183" w:type="dxa"/>
            <w:noWrap w:val="0"/>
            <w:vAlign w:val="top"/>
          </w:tcPr>
          <w:p w14:paraId="2402AD70">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证书编号</w:t>
            </w:r>
          </w:p>
        </w:tc>
        <w:tc>
          <w:tcPr>
            <w:tcW w:w="1292" w:type="dxa"/>
            <w:noWrap w:val="0"/>
            <w:vAlign w:val="center"/>
          </w:tcPr>
          <w:p w14:paraId="5C4A99C1">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r>
      <w:tr w14:paraId="7599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7DAD8EAD">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项目负责人</w:t>
            </w:r>
          </w:p>
        </w:tc>
        <w:tc>
          <w:tcPr>
            <w:tcW w:w="782" w:type="dxa"/>
            <w:noWrap w:val="0"/>
            <w:vAlign w:val="top"/>
          </w:tcPr>
          <w:p w14:paraId="04B14B9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0435731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B389EA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4CE83D5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08E0B9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E359D28">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5B22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499511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68959EE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E41E0C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014F463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3861A87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C1F938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239EAA9">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1FEC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26281E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7C9B9D8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113C41B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7E8F5D6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523DE6F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614F96D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2489B64C">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6702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49CD33A1">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782" w:type="dxa"/>
            <w:noWrap w:val="0"/>
            <w:vAlign w:val="top"/>
          </w:tcPr>
          <w:p w14:paraId="46BBC33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2E1640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3E1BBC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17498B7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0B5DA3D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75F0B41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bl>
    <w:p w14:paraId="6D79D3F9">
      <w:pPr>
        <w:jc w:val="center"/>
        <w:rPr>
          <w:rFonts w:hint="eastAsia" w:ascii="宋体" w:hAnsi="宋体" w:eastAsia="宋体" w:cs="宋体"/>
          <w:color w:val="auto"/>
          <w:sz w:val="28"/>
          <w:szCs w:val="28"/>
          <w:highlight w:val="none"/>
          <w:u w:val="single"/>
        </w:rPr>
      </w:pPr>
    </w:p>
    <w:p w14:paraId="01683548">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             （签章）</w:t>
      </w:r>
    </w:p>
    <w:p w14:paraId="2538AB6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法定代表人或其委托代理人：             （签章）</w:t>
      </w:r>
    </w:p>
    <w:p w14:paraId="1407EB7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30963256">
      <w:pPr>
        <w:jc w:val="center"/>
        <w:rPr>
          <w:rFonts w:hint="eastAsia" w:ascii="宋体" w:hAnsi="宋体" w:eastAsia="宋体" w:cs="宋体"/>
          <w:b/>
          <w:bCs/>
          <w:color w:val="auto"/>
          <w:sz w:val="28"/>
          <w:szCs w:val="28"/>
          <w:highlight w:val="none"/>
        </w:rPr>
      </w:pPr>
    </w:p>
    <w:p w14:paraId="7774A8B9">
      <w:pPr>
        <w:pStyle w:val="2"/>
        <w:rPr>
          <w:rFonts w:hint="eastAsia"/>
          <w:color w:val="auto"/>
          <w:highlight w:val="none"/>
        </w:rPr>
      </w:pPr>
    </w:p>
    <w:p w14:paraId="14A4BCCA">
      <w:pPr>
        <w:jc w:val="center"/>
        <w:rPr>
          <w:rFonts w:hint="eastAsia" w:ascii="宋体" w:hAnsi="宋体" w:eastAsia="宋体" w:cs="宋体"/>
          <w:b/>
          <w:bCs/>
          <w:color w:val="auto"/>
          <w:sz w:val="28"/>
          <w:szCs w:val="28"/>
          <w:highlight w:val="none"/>
        </w:rPr>
      </w:pPr>
    </w:p>
    <w:p w14:paraId="3CCC12D7">
      <w:pPr>
        <w:jc w:val="center"/>
        <w:rPr>
          <w:rFonts w:hint="eastAsia" w:ascii="宋体" w:hAnsi="宋体" w:eastAsia="宋体" w:cs="宋体"/>
          <w:b/>
          <w:bCs/>
          <w:color w:val="auto"/>
          <w:sz w:val="28"/>
          <w:szCs w:val="28"/>
          <w:highlight w:val="none"/>
        </w:rPr>
      </w:pPr>
    </w:p>
    <w:p w14:paraId="5E9002FF">
      <w:pPr>
        <w:jc w:val="center"/>
        <w:rPr>
          <w:rFonts w:hint="eastAsia" w:ascii="宋体" w:hAnsi="宋体" w:eastAsia="宋体" w:cs="宋体"/>
          <w:b/>
          <w:bCs/>
          <w:color w:val="auto"/>
          <w:sz w:val="28"/>
          <w:szCs w:val="28"/>
          <w:highlight w:val="none"/>
        </w:rPr>
      </w:pPr>
    </w:p>
    <w:p w14:paraId="5443CE27">
      <w:pPr>
        <w:jc w:val="center"/>
        <w:rPr>
          <w:rFonts w:hint="eastAsia" w:ascii="宋体" w:hAnsi="宋体" w:eastAsia="宋体" w:cs="宋体"/>
          <w:b/>
          <w:bCs/>
          <w:color w:val="auto"/>
          <w:sz w:val="28"/>
          <w:szCs w:val="28"/>
          <w:highlight w:val="none"/>
        </w:rPr>
      </w:pPr>
    </w:p>
    <w:p w14:paraId="57A6ABA6">
      <w:pPr>
        <w:jc w:val="center"/>
        <w:rPr>
          <w:rFonts w:hint="eastAsia" w:ascii="宋体" w:hAnsi="宋体" w:eastAsia="宋体" w:cs="宋体"/>
          <w:b/>
          <w:bCs/>
          <w:color w:val="auto"/>
          <w:sz w:val="28"/>
          <w:szCs w:val="28"/>
          <w:highlight w:val="none"/>
        </w:rPr>
      </w:pPr>
    </w:p>
    <w:p w14:paraId="41257297">
      <w:pPr>
        <w:jc w:val="center"/>
        <w:rPr>
          <w:rFonts w:hint="eastAsia" w:ascii="宋体" w:hAnsi="宋体" w:eastAsia="宋体" w:cs="宋体"/>
          <w:b/>
          <w:bCs/>
          <w:color w:val="auto"/>
          <w:sz w:val="28"/>
          <w:szCs w:val="28"/>
          <w:highlight w:val="none"/>
        </w:rPr>
      </w:pPr>
    </w:p>
    <w:p w14:paraId="22AD1574">
      <w:pPr>
        <w:jc w:val="center"/>
        <w:rPr>
          <w:rFonts w:hint="eastAsia" w:ascii="宋体" w:hAnsi="宋体" w:eastAsia="宋体" w:cs="宋体"/>
          <w:b/>
          <w:bCs/>
          <w:color w:val="auto"/>
          <w:sz w:val="28"/>
          <w:szCs w:val="28"/>
          <w:highlight w:val="none"/>
        </w:rPr>
      </w:pPr>
    </w:p>
    <w:p w14:paraId="54964737">
      <w:pPr>
        <w:jc w:val="center"/>
        <w:rPr>
          <w:rFonts w:hint="eastAsia" w:ascii="宋体" w:hAnsi="宋体" w:eastAsia="宋体" w:cs="宋体"/>
          <w:b/>
          <w:bCs/>
          <w:color w:val="auto"/>
          <w:sz w:val="28"/>
          <w:szCs w:val="28"/>
          <w:highlight w:val="none"/>
        </w:rPr>
      </w:pPr>
    </w:p>
    <w:p w14:paraId="6B9E4E6B">
      <w:pPr>
        <w:jc w:val="center"/>
        <w:rPr>
          <w:rFonts w:hint="eastAsia" w:ascii="宋体" w:hAnsi="宋体" w:eastAsia="宋体" w:cs="宋体"/>
          <w:b/>
          <w:bCs/>
          <w:color w:val="auto"/>
          <w:sz w:val="28"/>
          <w:szCs w:val="28"/>
          <w:highlight w:val="none"/>
        </w:rPr>
      </w:pPr>
    </w:p>
    <w:p w14:paraId="2FB0BF2A">
      <w:pPr>
        <w:jc w:val="center"/>
        <w:rPr>
          <w:rFonts w:hint="eastAsia" w:ascii="宋体" w:hAnsi="宋体" w:eastAsia="宋体" w:cs="宋体"/>
          <w:b/>
          <w:bCs/>
          <w:color w:val="auto"/>
          <w:sz w:val="28"/>
          <w:szCs w:val="28"/>
          <w:highlight w:val="none"/>
        </w:rPr>
      </w:pPr>
    </w:p>
    <w:p w14:paraId="2908FF31">
      <w:pPr>
        <w:jc w:val="center"/>
        <w:rPr>
          <w:rFonts w:hint="eastAsia" w:ascii="宋体" w:hAnsi="宋体" w:eastAsia="宋体" w:cs="宋体"/>
          <w:b/>
          <w:bCs/>
          <w:color w:val="auto"/>
          <w:sz w:val="28"/>
          <w:szCs w:val="28"/>
          <w:highlight w:val="none"/>
        </w:rPr>
      </w:pPr>
    </w:p>
    <w:p w14:paraId="6AB2EB72">
      <w:pPr>
        <w:jc w:val="center"/>
        <w:rPr>
          <w:rFonts w:hint="eastAsia" w:ascii="宋体" w:hAnsi="宋体" w:eastAsia="宋体" w:cs="宋体"/>
          <w:b/>
          <w:bCs/>
          <w:color w:val="auto"/>
          <w:sz w:val="28"/>
          <w:szCs w:val="28"/>
          <w:highlight w:val="none"/>
        </w:rPr>
      </w:pPr>
    </w:p>
    <w:p w14:paraId="19883A24">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 标 函</w:t>
      </w:r>
    </w:p>
    <w:p w14:paraId="561AA3C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p>
    <w:p w14:paraId="0BB8801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招标</w:t>
      </w:r>
      <w:r>
        <w:rPr>
          <w:rFonts w:hint="eastAsia" w:ascii="宋体" w:hAnsi="宋体" w:eastAsia="宋体" w:cs="宋体"/>
          <w:color w:val="auto"/>
          <w:szCs w:val="21"/>
          <w:highlight w:val="none"/>
          <w:u w:val="single"/>
        </w:rPr>
        <w:t xml:space="preserve">人)       </w:t>
      </w:r>
      <w:r>
        <w:rPr>
          <w:rFonts w:hint="eastAsia" w:ascii="宋体" w:hAnsi="宋体" w:eastAsia="宋体" w:cs="宋体"/>
          <w:color w:val="auto"/>
          <w:szCs w:val="21"/>
          <w:highlight w:val="none"/>
        </w:rPr>
        <w:t xml:space="preserve"> </w:t>
      </w:r>
    </w:p>
    <w:p w14:paraId="0D5B4C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1.我们决定参加贵单位组织的“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 xml:space="preserve">。我方授权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(姓名和职务)代表我方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（投标人的名称）全权处理本项目投标的有关事宜。</w:t>
      </w:r>
    </w:p>
    <w:p w14:paraId="73B46545">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2.我方愿意按照招标文件规定的各项要求，向</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人提供</w:t>
      </w:r>
      <w:r>
        <w:rPr>
          <w:rFonts w:hint="eastAsia" w:ascii="宋体" w:hAnsi="宋体" w:eastAsia="宋体" w:cs="宋体"/>
          <w:color w:val="auto"/>
          <w:szCs w:val="21"/>
          <w:highlight w:val="none"/>
          <w:lang w:val="en-US" w:eastAsia="zh-CN"/>
        </w:rPr>
        <w:t>本</w:t>
      </w:r>
      <w:r>
        <w:rPr>
          <w:rFonts w:hint="eastAsia" w:ascii="宋体" w:hAnsi="宋体" w:eastAsia="宋体" w:cs="宋体"/>
          <w:color w:val="auto"/>
          <w:szCs w:val="21"/>
          <w:highlight w:val="none"/>
        </w:rPr>
        <w:t>项目的服务，我方报价为</w:t>
      </w:r>
      <w:r>
        <w:rPr>
          <w:rFonts w:hint="eastAsia" w:ascii="宋体" w:hAnsi="宋体" w:eastAsia="宋体" w:cs="宋体"/>
          <w:b/>
          <w:bCs/>
          <w:color w:val="auto"/>
          <w:szCs w:val="21"/>
          <w:highlight w:val="none"/>
        </w:rPr>
        <w:t>基本费</w:t>
      </w:r>
      <w:r>
        <w:rPr>
          <w:rFonts w:hint="eastAsia" w:ascii="宋体" w:hAnsi="宋体" w:eastAsia="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lang w:val="en-US" w:eastAsia="zh-CN"/>
        </w:rPr>
        <w:t>元</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审核成果费率</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项目负责人为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，服务期</w:t>
      </w:r>
      <w:r>
        <w:rPr>
          <w:rFonts w:hint="eastAsia" w:ascii="宋体" w:hAnsi="宋体" w:eastAsia="宋体" w:cs="宋体"/>
          <w:color w:val="auto"/>
          <w:szCs w:val="21"/>
          <w:highlight w:val="none"/>
          <w:u w:val="single"/>
        </w:rPr>
        <w:t>：执行滁重〔</w:t>
      </w:r>
      <w:r>
        <w:rPr>
          <w:rFonts w:hint="eastAsia" w:ascii="宋体" w:hAnsi="宋体" w:eastAsia="宋体" w:cs="宋体"/>
          <w:color w:val="auto"/>
          <w:szCs w:val="21"/>
          <w:highlight w:val="none"/>
          <w:u w:val="single"/>
          <w:lang w:eastAsia="zh-CN"/>
        </w:rPr>
        <w:t>20</w:t>
      </w:r>
      <w:r>
        <w:rPr>
          <w:rFonts w:hint="eastAsia" w:ascii="宋体" w:hAnsi="宋体" w:eastAsia="宋体" w:cs="宋体"/>
          <w:color w:val="auto"/>
          <w:szCs w:val="21"/>
          <w:highlight w:val="none"/>
          <w:u w:val="single"/>
          <w:lang w:val="en-US" w:eastAsia="zh-CN"/>
        </w:rPr>
        <w:t>22</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55号</w:t>
      </w:r>
      <w:r>
        <w:rPr>
          <w:rFonts w:hint="eastAsia" w:ascii="宋体" w:hAnsi="宋体" w:eastAsia="宋体" w:cs="宋体"/>
          <w:color w:val="auto"/>
          <w:szCs w:val="21"/>
          <w:highlight w:val="none"/>
          <w:u w:val="single"/>
        </w:rPr>
        <w:t>《工程造价咨询服务管理办法》的通知第十</w:t>
      </w:r>
      <w:r>
        <w:rPr>
          <w:rFonts w:hint="eastAsia" w:ascii="宋体" w:hAnsi="宋体" w:eastAsia="宋体" w:cs="宋体"/>
          <w:color w:val="auto"/>
          <w:szCs w:val="21"/>
          <w:highlight w:val="none"/>
          <w:u w:val="single"/>
          <w:lang w:eastAsia="zh-CN"/>
        </w:rPr>
        <w:t>八</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十九</w:t>
      </w:r>
      <w:r>
        <w:rPr>
          <w:rFonts w:hint="eastAsia" w:ascii="宋体" w:hAnsi="宋体" w:eastAsia="宋体" w:cs="宋体"/>
          <w:color w:val="auto"/>
          <w:szCs w:val="21"/>
          <w:highlight w:val="none"/>
          <w:u w:val="single"/>
        </w:rPr>
        <w:t>条规定</w:t>
      </w:r>
      <w:r>
        <w:rPr>
          <w:rFonts w:hint="eastAsia" w:ascii="宋体" w:hAnsi="宋体" w:eastAsia="宋体" w:cs="宋体"/>
          <w:color w:val="auto"/>
          <w:szCs w:val="21"/>
          <w:highlight w:val="none"/>
        </w:rPr>
        <w:t>。</w:t>
      </w:r>
    </w:p>
    <w:p w14:paraId="03D443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3.本项目投标有效期为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60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日历天（从投标截止之日算起）。</w:t>
      </w:r>
    </w:p>
    <w:p w14:paraId="73D569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4.一旦我方成为合同签字人，我方将严格履行合同规定的责任和义务。</w:t>
      </w:r>
    </w:p>
    <w:p w14:paraId="36FF69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.若我方中标，愿意为本项目提交的纸质投标文件一式</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rPr>
        <w:t>份，其中正本一份、副本</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份。</w:t>
      </w:r>
    </w:p>
    <w:p w14:paraId="4C35FC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.我方愿意提供可能另外要求的、与采购投标有关的文件资料，并保证我方已提供和将要提供的文件是真实的、准确的。</w:t>
      </w:r>
    </w:p>
    <w:p w14:paraId="43EBE829">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.我单位提供如下通讯地址：</w:t>
      </w:r>
      <w:r>
        <w:rPr>
          <w:rFonts w:hint="eastAsia" w:ascii="宋体" w:hAnsi="宋体" w:eastAsia="宋体" w:cs="宋体"/>
          <w:color w:val="auto"/>
          <w:szCs w:val="21"/>
          <w:highlight w:val="none"/>
          <w:u w:val="single"/>
        </w:rPr>
        <w:t xml:space="preserve">                电子邮箱（地址）</w:t>
      </w:r>
      <w:r>
        <w:rPr>
          <w:rFonts w:hint="eastAsia" w:ascii="宋体" w:hAnsi="宋体" w:eastAsia="宋体" w:cs="宋体"/>
          <w:color w:val="auto"/>
          <w:szCs w:val="21"/>
          <w:highlight w:val="none"/>
        </w:rPr>
        <w:t>，确认本项目相关法律文书均通过提供的以上地址送达，相关文书只要发送至以上电子邮箱（地址）即视为送达，投标人愿意承担一切法律后果。</w:t>
      </w:r>
    </w:p>
    <w:p w14:paraId="02E68186">
      <w:pPr>
        <w:pStyle w:val="2"/>
        <w:spacing w:line="360" w:lineRule="auto"/>
        <w:rPr>
          <w:rFonts w:hint="eastAsia" w:ascii="宋体" w:hAnsi="宋体" w:eastAsia="宋体" w:cs="宋体"/>
          <w:color w:val="auto"/>
          <w:szCs w:val="21"/>
          <w:highlight w:val="none"/>
        </w:rPr>
      </w:pPr>
    </w:p>
    <w:p w14:paraId="52ECA389">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rPr>
      </w:pPr>
    </w:p>
    <w:p w14:paraId="45B1C6C3">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（签章） </w:t>
      </w:r>
    </w:p>
    <w:p w14:paraId="1F08F4FE">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（签章）</w:t>
      </w:r>
      <w:r>
        <w:rPr>
          <w:rFonts w:hint="eastAsia" w:ascii="宋体" w:hAnsi="宋体" w:eastAsia="宋体" w:cs="宋体"/>
          <w:color w:val="auto"/>
          <w:szCs w:val="21"/>
          <w:highlight w:val="none"/>
        </w:rPr>
        <w:t xml:space="preserve">         </w:t>
      </w:r>
    </w:p>
    <w:p w14:paraId="2267CA40">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04B0F2ED">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联系电话：</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single"/>
        </w:rPr>
        <w:t xml:space="preserve">                </w:t>
      </w:r>
    </w:p>
    <w:p w14:paraId="23F4B22F">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E1611FF">
      <w:pPr>
        <w:spacing w:line="360" w:lineRule="auto"/>
        <w:rPr>
          <w:rFonts w:hint="eastAsia" w:ascii="宋体" w:hAnsi="宋体" w:cs="宋体"/>
          <w:b/>
          <w:color w:val="auto"/>
          <w:sz w:val="28"/>
          <w:szCs w:val="28"/>
          <w:highlight w:val="none"/>
          <w:lang w:val="en-US" w:eastAsia="zh-CN"/>
        </w:rPr>
      </w:pPr>
    </w:p>
    <w:p w14:paraId="739A9E3E">
      <w:pPr>
        <w:spacing w:line="360" w:lineRule="auto"/>
        <w:rPr>
          <w:rFonts w:hint="eastAsia" w:ascii="宋体" w:hAnsi="宋体" w:cs="宋体"/>
          <w:b/>
          <w:color w:val="auto"/>
          <w:sz w:val="28"/>
          <w:szCs w:val="28"/>
          <w:highlight w:val="none"/>
          <w:lang w:val="en-US" w:eastAsia="zh-CN"/>
        </w:rPr>
      </w:pPr>
    </w:p>
    <w:p w14:paraId="265D13AF">
      <w:pPr>
        <w:spacing w:line="360" w:lineRule="auto"/>
        <w:jc w:val="center"/>
        <w:rPr>
          <w:rFonts w:hint="eastAsia" w:ascii="宋体" w:hAnsi="宋体" w:eastAsia="宋体" w:cs="宋体"/>
          <w:b/>
          <w:bCs/>
          <w:color w:val="auto"/>
          <w:kern w:val="0"/>
          <w:sz w:val="30"/>
          <w:szCs w:val="30"/>
          <w:highlight w:val="none"/>
        </w:rPr>
      </w:pPr>
      <w:r>
        <w:rPr>
          <w:rFonts w:hint="eastAsia" w:ascii="宋体" w:hAnsi="宋体" w:cs="宋体"/>
          <w:b/>
          <w:color w:val="auto"/>
          <w:sz w:val="28"/>
          <w:szCs w:val="28"/>
          <w:highlight w:val="none"/>
          <w:lang w:val="en-US" w:eastAsia="zh-CN"/>
        </w:rPr>
        <w:t>系统填报的投标费率与本投标函不一致时，以本投标函为准</w:t>
      </w:r>
    </w:p>
    <w:p w14:paraId="3718D3FE">
      <w:pPr>
        <w:pStyle w:val="6"/>
        <w:spacing w:before="0" w:after="0"/>
        <w:rPr>
          <w:rFonts w:hint="eastAsia" w:ascii="宋体" w:hAnsi="宋体" w:eastAsia="宋体" w:cs="宋体"/>
          <w:color w:val="auto"/>
          <w:highlight w:val="none"/>
          <w:lang w:val="en-US" w:eastAsia="zh-CN"/>
        </w:rPr>
      </w:pPr>
      <w:bookmarkStart w:id="69" w:name="_Toc31498"/>
      <w:r>
        <w:rPr>
          <w:rFonts w:hint="eastAsia" w:ascii="宋体" w:hAnsi="宋体" w:eastAsia="宋体" w:cs="宋体"/>
          <w:color w:val="auto"/>
          <w:highlight w:val="none"/>
          <w:lang w:val="en-US" w:eastAsia="zh-CN"/>
        </w:rPr>
        <w:t>第五章 招标单位、招标代理机构对本招标文件的确认</w:t>
      </w:r>
      <w:bookmarkEnd w:id="69"/>
    </w:p>
    <w:tbl>
      <w:tblPr>
        <w:tblStyle w:val="45"/>
        <w:tblW w:w="968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9"/>
      </w:tblGrid>
      <w:tr w14:paraId="45B9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7" w:hRule="atLeast"/>
        </w:trPr>
        <w:tc>
          <w:tcPr>
            <w:tcW w:w="9689" w:type="dxa"/>
          </w:tcPr>
          <w:p w14:paraId="326BAA51">
            <w:pPr>
              <w:spacing w:line="320" w:lineRule="atLeast"/>
              <w:ind w:firstLine="560" w:firstLineChars="200"/>
              <w:rPr>
                <w:rFonts w:hint="eastAsia" w:ascii="宋体" w:hAnsi="宋体" w:eastAsia="宋体" w:cs="宋体"/>
                <w:color w:val="auto"/>
                <w:sz w:val="28"/>
                <w:szCs w:val="28"/>
                <w:highlight w:val="none"/>
              </w:rPr>
            </w:pPr>
          </w:p>
          <w:p w14:paraId="388A6941">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我单位对</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2024年市政基础设施中修、安保和养护工程桥梁养护维修项目结算复核服务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的招标文件进行确认。</w:t>
            </w:r>
          </w:p>
          <w:p w14:paraId="70D47DF8">
            <w:pPr>
              <w:spacing w:line="320" w:lineRule="atLeast"/>
              <w:ind w:firstLine="560" w:firstLineChars="200"/>
              <w:rPr>
                <w:rFonts w:hint="eastAsia" w:ascii="宋体" w:hAnsi="宋体" w:eastAsia="宋体" w:cs="宋体"/>
                <w:color w:val="auto"/>
                <w:sz w:val="28"/>
                <w:szCs w:val="28"/>
                <w:highlight w:val="none"/>
              </w:rPr>
            </w:pPr>
          </w:p>
          <w:p w14:paraId="16EDA7DA">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招标人：</w:t>
            </w:r>
            <w:r>
              <w:rPr>
                <w:rFonts w:hint="eastAsia" w:ascii="宋体" w:hAnsi="宋体" w:eastAsia="宋体" w:cs="宋体"/>
                <w:color w:val="auto"/>
                <w:sz w:val="28"/>
                <w:szCs w:val="28"/>
                <w:highlight w:val="none"/>
                <w:lang w:val="en-US" w:eastAsia="zh-CN"/>
              </w:rPr>
              <w:t>滁州市市政设施管理中心</w:t>
            </w:r>
          </w:p>
          <w:p w14:paraId="3463F686">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李福锟</w:t>
            </w:r>
          </w:p>
          <w:p w14:paraId="0C9165C7">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w:t>
            </w:r>
            <w:r>
              <w:rPr>
                <w:rFonts w:hint="eastAsia" w:ascii="宋体" w:hAnsi="宋体" w:cs="宋体"/>
                <w:color w:val="auto"/>
                <w:sz w:val="28"/>
                <w:szCs w:val="28"/>
                <w:highlight w:val="none"/>
                <w:lang w:val="en-US" w:eastAsia="zh-CN"/>
              </w:rPr>
              <w:t>0550-3046029</w:t>
            </w:r>
          </w:p>
          <w:p w14:paraId="6E5C8EF3">
            <w:pPr>
              <w:spacing w:line="500" w:lineRule="exact"/>
              <w:ind w:firstLine="280" w:firstLineChars="100"/>
              <w:rPr>
                <w:rFonts w:hint="eastAsia" w:ascii="宋体" w:hAnsi="宋体" w:eastAsia="宋体" w:cs="宋体"/>
                <w:color w:val="auto"/>
                <w:sz w:val="28"/>
                <w:szCs w:val="28"/>
                <w:highlight w:val="none"/>
              </w:rPr>
            </w:pPr>
          </w:p>
          <w:p w14:paraId="4C35A76B">
            <w:pPr>
              <w:spacing w:line="500" w:lineRule="exact"/>
              <w:ind w:firstLine="6440" w:firstLineChars="2300"/>
              <w:rPr>
                <w:rFonts w:hint="eastAsia" w:ascii="宋体" w:hAnsi="宋体" w:eastAsia="宋体" w:cs="宋体"/>
                <w:color w:val="auto"/>
                <w:sz w:val="28"/>
                <w:szCs w:val="28"/>
                <w:highlight w:val="none"/>
              </w:rPr>
            </w:pPr>
          </w:p>
          <w:p w14:paraId="1E3913DA">
            <w:pPr>
              <w:spacing w:line="500" w:lineRule="exact"/>
              <w:ind w:firstLine="6440" w:firstLineChars="2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（单位盖章）</w:t>
            </w:r>
          </w:p>
          <w:p w14:paraId="33C2043A">
            <w:pPr>
              <w:spacing w:line="500" w:lineRule="exact"/>
              <w:ind w:firstLine="6440" w:firstLineChars="2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月</w:t>
            </w:r>
          </w:p>
        </w:tc>
      </w:tr>
      <w:tr w14:paraId="60B4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1" w:hRule="atLeast"/>
        </w:trPr>
        <w:tc>
          <w:tcPr>
            <w:tcW w:w="9689" w:type="dxa"/>
          </w:tcPr>
          <w:p w14:paraId="2D346054">
            <w:pPr>
              <w:spacing w:line="320" w:lineRule="atLeast"/>
              <w:ind w:firstLine="560" w:firstLineChars="200"/>
              <w:rPr>
                <w:rFonts w:hint="eastAsia" w:ascii="宋体" w:hAnsi="宋体" w:eastAsia="宋体" w:cs="宋体"/>
                <w:color w:val="auto"/>
                <w:sz w:val="28"/>
                <w:szCs w:val="28"/>
                <w:highlight w:val="none"/>
              </w:rPr>
            </w:pPr>
          </w:p>
          <w:p w14:paraId="429FA252">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招标代理机构：滁州市城投工程咨询管理有限公司</w:t>
            </w:r>
          </w:p>
          <w:p w14:paraId="396B5BE0">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胡国庆</w:t>
            </w:r>
          </w:p>
          <w:p w14:paraId="3E3D785F">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联系电话： </w:t>
            </w:r>
            <w:r>
              <w:rPr>
                <w:rFonts w:hint="eastAsia" w:ascii="宋体" w:hAnsi="宋体" w:cs="宋体"/>
                <w:color w:val="auto"/>
                <w:sz w:val="28"/>
                <w:szCs w:val="28"/>
                <w:highlight w:val="none"/>
                <w:lang w:eastAsia="zh-CN"/>
              </w:rPr>
              <w:t>0550-3519517</w:t>
            </w: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18005500950</w:t>
            </w:r>
          </w:p>
          <w:p w14:paraId="497AA04E">
            <w:pPr>
              <w:rPr>
                <w:rFonts w:hint="eastAsia" w:ascii="宋体" w:hAnsi="宋体" w:eastAsia="宋体" w:cs="宋体"/>
                <w:color w:val="auto"/>
                <w:sz w:val="28"/>
                <w:szCs w:val="28"/>
                <w:highlight w:val="none"/>
              </w:rPr>
            </w:pPr>
          </w:p>
          <w:p w14:paraId="0E6E788A">
            <w:pPr>
              <w:spacing w:line="500" w:lineRule="exact"/>
              <w:ind w:firstLine="6440" w:firstLineChars="2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60AF574C">
            <w:pPr>
              <w:spacing w:line="500" w:lineRule="exact"/>
              <w:ind w:firstLine="6440" w:firstLineChars="2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（单位盖章）</w:t>
            </w:r>
          </w:p>
          <w:p w14:paraId="5AE54977">
            <w:pPr>
              <w:spacing w:line="500" w:lineRule="exact"/>
              <w:ind w:firstLine="6440" w:firstLineChars="2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年</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月</w:t>
            </w:r>
          </w:p>
        </w:tc>
      </w:tr>
    </w:tbl>
    <w:p w14:paraId="22D2196B">
      <w:pPr>
        <w:pStyle w:val="20"/>
        <w:jc w:val="left"/>
        <w:rPr>
          <w:rFonts w:hint="eastAsia" w:ascii="宋体" w:hAnsi="宋体" w:eastAsia="宋体" w:cs="宋体"/>
          <w:color w:val="auto"/>
          <w:kern w:val="0"/>
          <w:sz w:val="24"/>
          <w:szCs w:val="24"/>
          <w:highlight w:val="none"/>
        </w:rPr>
      </w:pPr>
    </w:p>
    <w:p w14:paraId="63AE5489">
      <w:pPr>
        <w:pStyle w:val="20"/>
        <w:jc w:val="left"/>
        <w:rPr>
          <w:rFonts w:hint="eastAsia" w:ascii="宋体" w:hAnsi="宋体" w:eastAsia="宋体" w:cs="宋体"/>
          <w:color w:val="auto"/>
          <w:kern w:val="0"/>
          <w:sz w:val="24"/>
          <w:szCs w:val="24"/>
          <w:highlight w:val="none"/>
        </w:rPr>
      </w:pPr>
    </w:p>
    <w:p w14:paraId="542E3EE9">
      <w:pPr>
        <w:pStyle w:val="20"/>
        <w:jc w:val="left"/>
        <w:rPr>
          <w:rFonts w:hint="eastAsia" w:ascii="宋体" w:hAnsi="宋体" w:eastAsia="宋体" w:cs="宋体"/>
          <w:color w:val="auto"/>
          <w:kern w:val="0"/>
          <w:sz w:val="24"/>
          <w:szCs w:val="24"/>
          <w:highlight w:val="none"/>
        </w:rPr>
      </w:pPr>
    </w:p>
    <w:p w14:paraId="2D9AB935">
      <w:pPr>
        <w:pStyle w:val="20"/>
        <w:jc w:val="left"/>
        <w:rPr>
          <w:rFonts w:hint="eastAsia" w:ascii="宋体" w:hAnsi="宋体" w:eastAsia="宋体" w:cs="宋体"/>
          <w:color w:val="auto"/>
          <w:kern w:val="0"/>
          <w:sz w:val="24"/>
          <w:szCs w:val="24"/>
          <w:highlight w:val="none"/>
        </w:rPr>
      </w:pPr>
    </w:p>
    <w:p w14:paraId="21A15060">
      <w:pPr>
        <w:pStyle w:val="20"/>
        <w:jc w:val="left"/>
        <w:rPr>
          <w:rFonts w:hint="eastAsia" w:ascii="宋体" w:hAnsi="宋体" w:eastAsia="宋体" w:cs="宋体"/>
          <w:color w:val="auto"/>
          <w:kern w:val="0"/>
          <w:sz w:val="24"/>
          <w:szCs w:val="24"/>
          <w:highlight w:val="none"/>
        </w:rPr>
      </w:pPr>
    </w:p>
    <w:sectPr>
      <w:footerReference r:id="rId9" w:type="default"/>
      <w:pgSz w:w="11906" w:h="16838"/>
      <w:pgMar w:top="935" w:right="1106" w:bottom="936" w:left="1259" w:header="680" w:footer="680" w:gutter="0"/>
      <w:pgNumType w:fmt="decimal" w:start="1"/>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1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60405020304"/>
    <w:charset w:val="00"/>
    <w:family w:val="roman"/>
    <w:pitch w:val="default"/>
    <w:sig w:usb0="00000000" w:usb1="00000000" w:usb2="00000000" w:usb3="00000000" w:csb0="00000093"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宋体-18030">
    <w:altName w:val="宋体"/>
    <w:panose1 w:val="02010609060101010101"/>
    <w:charset w:val="86"/>
    <w:family w:val="modern"/>
    <w:pitch w:val="default"/>
    <w:sig w:usb0="00000000" w:usb1="00000000" w:usb2="000A005E"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C5762">
    <w:pPr>
      <w:pStyle w:val="30"/>
      <w:rPr>
        <w:rStyle w:val="49"/>
      </w:rPr>
    </w:pPr>
  </w:p>
  <w:p w14:paraId="27617CD2">
    <w:pPr>
      <w:pStyle w:val="30"/>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2"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2B8F2946"/>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Bcxk6a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WlDhuceDn&#10;79/OP36df36tsztDiA0mPYR7mHcRYZY6KrD5iyLIWBw9XR2VYyICg1W9ulm9uaFE4Fn1dlXVxXL2&#10;eDtATO+ktySDlgJOrBjJjx9iwoqYeknJxZy/08aUqRn3VwATp4gsY59v5/anhjNK426cVex8d0Ll&#10;5r1DN/PLuAC4gN0FHALofY/NVdkQlolwGqW1+eXkcf+5L1mPf8v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Bcxk6auAEAAHUDAAAOAAAAAAAAAAEAIAAAACkBAABkcnMvZTJvRG9jLnhtbFBL&#10;BQYAAAAABgAGAFkBAABTBQAAAAA=&#10;">
              <v:fill on="f" focussize="0,0"/>
              <v:stroke on="f"/>
              <v:imagedata o:title=""/>
              <o:lock v:ext="edit" aspectratio="f"/>
              <v:textbox inset="0mm,0mm,0mm,0mm">
                <w:txbxContent>
                  <w:p w14:paraId="2B8F2946"/>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C60B7">
    <w:pPr>
      <w:pStyle w:val="30"/>
      <w:tabs>
        <w:tab w:val="center" w:pos="7483"/>
        <w:tab w:val="clear" w:pos="4153"/>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EE9D1">
    <w:pPr>
      <w:pStyle w:val="30"/>
      <w:rPr>
        <w:rStyle w:val="49"/>
      </w:rPr>
    </w:pPr>
  </w:p>
  <w:p w14:paraId="24D89652">
    <w:pPr>
      <w:pStyle w:val="30"/>
      <w:ind w:right="360"/>
      <w:rPr>
        <w:kern w:val="0"/>
      </w:rPr>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113FE5FF"/>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0288;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113FE5FF"/>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F5F65">
    <w:pPr>
      <w:pStyle w:val="30"/>
      <w:tabs>
        <w:tab w:val="center" w:pos="7483"/>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2467DE">
                          <w:pPr>
                            <w:pStyle w:val="30"/>
                          </w:pPr>
                          <w:r>
                            <w:fldChar w:fldCharType="begin"/>
                          </w:r>
                          <w:r>
                            <w:instrText xml:space="preserve"> PAGE  \* MERGEFORMAT </w:instrText>
                          </w:r>
                          <w:r>
                            <w:fldChar w:fldCharType="separate"/>
                          </w:r>
                          <w:r>
                            <w:t></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14:paraId="612467DE">
                    <w:pPr>
                      <w:pStyle w:val="30"/>
                    </w:pPr>
                    <w:r>
                      <w:fldChar w:fldCharType="begin"/>
                    </w:r>
                    <w:r>
                      <w:instrText xml:space="preserve"> PAGE  \* MERGEFORMAT </w:instrText>
                    </w:r>
                    <w:r>
                      <w:fldChar w:fldCharType="separate"/>
                    </w:r>
                    <w:r>
                      <w:t></w:t>
                    </w:r>
                    <w:r>
                      <w:fldChar w:fldCharType="end"/>
                    </w:r>
                  </w:p>
                </w:txbxContent>
              </v:textbox>
            </v:shape>
          </w:pict>
        </mc:Fallback>
      </mc:AlternateContent>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62396">
    <w:pPr>
      <w:pStyle w:val="30"/>
      <w:rPr>
        <w:rStyle w:val="49"/>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A5E45F">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A5E45F">
                    <w:pPr>
                      <w:pStyle w:val="30"/>
                    </w:pPr>
                    <w:r>
                      <w:fldChar w:fldCharType="begin"/>
                    </w:r>
                    <w:r>
                      <w:instrText xml:space="preserve"> PAGE  \* MERGEFORMAT </w:instrText>
                    </w:r>
                    <w:r>
                      <w:fldChar w:fldCharType="separate"/>
                    </w:r>
                    <w:r>
                      <w:t>2</w:t>
                    </w:r>
                    <w:r>
                      <w:fldChar w:fldCharType="end"/>
                    </w:r>
                  </w:p>
                </w:txbxContent>
              </v:textbox>
            </v:shape>
          </w:pict>
        </mc:Fallback>
      </mc:AlternateContent>
    </w:r>
  </w:p>
  <w:p w14:paraId="157870D5">
    <w:pPr>
      <w:pStyle w:val="30"/>
      <w:ind w:right="360"/>
      <w:rPr>
        <w:kern w:val="0"/>
      </w:rPr>
    </w:pPr>
    <w:r>
      <mc:AlternateContent>
        <mc:Choice Requires="wps">
          <w:drawing>
            <wp:anchor distT="0" distB="0" distL="114300" distR="114300" simplePos="0" relativeHeight="251661312"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8"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4D5C9321"/>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1312;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ipzAr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i2B23OPDz&#10;92/nH7/OP7/W2Z0hxAaTHsI9zLuIMEsdFdj8RRFkLI6ero7KMRGBwape3aze3FAi8Kx6u6rqYjl7&#10;vB0gpnfSW5JBSwEnVozkxw8xYUVMvaTkYs7faWPK1Iz7K4CJU0SWsc+3c/tTwxmlcTfOKna+O6Fy&#10;896hm/llXABcwO4CDgH0vsfmqmwIy0Q4jdLa/HLyuP/cl6zHv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ipzAruAEAAHUDAAAOAAAAAAAAAAEAIAAAACkBAABkcnMvZTJvRG9jLnhtbFBL&#10;BQYAAAAABgAGAFkBAABTBQAAAAA=&#10;">
              <v:fill on="f" focussize="0,0"/>
              <v:stroke on="f"/>
              <v:imagedata o:title=""/>
              <o:lock v:ext="edit" aspectratio="f"/>
              <v:textbox inset="0mm,0mm,0mm,0mm">
                <w:txbxContent>
                  <w:p w14:paraId="4D5C9321"/>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E2992">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4FC55">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F8CB6E"/>
    <w:multiLevelType w:val="singleLevel"/>
    <w:tmpl w:val="1EF8CB6E"/>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NjMmIyODczM2YwMGZkZTNjYWY1NjIxZTY5YjcifQ=="/>
  </w:docVars>
  <w:rsids>
    <w:rsidRoot w:val="00277DEA"/>
    <w:rsid w:val="000407AC"/>
    <w:rsid w:val="00040A78"/>
    <w:rsid w:val="00057816"/>
    <w:rsid w:val="000E13AD"/>
    <w:rsid w:val="00131FFF"/>
    <w:rsid w:val="00135312"/>
    <w:rsid w:val="00144E2C"/>
    <w:rsid w:val="001643AB"/>
    <w:rsid w:val="0016450D"/>
    <w:rsid w:val="001A591F"/>
    <w:rsid w:val="001C6848"/>
    <w:rsid w:val="001D4B0B"/>
    <w:rsid w:val="001F10F0"/>
    <w:rsid w:val="00217AF2"/>
    <w:rsid w:val="00217EB9"/>
    <w:rsid w:val="00217FF1"/>
    <w:rsid w:val="0023383D"/>
    <w:rsid w:val="00252D6D"/>
    <w:rsid w:val="00253B24"/>
    <w:rsid w:val="00270071"/>
    <w:rsid w:val="002740D6"/>
    <w:rsid w:val="00274549"/>
    <w:rsid w:val="00277DEA"/>
    <w:rsid w:val="002A2969"/>
    <w:rsid w:val="002C40D1"/>
    <w:rsid w:val="002E76AA"/>
    <w:rsid w:val="002F38FE"/>
    <w:rsid w:val="00313EF1"/>
    <w:rsid w:val="00332C02"/>
    <w:rsid w:val="00336837"/>
    <w:rsid w:val="00370095"/>
    <w:rsid w:val="0037519A"/>
    <w:rsid w:val="003776B6"/>
    <w:rsid w:val="003A3D22"/>
    <w:rsid w:val="003C11CB"/>
    <w:rsid w:val="003D00F9"/>
    <w:rsid w:val="003E18D3"/>
    <w:rsid w:val="003E616C"/>
    <w:rsid w:val="004108BC"/>
    <w:rsid w:val="00410ABB"/>
    <w:rsid w:val="00411EFB"/>
    <w:rsid w:val="00430081"/>
    <w:rsid w:val="0045352B"/>
    <w:rsid w:val="004806E1"/>
    <w:rsid w:val="004943F2"/>
    <w:rsid w:val="004D7A32"/>
    <w:rsid w:val="004F10A4"/>
    <w:rsid w:val="004F5FF3"/>
    <w:rsid w:val="00523372"/>
    <w:rsid w:val="00544FBB"/>
    <w:rsid w:val="00555AF7"/>
    <w:rsid w:val="00587AEB"/>
    <w:rsid w:val="005D26BD"/>
    <w:rsid w:val="005F02AC"/>
    <w:rsid w:val="005F4D1F"/>
    <w:rsid w:val="006008C2"/>
    <w:rsid w:val="00600A1A"/>
    <w:rsid w:val="00613B3B"/>
    <w:rsid w:val="00635236"/>
    <w:rsid w:val="00640C59"/>
    <w:rsid w:val="006412B4"/>
    <w:rsid w:val="00643128"/>
    <w:rsid w:val="006B2CC6"/>
    <w:rsid w:val="006E2124"/>
    <w:rsid w:val="006E24A2"/>
    <w:rsid w:val="006F1EB8"/>
    <w:rsid w:val="00762DC1"/>
    <w:rsid w:val="007701C5"/>
    <w:rsid w:val="0077045D"/>
    <w:rsid w:val="007E581B"/>
    <w:rsid w:val="008052CD"/>
    <w:rsid w:val="008057AF"/>
    <w:rsid w:val="00806B50"/>
    <w:rsid w:val="00806DEB"/>
    <w:rsid w:val="008706BB"/>
    <w:rsid w:val="008801B2"/>
    <w:rsid w:val="008B45BE"/>
    <w:rsid w:val="008B6AF2"/>
    <w:rsid w:val="008C044F"/>
    <w:rsid w:val="008C7B90"/>
    <w:rsid w:val="008E0BFB"/>
    <w:rsid w:val="008F24D9"/>
    <w:rsid w:val="009148C9"/>
    <w:rsid w:val="00916805"/>
    <w:rsid w:val="0093540E"/>
    <w:rsid w:val="009430F7"/>
    <w:rsid w:val="009548E3"/>
    <w:rsid w:val="009D69A7"/>
    <w:rsid w:val="009E2CB7"/>
    <w:rsid w:val="009F052A"/>
    <w:rsid w:val="009F2331"/>
    <w:rsid w:val="00A109CD"/>
    <w:rsid w:val="00A364A9"/>
    <w:rsid w:val="00A74A67"/>
    <w:rsid w:val="00A92252"/>
    <w:rsid w:val="00A95FC8"/>
    <w:rsid w:val="00AA6310"/>
    <w:rsid w:val="00B21B8E"/>
    <w:rsid w:val="00B3371B"/>
    <w:rsid w:val="00B5033A"/>
    <w:rsid w:val="00B86725"/>
    <w:rsid w:val="00BB5EA4"/>
    <w:rsid w:val="00BC093E"/>
    <w:rsid w:val="00C04D5A"/>
    <w:rsid w:val="00C522F7"/>
    <w:rsid w:val="00C56491"/>
    <w:rsid w:val="00C77D9B"/>
    <w:rsid w:val="00C959B4"/>
    <w:rsid w:val="00CA283F"/>
    <w:rsid w:val="00CB14DC"/>
    <w:rsid w:val="00CC06A5"/>
    <w:rsid w:val="00CD2E86"/>
    <w:rsid w:val="00CD6B6D"/>
    <w:rsid w:val="00CF2E1F"/>
    <w:rsid w:val="00CF524A"/>
    <w:rsid w:val="00CF5B3F"/>
    <w:rsid w:val="00D05A15"/>
    <w:rsid w:val="00D07052"/>
    <w:rsid w:val="00D2599B"/>
    <w:rsid w:val="00D27C1C"/>
    <w:rsid w:val="00D32138"/>
    <w:rsid w:val="00D50ADE"/>
    <w:rsid w:val="00D50E64"/>
    <w:rsid w:val="00D67520"/>
    <w:rsid w:val="00D74DB0"/>
    <w:rsid w:val="00D75D04"/>
    <w:rsid w:val="00D862EF"/>
    <w:rsid w:val="00DD408F"/>
    <w:rsid w:val="00DE23F0"/>
    <w:rsid w:val="00E13C49"/>
    <w:rsid w:val="00E3458D"/>
    <w:rsid w:val="00EB6A15"/>
    <w:rsid w:val="00EC6F26"/>
    <w:rsid w:val="00EC6F84"/>
    <w:rsid w:val="00EC7414"/>
    <w:rsid w:val="00EE5A0A"/>
    <w:rsid w:val="00EE7AEC"/>
    <w:rsid w:val="00F10FD4"/>
    <w:rsid w:val="00F12999"/>
    <w:rsid w:val="00F16AA1"/>
    <w:rsid w:val="00F407A6"/>
    <w:rsid w:val="00F738CB"/>
    <w:rsid w:val="00F82A9A"/>
    <w:rsid w:val="00F83340"/>
    <w:rsid w:val="00FB2776"/>
    <w:rsid w:val="00FD0DE5"/>
    <w:rsid w:val="00FE4E55"/>
    <w:rsid w:val="00FF64C5"/>
    <w:rsid w:val="010C450B"/>
    <w:rsid w:val="023C4E17"/>
    <w:rsid w:val="02860CE1"/>
    <w:rsid w:val="028D0613"/>
    <w:rsid w:val="02A06DF6"/>
    <w:rsid w:val="02AD40CA"/>
    <w:rsid w:val="03311B51"/>
    <w:rsid w:val="035607B0"/>
    <w:rsid w:val="035A0B08"/>
    <w:rsid w:val="03BE185C"/>
    <w:rsid w:val="03DD3435"/>
    <w:rsid w:val="04880F3B"/>
    <w:rsid w:val="049251C3"/>
    <w:rsid w:val="04BB1052"/>
    <w:rsid w:val="05080FE1"/>
    <w:rsid w:val="052E2468"/>
    <w:rsid w:val="058F191A"/>
    <w:rsid w:val="0591547A"/>
    <w:rsid w:val="064047AA"/>
    <w:rsid w:val="07023E8A"/>
    <w:rsid w:val="073060B3"/>
    <w:rsid w:val="073F34F8"/>
    <w:rsid w:val="07FD79C9"/>
    <w:rsid w:val="084F5179"/>
    <w:rsid w:val="08891FDF"/>
    <w:rsid w:val="08EE1782"/>
    <w:rsid w:val="090619B4"/>
    <w:rsid w:val="090B57DF"/>
    <w:rsid w:val="094625ED"/>
    <w:rsid w:val="098A2126"/>
    <w:rsid w:val="098C0FAE"/>
    <w:rsid w:val="0A1370D9"/>
    <w:rsid w:val="0A426CE3"/>
    <w:rsid w:val="0A783487"/>
    <w:rsid w:val="0A920A74"/>
    <w:rsid w:val="0B1A05CF"/>
    <w:rsid w:val="0B3B4932"/>
    <w:rsid w:val="0B8A5AE2"/>
    <w:rsid w:val="0BB27EF8"/>
    <w:rsid w:val="0C30371E"/>
    <w:rsid w:val="0C47209B"/>
    <w:rsid w:val="0CDE4AF1"/>
    <w:rsid w:val="0CEC2F96"/>
    <w:rsid w:val="0D2F7233"/>
    <w:rsid w:val="0DB0649C"/>
    <w:rsid w:val="0E2234E7"/>
    <w:rsid w:val="0E832759"/>
    <w:rsid w:val="0ECF7747"/>
    <w:rsid w:val="0F9D46EF"/>
    <w:rsid w:val="1034712E"/>
    <w:rsid w:val="124026B6"/>
    <w:rsid w:val="128B0826"/>
    <w:rsid w:val="12C329EB"/>
    <w:rsid w:val="137A735A"/>
    <w:rsid w:val="13B24508"/>
    <w:rsid w:val="13E54BBD"/>
    <w:rsid w:val="149D101A"/>
    <w:rsid w:val="152F63E2"/>
    <w:rsid w:val="158272E5"/>
    <w:rsid w:val="15D60886"/>
    <w:rsid w:val="16A220B2"/>
    <w:rsid w:val="16AB249D"/>
    <w:rsid w:val="16E538DC"/>
    <w:rsid w:val="17153410"/>
    <w:rsid w:val="17F802E5"/>
    <w:rsid w:val="19475149"/>
    <w:rsid w:val="19FB0CBC"/>
    <w:rsid w:val="1A1E40F3"/>
    <w:rsid w:val="1AF847D0"/>
    <w:rsid w:val="1BE85EDE"/>
    <w:rsid w:val="1C136BB6"/>
    <w:rsid w:val="1C4B5EA8"/>
    <w:rsid w:val="1DD50EE3"/>
    <w:rsid w:val="1E1554ED"/>
    <w:rsid w:val="1E66223E"/>
    <w:rsid w:val="1EC61154"/>
    <w:rsid w:val="1EED050B"/>
    <w:rsid w:val="207B6E01"/>
    <w:rsid w:val="211B1C44"/>
    <w:rsid w:val="21F200C1"/>
    <w:rsid w:val="22124523"/>
    <w:rsid w:val="224A075F"/>
    <w:rsid w:val="22E66E8E"/>
    <w:rsid w:val="23816BA4"/>
    <w:rsid w:val="23B802A0"/>
    <w:rsid w:val="23DF30CA"/>
    <w:rsid w:val="25073DF8"/>
    <w:rsid w:val="25E4098B"/>
    <w:rsid w:val="26252182"/>
    <w:rsid w:val="265122FF"/>
    <w:rsid w:val="265E174C"/>
    <w:rsid w:val="2686038F"/>
    <w:rsid w:val="26EF5515"/>
    <w:rsid w:val="27AA5AD0"/>
    <w:rsid w:val="281178FD"/>
    <w:rsid w:val="287B03F4"/>
    <w:rsid w:val="28C72B2B"/>
    <w:rsid w:val="29E75E0C"/>
    <w:rsid w:val="29F23E8A"/>
    <w:rsid w:val="2A241E9E"/>
    <w:rsid w:val="2A552F76"/>
    <w:rsid w:val="2B367DA6"/>
    <w:rsid w:val="2C7D3C0D"/>
    <w:rsid w:val="2C874AAF"/>
    <w:rsid w:val="2C8E66A6"/>
    <w:rsid w:val="2CAA4AF5"/>
    <w:rsid w:val="2CAF5168"/>
    <w:rsid w:val="2CBB47F9"/>
    <w:rsid w:val="2D0A7F39"/>
    <w:rsid w:val="2D4A1910"/>
    <w:rsid w:val="2DFF7667"/>
    <w:rsid w:val="2EB45BB2"/>
    <w:rsid w:val="2EE0388D"/>
    <w:rsid w:val="2EE45BBD"/>
    <w:rsid w:val="2EFD1D1D"/>
    <w:rsid w:val="2F3A186E"/>
    <w:rsid w:val="2FE563D7"/>
    <w:rsid w:val="30185CCC"/>
    <w:rsid w:val="31FB42D0"/>
    <w:rsid w:val="322C3CB1"/>
    <w:rsid w:val="32852601"/>
    <w:rsid w:val="32D3700E"/>
    <w:rsid w:val="32F07192"/>
    <w:rsid w:val="332433C5"/>
    <w:rsid w:val="3376156C"/>
    <w:rsid w:val="33DB598F"/>
    <w:rsid w:val="348E387D"/>
    <w:rsid w:val="35A46FAE"/>
    <w:rsid w:val="35C6441D"/>
    <w:rsid w:val="36C51A8B"/>
    <w:rsid w:val="37026723"/>
    <w:rsid w:val="37526B7E"/>
    <w:rsid w:val="376B26FD"/>
    <w:rsid w:val="385F78F9"/>
    <w:rsid w:val="38D96215"/>
    <w:rsid w:val="398960D8"/>
    <w:rsid w:val="39E8421F"/>
    <w:rsid w:val="3A066436"/>
    <w:rsid w:val="3A1C285D"/>
    <w:rsid w:val="3A2516BB"/>
    <w:rsid w:val="3A5E6F6F"/>
    <w:rsid w:val="3B3C635C"/>
    <w:rsid w:val="3CCB04A6"/>
    <w:rsid w:val="3CD37326"/>
    <w:rsid w:val="3E7850FA"/>
    <w:rsid w:val="3EED354E"/>
    <w:rsid w:val="3F1410DB"/>
    <w:rsid w:val="3F173AB4"/>
    <w:rsid w:val="3F4D34B9"/>
    <w:rsid w:val="3F7A539C"/>
    <w:rsid w:val="3FB112F9"/>
    <w:rsid w:val="3FB5783A"/>
    <w:rsid w:val="4004001B"/>
    <w:rsid w:val="408338D7"/>
    <w:rsid w:val="411B4DE1"/>
    <w:rsid w:val="41510996"/>
    <w:rsid w:val="42147451"/>
    <w:rsid w:val="428E1E1E"/>
    <w:rsid w:val="43727992"/>
    <w:rsid w:val="43881670"/>
    <w:rsid w:val="438D20D6"/>
    <w:rsid w:val="43E563C8"/>
    <w:rsid w:val="43E82525"/>
    <w:rsid w:val="44592EA6"/>
    <w:rsid w:val="44A8055A"/>
    <w:rsid w:val="44F7334E"/>
    <w:rsid w:val="45303661"/>
    <w:rsid w:val="45AF30FD"/>
    <w:rsid w:val="45B95DC5"/>
    <w:rsid w:val="45C857C3"/>
    <w:rsid w:val="46420BB9"/>
    <w:rsid w:val="465B3014"/>
    <w:rsid w:val="472F5293"/>
    <w:rsid w:val="473A07C7"/>
    <w:rsid w:val="47DB0FE0"/>
    <w:rsid w:val="47DB3D58"/>
    <w:rsid w:val="47EB386F"/>
    <w:rsid w:val="485A4022"/>
    <w:rsid w:val="48986B3F"/>
    <w:rsid w:val="492E7EB7"/>
    <w:rsid w:val="494476DB"/>
    <w:rsid w:val="49B66251"/>
    <w:rsid w:val="4A125037"/>
    <w:rsid w:val="4A965D14"/>
    <w:rsid w:val="4AB455FC"/>
    <w:rsid w:val="4B4C6831"/>
    <w:rsid w:val="4BAF24FB"/>
    <w:rsid w:val="4BB93099"/>
    <w:rsid w:val="4CA21C4A"/>
    <w:rsid w:val="4E87606B"/>
    <w:rsid w:val="4ED1777D"/>
    <w:rsid w:val="4F443F90"/>
    <w:rsid w:val="4F627A2B"/>
    <w:rsid w:val="4F8A1859"/>
    <w:rsid w:val="4FC95B04"/>
    <w:rsid w:val="4FCD4721"/>
    <w:rsid w:val="502D24E4"/>
    <w:rsid w:val="504773D5"/>
    <w:rsid w:val="50EC70D4"/>
    <w:rsid w:val="511E5BAD"/>
    <w:rsid w:val="513918A9"/>
    <w:rsid w:val="517F3DD4"/>
    <w:rsid w:val="51A742B0"/>
    <w:rsid w:val="51BC2AE8"/>
    <w:rsid w:val="51F619A5"/>
    <w:rsid w:val="52244348"/>
    <w:rsid w:val="52CE5689"/>
    <w:rsid w:val="558A3D0F"/>
    <w:rsid w:val="559A68B9"/>
    <w:rsid w:val="569E5C28"/>
    <w:rsid w:val="56B17EF3"/>
    <w:rsid w:val="57313D11"/>
    <w:rsid w:val="578D69F6"/>
    <w:rsid w:val="58311B26"/>
    <w:rsid w:val="59254E33"/>
    <w:rsid w:val="597E4543"/>
    <w:rsid w:val="599A4762"/>
    <w:rsid w:val="59B94A33"/>
    <w:rsid w:val="59C42C57"/>
    <w:rsid w:val="5A45619F"/>
    <w:rsid w:val="5AA951D5"/>
    <w:rsid w:val="5AFB2C32"/>
    <w:rsid w:val="5AFC7B78"/>
    <w:rsid w:val="5B2F036B"/>
    <w:rsid w:val="5B5877E2"/>
    <w:rsid w:val="5BA9771F"/>
    <w:rsid w:val="5BAC7A1D"/>
    <w:rsid w:val="5BAE0EF6"/>
    <w:rsid w:val="5BE3458F"/>
    <w:rsid w:val="5C7B1A0A"/>
    <w:rsid w:val="5CAF3149"/>
    <w:rsid w:val="5DC22821"/>
    <w:rsid w:val="5DD0286D"/>
    <w:rsid w:val="5EA41270"/>
    <w:rsid w:val="5ED32B9B"/>
    <w:rsid w:val="5EEA0F2A"/>
    <w:rsid w:val="5F9D1CA2"/>
    <w:rsid w:val="5FC627A0"/>
    <w:rsid w:val="5FD300DB"/>
    <w:rsid w:val="5FE25B93"/>
    <w:rsid w:val="603F3AE9"/>
    <w:rsid w:val="604C0FCC"/>
    <w:rsid w:val="608C59E7"/>
    <w:rsid w:val="60B16A2C"/>
    <w:rsid w:val="60FD39DD"/>
    <w:rsid w:val="61051B53"/>
    <w:rsid w:val="61095D5D"/>
    <w:rsid w:val="612754C0"/>
    <w:rsid w:val="61284751"/>
    <w:rsid w:val="629F458E"/>
    <w:rsid w:val="64F222D0"/>
    <w:rsid w:val="655541D3"/>
    <w:rsid w:val="65594766"/>
    <w:rsid w:val="65AE22F3"/>
    <w:rsid w:val="65C12033"/>
    <w:rsid w:val="66465782"/>
    <w:rsid w:val="66AF6E4C"/>
    <w:rsid w:val="670A4733"/>
    <w:rsid w:val="672F3E8A"/>
    <w:rsid w:val="67DE5EA5"/>
    <w:rsid w:val="687C07E7"/>
    <w:rsid w:val="68B4049D"/>
    <w:rsid w:val="68E615DD"/>
    <w:rsid w:val="6907286A"/>
    <w:rsid w:val="6908397B"/>
    <w:rsid w:val="69153465"/>
    <w:rsid w:val="696A0640"/>
    <w:rsid w:val="697274F4"/>
    <w:rsid w:val="69821E2D"/>
    <w:rsid w:val="69855479"/>
    <w:rsid w:val="6A16299D"/>
    <w:rsid w:val="6A22501A"/>
    <w:rsid w:val="6CC00CAD"/>
    <w:rsid w:val="6D0B604A"/>
    <w:rsid w:val="6DAC05BE"/>
    <w:rsid w:val="6E2337BB"/>
    <w:rsid w:val="6E802F39"/>
    <w:rsid w:val="6EF17676"/>
    <w:rsid w:val="6F5F3A74"/>
    <w:rsid w:val="6F8373FF"/>
    <w:rsid w:val="6FDE7145"/>
    <w:rsid w:val="701268B7"/>
    <w:rsid w:val="7025059A"/>
    <w:rsid w:val="708446DD"/>
    <w:rsid w:val="713E6246"/>
    <w:rsid w:val="7181008E"/>
    <w:rsid w:val="71D05043"/>
    <w:rsid w:val="725809D6"/>
    <w:rsid w:val="73840989"/>
    <w:rsid w:val="73875405"/>
    <w:rsid w:val="73B74532"/>
    <w:rsid w:val="742E508B"/>
    <w:rsid w:val="744228E5"/>
    <w:rsid w:val="74425F26"/>
    <w:rsid w:val="74CC7CBB"/>
    <w:rsid w:val="75847F67"/>
    <w:rsid w:val="76D62696"/>
    <w:rsid w:val="76D96158"/>
    <w:rsid w:val="77185B7F"/>
    <w:rsid w:val="774E2667"/>
    <w:rsid w:val="77910BE3"/>
    <w:rsid w:val="78270463"/>
    <w:rsid w:val="78EA3B59"/>
    <w:rsid w:val="79652BD2"/>
    <w:rsid w:val="797A042B"/>
    <w:rsid w:val="7A141457"/>
    <w:rsid w:val="7AF01661"/>
    <w:rsid w:val="7B2726C7"/>
    <w:rsid w:val="7B360113"/>
    <w:rsid w:val="7C016BE2"/>
    <w:rsid w:val="7C8660BD"/>
    <w:rsid w:val="7C934347"/>
    <w:rsid w:val="7CA05978"/>
    <w:rsid w:val="7F09259F"/>
    <w:rsid w:val="7F2050E8"/>
    <w:rsid w:val="7F406D0D"/>
    <w:rsid w:val="7F894C06"/>
    <w:rsid w:val="7FBC5227"/>
    <w:rsid w:val="7FEE047D"/>
    <w:rsid w:val="CF67815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6">
    <w:name w:val="heading 1"/>
    <w:basedOn w:val="1"/>
    <w:next w:val="1"/>
    <w:link w:val="64"/>
    <w:qFormat/>
    <w:uiPriority w:val="99"/>
    <w:pPr>
      <w:keepNext/>
      <w:keepLines/>
      <w:spacing w:before="340" w:after="330" w:line="360" w:lineRule="auto"/>
      <w:jc w:val="center"/>
      <w:outlineLvl w:val="0"/>
    </w:pPr>
    <w:rPr>
      <w:rFonts w:eastAsia="仿宋"/>
      <w:b/>
      <w:bCs/>
      <w:kern w:val="44"/>
      <w:sz w:val="30"/>
      <w:szCs w:val="44"/>
    </w:rPr>
  </w:style>
  <w:style w:type="paragraph" w:styleId="7">
    <w:name w:val="heading 2"/>
    <w:basedOn w:val="1"/>
    <w:next w:val="1"/>
    <w:link w:val="65"/>
    <w:qFormat/>
    <w:uiPriority w:val="99"/>
    <w:pPr>
      <w:keepNext/>
      <w:keepLines/>
      <w:spacing w:before="260" w:after="260" w:line="416" w:lineRule="auto"/>
      <w:outlineLvl w:val="1"/>
    </w:pPr>
    <w:rPr>
      <w:rFonts w:ascii="Arial" w:hAnsi="Arial" w:eastAsia="黑体" w:cs="Arial"/>
      <w:b/>
      <w:bCs/>
      <w:sz w:val="32"/>
      <w:szCs w:val="32"/>
    </w:rPr>
  </w:style>
  <w:style w:type="paragraph" w:styleId="8">
    <w:name w:val="heading 3"/>
    <w:basedOn w:val="1"/>
    <w:next w:val="1"/>
    <w:link w:val="66"/>
    <w:qFormat/>
    <w:uiPriority w:val="99"/>
    <w:pPr>
      <w:keepNext/>
      <w:keepLines/>
      <w:spacing w:before="260" w:after="260" w:line="416" w:lineRule="auto"/>
      <w:outlineLvl w:val="2"/>
    </w:pPr>
    <w:rPr>
      <w:b/>
      <w:bCs/>
      <w:sz w:val="32"/>
      <w:szCs w:val="32"/>
    </w:rPr>
  </w:style>
  <w:style w:type="paragraph" w:styleId="9">
    <w:name w:val="heading 4"/>
    <w:basedOn w:val="1"/>
    <w:next w:val="1"/>
    <w:link w:val="67"/>
    <w:qFormat/>
    <w:uiPriority w:val="99"/>
    <w:pPr>
      <w:keepNext/>
      <w:keepLines/>
      <w:spacing w:before="280" w:after="290" w:line="372" w:lineRule="auto"/>
      <w:outlineLvl w:val="3"/>
    </w:pPr>
    <w:rPr>
      <w:rFonts w:ascii="Cambria" w:hAnsi="Cambria" w:cs="Cambria"/>
      <w:b/>
      <w:bCs/>
      <w:sz w:val="28"/>
      <w:szCs w:val="28"/>
    </w:rPr>
  </w:style>
  <w:style w:type="paragraph" w:styleId="10">
    <w:name w:val="heading 5"/>
    <w:basedOn w:val="1"/>
    <w:next w:val="1"/>
    <w:link w:val="68"/>
    <w:qFormat/>
    <w:uiPriority w:val="99"/>
    <w:pPr>
      <w:keepNext/>
      <w:keepLines/>
      <w:spacing w:before="280" w:after="290" w:line="372" w:lineRule="auto"/>
      <w:outlineLvl w:val="4"/>
    </w:pPr>
    <w:rPr>
      <w:rFonts w:ascii="Calibri" w:hAnsi="Calibri" w:cs="Calibri"/>
      <w:b/>
      <w:bCs/>
      <w:sz w:val="28"/>
      <w:szCs w:val="28"/>
    </w:rPr>
  </w:style>
  <w:style w:type="paragraph" w:styleId="11">
    <w:name w:val="heading 6"/>
    <w:basedOn w:val="1"/>
    <w:next w:val="1"/>
    <w:link w:val="69"/>
    <w:qFormat/>
    <w:uiPriority w:val="99"/>
    <w:pPr>
      <w:keepNext/>
      <w:keepLines/>
      <w:spacing w:before="240" w:after="64" w:line="317" w:lineRule="auto"/>
      <w:outlineLvl w:val="5"/>
    </w:pPr>
    <w:rPr>
      <w:rFonts w:ascii="Cambria" w:hAnsi="Cambria" w:cs="Cambria"/>
      <w:b/>
      <w:bCs/>
      <w:sz w:val="24"/>
      <w:szCs w:val="24"/>
    </w:rPr>
  </w:style>
  <w:style w:type="paragraph" w:styleId="12">
    <w:name w:val="heading 7"/>
    <w:basedOn w:val="1"/>
    <w:next w:val="1"/>
    <w:link w:val="70"/>
    <w:qFormat/>
    <w:uiPriority w:val="99"/>
    <w:pPr>
      <w:keepNext/>
      <w:keepLines/>
      <w:spacing w:before="240" w:after="64" w:line="317" w:lineRule="auto"/>
      <w:outlineLvl w:val="6"/>
    </w:pPr>
    <w:rPr>
      <w:rFonts w:ascii="Calibri" w:hAnsi="Calibri" w:cs="Calibri"/>
      <w:b/>
      <w:bCs/>
      <w:sz w:val="24"/>
      <w:szCs w:val="24"/>
    </w:rPr>
  </w:style>
  <w:style w:type="paragraph" w:styleId="13">
    <w:name w:val="heading 8"/>
    <w:basedOn w:val="1"/>
    <w:next w:val="1"/>
    <w:link w:val="71"/>
    <w:qFormat/>
    <w:uiPriority w:val="99"/>
    <w:pPr>
      <w:keepNext/>
      <w:keepLines/>
      <w:spacing w:before="240" w:after="64" w:line="317" w:lineRule="auto"/>
      <w:outlineLvl w:val="7"/>
    </w:pPr>
    <w:rPr>
      <w:rFonts w:ascii="Cambria" w:hAnsi="Cambria" w:cs="Cambria"/>
      <w:sz w:val="24"/>
      <w:szCs w:val="24"/>
    </w:rPr>
  </w:style>
  <w:style w:type="paragraph" w:styleId="14">
    <w:name w:val="heading 9"/>
    <w:basedOn w:val="1"/>
    <w:next w:val="1"/>
    <w:link w:val="72"/>
    <w:qFormat/>
    <w:uiPriority w:val="99"/>
    <w:pPr>
      <w:keepNext/>
      <w:keepLines/>
      <w:spacing w:before="240" w:after="64" w:line="317" w:lineRule="auto"/>
      <w:outlineLvl w:val="8"/>
    </w:pPr>
    <w:rPr>
      <w:rFonts w:ascii="Cambria" w:hAnsi="Cambria" w:cs="Cambria"/>
    </w:rPr>
  </w:style>
  <w:style w:type="character" w:default="1" w:styleId="47">
    <w:name w:val="Default Paragraph Font"/>
    <w:semiHidden/>
    <w:qFormat/>
    <w:uiPriority w:val="99"/>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90"/>
    <w:qFormat/>
    <w:uiPriority w:val="99"/>
    <w:pPr>
      <w:ind w:firstLine="420" w:firstLineChars="200"/>
    </w:pPr>
  </w:style>
  <w:style w:type="paragraph" w:styleId="3">
    <w:name w:val="Body Text Indent"/>
    <w:basedOn w:val="1"/>
    <w:next w:val="4"/>
    <w:link w:val="77"/>
    <w:qFormat/>
    <w:uiPriority w:val="99"/>
    <w:pPr>
      <w:spacing w:line="500" w:lineRule="exact"/>
      <w:ind w:firstLine="538"/>
    </w:pPr>
    <w:rPr>
      <w:sz w:val="28"/>
      <w:szCs w:val="28"/>
    </w:rPr>
  </w:style>
  <w:style w:type="paragraph" w:styleId="4">
    <w:name w:val="envelope return"/>
    <w:basedOn w:val="1"/>
    <w:next w:val="5"/>
    <w:qFormat/>
    <w:uiPriority w:val="99"/>
    <w:pPr>
      <w:snapToGrid w:val="0"/>
    </w:pPr>
    <w:rPr>
      <w:rFonts w:ascii="Arial" w:hAnsi="Arial"/>
    </w:rPr>
  </w:style>
  <w:style w:type="paragraph" w:styleId="5">
    <w:name w:val="toc 7"/>
    <w:basedOn w:val="1"/>
    <w:next w:val="1"/>
    <w:semiHidden/>
    <w:qFormat/>
    <w:uiPriority w:val="99"/>
    <w:pPr>
      <w:ind w:left="2520" w:leftChars="1200"/>
    </w:pPr>
    <w:rPr>
      <w:rFonts w:ascii="Calibri" w:hAnsi="Calibri" w:cs="Calibri"/>
    </w:rPr>
  </w:style>
  <w:style w:type="paragraph" w:styleId="15">
    <w:name w:val="Normal Indent"/>
    <w:basedOn w:val="1"/>
    <w:qFormat/>
    <w:uiPriority w:val="99"/>
    <w:pPr>
      <w:adjustRightInd w:val="0"/>
      <w:spacing w:line="360" w:lineRule="atLeast"/>
      <w:ind w:firstLine="482"/>
      <w:textAlignment w:val="baseline"/>
    </w:pPr>
    <w:rPr>
      <w:kern w:val="0"/>
      <w:sz w:val="24"/>
      <w:szCs w:val="24"/>
    </w:rPr>
  </w:style>
  <w:style w:type="paragraph" w:styleId="16">
    <w:name w:val="caption"/>
    <w:basedOn w:val="1"/>
    <w:next w:val="1"/>
    <w:qFormat/>
    <w:uiPriority w:val="99"/>
    <w:rPr>
      <w:rFonts w:ascii="Cambria" w:hAnsi="Cambria" w:eastAsia="黑体" w:cs="Cambria"/>
      <w:sz w:val="20"/>
      <w:szCs w:val="20"/>
    </w:rPr>
  </w:style>
  <w:style w:type="paragraph" w:styleId="17">
    <w:name w:val="Document Map"/>
    <w:basedOn w:val="1"/>
    <w:link w:val="73"/>
    <w:semiHidden/>
    <w:qFormat/>
    <w:uiPriority w:val="99"/>
    <w:pPr>
      <w:shd w:val="clear" w:color="auto" w:fill="000080"/>
    </w:pPr>
    <w:rPr>
      <w:kern w:val="0"/>
      <w:sz w:val="20"/>
      <w:szCs w:val="20"/>
      <w:shd w:val="clear" w:color="auto" w:fill="000080"/>
    </w:rPr>
  </w:style>
  <w:style w:type="paragraph" w:styleId="18">
    <w:name w:val="annotation text"/>
    <w:basedOn w:val="1"/>
    <w:link w:val="74"/>
    <w:semiHidden/>
    <w:qFormat/>
    <w:uiPriority w:val="99"/>
    <w:pPr>
      <w:jc w:val="left"/>
    </w:pPr>
  </w:style>
  <w:style w:type="paragraph" w:styleId="19">
    <w:name w:val="Body Text 3"/>
    <w:basedOn w:val="1"/>
    <w:link w:val="75"/>
    <w:qFormat/>
    <w:uiPriority w:val="99"/>
    <w:rPr>
      <w:rFonts w:ascii="宋体" w:cs="宋体"/>
      <w:sz w:val="24"/>
      <w:szCs w:val="24"/>
    </w:rPr>
  </w:style>
  <w:style w:type="paragraph" w:styleId="20">
    <w:name w:val="Body Text"/>
    <w:basedOn w:val="1"/>
    <w:link w:val="76"/>
    <w:qFormat/>
    <w:uiPriority w:val="99"/>
    <w:pPr>
      <w:jc w:val="center"/>
    </w:pPr>
    <w:rPr>
      <w:b/>
      <w:bCs/>
      <w:sz w:val="44"/>
      <w:szCs w:val="44"/>
    </w:rPr>
  </w:style>
  <w:style w:type="paragraph" w:styleId="21">
    <w:name w:val="Block Text"/>
    <w:basedOn w:val="1"/>
    <w:qFormat/>
    <w:uiPriority w:val="99"/>
    <w:pPr>
      <w:spacing w:line="400" w:lineRule="exact"/>
      <w:ind w:left="-359" w:leftChars="-171" w:right="31" w:rightChars="15" w:firstLine="980" w:firstLineChars="350"/>
    </w:pPr>
    <w:rPr>
      <w:rFonts w:ascii="宋体" w:hAnsi="宋体" w:cs="宋体"/>
      <w:sz w:val="28"/>
      <w:szCs w:val="28"/>
    </w:rPr>
  </w:style>
  <w:style w:type="paragraph" w:styleId="22">
    <w:name w:val="index 4"/>
    <w:basedOn w:val="1"/>
    <w:next w:val="1"/>
    <w:semiHidden/>
    <w:qFormat/>
    <w:uiPriority w:val="99"/>
    <w:pPr>
      <w:ind w:left="600" w:leftChars="600"/>
    </w:pPr>
  </w:style>
  <w:style w:type="paragraph" w:styleId="23">
    <w:name w:val="toc 5"/>
    <w:basedOn w:val="1"/>
    <w:next w:val="1"/>
    <w:semiHidden/>
    <w:qFormat/>
    <w:uiPriority w:val="99"/>
    <w:pPr>
      <w:tabs>
        <w:tab w:val="right" w:leader="dot" w:pos="8296"/>
      </w:tabs>
      <w:ind w:left="1050" w:leftChars="500"/>
    </w:pPr>
    <w:rPr>
      <w:rFonts w:ascii="Calibri" w:hAnsi="Calibri" w:cs="Calibri"/>
    </w:rPr>
  </w:style>
  <w:style w:type="paragraph" w:styleId="24">
    <w:name w:val="toc 3"/>
    <w:basedOn w:val="1"/>
    <w:next w:val="1"/>
    <w:semiHidden/>
    <w:qFormat/>
    <w:uiPriority w:val="99"/>
    <w:pPr>
      <w:ind w:left="840" w:leftChars="400"/>
    </w:pPr>
    <w:rPr>
      <w:rFonts w:ascii="Calibri" w:hAnsi="Calibri" w:cs="Calibri"/>
    </w:rPr>
  </w:style>
  <w:style w:type="paragraph" w:styleId="25">
    <w:name w:val="Plain Text"/>
    <w:basedOn w:val="1"/>
    <w:next w:val="1"/>
    <w:link w:val="78"/>
    <w:qFormat/>
    <w:uiPriority w:val="99"/>
    <w:rPr>
      <w:rFonts w:ascii="宋体" w:hAnsi="Courier New" w:cs="宋体"/>
    </w:rPr>
  </w:style>
  <w:style w:type="paragraph" w:styleId="26">
    <w:name w:val="toc 8"/>
    <w:basedOn w:val="1"/>
    <w:next w:val="1"/>
    <w:semiHidden/>
    <w:qFormat/>
    <w:uiPriority w:val="99"/>
    <w:pPr>
      <w:ind w:left="2940" w:leftChars="1400"/>
    </w:pPr>
    <w:rPr>
      <w:rFonts w:ascii="Calibri" w:hAnsi="Calibri" w:cs="Calibri"/>
    </w:rPr>
  </w:style>
  <w:style w:type="paragraph" w:styleId="27">
    <w:name w:val="Date"/>
    <w:basedOn w:val="1"/>
    <w:next w:val="1"/>
    <w:link w:val="79"/>
    <w:qFormat/>
    <w:uiPriority w:val="99"/>
    <w:rPr>
      <w:rFonts w:ascii="仿宋_GB2312" w:eastAsia="仿宋_GB2312" w:cs="仿宋_GB2312"/>
      <w:sz w:val="30"/>
      <w:szCs w:val="30"/>
    </w:rPr>
  </w:style>
  <w:style w:type="paragraph" w:styleId="28">
    <w:name w:val="Body Text Indent 2"/>
    <w:basedOn w:val="1"/>
    <w:link w:val="80"/>
    <w:qFormat/>
    <w:uiPriority w:val="99"/>
    <w:pPr>
      <w:spacing w:line="360" w:lineRule="exact"/>
      <w:ind w:firstLine="600" w:firstLineChars="250"/>
      <w:jc w:val="left"/>
    </w:pPr>
    <w:rPr>
      <w:sz w:val="24"/>
      <w:szCs w:val="24"/>
    </w:rPr>
  </w:style>
  <w:style w:type="paragraph" w:styleId="29">
    <w:name w:val="Balloon Text"/>
    <w:basedOn w:val="1"/>
    <w:link w:val="81"/>
    <w:semiHidden/>
    <w:qFormat/>
    <w:uiPriority w:val="99"/>
    <w:rPr>
      <w:sz w:val="18"/>
      <w:szCs w:val="18"/>
    </w:rPr>
  </w:style>
  <w:style w:type="paragraph" w:styleId="30">
    <w:name w:val="footer"/>
    <w:basedOn w:val="1"/>
    <w:link w:val="82"/>
    <w:qFormat/>
    <w:uiPriority w:val="99"/>
    <w:pPr>
      <w:tabs>
        <w:tab w:val="center" w:pos="4153"/>
        <w:tab w:val="right" w:pos="8306"/>
      </w:tabs>
      <w:snapToGrid w:val="0"/>
      <w:jc w:val="left"/>
    </w:pPr>
    <w:rPr>
      <w:sz w:val="18"/>
      <w:szCs w:val="18"/>
    </w:rPr>
  </w:style>
  <w:style w:type="paragraph" w:styleId="31">
    <w:name w:val="header"/>
    <w:basedOn w:val="1"/>
    <w:link w:val="83"/>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semiHidden/>
    <w:qFormat/>
    <w:uiPriority w:val="99"/>
    <w:pPr>
      <w:tabs>
        <w:tab w:val="right" w:leader="dot" w:pos="8296"/>
      </w:tabs>
    </w:pPr>
    <w:rPr>
      <w:rFonts w:ascii="宋体" w:eastAsia="楷体_GB2312" w:cs="宋体"/>
      <w:b/>
      <w:bCs/>
      <w:kern w:val="0"/>
      <w:sz w:val="28"/>
      <w:szCs w:val="28"/>
    </w:rPr>
  </w:style>
  <w:style w:type="paragraph" w:styleId="33">
    <w:name w:val="toc 4"/>
    <w:basedOn w:val="1"/>
    <w:next w:val="1"/>
    <w:semiHidden/>
    <w:qFormat/>
    <w:uiPriority w:val="99"/>
    <w:pPr>
      <w:tabs>
        <w:tab w:val="left" w:pos="1890"/>
        <w:tab w:val="right" w:leader="dot" w:pos="8296"/>
      </w:tabs>
      <w:ind w:left="630" w:leftChars="300"/>
    </w:pPr>
    <w:rPr>
      <w:rFonts w:ascii="Calibri" w:hAnsi="Calibri" w:cs="Calibri"/>
    </w:rPr>
  </w:style>
  <w:style w:type="paragraph" w:styleId="34">
    <w:name w:val="Subtitle"/>
    <w:basedOn w:val="1"/>
    <w:next w:val="1"/>
    <w:link w:val="84"/>
    <w:qFormat/>
    <w:uiPriority w:val="99"/>
    <w:pPr>
      <w:spacing w:before="240" w:after="60" w:line="312" w:lineRule="auto"/>
      <w:jc w:val="center"/>
      <w:outlineLvl w:val="1"/>
    </w:pPr>
    <w:rPr>
      <w:rFonts w:ascii="Cambria" w:hAnsi="Cambria" w:cs="Cambria"/>
      <w:b/>
      <w:bCs/>
      <w:kern w:val="28"/>
      <w:sz w:val="32"/>
      <w:szCs w:val="32"/>
    </w:rPr>
  </w:style>
  <w:style w:type="paragraph" w:styleId="35">
    <w:name w:val="footnote text"/>
    <w:basedOn w:val="1"/>
    <w:link w:val="85"/>
    <w:semiHidden/>
    <w:qFormat/>
    <w:uiPriority w:val="99"/>
    <w:rPr>
      <w:sz w:val="20"/>
      <w:szCs w:val="20"/>
    </w:rPr>
  </w:style>
  <w:style w:type="paragraph" w:styleId="36">
    <w:name w:val="toc 6"/>
    <w:basedOn w:val="1"/>
    <w:next w:val="1"/>
    <w:semiHidden/>
    <w:qFormat/>
    <w:uiPriority w:val="99"/>
    <w:pPr>
      <w:ind w:left="2100" w:leftChars="1000"/>
    </w:pPr>
    <w:rPr>
      <w:rFonts w:ascii="Calibri" w:hAnsi="Calibri" w:cs="Calibri"/>
    </w:rPr>
  </w:style>
  <w:style w:type="paragraph" w:styleId="37">
    <w:name w:val="Body Text Indent 3"/>
    <w:basedOn w:val="1"/>
    <w:link w:val="86"/>
    <w:qFormat/>
    <w:uiPriority w:val="99"/>
    <w:pPr>
      <w:spacing w:after="120"/>
      <w:ind w:left="420" w:leftChars="200"/>
    </w:pPr>
    <w:rPr>
      <w:sz w:val="16"/>
      <w:szCs w:val="16"/>
    </w:rPr>
  </w:style>
  <w:style w:type="paragraph" w:styleId="38">
    <w:name w:val="table of figures"/>
    <w:basedOn w:val="1"/>
    <w:next w:val="1"/>
    <w:semiHidden/>
    <w:qFormat/>
    <w:uiPriority w:val="99"/>
    <w:pPr>
      <w:ind w:left="200" w:leftChars="200" w:hanging="200" w:hangingChars="200"/>
    </w:pPr>
  </w:style>
  <w:style w:type="paragraph" w:styleId="39">
    <w:name w:val="toc 2"/>
    <w:basedOn w:val="1"/>
    <w:next w:val="1"/>
    <w:semiHidden/>
    <w:qFormat/>
    <w:uiPriority w:val="99"/>
    <w:pPr>
      <w:ind w:left="420" w:leftChars="200"/>
    </w:pPr>
    <w:rPr>
      <w:rFonts w:ascii="宋体" w:cs="宋体"/>
      <w:b/>
      <w:bCs/>
      <w:sz w:val="28"/>
      <w:szCs w:val="28"/>
    </w:rPr>
  </w:style>
  <w:style w:type="paragraph" w:styleId="40">
    <w:name w:val="toc 9"/>
    <w:basedOn w:val="1"/>
    <w:next w:val="1"/>
    <w:semiHidden/>
    <w:qFormat/>
    <w:uiPriority w:val="99"/>
    <w:pPr>
      <w:ind w:left="3360" w:leftChars="1600"/>
    </w:pPr>
    <w:rPr>
      <w:rFonts w:ascii="Calibri" w:hAnsi="Calibri" w:cs="Calibri"/>
    </w:rPr>
  </w:style>
  <w:style w:type="paragraph" w:styleId="41">
    <w:name w:val="Body Text 2"/>
    <w:basedOn w:val="1"/>
    <w:link w:val="87"/>
    <w:qFormat/>
    <w:uiPriority w:val="99"/>
    <w:pPr>
      <w:spacing w:line="440" w:lineRule="exact"/>
    </w:pPr>
    <w:rPr>
      <w:sz w:val="28"/>
      <w:szCs w:val="28"/>
    </w:rPr>
  </w:style>
  <w:style w:type="paragraph" w:styleId="42">
    <w:name w:val="Normal (Web)"/>
    <w:basedOn w:val="1"/>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3">
    <w:name w:val="Title"/>
    <w:basedOn w:val="1"/>
    <w:next w:val="1"/>
    <w:link w:val="88"/>
    <w:qFormat/>
    <w:uiPriority w:val="99"/>
    <w:pPr>
      <w:spacing w:before="240" w:after="60"/>
      <w:jc w:val="center"/>
      <w:outlineLvl w:val="0"/>
    </w:pPr>
    <w:rPr>
      <w:rFonts w:ascii="Cambria" w:hAnsi="Cambria" w:cs="Cambria"/>
      <w:b/>
      <w:bCs/>
      <w:sz w:val="32"/>
      <w:szCs w:val="32"/>
    </w:rPr>
  </w:style>
  <w:style w:type="paragraph" w:styleId="44">
    <w:name w:val="annotation subject"/>
    <w:basedOn w:val="18"/>
    <w:next w:val="18"/>
    <w:link w:val="89"/>
    <w:semiHidden/>
    <w:qFormat/>
    <w:uiPriority w:val="99"/>
    <w:rPr>
      <w:rFonts w:ascii="宋体" w:cs="宋体"/>
      <w:b/>
      <w:bCs/>
      <w:kern w:val="0"/>
      <w:sz w:val="28"/>
      <w:szCs w:val="28"/>
    </w:rPr>
  </w:style>
  <w:style w:type="table" w:styleId="46">
    <w:name w:val="Table Grid"/>
    <w:basedOn w:val="4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99"/>
    <w:rPr>
      <w:rFonts w:cs="Times New Roman"/>
      <w:b/>
      <w:bCs/>
    </w:rPr>
  </w:style>
  <w:style w:type="character" w:styleId="49">
    <w:name w:val="page number"/>
    <w:basedOn w:val="47"/>
    <w:qFormat/>
    <w:uiPriority w:val="99"/>
    <w:rPr>
      <w:rFonts w:cs="Times New Roman"/>
    </w:rPr>
  </w:style>
  <w:style w:type="character" w:styleId="50">
    <w:name w:val="FollowedHyperlink"/>
    <w:basedOn w:val="47"/>
    <w:qFormat/>
    <w:uiPriority w:val="99"/>
    <w:rPr>
      <w:rFonts w:cs="Times New Roman"/>
      <w:color w:val="333333"/>
      <w:u w:val="none"/>
    </w:rPr>
  </w:style>
  <w:style w:type="character" w:styleId="51">
    <w:name w:val="Emphasis"/>
    <w:basedOn w:val="47"/>
    <w:qFormat/>
    <w:uiPriority w:val="99"/>
    <w:rPr>
      <w:rFonts w:cs="Times New Roman"/>
      <w:color w:val="auto"/>
    </w:rPr>
  </w:style>
  <w:style w:type="character" w:styleId="52">
    <w:name w:val="HTML Definition"/>
    <w:basedOn w:val="47"/>
    <w:qFormat/>
    <w:uiPriority w:val="99"/>
    <w:rPr>
      <w:rFonts w:cs="Times New Roman"/>
    </w:rPr>
  </w:style>
  <w:style w:type="character" w:styleId="53">
    <w:name w:val="HTML Typewriter"/>
    <w:basedOn w:val="47"/>
    <w:qFormat/>
    <w:uiPriority w:val="99"/>
    <w:rPr>
      <w:rFonts w:ascii="monospace" w:hAnsi="monospace" w:cs="monospace"/>
      <w:sz w:val="20"/>
    </w:rPr>
  </w:style>
  <w:style w:type="character" w:styleId="54">
    <w:name w:val="HTML Acronym"/>
    <w:basedOn w:val="47"/>
    <w:qFormat/>
    <w:uiPriority w:val="99"/>
    <w:rPr>
      <w:rFonts w:cs="Times New Roman"/>
    </w:rPr>
  </w:style>
  <w:style w:type="character" w:styleId="55">
    <w:name w:val="HTML Variable"/>
    <w:basedOn w:val="47"/>
    <w:qFormat/>
    <w:uiPriority w:val="99"/>
    <w:rPr>
      <w:rFonts w:cs="Times New Roman"/>
    </w:rPr>
  </w:style>
  <w:style w:type="character" w:styleId="56">
    <w:name w:val="Hyperlink"/>
    <w:basedOn w:val="47"/>
    <w:qFormat/>
    <w:uiPriority w:val="99"/>
    <w:rPr>
      <w:rFonts w:cs="Times New Roman"/>
      <w:color w:val="333333"/>
      <w:u w:val="none"/>
    </w:rPr>
  </w:style>
  <w:style w:type="character" w:styleId="57">
    <w:name w:val="HTML Code"/>
    <w:basedOn w:val="47"/>
    <w:qFormat/>
    <w:uiPriority w:val="99"/>
    <w:rPr>
      <w:rFonts w:ascii="monospace" w:hAnsi="monospace" w:cs="monospace"/>
      <w:sz w:val="20"/>
    </w:rPr>
  </w:style>
  <w:style w:type="character" w:styleId="58">
    <w:name w:val="annotation reference"/>
    <w:basedOn w:val="47"/>
    <w:semiHidden/>
    <w:qFormat/>
    <w:uiPriority w:val="99"/>
    <w:rPr>
      <w:rFonts w:cs="Times New Roman"/>
      <w:sz w:val="21"/>
      <w:szCs w:val="21"/>
    </w:rPr>
  </w:style>
  <w:style w:type="character" w:styleId="59">
    <w:name w:val="HTML Cite"/>
    <w:basedOn w:val="47"/>
    <w:qFormat/>
    <w:uiPriority w:val="99"/>
    <w:rPr>
      <w:rFonts w:cs="Times New Roman"/>
    </w:rPr>
  </w:style>
  <w:style w:type="character" w:styleId="60">
    <w:name w:val="footnote reference"/>
    <w:basedOn w:val="47"/>
    <w:semiHidden/>
    <w:qFormat/>
    <w:uiPriority w:val="99"/>
    <w:rPr>
      <w:rFonts w:cs="Times New Roman"/>
      <w:vertAlign w:val="superscript"/>
    </w:rPr>
  </w:style>
  <w:style w:type="character" w:styleId="61">
    <w:name w:val="HTML Keyboard"/>
    <w:basedOn w:val="47"/>
    <w:qFormat/>
    <w:uiPriority w:val="99"/>
    <w:rPr>
      <w:rFonts w:ascii="monospace" w:hAnsi="monospace" w:cs="monospace"/>
      <w:sz w:val="20"/>
    </w:rPr>
  </w:style>
  <w:style w:type="character" w:styleId="62">
    <w:name w:val="HTML Sample"/>
    <w:basedOn w:val="47"/>
    <w:qFormat/>
    <w:uiPriority w:val="99"/>
    <w:rPr>
      <w:rFonts w:ascii="monospace" w:hAnsi="monospace" w:cs="monospace"/>
    </w:rPr>
  </w:style>
  <w:style w:type="paragraph" w:customStyle="1" w:styleId="6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64">
    <w:name w:val="Heading 1 Char"/>
    <w:basedOn w:val="47"/>
    <w:link w:val="6"/>
    <w:qFormat/>
    <w:locked/>
    <w:uiPriority w:val="99"/>
    <w:rPr>
      <w:rFonts w:ascii="Times New Roman" w:hAnsi="Times New Roman" w:eastAsia="仿宋" w:cs="Times New Roman"/>
      <w:b/>
      <w:bCs/>
      <w:kern w:val="44"/>
      <w:sz w:val="44"/>
      <w:szCs w:val="44"/>
      <w:lang w:val="en-US" w:eastAsia="zh-CN"/>
    </w:rPr>
  </w:style>
  <w:style w:type="character" w:customStyle="1" w:styleId="65">
    <w:name w:val="Heading 2 Char"/>
    <w:basedOn w:val="47"/>
    <w:link w:val="7"/>
    <w:qFormat/>
    <w:locked/>
    <w:uiPriority w:val="99"/>
    <w:rPr>
      <w:rFonts w:ascii="Arial" w:hAnsi="Arial" w:eastAsia="黑体" w:cs="Arial"/>
      <w:b/>
      <w:bCs/>
      <w:kern w:val="2"/>
      <w:sz w:val="32"/>
      <w:szCs w:val="32"/>
      <w:lang w:val="en-US" w:eastAsia="zh-CN"/>
    </w:rPr>
  </w:style>
  <w:style w:type="character" w:customStyle="1" w:styleId="66">
    <w:name w:val="Heading 3 Char"/>
    <w:basedOn w:val="47"/>
    <w:link w:val="8"/>
    <w:qFormat/>
    <w:locked/>
    <w:uiPriority w:val="99"/>
    <w:rPr>
      <w:rFonts w:eastAsia="宋体" w:cs="Times New Roman"/>
      <w:b/>
      <w:bCs/>
      <w:kern w:val="2"/>
      <w:sz w:val="32"/>
      <w:szCs w:val="32"/>
      <w:lang w:val="en-US" w:eastAsia="zh-CN"/>
    </w:rPr>
  </w:style>
  <w:style w:type="character" w:customStyle="1" w:styleId="67">
    <w:name w:val="Heading 4 Char"/>
    <w:basedOn w:val="47"/>
    <w:link w:val="9"/>
    <w:qFormat/>
    <w:locked/>
    <w:uiPriority w:val="99"/>
    <w:rPr>
      <w:rFonts w:ascii="Cambria" w:hAnsi="Cambria" w:eastAsia="宋体" w:cs="Cambria"/>
      <w:b/>
      <w:bCs/>
      <w:kern w:val="2"/>
      <w:sz w:val="28"/>
      <w:szCs w:val="28"/>
      <w:lang w:val="en-US" w:eastAsia="zh-CN"/>
    </w:rPr>
  </w:style>
  <w:style w:type="character" w:customStyle="1" w:styleId="68">
    <w:name w:val="Heading 5 Char"/>
    <w:basedOn w:val="47"/>
    <w:link w:val="10"/>
    <w:qFormat/>
    <w:locked/>
    <w:uiPriority w:val="99"/>
    <w:rPr>
      <w:rFonts w:ascii="Calibri" w:hAnsi="Calibri" w:eastAsia="宋体" w:cs="Calibri"/>
      <w:b/>
      <w:bCs/>
      <w:kern w:val="2"/>
      <w:sz w:val="28"/>
      <w:szCs w:val="28"/>
      <w:lang w:val="en-US" w:eastAsia="zh-CN"/>
    </w:rPr>
  </w:style>
  <w:style w:type="character" w:customStyle="1" w:styleId="69">
    <w:name w:val="Heading 6 Char"/>
    <w:basedOn w:val="47"/>
    <w:link w:val="11"/>
    <w:qFormat/>
    <w:locked/>
    <w:uiPriority w:val="99"/>
    <w:rPr>
      <w:rFonts w:ascii="Cambria" w:hAnsi="Cambria" w:eastAsia="宋体" w:cs="Cambria"/>
      <w:b/>
      <w:bCs/>
      <w:kern w:val="2"/>
      <w:sz w:val="24"/>
      <w:szCs w:val="24"/>
      <w:lang w:val="en-US" w:eastAsia="zh-CN"/>
    </w:rPr>
  </w:style>
  <w:style w:type="character" w:customStyle="1" w:styleId="70">
    <w:name w:val="Heading 7 Char"/>
    <w:basedOn w:val="47"/>
    <w:link w:val="12"/>
    <w:qFormat/>
    <w:locked/>
    <w:uiPriority w:val="99"/>
    <w:rPr>
      <w:rFonts w:ascii="Calibri" w:hAnsi="Calibri" w:eastAsia="宋体" w:cs="Calibri"/>
      <w:b/>
      <w:bCs/>
      <w:kern w:val="2"/>
      <w:sz w:val="24"/>
      <w:szCs w:val="24"/>
      <w:lang w:val="en-US" w:eastAsia="zh-CN"/>
    </w:rPr>
  </w:style>
  <w:style w:type="character" w:customStyle="1" w:styleId="71">
    <w:name w:val="Heading 8 Char"/>
    <w:basedOn w:val="47"/>
    <w:link w:val="13"/>
    <w:qFormat/>
    <w:locked/>
    <w:uiPriority w:val="99"/>
    <w:rPr>
      <w:rFonts w:ascii="Cambria" w:hAnsi="Cambria" w:eastAsia="宋体" w:cs="Cambria"/>
      <w:kern w:val="2"/>
      <w:sz w:val="24"/>
      <w:szCs w:val="24"/>
      <w:lang w:val="en-US" w:eastAsia="zh-CN"/>
    </w:rPr>
  </w:style>
  <w:style w:type="character" w:customStyle="1" w:styleId="72">
    <w:name w:val="Heading 9 Char"/>
    <w:basedOn w:val="47"/>
    <w:link w:val="14"/>
    <w:qFormat/>
    <w:locked/>
    <w:uiPriority w:val="99"/>
    <w:rPr>
      <w:rFonts w:ascii="Cambria" w:hAnsi="Cambria" w:eastAsia="宋体" w:cs="Cambria"/>
      <w:kern w:val="2"/>
      <w:sz w:val="21"/>
      <w:szCs w:val="21"/>
      <w:lang w:val="en-US" w:eastAsia="zh-CN"/>
    </w:rPr>
  </w:style>
  <w:style w:type="character" w:customStyle="1" w:styleId="73">
    <w:name w:val="Document Map Char"/>
    <w:basedOn w:val="47"/>
    <w:link w:val="17"/>
    <w:qFormat/>
    <w:locked/>
    <w:uiPriority w:val="99"/>
    <w:rPr>
      <w:rFonts w:cs="Times New Roman"/>
      <w:sz w:val="24"/>
      <w:szCs w:val="24"/>
      <w:shd w:val="clear" w:color="auto" w:fill="000080"/>
    </w:rPr>
  </w:style>
  <w:style w:type="character" w:customStyle="1" w:styleId="74">
    <w:name w:val="Comment Text Char"/>
    <w:basedOn w:val="47"/>
    <w:link w:val="18"/>
    <w:qFormat/>
    <w:locked/>
    <w:uiPriority w:val="99"/>
    <w:rPr>
      <w:rFonts w:cs="Times New Roman"/>
      <w:kern w:val="2"/>
      <w:sz w:val="22"/>
      <w:szCs w:val="22"/>
    </w:rPr>
  </w:style>
  <w:style w:type="character" w:customStyle="1" w:styleId="75">
    <w:name w:val="Body Text 3 Char"/>
    <w:basedOn w:val="47"/>
    <w:link w:val="19"/>
    <w:semiHidden/>
    <w:qFormat/>
    <w:locked/>
    <w:uiPriority w:val="99"/>
    <w:rPr>
      <w:rFonts w:cs="Times New Roman"/>
      <w:sz w:val="16"/>
      <w:szCs w:val="16"/>
    </w:rPr>
  </w:style>
  <w:style w:type="character" w:customStyle="1" w:styleId="76">
    <w:name w:val="Body Text Char"/>
    <w:basedOn w:val="47"/>
    <w:link w:val="20"/>
    <w:qFormat/>
    <w:locked/>
    <w:uiPriority w:val="99"/>
    <w:rPr>
      <w:rFonts w:eastAsia="宋体" w:cs="Times New Roman"/>
      <w:b/>
      <w:bCs/>
      <w:kern w:val="2"/>
      <w:sz w:val="44"/>
      <w:szCs w:val="44"/>
      <w:lang w:val="en-US" w:eastAsia="zh-CN"/>
    </w:rPr>
  </w:style>
  <w:style w:type="character" w:customStyle="1" w:styleId="77">
    <w:name w:val="Body Text Indent Char"/>
    <w:basedOn w:val="47"/>
    <w:link w:val="3"/>
    <w:semiHidden/>
    <w:qFormat/>
    <w:locked/>
    <w:uiPriority w:val="99"/>
    <w:rPr>
      <w:rFonts w:cs="Times New Roman"/>
      <w:sz w:val="21"/>
      <w:szCs w:val="21"/>
    </w:rPr>
  </w:style>
  <w:style w:type="character" w:customStyle="1" w:styleId="78">
    <w:name w:val="Plain Text Char"/>
    <w:basedOn w:val="47"/>
    <w:link w:val="25"/>
    <w:semiHidden/>
    <w:qFormat/>
    <w:locked/>
    <w:uiPriority w:val="99"/>
    <w:rPr>
      <w:rFonts w:ascii="宋体" w:hAnsi="Courier New" w:cs="Courier New"/>
      <w:sz w:val="21"/>
      <w:szCs w:val="21"/>
    </w:rPr>
  </w:style>
  <w:style w:type="character" w:customStyle="1" w:styleId="79">
    <w:name w:val="Date Char"/>
    <w:basedOn w:val="47"/>
    <w:link w:val="27"/>
    <w:qFormat/>
    <w:locked/>
    <w:uiPriority w:val="99"/>
    <w:rPr>
      <w:rFonts w:ascii="仿宋_GB2312" w:eastAsia="仿宋_GB2312" w:cs="仿宋_GB2312"/>
      <w:kern w:val="2"/>
      <w:sz w:val="30"/>
      <w:szCs w:val="30"/>
      <w:lang w:val="en-US" w:eastAsia="zh-CN"/>
    </w:rPr>
  </w:style>
  <w:style w:type="character" w:customStyle="1" w:styleId="80">
    <w:name w:val="Body Text Indent 2 Char"/>
    <w:basedOn w:val="47"/>
    <w:link w:val="28"/>
    <w:semiHidden/>
    <w:qFormat/>
    <w:locked/>
    <w:uiPriority w:val="99"/>
    <w:rPr>
      <w:rFonts w:cs="Times New Roman"/>
      <w:sz w:val="21"/>
      <w:szCs w:val="21"/>
    </w:rPr>
  </w:style>
  <w:style w:type="character" w:customStyle="1" w:styleId="81">
    <w:name w:val="Balloon Text Char"/>
    <w:basedOn w:val="47"/>
    <w:link w:val="29"/>
    <w:semiHidden/>
    <w:qFormat/>
    <w:locked/>
    <w:uiPriority w:val="99"/>
    <w:rPr>
      <w:rFonts w:cs="Times New Roman"/>
      <w:sz w:val="2"/>
    </w:rPr>
  </w:style>
  <w:style w:type="character" w:customStyle="1" w:styleId="82">
    <w:name w:val="Footer Char"/>
    <w:basedOn w:val="47"/>
    <w:link w:val="30"/>
    <w:qFormat/>
    <w:locked/>
    <w:uiPriority w:val="99"/>
    <w:rPr>
      <w:rFonts w:eastAsia="宋体" w:cs="Times New Roman"/>
      <w:kern w:val="2"/>
      <w:sz w:val="18"/>
      <w:szCs w:val="18"/>
      <w:lang w:val="en-US" w:eastAsia="zh-CN"/>
    </w:rPr>
  </w:style>
  <w:style w:type="character" w:customStyle="1" w:styleId="83">
    <w:name w:val="Header Char"/>
    <w:basedOn w:val="47"/>
    <w:link w:val="31"/>
    <w:qFormat/>
    <w:locked/>
    <w:uiPriority w:val="99"/>
    <w:rPr>
      <w:rFonts w:eastAsia="宋体" w:cs="Times New Roman"/>
      <w:kern w:val="2"/>
      <w:sz w:val="18"/>
      <w:szCs w:val="18"/>
      <w:lang w:val="en-US" w:eastAsia="zh-CN"/>
    </w:rPr>
  </w:style>
  <w:style w:type="character" w:customStyle="1" w:styleId="84">
    <w:name w:val="Subtitle Char"/>
    <w:basedOn w:val="47"/>
    <w:link w:val="34"/>
    <w:qFormat/>
    <w:locked/>
    <w:uiPriority w:val="99"/>
    <w:rPr>
      <w:rFonts w:ascii="Cambria" w:hAnsi="Cambria" w:cs="Cambria"/>
      <w:b/>
      <w:bCs/>
      <w:kern w:val="28"/>
      <w:sz w:val="32"/>
      <w:szCs w:val="32"/>
    </w:rPr>
  </w:style>
  <w:style w:type="character" w:customStyle="1" w:styleId="85">
    <w:name w:val="Footnote Text Char"/>
    <w:basedOn w:val="47"/>
    <w:link w:val="35"/>
    <w:semiHidden/>
    <w:qFormat/>
    <w:locked/>
    <w:uiPriority w:val="99"/>
    <w:rPr>
      <w:rFonts w:cs="Times New Roman"/>
      <w:sz w:val="18"/>
      <w:szCs w:val="18"/>
    </w:rPr>
  </w:style>
  <w:style w:type="character" w:customStyle="1" w:styleId="86">
    <w:name w:val="Body Text Indent 3 Char"/>
    <w:basedOn w:val="47"/>
    <w:link w:val="37"/>
    <w:semiHidden/>
    <w:qFormat/>
    <w:locked/>
    <w:uiPriority w:val="99"/>
    <w:rPr>
      <w:rFonts w:cs="Times New Roman"/>
      <w:sz w:val="16"/>
      <w:szCs w:val="16"/>
    </w:rPr>
  </w:style>
  <w:style w:type="character" w:customStyle="1" w:styleId="87">
    <w:name w:val="Body Text 2 Char"/>
    <w:basedOn w:val="47"/>
    <w:link w:val="41"/>
    <w:semiHidden/>
    <w:qFormat/>
    <w:locked/>
    <w:uiPriority w:val="99"/>
    <w:rPr>
      <w:rFonts w:cs="Times New Roman"/>
      <w:sz w:val="21"/>
      <w:szCs w:val="21"/>
    </w:rPr>
  </w:style>
  <w:style w:type="character" w:customStyle="1" w:styleId="88">
    <w:name w:val="Title Char"/>
    <w:basedOn w:val="47"/>
    <w:link w:val="43"/>
    <w:qFormat/>
    <w:locked/>
    <w:uiPriority w:val="99"/>
    <w:rPr>
      <w:rFonts w:ascii="Cambria" w:hAnsi="Cambria" w:cs="Cambria"/>
      <w:b/>
      <w:bCs/>
      <w:kern w:val="2"/>
      <w:sz w:val="32"/>
      <w:szCs w:val="32"/>
    </w:rPr>
  </w:style>
  <w:style w:type="character" w:customStyle="1" w:styleId="89">
    <w:name w:val="Comment Subject Char"/>
    <w:basedOn w:val="74"/>
    <w:link w:val="44"/>
    <w:qFormat/>
    <w:locked/>
    <w:uiPriority w:val="99"/>
    <w:rPr>
      <w:rFonts w:ascii="宋体" w:cs="宋体"/>
      <w:b/>
      <w:bCs/>
      <w:sz w:val="28"/>
      <w:szCs w:val="28"/>
    </w:rPr>
  </w:style>
  <w:style w:type="character" w:customStyle="1" w:styleId="90">
    <w:name w:val="Body Text First Indent 2 Char"/>
    <w:basedOn w:val="77"/>
    <w:link w:val="2"/>
    <w:semiHidden/>
    <w:qFormat/>
    <w:locked/>
    <w:uiPriority w:val="99"/>
  </w:style>
  <w:style w:type="character" w:customStyle="1" w:styleId="91">
    <w:name w:val="批注文字 Char Char"/>
    <w:qFormat/>
    <w:uiPriority w:val="99"/>
    <w:rPr>
      <w:rFonts w:ascii="宋体" w:hAnsi="Times New Roman" w:eastAsia="宋体"/>
      <w:sz w:val="20"/>
    </w:rPr>
  </w:style>
  <w:style w:type="character" w:customStyle="1" w:styleId="92">
    <w:name w:val="标题 1 Char Char"/>
    <w:qFormat/>
    <w:locked/>
    <w:uiPriority w:val="99"/>
    <w:rPr>
      <w:rFonts w:eastAsia="宋体"/>
      <w:b/>
      <w:kern w:val="44"/>
      <w:sz w:val="44"/>
      <w:lang w:val="en-US" w:eastAsia="zh-CN"/>
    </w:rPr>
  </w:style>
  <w:style w:type="character" w:customStyle="1" w:styleId="93">
    <w:name w:val="Char Char"/>
    <w:qFormat/>
    <w:uiPriority w:val="99"/>
    <w:rPr>
      <w:rFonts w:ascii="Arial" w:hAnsi="Arial" w:eastAsia="黑体"/>
      <w:b/>
      <w:kern w:val="2"/>
      <w:sz w:val="32"/>
      <w:lang w:val="en-US" w:eastAsia="zh-CN"/>
    </w:rPr>
  </w:style>
  <w:style w:type="character" w:customStyle="1" w:styleId="94">
    <w:name w:val="明显参考1"/>
    <w:qFormat/>
    <w:uiPriority w:val="99"/>
    <w:rPr>
      <w:b/>
      <w:smallCaps/>
      <w:color w:val="auto"/>
      <w:spacing w:val="5"/>
      <w:u w:val="single"/>
    </w:rPr>
  </w:style>
  <w:style w:type="character" w:customStyle="1" w:styleId="95">
    <w:name w:val="明显强调1"/>
    <w:qFormat/>
    <w:uiPriority w:val="99"/>
    <w:rPr>
      <w:b/>
      <w:i/>
      <w:color w:val="4F81BD"/>
    </w:rPr>
  </w:style>
  <w:style w:type="character" w:customStyle="1" w:styleId="96">
    <w:name w:val="文档结构图 Char1"/>
    <w:qFormat/>
    <w:uiPriority w:val="99"/>
    <w:rPr>
      <w:rFonts w:ascii="宋体"/>
      <w:kern w:val="2"/>
      <w:sz w:val="18"/>
    </w:rPr>
  </w:style>
  <w:style w:type="character" w:customStyle="1" w:styleId="97">
    <w:name w:val="日期 Char"/>
    <w:qFormat/>
    <w:uiPriority w:val="99"/>
    <w:rPr>
      <w:rFonts w:ascii="仿宋_GB2312" w:eastAsia="仿宋_GB2312"/>
      <w:kern w:val="2"/>
      <w:sz w:val="30"/>
      <w:lang w:val="en-US" w:eastAsia="zh-CN"/>
    </w:rPr>
  </w:style>
  <w:style w:type="character" w:customStyle="1" w:styleId="98">
    <w:name w:val="textcontents"/>
    <w:qFormat/>
    <w:uiPriority w:val="99"/>
  </w:style>
  <w:style w:type="character" w:customStyle="1" w:styleId="99">
    <w:name w:val="引用 Char"/>
    <w:link w:val="100"/>
    <w:qFormat/>
    <w:locked/>
    <w:uiPriority w:val="99"/>
    <w:rPr>
      <w:i/>
      <w:color w:val="000000"/>
      <w:kern w:val="2"/>
      <w:sz w:val="22"/>
    </w:rPr>
  </w:style>
  <w:style w:type="paragraph" w:customStyle="1" w:styleId="100">
    <w:name w:val="引用1"/>
    <w:basedOn w:val="1"/>
    <w:next w:val="1"/>
    <w:link w:val="99"/>
    <w:qFormat/>
    <w:uiPriority w:val="99"/>
    <w:rPr>
      <w:i/>
      <w:color w:val="000000"/>
      <w:sz w:val="22"/>
      <w:szCs w:val="20"/>
    </w:rPr>
  </w:style>
  <w:style w:type="character" w:customStyle="1" w:styleId="101">
    <w:name w:val="日期 Char1"/>
    <w:qFormat/>
    <w:uiPriority w:val="99"/>
    <w:rPr>
      <w:kern w:val="2"/>
      <w:sz w:val="22"/>
    </w:rPr>
  </w:style>
  <w:style w:type="character" w:customStyle="1" w:styleId="102">
    <w:name w:val="不明显参考1"/>
    <w:qFormat/>
    <w:uiPriority w:val="99"/>
    <w:rPr>
      <w:smallCaps/>
      <w:color w:val="auto"/>
      <w:u w:val="single"/>
    </w:rPr>
  </w:style>
  <w:style w:type="character" w:customStyle="1" w:styleId="103">
    <w:name w:val="批注框文本 Char1"/>
    <w:qFormat/>
    <w:uiPriority w:val="99"/>
    <w:rPr>
      <w:kern w:val="2"/>
      <w:sz w:val="18"/>
    </w:rPr>
  </w:style>
  <w:style w:type="character" w:customStyle="1" w:styleId="104">
    <w:name w:val="不明显强调1"/>
    <w:qFormat/>
    <w:uiPriority w:val="99"/>
    <w:rPr>
      <w:i/>
      <w:color w:val="808080"/>
    </w:rPr>
  </w:style>
  <w:style w:type="character" w:customStyle="1" w:styleId="105">
    <w:name w:val="标题4 Char Char"/>
    <w:link w:val="106"/>
    <w:qFormat/>
    <w:locked/>
    <w:uiPriority w:val="99"/>
    <w:rPr>
      <w:rFonts w:ascii="Arial" w:hAnsi="Arial"/>
      <w:b/>
      <w:sz w:val="32"/>
    </w:rPr>
  </w:style>
  <w:style w:type="paragraph" w:customStyle="1" w:styleId="106">
    <w:name w:val="标题4"/>
    <w:basedOn w:val="7"/>
    <w:next w:val="22"/>
    <w:link w:val="105"/>
    <w:qFormat/>
    <w:uiPriority w:val="99"/>
    <w:pPr>
      <w:spacing w:line="413" w:lineRule="auto"/>
    </w:pPr>
    <w:rPr>
      <w:rFonts w:eastAsia="宋体" w:cs="Times New Roman"/>
      <w:bCs w:val="0"/>
      <w:kern w:val="0"/>
      <w:szCs w:val="20"/>
    </w:rPr>
  </w:style>
  <w:style w:type="character" w:customStyle="1" w:styleId="107">
    <w:name w:val="书籍标题1"/>
    <w:qFormat/>
    <w:uiPriority w:val="99"/>
    <w:rPr>
      <w:b/>
      <w:smallCaps/>
      <w:spacing w:val="5"/>
    </w:rPr>
  </w:style>
  <w:style w:type="character" w:customStyle="1" w:styleId="108">
    <w:name w:val="bigfont"/>
    <w:basedOn w:val="47"/>
    <w:qFormat/>
    <w:uiPriority w:val="99"/>
    <w:rPr>
      <w:rFonts w:cs="Times New Roman"/>
    </w:rPr>
  </w:style>
  <w:style w:type="character" w:customStyle="1" w:styleId="109">
    <w:name w:val="news_title1"/>
    <w:qFormat/>
    <w:uiPriority w:val="99"/>
    <w:rPr>
      <w:rFonts w:ascii="宋体" w:hAnsi="宋体" w:eastAsia="宋体"/>
      <w:b/>
      <w:color w:val="000000"/>
      <w:sz w:val="36"/>
      <w:u w:val="none"/>
    </w:rPr>
  </w:style>
  <w:style w:type="character" w:customStyle="1" w:styleId="110">
    <w:name w:val="标题5 Char Char"/>
    <w:link w:val="111"/>
    <w:qFormat/>
    <w:locked/>
    <w:uiPriority w:val="99"/>
    <w:rPr>
      <w:rFonts w:ascii="Arial" w:hAnsi="Arial"/>
      <w:b/>
      <w:sz w:val="32"/>
    </w:rPr>
  </w:style>
  <w:style w:type="paragraph" w:customStyle="1" w:styleId="111">
    <w:name w:val="标题5"/>
    <w:basedOn w:val="8"/>
    <w:link w:val="110"/>
    <w:qFormat/>
    <w:uiPriority w:val="99"/>
    <w:pPr>
      <w:spacing w:line="413" w:lineRule="auto"/>
    </w:pPr>
    <w:rPr>
      <w:rFonts w:ascii="Arial" w:hAnsi="Arial"/>
      <w:bCs w:val="0"/>
      <w:kern w:val="0"/>
      <w:szCs w:val="20"/>
    </w:rPr>
  </w:style>
  <w:style w:type="character" w:customStyle="1" w:styleId="112">
    <w:name w:val="font161"/>
    <w:qFormat/>
    <w:uiPriority w:val="99"/>
    <w:rPr>
      <w:b/>
      <w:sz w:val="32"/>
    </w:rPr>
  </w:style>
  <w:style w:type="character" w:customStyle="1" w:styleId="113">
    <w:name w:val="标题 2 Char Char"/>
    <w:qFormat/>
    <w:locked/>
    <w:uiPriority w:val="99"/>
    <w:rPr>
      <w:rFonts w:ascii="Arial" w:hAnsi="Arial" w:eastAsia="黑体"/>
      <w:b/>
      <w:kern w:val="2"/>
      <w:sz w:val="32"/>
      <w:lang w:val="en-US" w:eastAsia="zh-CN"/>
    </w:rPr>
  </w:style>
  <w:style w:type="character" w:customStyle="1" w:styleId="114">
    <w:name w:val="Char Char1"/>
    <w:qFormat/>
    <w:uiPriority w:val="99"/>
    <w:rPr>
      <w:rFonts w:ascii="宋体" w:hAnsi="Times New Roman"/>
      <w:sz w:val="28"/>
    </w:rPr>
  </w:style>
  <w:style w:type="character" w:customStyle="1" w:styleId="115">
    <w:name w:val="明显引用 Char"/>
    <w:link w:val="116"/>
    <w:qFormat/>
    <w:locked/>
    <w:uiPriority w:val="99"/>
    <w:rPr>
      <w:b/>
      <w:i/>
      <w:color w:val="4F81BD"/>
      <w:kern w:val="2"/>
      <w:sz w:val="22"/>
    </w:rPr>
  </w:style>
  <w:style w:type="paragraph" w:customStyle="1" w:styleId="116">
    <w:name w:val="明显引用1"/>
    <w:basedOn w:val="1"/>
    <w:next w:val="1"/>
    <w:link w:val="115"/>
    <w:qFormat/>
    <w:uiPriority w:val="99"/>
    <w:pPr>
      <w:pBdr>
        <w:bottom w:val="single" w:color="4F81BD" w:sz="4" w:space="4"/>
      </w:pBdr>
      <w:spacing w:before="200" w:after="280"/>
      <w:ind w:left="936" w:right="936"/>
    </w:pPr>
    <w:rPr>
      <w:b/>
      <w:i/>
      <w:color w:val="4F81BD"/>
      <w:sz w:val="22"/>
      <w:szCs w:val="20"/>
    </w:rPr>
  </w:style>
  <w:style w:type="character" w:customStyle="1" w:styleId="117">
    <w:name w:val="批注主题 Char1"/>
    <w:qFormat/>
    <w:uiPriority w:val="99"/>
    <w:rPr>
      <w:b/>
      <w:kern w:val="2"/>
      <w:sz w:val="22"/>
    </w:rPr>
  </w:style>
  <w:style w:type="character" w:customStyle="1" w:styleId="118">
    <w:name w:val="正文文本 Char1"/>
    <w:qFormat/>
    <w:uiPriority w:val="99"/>
    <w:rPr>
      <w:kern w:val="2"/>
      <w:sz w:val="22"/>
    </w:rPr>
  </w:style>
  <w:style w:type="paragraph" w:customStyle="1" w:styleId="119">
    <w:name w:val="默认段落字体 Para Char Char Char Char"/>
    <w:basedOn w:val="1"/>
    <w:qFormat/>
    <w:uiPriority w:val="99"/>
  </w:style>
  <w:style w:type="paragraph" w:customStyle="1" w:styleId="120">
    <w:name w:val="Char Char Char Char Char Char Char Char Char Char Char Char Char"/>
    <w:basedOn w:val="1"/>
    <w:qFormat/>
    <w:uiPriority w:val="99"/>
  </w:style>
  <w:style w:type="paragraph" w:customStyle="1" w:styleId="121">
    <w:name w:val="样式 标题 3 + (中文) 黑体 小四 非加粗 段前: 7.8 磅 段后: 0 磅 行距: 固定值 20 磅"/>
    <w:basedOn w:val="8"/>
    <w:qFormat/>
    <w:uiPriority w:val="99"/>
    <w:pPr>
      <w:spacing w:before="0" w:after="0" w:line="400" w:lineRule="exact"/>
    </w:pPr>
    <w:rPr>
      <w:rFonts w:eastAsia="黑体"/>
      <w:b w:val="0"/>
      <w:bCs w:val="0"/>
      <w:sz w:val="24"/>
      <w:szCs w:val="24"/>
    </w:rPr>
  </w:style>
  <w:style w:type="paragraph" w:customStyle="1" w:styleId="122">
    <w:name w:val="表格文字"/>
    <w:basedOn w:val="1"/>
    <w:qFormat/>
    <w:uiPriority w:val="99"/>
    <w:pPr>
      <w:adjustRightInd w:val="0"/>
      <w:spacing w:line="420" w:lineRule="atLeast"/>
      <w:jc w:val="left"/>
      <w:textAlignment w:val="baseline"/>
    </w:pPr>
    <w:rPr>
      <w:kern w:val="0"/>
    </w:rPr>
  </w:style>
  <w:style w:type="paragraph" w:customStyle="1" w:styleId="123">
    <w:name w:val="修订1"/>
    <w:qFormat/>
    <w:uiPriority w:val="99"/>
    <w:rPr>
      <w:rFonts w:ascii="Times New Roman" w:hAnsi="Times New Roman" w:eastAsia="宋体" w:cs="Times New Roman"/>
      <w:kern w:val="2"/>
      <w:sz w:val="21"/>
      <w:szCs w:val="21"/>
      <w:lang w:val="en-US" w:eastAsia="zh-CN" w:bidi="ar-SA"/>
    </w:rPr>
  </w:style>
  <w:style w:type="paragraph" w:customStyle="1" w:styleId="124">
    <w:name w:val="Char"/>
    <w:basedOn w:val="1"/>
    <w:next w:val="1"/>
    <w:qFormat/>
    <w:uiPriority w:val="99"/>
    <w:pPr>
      <w:widowControl/>
      <w:spacing w:line="360" w:lineRule="auto"/>
      <w:jc w:val="left"/>
    </w:pPr>
    <w:rPr>
      <w:kern w:val="0"/>
      <w:lang w:eastAsia="en-US"/>
    </w:rPr>
  </w:style>
  <w:style w:type="paragraph" w:customStyle="1" w:styleId="125">
    <w:name w:val="样式2"/>
    <w:basedOn w:val="8"/>
    <w:qFormat/>
    <w:uiPriority w:val="99"/>
    <w:pPr>
      <w:spacing w:line="413" w:lineRule="auto"/>
    </w:pPr>
  </w:style>
  <w:style w:type="paragraph" w:customStyle="1" w:styleId="126">
    <w:name w:val="6'"/>
    <w:basedOn w:val="1"/>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27">
    <w:name w:val="表格"/>
    <w:basedOn w:val="1"/>
    <w:qFormat/>
    <w:uiPriority w:val="99"/>
    <w:pPr>
      <w:jc w:val="center"/>
      <w:textAlignment w:val="center"/>
    </w:pPr>
    <w:rPr>
      <w:rFonts w:ascii="华文细黑" w:hAnsi="华文细黑" w:cs="华文细黑"/>
      <w:kern w:val="0"/>
    </w:rPr>
  </w:style>
  <w:style w:type="paragraph" w:customStyle="1" w:styleId="128">
    <w:name w:val="Blockquote"/>
    <w:basedOn w:val="1"/>
    <w:qFormat/>
    <w:uiPriority w:val="99"/>
    <w:pPr>
      <w:autoSpaceDE w:val="0"/>
      <w:autoSpaceDN w:val="0"/>
      <w:adjustRightInd w:val="0"/>
      <w:spacing w:before="100" w:after="100"/>
      <w:ind w:left="360" w:right="360"/>
      <w:jc w:val="left"/>
    </w:pPr>
    <w:rPr>
      <w:kern w:val="0"/>
      <w:sz w:val="24"/>
      <w:szCs w:val="24"/>
    </w:rPr>
  </w:style>
  <w:style w:type="paragraph" w:customStyle="1" w:styleId="129">
    <w:name w:val="1"/>
    <w:basedOn w:val="1"/>
    <w:next w:val="1"/>
    <w:qFormat/>
    <w:uiPriority w:val="99"/>
  </w:style>
  <w:style w:type="paragraph" w:customStyle="1" w:styleId="130">
    <w:name w:val="样式1"/>
    <w:basedOn w:val="8"/>
    <w:qFormat/>
    <w:uiPriority w:val="99"/>
    <w:pPr>
      <w:spacing w:line="413" w:lineRule="auto"/>
    </w:pPr>
  </w:style>
  <w:style w:type="paragraph" w:customStyle="1" w:styleId="131">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2">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33">
    <w:name w:val="样式4"/>
    <w:basedOn w:val="8"/>
    <w:qFormat/>
    <w:uiPriority w:val="99"/>
    <w:pPr>
      <w:spacing w:line="413" w:lineRule="auto"/>
    </w:pPr>
  </w:style>
  <w:style w:type="paragraph" w:customStyle="1" w:styleId="134">
    <w:name w:val="TOC 标题1"/>
    <w:basedOn w:val="6"/>
    <w:next w:val="1"/>
    <w:qFormat/>
    <w:uiPriority w:val="99"/>
    <w:pPr>
      <w:spacing w:line="576" w:lineRule="auto"/>
      <w:outlineLvl w:val="9"/>
    </w:pPr>
    <w:rPr>
      <w:rFonts w:ascii="Calibri" w:hAnsi="Calibri" w:cs="Calibri"/>
    </w:rPr>
  </w:style>
  <w:style w:type="paragraph" w:customStyle="1" w:styleId="135">
    <w:name w:val="样式 标题 1 + 黑体 三号 非加粗 居中 段前: 6 磅 段后: 6 磅 行距: 固定值 20 磅"/>
    <w:basedOn w:val="6"/>
    <w:qFormat/>
    <w:uiPriority w:val="99"/>
    <w:pPr>
      <w:spacing w:before="120" w:after="120" w:line="400" w:lineRule="exact"/>
    </w:pPr>
    <w:rPr>
      <w:rFonts w:ascii="黑体" w:hAnsi="黑体" w:eastAsia="黑体" w:cs="黑体"/>
      <w:b w:val="0"/>
      <w:bCs w:val="0"/>
      <w:sz w:val="32"/>
      <w:szCs w:val="32"/>
    </w:rPr>
  </w:style>
  <w:style w:type="paragraph" w:customStyle="1" w:styleId="136">
    <w:name w:val="样式 标题 2 + Times New Roman 四号 非加粗 段前: 5 磅 段后: 0 磅 行距: 固定值 20..."/>
    <w:basedOn w:val="7"/>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37">
    <w:name w:val="Char Char Char Char Char Char Char Char Char Char Char Char Char1"/>
    <w:basedOn w:val="17"/>
    <w:qFormat/>
    <w:uiPriority w:val="99"/>
    <w:rPr>
      <w:rFonts w:ascii="Tahoma" w:hAnsi="Tahoma" w:cs="Tahoma"/>
      <w:sz w:val="24"/>
      <w:szCs w:val="24"/>
      <w:shd w:val="clear" w:color="auto" w:fill="auto"/>
    </w:rPr>
  </w:style>
  <w:style w:type="paragraph" w:customStyle="1" w:styleId="138">
    <w:name w:val="列出段落1"/>
    <w:basedOn w:val="1"/>
    <w:qFormat/>
    <w:uiPriority w:val="99"/>
    <w:pPr>
      <w:ind w:firstLine="420" w:firstLineChars="200"/>
    </w:pPr>
    <w:rPr>
      <w:rFonts w:ascii="Calibri" w:hAnsi="Calibri" w:cs="Calibri"/>
    </w:rPr>
  </w:style>
  <w:style w:type="paragraph" w:customStyle="1" w:styleId="139">
    <w:name w:val="Char1"/>
    <w:basedOn w:val="1"/>
    <w:qFormat/>
    <w:uiPriority w:val="99"/>
    <w:rPr>
      <w:rFonts w:ascii="Tahoma" w:hAnsi="Tahoma" w:cs="Tahoma"/>
      <w:sz w:val="24"/>
      <w:szCs w:val="24"/>
    </w:rPr>
  </w:style>
  <w:style w:type="paragraph" w:customStyle="1" w:styleId="140">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141">
    <w:name w:val="样式3"/>
    <w:basedOn w:val="8"/>
    <w:qFormat/>
    <w:uiPriority w:val="99"/>
    <w:pPr>
      <w:spacing w:line="413" w:lineRule="auto"/>
    </w:pPr>
  </w:style>
  <w:style w:type="paragraph" w:customStyle="1" w:styleId="142">
    <w:name w:val="正文1"/>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43">
    <w:name w:val="列出段落2"/>
    <w:basedOn w:val="1"/>
    <w:qFormat/>
    <w:uiPriority w:val="99"/>
    <w:pPr>
      <w:ind w:firstLine="200" w:firstLineChars="200"/>
    </w:pPr>
  </w:style>
  <w:style w:type="paragraph" w:customStyle="1" w:styleId="144">
    <w:name w:val="p0"/>
    <w:basedOn w:val="1"/>
    <w:qFormat/>
    <w:uiPriority w:val="99"/>
    <w:pPr>
      <w:widowControl/>
    </w:pPr>
    <w:rPr>
      <w:kern w:val="0"/>
    </w:rPr>
  </w:style>
  <w:style w:type="paragraph" w:customStyle="1" w:styleId="145">
    <w:name w:val="节标题"/>
    <w:basedOn w:val="1"/>
    <w:next w:val="1"/>
    <w:qFormat/>
    <w:uiPriority w:val="99"/>
    <w:pPr>
      <w:widowControl/>
      <w:spacing w:line="289" w:lineRule="atLeast"/>
      <w:jc w:val="center"/>
      <w:textAlignment w:val="baseline"/>
    </w:pPr>
    <w:rPr>
      <w:color w:val="000000"/>
      <w:kern w:val="0"/>
      <w:sz w:val="28"/>
      <w:szCs w:val="20"/>
    </w:rPr>
  </w:style>
  <w:style w:type="paragraph" w:customStyle="1" w:styleId="146">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147">
    <w:name w:val="WPSOffice手动目录 2"/>
    <w:qFormat/>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148">
    <w:name w:val="WPSOffice手动目录 3"/>
    <w:qFormat/>
    <w:uiPriority w:val="99"/>
    <w:pPr>
      <w:ind w:left="400" w:leftChars="400"/>
    </w:pPr>
    <w:rPr>
      <w:rFonts w:ascii="Times New Roman" w:hAnsi="Times New Roman" w:eastAsia="宋体" w:cs="Times New Roman"/>
      <w:kern w:val="0"/>
      <w:sz w:val="20"/>
      <w:szCs w:val="20"/>
      <w:lang w:val="en-US" w:eastAsia="zh-CN" w:bidi="ar-SA"/>
    </w:rPr>
  </w:style>
  <w:style w:type="character" w:customStyle="1" w:styleId="149">
    <w:name w:val="font12"/>
    <w:basedOn w:val="47"/>
    <w:qFormat/>
    <w:uiPriority w:val="0"/>
    <w:rPr>
      <w:rFonts w:hint="eastAsia" w:ascii="仿宋" w:hAnsi="仿宋" w:eastAsia="仿宋" w:cs="仿宋"/>
      <w:b/>
      <w:color w:val="000000"/>
      <w:sz w:val="32"/>
      <w:szCs w:val="32"/>
      <w:u w:val="none"/>
    </w:rPr>
  </w:style>
  <w:style w:type="paragraph" w:customStyle="1" w:styleId="150">
    <w:name w:val="Char1 Char Char Char"/>
    <w:basedOn w:val="1"/>
    <w:qFormat/>
    <w:uiPriority w:val="0"/>
    <w:pPr>
      <w:widowControl/>
      <w:spacing w:after="160" w:line="240" w:lineRule="exact"/>
      <w:jc w:val="left"/>
    </w:pPr>
    <w:rPr>
      <w:rFonts w:ascii="Verdana" w:hAnsi="Verdana"/>
      <w:kern w:val="0"/>
      <w:sz w:val="30"/>
      <w:szCs w:val="30"/>
      <w:lang w:eastAsia="en-US"/>
    </w:rPr>
  </w:style>
  <w:style w:type="character" w:customStyle="1" w:styleId="151">
    <w:name w:val="font101"/>
    <w:basedOn w:val="47"/>
    <w:qFormat/>
    <w:uiPriority w:val="0"/>
    <w:rPr>
      <w:rFonts w:hint="default" w:ascii="Times New Roman" w:hAnsi="Times New Roman" w:cs="Times New Roman"/>
      <w:color w:val="000000"/>
      <w:sz w:val="24"/>
      <w:szCs w:val="24"/>
      <w:u w:val="none"/>
    </w:rPr>
  </w:style>
  <w:style w:type="character" w:customStyle="1" w:styleId="152">
    <w:name w:val="font111"/>
    <w:basedOn w:val="47"/>
    <w:qFormat/>
    <w:uiPriority w:val="0"/>
    <w:rPr>
      <w:rFonts w:ascii="仿宋_GB2312" w:eastAsia="仿宋_GB2312" w:cs="仿宋_GB2312"/>
      <w:color w:val="000000"/>
      <w:sz w:val="24"/>
      <w:szCs w:val="24"/>
      <w:u w:val="none"/>
    </w:rPr>
  </w:style>
  <w:style w:type="character" w:customStyle="1" w:styleId="153">
    <w:name w:val="font91"/>
    <w:basedOn w:val="47"/>
    <w:qFormat/>
    <w:uiPriority w:val="0"/>
    <w:rPr>
      <w:rFonts w:hint="eastAsia" w:ascii="仿宋" w:hAnsi="仿宋" w:eastAsia="仿宋" w:cs="仿宋"/>
      <w:color w:val="000000"/>
      <w:sz w:val="24"/>
      <w:szCs w:val="24"/>
      <w:u w:val="single"/>
    </w:rPr>
  </w:style>
  <w:style w:type="character" w:customStyle="1" w:styleId="154">
    <w:name w:val="font81"/>
    <w:basedOn w:val="47"/>
    <w:qFormat/>
    <w:uiPriority w:val="0"/>
    <w:rPr>
      <w:rFonts w:hint="eastAsia" w:ascii="仿宋" w:hAnsi="仿宋" w:eastAsia="仿宋" w:cs="仿宋"/>
      <w:color w:val="000000"/>
      <w:sz w:val="24"/>
      <w:szCs w:val="24"/>
      <w:u w:val="none"/>
    </w:rPr>
  </w:style>
  <w:style w:type="character" w:customStyle="1" w:styleId="155">
    <w:name w:val="font61"/>
    <w:basedOn w:val="47"/>
    <w:qFormat/>
    <w:uiPriority w:val="0"/>
    <w:rPr>
      <w:rFonts w:hint="eastAsia" w:ascii="仿宋" w:hAnsi="仿宋" w:eastAsia="仿宋" w:cs="仿宋"/>
      <w:b/>
      <w:color w:val="000000"/>
      <w:sz w:val="32"/>
      <w:szCs w:val="32"/>
      <w:u w:val="none"/>
    </w:rPr>
  </w:style>
  <w:style w:type="character" w:customStyle="1" w:styleId="156">
    <w:name w:val="font21"/>
    <w:basedOn w:val="47"/>
    <w:qFormat/>
    <w:uiPriority w:val="0"/>
    <w:rPr>
      <w:rFonts w:hint="eastAsia" w:ascii="仿宋" w:hAnsi="仿宋" w:eastAsia="仿宋" w:cs="仿宋"/>
      <w:color w:val="000000"/>
      <w:sz w:val="24"/>
      <w:szCs w:val="24"/>
      <w:u w:val="none"/>
    </w:rPr>
  </w:style>
  <w:style w:type="paragraph" w:customStyle="1" w:styleId="157">
    <w:name w:val="纯文本1"/>
    <w:basedOn w:val="1"/>
    <w:qFormat/>
    <w:uiPriority w:val="0"/>
    <w:rPr>
      <w:rFonts w:ascii="宋体"/>
      <w:color w:val="000000"/>
    </w:rPr>
  </w:style>
  <w:style w:type="character" w:customStyle="1" w:styleId="158">
    <w:name w:val="time"/>
    <w:basedOn w:val="47"/>
    <w:qFormat/>
    <w:uiPriority w:val="0"/>
  </w:style>
  <w:style w:type="character" w:customStyle="1" w:styleId="159">
    <w:name w:val="status"/>
    <w:basedOn w:val="47"/>
    <w:qFormat/>
    <w:uiPriority w:val="0"/>
    <w:rPr>
      <w:color w:val="0776DD"/>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35</Pages>
  <Words>4940</Words>
  <Characters>5954</Characters>
  <Lines>0</Lines>
  <Paragraphs>0</Paragraphs>
  <TotalTime>37</TotalTime>
  <ScaleCrop>false</ScaleCrop>
  <LinksUpToDate>false</LinksUpToDate>
  <CharactersWithSpaces>6107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2017-05-18T16:09:00Z</dcterms:created>
  <dc:creator>微软用户</dc:creator>
  <cp:lastModifiedBy>这不科学</cp:lastModifiedBy>
  <cp:lastPrinted>2024-12-19T02:48:00Z</cp:lastPrinted>
  <dcterms:modified xsi:type="dcterms:W3CDTF">2026-03-17T08:11:52Z</dcterms:modified>
  <dc:title>创业园小区9#楼工程施工</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86717CE9608D47DFB7D00BC0CB6E8D85_13</vt:lpwstr>
  </property>
  <property fmtid="{D5CDD505-2E9C-101B-9397-08002B2CF9AE}" pid="4" name="KSOTemplateDocerSaveRecord">
    <vt:lpwstr>eyJoZGlkIjoiZmI5ZDY5ZDNjMmE2ZDcxYTFkMDY0Zjg5Mjg3YTE0YTgiLCJ1c2VySWQiOiI1MDM3MjkwOTMifQ==</vt:lpwstr>
  </property>
</Properties>
</file>