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B287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0538FC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7288107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61512CC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bookmarkStart w:id="0" w:name="_Hlk9544796"/>
      <w:r>
        <w:rPr>
          <w:rFonts w:hint="eastAsia" w:ascii="宋体" w:hAnsi="宋体" w:eastAsia="宋体" w:cs="宋体"/>
          <w:b/>
          <w:bCs/>
          <w:color w:val="auto"/>
          <w:sz w:val="52"/>
          <w:szCs w:val="52"/>
          <w:highlight w:val="none"/>
        </w:rPr>
        <w:t>安徽省政府采购项目</w:t>
      </w:r>
    </w:p>
    <w:p w14:paraId="239A2FF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rPr>
        <w:t>（服务类）</w:t>
      </w:r>
    </w:p>
    <w:p w14:paraId="7AD7C926">
      <w:pPr>
        <w:widowControl/>
        <w:jc w:val="center"/>
        <w:rPr>
          <w:rFonts w:hint="eastAsia" w:ascii="宋体" w:hAnsi="宋体" w:eastAsia="宋体" w:cs="宋体"/>
          <w:color w:val="auto"/>
          <w:highlight w:val="none"/>
        </w:rPr>
      </w:pPr>
      <w:r>
        <w:rPr>
          <w:rFonts w:hint="eastAsia" w:ascii="宋体" w:hAnsi="宋体" w:eastAsia="宋体" w:cs="宋体"/>
          <w:b/>
          <w:bCs/>
          <w:color w:val="auto"/>
          <w:kern w:val="0"/>
          <w:sz w:val="52"/>
          <w:szCs w:val="52"/>
          <w:highlight w:val="none"/>
          <w:lang w:bidi="ar"/>
        </w:rPr>
        <w:t>（2024年版）</w:t>
      </w:r>
    </w:p>
    <w:p w14:paraId="1978A2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BA85AF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5B90EA4">
      <w:pPr>
        <w:tabs>
          <w:tab w:val="left" w:pos="315"/>
          <w:tab w:val="left" w:pos="8820"/>
        </w:tabs>
        <w:spacing w:before="312" w:beforeLines="100" w:after="156" w:afterLines="50" w:line="500" w:lineRule="exact"/>
        <w:ind w:right="267" w:rightChars="127"/>
        <w:jc w:val="both"/>
        <w:rPr>
          <w:rFonts w:hint="eastAsia" w:ascii="宋体" w:hAnsi="宋体" w:eastAsia="宋体" w:cs="宋体"/>
          <w:b/>
          <w:bCs/>
          <w:color w:val="auto"/>
          <w:sz w:val="44"/>
          <w:szCs w:val="44"/>
          <w:highlight w:val="none"/>
        </w:rPr>
      </w:pPr>
    </w:p>
    <w:p w14:paraId="10D5AC0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FC822C1">
      <w:pPr>
        <w:tabs>
          <w:tab w:val="left" w:pos="2410"/>
        </w:tabs>
        <w:autoSpaceDE w:val="0"/>
        <w:autoSpaceDN w:val="0"/>
        <w:adjustRightInd w:val="0"/>
        <w:snapToGrid w:val="0"/>
        <w:spacing w:line="360" w:lineRule="auto"/>
        <w:ind w:firstLine="723" w:firstLineChars="200"/>
        <w:jc w:val="both"/>
        <w:rPr>
          <w:rFonts w:hint="eastAsia" w:ascii="宋体" w:hAnsi="宋体" w:eastAsia="宋体" w:cs="宋体"/>
          <w:b/>
          <w:color w:val="auto"/>
          <w:spacing w:val="20"/>
          <w:kern w:val="0"/>
          <w:sz w:val="32"/>
          <w:szCs w:val="32"/>
          <w:highlight w:val="none"/>
          <w:lang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eastAsia="zh-CN"/>
        </w:rPr>
        <w:t>2025年滁州市农村公路自动化检测项目</w:t>
      </w:r>
    </w:p>
    <w:p w14:paraId="3196A57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eastAsia="zh-CN"/>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eastAsia="zh-CN"/>
        </w:rPr>
        <w:t>czsjcg202508-013</w:t>
      </w:r>
    </w:p>
    <w:p w14:paraId="3F30DF67">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eastAsia="zh-CN"/>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eastAsia="zh-CN"/>
        </w:rPr>
        <w:t>滁州市交通运输局</w:t>
      </w:r>
    </w:p>
    <w:p w14:paraId="65A8C86D">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rPr>
        <w:t>滁州市城投工程咨询管理有限公司</w:t>
      </w:r>
    </w:p>
    <w:p w14:paraId="000D61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11BF104">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rPr>
        <w:t>202</w:t>
      </w:r>
      <w:r>
        <w:rPr>
          <w:rFonts w:hint="eastAsia" w:ascii="宋体" w:hAnsi="宋体" w:eastAsia="宋体" w:cs="宋体"/>
          <w:b/>
          <w:color w:val="auto"/>
          <w:sz w:val="36"/>
          <w:highlight w:val="none"/>
          <w:u w:val="single"/>
          <w:lang w:val="en-US" w:eastAsia="zh-CN"/>
        </w:rPr>
        <w:t>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8</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7DA2030E">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p>
    <w:p w14:paraId="69A8DAD6">
      <w:pPr>
        <w:tabs>
          <w:tab w:val="left" w:pos="2410"/>
        </w:tabs>
        <w:autoSpaceDE w:val="0"/>
        <w:autoSpaceDN w:val="0"/>
        <w:adjustRightInd w:val="0"/>
        <w:snapToGrid w:val="0"/>
        <w:spacing w:line="6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2A4BDD4F">
      <w:pPr>
        <w:pStyle w:val="2"/>
        <w:tabs>
          <w:tab w:val="right" w:leader="dot" w:pos="9638"/>
        </w:tabs>
        <w:rPr>
          <w:rFonts w:hint="eastAsia" w:ascii="宋体" w:hAnsi="宋体" w:eastAsia="宋体" w:cs="宋体"/>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_Toc31491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投标邀请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0B677B7">
      <w:pPr>
        <w:pStyle w:val="2"/>
        <w:tabs>
          <w:tab w:val="right" w:leader="dot" w:pos="9638"/>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_Toc13994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_Toc13994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32FCE1B">
      <w:pPr>
        <w:pStyle w:val="2"/>
        <w:tabs>
          <w:tab w:val="right" w:leader="dot" w:pos="9638"/>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9A7AD04">
      <w:pPr>
        <w:pStyle w:val="2"/>
        <w:tabs>
          <w:tab w:val="right" w:leader="dot" w:pos="9638"/>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_Toc25399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第四章  评标方法和标准（</w:t>
      </w:r>
      <w:r>
        <w:rPr>
          <w:rFonts w:hint="eastAsia" w:ascii="宋体" w:hAnsi="宋体" w:eastAsia="宋体" w:cs="宋体"/>
          <w:color w:val="auto"/>
          <w:highlight w:val="none"/>
          <w:lang w:val="en-US" w:eastAsia="zh-CN"/>
        </w:rPr>
        <w:t>综合评分法</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13B6655">
      <w:pPr>
        <w:pStyle w:val="2"/>
        <w:tabs>
          <w:tab w:val="right" w:leader="dot" w:pos="9638"/>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_Toc13856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第五章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BE52AE6">
      <w:pPr>
        <w:pStyle w:val="2"/>
        <w:tabs>
          <w:tab w:val="right" w:leader="dot" w:pos="9638"/>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_Toc21522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E4643E0">
      <w:pPr>
        <w:pStyle w:val="2"/>
        <w:tabs>
          <w:tab w:val="right" w:leader="dot" w:pos="9638"/>
        </w:tabs>
        <w:rPr>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_Toc16620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第七章</w:t>
      </w:r>
      <w:r>
        <w:rPr>
          <w:rFonts w:hint="eastAsia" w:ascii="宋体" w:hAnsi="宋体" w:eastAsia="宋体" w:cs="宋体"/>
          <w:bCs/>
          <w:color w:val="auto"/>
          <w:highlight w:val="none"/>
        </w:rPr>
        <w:t xml:space="preserve">  政府采购</w:t>
      </w:r>
      <w:r>
        <w:rPr>
          <w:rFonts w:hint="eastAsia" w:ascii="宋体" w:hAnsi="宋体" w:eastAsia="宋体" w:cs="宋体"/>
          <w:color w:val="auto"/>
          <w:highlight w:val="none"/>
        </w:rPr>
        <w:t>供应</w:t>
      </w:r>
      <w:r>
        <w:rPr>
          <w:rFonts w:hint="eastAsia" w:ascii="宋体" w:hAnsi="宋体" w:eastAsia="宋体" w:cs="宋体"/>
          <w:bCs/>
          <w:color w:val="auto"/>
          <w:highlight w:val="none"/>
        </w:rPr>
        <w:t>商询问函和质疑函范本</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7</w:t>
      </w:r>
    </w:p>
    <w:p w14:paraId="07316038">
      <w:pPr>
        <w:pStyle w:val="2"/>
        <w:tabs>
          <w:tab w:val="right" w:leader="dot" w:pos="8306"/>
        </w:tabs>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262FA9F0">
      <w:pPr>
        <w:spacing w:line="360" w:lineRule="auto"/>
        <w:rPr>
          <w:rFonts w:hint="eastAsia" w:ascii="宋体" w:hAnsi="宋体" w:eastAsia="宋体" w:cs="宋体"/>
          <w:b/>
          <w:color w:val="auto"/>
          <w:sz w:val="32"/>
          <w:highlight w:val="none"/>
        </w:rPr>
      </w:pPr>
    </w:p>
    <w:p w14:paraId="2C2B00AA">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553F22DC">
      <w:pPr>
        <w:pStyle w:val="3"/>
        <w:pageBreakBefore w:val="0"/>
        <w:tabs>
          <w:tab w:val="left" w:pos="0"/>
          <w:tab w:val="left" w:pos="3165"/>
          <w:tab w:val="center" w:pos="4153"/>
        </w:tabs>
        <w:kinsoku/>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color w:val="auto"/>
          <w:sz w:val="28"/>
          <w:highlight w:val="none"/>
        </w:rPr>
      </w:pPr>
      <w:bookmarkStart w:id="1" w:name="_Toc31491"/>
      <w:r>
        <w:rPr>
          <w:rFonts w:hint="eastAsia" w:ascii="宋体" w:hAnsi="宋体" w:eastAsia="宋体" w:cs="宋体"/>
          <w:color w:val="auto"/>
          <w:sz w:val="28"/>
          <w:highlight w:val="none"/>
        </w:rPr>
        <w:t xml:space="preserve">第一章  </w:t>
      </w:r>
      <w:bookmarkStart w:id="2" w:name="_Toc35393790"/>
      <w:bookmarkStart w:id="3" w:name="_Toc28359002"/>
      <w:bookmarkStart w:id="4" w:name="_Toc28359079"/>
      <w:bookmarkStart w:id="5" w:name="_Toc35393621"/>
      <w:bookmarkStart w:id="6" w:name="_Hlk24379207"/>
      <w:r>
        <w:rPr>
          <w:rFonts w:hint="eastAsia" w:ascii="宋体" w:hAnsi="宋体" w:eastAsia="宋体" w:cs="宋体"/>
          <w:color w:val="auto"/>
          <w:sz w:val="28"/>
          <w:highlight w:val="none"/>
        </w:rPr>
        <w:t>投标邀请</w:t>
      </w:r>
      <w:bookmarkEnd w:id="1"/>
    </w:p>
    <w:p w14:paraId="77AD9E8F">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00832C6">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2025年滁州市农村公路自动化检测项目</w:t>
      </w:r>
      <w:r>
        <w:rPr>
          <w:rFonts w:hint="eastAsia" w:ascii="宋体" w:hAnsi="宋体" w:eastAsia="宋体" w:cs="宋体"/>
          <w:color w:val="auto"/>
          <w:sz w:val="24"/>
          <w:szCs w:val="24"/>
          <w:highlight w:val="none"/>
        </w:rPr>
        <w:t>的潜在供应商应在滁州市公共资源交易中心网（http：//ggzy.chuzhou.gov.cn/）获取招标文件，并于</w:t>
      </w:r>
      <w:r>
        <w:rPr>
          <w:rFonts w:hint="eastAsia" w:ascii="宋体" w:hAnsi="宋体" w:eastAsia="宋体" w:cs="宋体"/>
          <w:color w:val="auto"/>
          <w:sz w:val="24"/>
          <w:szCs w:val="24"/>
          <w:highlight w:val="none"/>
          <w:lang w:eastAsia="zh-CN"/>
        </w:rPr>
        <w:t>2025年8月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8点00分（北京时间）前递交投标文件。</w:t>
      </w:r>
    </w:p>
    <w:p w14:paraId="460D8BEC">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7" w:name="_Toc24990"/>
      <w:r>
        <w:rPr>
          <w:rFonts w:hint="eastAsia" w:ascii="宋体" w:hAnsi="宋体" w:eastAsia="宋体" w:cs="宋体"/>
          <w:b/>
          <w:bCs/>
          <w:color w:val="auto"/>
          <w:sz w:val="24"/>
          <w:szCs w:val="24"/>
          <w:highlight w:val="none"/>
        </w:rPr>
        <w:t>一、项目基本情况</w:t>
      </w:r>
      <w:bookmarkEnd w:id="2"/>
      <w:bookmarkEnd w:id="3"/>
      <w:bookmarkEnd w:id="4"/>
      <w:bookmarkEnd w:id="5"/>
      <w:bookmarkEnd w:id="7"/>
    </w:p>
    <w:p w14:paraId="32E816C1">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czsjcg202508-013</w:t>
      </w:r>
    </w:p>
    <w:p w14:paraId="511827FA">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End w:id="6"/>
      <w:r>
        <w:rPr>
          <w:rFonts w:hint="eastAsia" w:ascii="宋体" w:hAnsi="宋体" w:eastAsia="宋体" w:cs="宋体"/>
          <w:color w:val="auto"/>
          <w:sz w:val="24"/>
          <w:szCs w:val="24"/>
          <w:highlight w:val="none"/>
          <w:lang w:eastAsia="zh-CN"/>
        </w:rPr>
        <w:t>2025年滁州市农村公路自动化检测项目</w:t>
      </w:r>
    </w:p>
    <w:p w14:paraId="3E632DAB">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2230000.00元（其中第1包：133万元，第2包：90万元）</w:t>
      </w:r>
    </w:p>
    <w:p w14:paraId="10B0E00C">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2230000.00元（其中第1包：133万元，第2包：90万元）</w:t>
      </w:r>
      <w:r>
        <w:rPr>
          <w:rFonts w:hint="eastAsia" w:ascii="宋体" w:hAnsi="宋体" w:eastAsia="宋体" w:cs="宋体"/>
          <w:color w:val="auto"/>
          <w:sz w:val="24"/>
          <w:szCs w:val="24"/>
          <w:highlight w:val="none"/>
        </w:rPr>
        <w:t>，投标报价高于最高限价的，其投标文件按无效投标处理。</w:t>
      </w:r>
    </w:p>
    <w:p w14:paraId="53829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采购需求：第1包</w:t>
      </w:r>
      <w:r>
        <w:rPr>
          <w:rFonts w:hint="eastAsia" w:ascii="宋体" w:hAnsi="宋体" w:eastAsia="宋体" w:cs="宋体"/>
          <w:color w:val="auto"/>
          <w:sz w:val="24"/>
          <w:szCs w:val="24"/>
          <w:highlight w:val="none"/>
          <w:lang w:val="en-US" w:eastAsia="zh-CN"/>
        </w:rPr>
        <w:t>为南谯区、琅琊区、来安县、全椒县、明光市、天长市自动化检测，11089.543公里；第2包为定远县、凤阳县自动化检测和数据更新，6898.302公里。</w:t>
      </w:r>
    </w:p>
    <w:p w14:paraId="13A4F2D2">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自合同签订之日起90个日历天内完成</w:t>
      </w:r>
      <w:r>
        <w:rPr>
          <w:rFonts w:hint="eastAsia" w:ascii="宋体" w:hAnsi="宋体" w:eastAsia="宋体" w:cs="宋体"/>
          <w:color w:val="auto"/>
          <w:sz w:val="24"/>
          <w:szCs w:val="24"/>
          <w:highlight w:val="none"/>
        </w:rPr>
        <w:t>。</w:t>
      </w:r>
    </w:p>
    <w:p w14:paraId="35AE6458">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1B3FF56E">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8" w:name="_Toc28039"/>
      <w:bookmarkStart w:id="9" w:name="_Toc28359003"/>
      <w:bookmarkStart w:id="10" w:name="_Toc35393791"/>
      <w:bookmarkStart w:id="11" w:name="_Toc35393622"/>
      <w:bookmarkStart w:id="12" w:name="_Toc28359080"/>
      <w:r>
        <w:rPr>
          <w:rFonts w:hint="eastAsia" w:ascii="宋体" w:hAnsi="宋体" w:eastAsia="宋体" w:cs="宋体"/>
          <w:b/>
          <w:bCs/>
          <w:color w:val="auto"/>
          <w:sz w:val="24"/>
          <w:szCs w:val="24"/>
          <w:highlight w:val="none"/>
        </w:rPr>
        <w:t>二、申请人的资格要求：</w:t>
      </w:r>
      <w:bookmarkEnd w:id="8"/>
      <w:bookmarkEnd w:id="9"/>
      <w:bookmarkEnd w:id="10"/>
      <w:bookmarkEnd w:id="11"/>
      <w:bookmarkEnd w:id="12"/>
    </w:p>
    <w:p w14:paraId="42B9F0B4">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05400FF">
      <w:pPr>
        <w:pStyle w:val="26"/>
        <w:pageBreakBefore w:val="0"/>
        <w:kinsoku/>
        <w:overflowPunct/>
        <w:topLinePunct w:val="0"/>
        <w:bidi w:val="0"/>
        <w:snapToGrid/>
        <w:spacing w:before="0" w:beforeAutospacing="0" w:after="0" w:afterAutospacing="0" w:line="360" w:lineRule="auto"/>
        <w:ind w:firstLine="480" w:firstLineChars="200"/>
        <w:textAlignment w:val="auto"/>
        <w:rPr>
          <w:rFonts w:hint="eastAsia" w:ascii="宋体" w:hAnsi="宋体" w:eastAsia="宋体" w:cs="宋体"/>
          <w:color w:val="auto"/>
          <w:kern w:val="2"/>
          <w:szCs w:val="24"/>
          <w:highlight w:val="none"/>
          <w:lang w:eastAsia="zh-CN"/>
        </w:rPr>
      </w:pPr>
      <w:bookmarkStart w:id="13" w:name="_Toc28359004"/>
      <w:bookmarkStart w:id="14" w:name="_Toc28359081"/>
      <w:r>
        <w:rPr>
          <w:rFonts w:hint="eastAsia" w:ascii="宋体" w:hAnsi="宋体" w:eastAsia="宋体" w:cs="宋体"/>
          <w:color w:val="auto"/>
          <w:szCs w:val="24"/>
          <w:highlight w:val="none"/>
        </w:rPr>
        <w:t>2.落实政府采购政策需满足的资格要求：</w:t>
      </w:r>
      <w:r>
        <w:rPr>
          <w:rFonts w:hint="eastAsia" w:ascii="宋体" w:hAnsi="宋体" w:eastAsia="宋体" w:cs="宋体"/>
          <w:color w:val="auto"/>
          <w:kern w:val="2"/>
          <w:szCs w:val="24"/>
          <w:highlight w:val="none"/>
          <w:lang w:eastAsia="zh-CN"/>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60FE2CF0">
      <w:pPr>
        <w:pageBreakBefore w:val="0"/>
        <w:kinsoku/>
        <w:overflowPunct/>
        <w:topLinePunct w:val="0"/>
        <w:bidi w:val="0"/>
        <w:snapToGrid/>
        <w:spacing w:line="360" w:lineRule="auto"/>
        <w:ind w:firstLine="480" w:firstLineChars="200"/>
        <w:textAlignment w:val="auto"/>
        <w:rPr>
          <w:color w:val="auto"/>
          <w:sz w:val="28"/>
          <w:szCs w:val="28"/>
          <w:highlight w:val="none"/>
        </w:rPr>
      </w:pPr>
      <w:r>
        <w:rPr>
          <w:rFonts w:hint="eastAsia" w:ascii="宋体" w:hAnsi="宋体" w:eastAsia="宋体" w:cs="宋体"/>
          <w:color w:val="auto"/>
          <w:kern w:val="2"/>
          <w:sz w:val="24"/>
          <w:szCs w:val="24"/>
          <w:highlight w:val="none"/>
          <w:lang w:val="en-US" w:eastAsia="zh-CN" w:bidi="ar-SA"/>
        </w:rPr>
        <w:t>3.本项目的特定资格要求：第1包、第2包：具有有效的公路水运工程试验检测机构等级证书（公路工程综合甲级或公路工程甲级）；拟派项目负责人资格要求：具备试验检测师或检测工程师证书（公路工程相关专业）；</w:t>
      </w:r>
    </w:p>
    <w:p w14:paraId="168353DC">
      <w:pPr>
        <w:pageBreakBefore w:val="0"/>
        <w:kinsoku/>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4.信誉要求：投标人不得存在以下情形：</w:t>
      </w:r>
    </w:p>
    <w:p w14:paraId="3C53A371">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15" w:name="_Toc35393792"/>
      <w:bookmarkStart w:id="16" w:name="_Toc35393623"/>
      <w:r>
        <w:rPr>
          <w:rFonts w:hint="eastAsia" w:ascii="宋体" w:hAnsi="宋体" w:eastAsia="宋体" w:cs="宋体"/>
          <w:color w:val="auto"/>
          <w:sz w:val="24"/>
          <w:szCs w:val="24"/>
          <w:highlight w:val="none"/>
        </w:rPr>
        <w:t>①被列入“信用中国”网站“失信被执行人”的；</w:t>
      </w:r>
    </w:p>
    <w:p w14:paraId="0A8C1766">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②被列入“信用中国”网站“重大税收违法失信主体”的；</w:t>
      </w:r>
    </w:p>
    <w:p w14:paraId="1F0068A8">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③被列入“信用中国”网站 “严重失信主体名单”的；</w:t>
      </w:r>
    </w:p>
    <w:p w14:paraId="4D2964CF">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④在“信用中国”网站上披露的仍在公示期的严重失信行为(具体行为类别及判定依据见“信用中国”查询的严重失信行为类别及判定依据)的；</w:t>
      </w:r>
    </w:p>
    <w:p w14:paraId="30A2E274">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⑤被列入国家企业信用信息公示系统网站“经营异常名录”或者“严重违法失信名单”的。</w:t>
      </w:r>
    </w:p>
    <w:p w14:paraId="091037A6">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⑥被列入中国政府采购网站“政府采购严重违法失信行为信息记录”的；</w:t>
      </w:r>
    </w:p>
    <w:p w14:paraId="525C4F2E">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⑦前三年有行贿犯罪行为的单位和个人。</w:t>
      </w:r>
    </w:p>
    <w:p w14:paraId="3B96244B">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5.投标人所属分公司、办事处等分支机构存在第4款信誉要求①-⑦项情形之一的，接受投标人参加本项目。</w:t>
      </w:r>
    </w:p>
    <w:p w14:paraId="2DBA2571">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备注：第4、5条按照“关于联合惩戒失信行为加强信用查询管理的通知”查询或承诺。</w:t>
      </w:r>
    </w:p>
    <w:p w14:paraId="197328E7">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17" w:name="_Toc1934"/>
      <w:r>
        <w:rPr>
          <w:rFonts w:hint="eastAsia" w:ascii="宋体" w:hAnsi="宋体" w:eastAsia="宋体" w:cs="宋体"/>
          <w:b/>
          <w:bCs/>
          <w:color w:val="auto"/>
          <w:sz w:val="24"/>
          <w:szCs w:val="24"/>
          <w:highlight w:val="none"/>
        </w:rPr>
        <w:t>三、获取招标文件</w:t>
      </w:r>
      <w:bookmarkEnd w:id="13"/>
      <w:bookmarkEnd w:id="14"/>
      <w:bookmarkEnd w:id="15"/>
      <w:bookmarkEnd w:id="16"/>
      <w:bookmarkEnd w:id="17"/>
    </w:p>
    <w:p w14:paraId="0F90724D">
      <w:pPr>
        <w:pageBreakBefore w:val="0"/>
        <w:kinsoku/>
        <w:overflowPunct/>
        <w:topLinePunct w:val="0"/>
        <w:bidi w:val="0"/>
        <w:snapToGrid/>
        <w:spacing w:line="360" w:lineRule="auto"/>
        <w:ind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2025年8月</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iCs/>
          <w:color w:val="auto"/>
          <w:sz w:val="24"/>
          <w:szCs w:val="24"/>
          <w:highlight w:val="none"/>
          <w:u w:val="single"/>
        </w:rPr>
        <w:t>（提供期限自本公告发布之日起不得少于5个工作日）</w:t>
      </w:r>
    </w:p>
    <w:p w14:paraId="6854BAF7">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地点：滁州市公共资源交易中心网</w:t>
      </w:r>
    </w:p>
    <w:p w14:paraId="125EF3D1">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方式：网上下载</w:t>
      </w:r>
    </w:p>
    <w:p w14:paraId="5B037AF6">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5BB2F990">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18" w:name="_Toc28359082"/>
      <w:bookmarkStart w:id="19" w:name="_Toc28359005"/>
      <w:bookmarkStart w:id="20" w:name="_Toc18791"/>
      <w:bookmarkStart w:id="21" w:name="_Toc35393624"/>
      <w:bookmarkStart w:id="22" w:name="_Toc35393793"/>
      <w:r>
        <w:rPr>
          <w:rFonts w:hint="eastAsia" w:ascii="宋体" w:hAnsi="宋体" w:eastAsia="宋体" w:cs="宋体"/>
          <w:b/>
          <w:bCs/>
          <w:color w:val="auto"/>
          <w:sz w:val="24"/>
          <w:szCs w:val="24"/>
          <w:highlight w:val="none"/>
        </w:rPr>
        <w:t>四、提交投标文件</w:t>
      </w:r>
      <w:bookmarkEnd w:id="18"/>
      <w:bookmarkEnd w:id="19"/>
      <w:r>
        <w:rPr>
          <w:rFonts w:hint="eastAsia" w:ascii="宋体" w:hAnsi="宋体" w:eastAsia="宋体" w:cs="宋体"/>
          <w:b/>
          <w:bCs/>
          <w:color w:val="auto"/>
          <w:sz w:val="24"/>
          <w:szCs w:val="24"/>
          <w:highlight w:val="none"/>
        </w:rPr>
        <w:t>截止时间、开标时间和地点</w:t>
      </w:r>
      <w:bookmarkEnd w:id="20"/>
      <w:bookmarkEnd w:id="21"/>
      <w:bookmarkEnd w:id="22"/>
    </w:p>
    <w:p w14:paraId="06C60789">
      <w:pPr>
        <w:pageBreakBefore w:val="0"/>
        <w:kinsoku/>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lang w:eastAsia="zh-CN"/>
        </w:rPr>
        <w:t>2025年8月</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bCs/>
          <w:color w:val="auto"/>
          <w:sz w:val="24"/>
          <w:szCs w:val="24"/>
          <w:highlight w:val="none"/>
          <w:u w:val="single"/>
        </w:rPr>
        <w:t>08点00分</w:t>
      </w:r>
      <w:r>
        <w:rPr>
          <w:rFonts w:hint="eastAsia" w:ascii="宋体" w:hAnsi="宋体" w:eastAsia="宋体" w:cs="宋体"/>
          <w:bCs/>
          <w:color w:val="auto"/>
          <w:sz w:val="24"/>
          <w:szCs w:val="24"/>
          <w:highlight w:val="none"/>
        </w:rPr>
        <w:t>（北京时间）</w:t>
      </w:r>
      <w:r>
        <w:rPr>
          <w:rFonts w:hint="eastAsia" w:ascii="宋体" w:hAnsi="宋体" w:eastAsia="宋体" w:cs="宋体"/>
          <w:iCs/>
          <w:color w:val="auto"/>
          <w:sz w:val="24"/>
          <w:szCs w:val="24"/>
          <w:highlight w:val="none"/>
          <w:u w:val="single"/>
        </w:rPr>
        <w:t>（自招标文件开始发出之日起至供应商提交投标文件截止之日止，不得少于20日）</w:t>
      </w:r>
    </w:p>
    <w:p w14:paraId="6D49C86F">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rPr>
        <w:t>滁州市公共资源交易中心网</w:t>
      </w:r>
    </w:p>
    <w:p w14:paraId="0E97FCB7">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23" w:name="_Toc35393625"/>
      <w:bookmarkStart w:id="24" w:name="_Toc35393794"/>
      <w:bookmarkStart w:id="25" w:name="_Toc14464"/>
      <w:bookmarkStart w:id="26" w:name="_Toc28359084"/>
      <w:bookmarkStart w:id="27" w:name="_Toc28359007"/>
      <w:r>
        <w:rPr>
          <w:rFonts w:hint="eastAsia" w:ascii="宋体" w:hAnsi="宋体" w:eastAsia="宋体" w:cs="宋体"/>
          <w:b/>
          <w:bCs/>
          <w:color w:val="auto"/>
          <w:sz w:val="24"/>
          <w:szCs w:val="24"/>
          <w:highlight w:val="none"/>
        </w:rPr>
        <w:t>五、公告期限</w:t>
      </w:r>
      <w:bookmarkEnd w:id="23"/>
      <w:bookmarkEnd w:id="24"/>
      <w:bookmarkEnd w:id="25"/>
      <w:bookmarkEnd w:id="26"/>
      <w:bookmarkEnd w:id="27"/>
    </w:p>
    <w:p w14:paraId="08E66F8F">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69A40173">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28" w:name="_Toc24565"/>
      <w:r>
        <w:rPr>
          <w:rFonts w:hint="eastAsia" w:ascii="宋体" w:hAnsi="宋体" w:eastAsia="宋体" w:cs="宋体"/>
          <w:b/>
          <w:bCs/>
          <w:color w:val="auto"/>
          <w:sz w:val="24"/>
          <w:szCs w:val="24"/>
          <w:highlight w:val="none"/>
        </w:rPr>
        <w:t>六、投标保证金金额及缴纳账户</w:t>
      </w:r>
      <w:bookmarkEnd w:id="28"/>
    </w:p>
    <w:p w14:paraId="27C1E764">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29" w:name="_Toc35393795"/>
      <w:bookmarkStart w:id="30" w:name="_Toc35393626"/>
      <w:r>
        <w:rPr>
          <w:rFonts w:hint="eastAsia" w:ascii="宋体" w:hAnsi="宋体" w:eastAsia="宋体" w:cs="宋体"/>
          <w:color w:val="auto"/>
          <w:sz w:val="24"/>
          <w:szCs w:val="24"/>
          <w:highlight w:val="none"/>
        </w:rPr>
        <w:t>是否要求投标人提交投标保证金：不要求。</w:t>
      </w:r>
    </w:p>
    <w:p w14:paraId="2E6F842E">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31" w:name="_Toc4931"/>
      <w:r>
        <w:rPr>
          <w:rFonts w:hint="eastAsia" w:ascii="宋体" w:hAnsi="宋体" w:eastAsia="宋体" w:cs="宋体"/>
          <w:b/>
          <w:bCs/>
          <w:color w:val="auto"/>
          <w:sz w:val="24"/>
          <w:szCs w:val="24"/>
          <w:highlight w:val="none"/>
        </w:rPr>
        <w:t>七、其他补充事宜</w:t>
      </w:r>
      <w:bookmarkEnd w:id="29"/>
      <w:bookmarkEnd w:id="30"/>
      <w:bookmarkEnd w:id="31"/>
    </w:p>
    <w:p w14:paraId="25D4D1E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w:t>
      </w:r>
    </w:p>
    <w:p w14:paraId="5967F04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服务电话：①安徽省公共资源交易市场主体库使用相关问题（系统登录、信息登记、录入及提交、数字证书关联等）：010-86483801转5-2；②CA数字证书有关问题：安徽CA客服400-880-4959、0550-3019013（工作日），CFCA客服025-66085508 、0550-3801669（工作日）；③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C365DD2">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2.请投标人登录滁州市公共资源交易中心网站查看参加本项目的程序（具体操作步骤和程序请参见服务指南&lt;交易须知&gt;投标人填写投标信息、下载文件及网上提问操作手册）。</w:t>
      </w:r>
    </w:p>
    <w:p w14:paraId="0D079F12">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F4F282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7F400EB3">
      <w:pPr>
        <w:pageBreakBefore w:val="0"/>
        <w:kinsoku/>
        <w:overflowPunct/>
        <w:topLinePunct w:val="0"/>
        <w:bidi w:val="0"/>
        <w:snapToGrid/>
        <w:spacing w:line="360" w:lineRule="auto"/>
        <w:ind w:firstLine="437"/>
        <w:textAlignment w:val="auto"/>
        <w:outlineLvl w:val="1"/>
        <w:rPr>
          <w:rFonts w:hint="eastAsia" w:ascii="宋体" w:hAnsi="宋体" w:eastAsia="宋体" w:cs="宋体"/>
          <w:b/>
          <w:bCs/>
          <w:color w:val="auto"/>
          <w:sz w:val="24"/>
          <w:szCs w:val="24"/>
          <w:highlight w:val="none"/>
        </w:rPr>
      </w:pPr>
      <w:bookmarkStart w:id="32" w:name="_Toc9350"/>
      <w:r>
        <w:rPr>
          <w:rFonts w:hint="eastAsia" w:ascii="宋体" w:hAnsi="宋体" w:eastAsia="宋体" w:cs="宋体"/>
          <w:b/>
          <w:bCs/>
          <w:color w:val="auto"/>
          <w:sz w:val="24"/>
          <w:szCs w:val="24"/>
          <w:highlight w:val="none"/>
        </w:rPr>
        <w:t>八、对本次招标提出询问，请按以下方式联系</w:t>
      </w:r>
      <w:bookmarkEnd w:id="32"/>
    </w:p>
    <w:p w14:paraId="1BC9FD5C">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629FCD6D">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滁州市交通运输局</w:t>
      </w:r>
    </w:p>
    <w:p w14:paraId="5447D659">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滁州市龙蟠大道200号</w:t>
      </w:r>
    </w:p>
    <w:p w14:paraId="063FF7C0">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蒋龙</w:t>
      </w:r>
    </w:p>
    <w:p w14:paraId="41BD72AF">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 xml:space="preserve">0550-3218758 </w:t>
      </w:r>
    </w:p>
    <w:p w14:paraId="5A37347A">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7F2F02CD">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滁州市城投工程咨询管理有限公司</w:t>
      </w:r>
    </w:p>
    <w:p w14:paraId="60E9D7E2">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滁州市龙蟠大道109号房产大厦6楼</w:t>
      </w:r>
    </w:p>
    <w:p w14:paraId="01A8FAC9">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曹思敏</w:t>
      </w:r>
    </w:p>
    <w:p w14:paraId="2376F7CD">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0550-3519516、18712012204</w:t>
      </w:r>
    </w:p>
    <w:p w14:paraId="42AA9DFF">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3.政府采购监督管理部门信息</w:t>
      </w:r>
    </w:p>
    <w:p w14:paraId="60639403">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滁州市公共资源交易监督管理局</w:t>
      </w:r>
    </w:p>
    <w:p w14:paraId="5718632B">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滁州市龙蟠大道109号房产大厦三楼</w:t>
      </w:r>
    </w:p>
    <w:p w14:paraId="4396A1AA">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0550-3801656</w:t>
      </w:r>
    </w:p>
    <w:p w14:paraId="055BBD7C">
      <w:pPr>
        <w:ind w:firstLine="480" w:firstLineChars="200"/>
        <w:jc w:val="left"/>
        <w:rPr>
          <w:rFonts w:hint="eastAsia" w:ascii="宋体" w:hAnsi="宋体" w:eastAsia="宋体" w:cs="宋体"/>
          <w:color w:val="auto"/>
          <w:sz w:val="24"/>
          <w:szCs w:val="18"/>
          <w:highlight w:val="none"/>
          <w:u w:val="single"/>
        </w:rPr>
      </w:pPr>
    </w:p>
    <w:p w14:paraId="193E16EE">
      <w:pPr>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520A13A1">
      <w:pPr>
        <w:spacing w:line="360" w:lineRule="auto"/>
        <w:jc w:val="center"/>
        <w:outlineLvl w:val="0"/>
        <w:rPr>
          <w:rFonts w:hint="eastAsia" w:ascii="宋体" w:hAnsi="宋体" w:eastAsia="宋体" w:cs="宋体"/>
          <w:b/>
          <w:color w:val="auto"/>
          <w:sz w:val="28"/>
          <w:highlight w:val="none"/>
        </w:rPr>
      </w:pPr>
      <w:bookmarkStart w:id="33" w:name="_Toc13994"/>
      <w:r>
        <w:rPr>
          <w:rFonts w:hint="eastAsia" w:ascii="宋体" w:hAnsi="宋体" w:eastAsia="宋体" w:cs="宋体"/>
          <w:b/>
          <w:color w:val="auto"/>
          <w:sz w:val="28"/>
          <w:highlight w:val="none"/>
        </w:rPr>
        <w:t>第二章  投标人须知</w:t>
      </w:r>
      <w:bookmarkEnd w:id="33"/>
    </w:p>
    <w:p w14:paraId="3DF411CE">
      <w:pPr>
        <w:spacing w:line="360" w:lineRule="auto"/>
        <w:jc w:val="center"/>
        <w:outlineLvl w:val="1"/>
        <w:rPr>
          <w:rFonts w:hint="eastAsia" w:ascii="宋体" w:hAnsi="宋体" w:eastAsia="宋体" w:cs="宋体"/>
          <w:b/>
          <w:color w:val="auto"/>
          <w:sz w:val="24"/>
          <w:highlight w:val="none"/>
        </w:rPr>
      </w:pPr>
      <w:bookmarkStart w:id="34" w:name="_Toc7178"/>
      <w:bookmarkStart w:id="35" w:name="_Toc13589"/>
      <w:bookmarkStart w:id="36" w:name="_Toc6177"/>
      <w:r>
        <w:rPr>
          <w:rFonts w:hint="eastAsia" w:ascii="宋体" w:hAnsi="宋体" w:eastAsia="宋体" w:cs="宋体"/>
          <w:b/>
          <w:color w:val="auto"/>
          <w:sz w:val="24"/>
          <w:highlight w:val="none"/>
        </w:rPr>
        <w:t>一、投标人须知前附表</w:t>
      </w:r>
      <w:bookmarkEnd w:id="34"/>
      <w:bookmarkEnd w:id="35"/>
      <w:bookmarkEnd w:id="36"/>
    </w:p>
    <w:p w14:paraId="0AE9F5B2">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9"/>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3"/>
        <w:gridCol w:w="5621"/>
      </w:tblGrid>
      <w:tr w14:paraId="5ABA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057A7B6">
            <w:pPr>
              <w:pStyle w:val="48"/>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74" w:type="pct"/>
            <w:vAlign w:val="center"/>
          </w:tcPr>
          <w:p w14:paraId="3A2CD178">
            <w:pPr>
              <w:pStyle w:val="48"/>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246" w:type="pct"/>
            <w:vAlign w:val="center"/>
          </w:tcPr>
          <w:p w14:paraId="276CCF90">
            <w:pPr>
              <w:pStyle w:val="48"/>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052D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0E2EA97">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1174" w:type="pct"/>
            <w:vAlign w:val="center"/>
          </w:tcPr>
          <w:p w14:paraId="6AF4AF25">
            <w:pPr>
              <w:pStyle w:val="48"/>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kern w:val="2"/>
                <w:sz w:val="24"/>
                <w:szCs w:val="22"/>
                <w:highlight w:val="none"/>
              </w:rPr>
              <w:t>现场考察或标前答疑会</w:t>
            </w:r>
          </w:p>
        </w:tc>
        <w:tc>
          <w:tcPr>
            <w:tcW w:w="3246" w:type="pct"/>
            <w:vAlign w:val="center"/>
          </w:tcPr>
          <w:p w14:paraId="1ACC0E7D">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36DD95A2">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51DC761D">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分</w:t>
            </w:r>
          </w:p>
          <w:p w14:paraId="0B3239F6">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w:t>
            </w:r>
          </w:p>
          <w:p w14:paraId="7DB66211">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w:t>
            </w:r>
          </w:p>
          <w:p w14:paraId="2CE8EB7D">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3354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76ECC46">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1174" w:type="pct"/>
            <w:vAlign w:val="center"/>
          </w:tcPr>
          <w:p w14:paraId="10031B52">
            <w:pPr>
              <w:pStyle w:val="48"/>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bidi="ar"/>
              </w:rPr>
              <w:t>网上询问截止时间</w:t>
            </w:r>
          </w:p>
        </w:tc>
        <w:tc>
          <w:tcPr>
            <w:tcW w:w="3246" w:type="pct"/>
            <w:vAlign w:val="center"/>
          </w:tcPr>
          <w:p w14:paraId="2EDAE4E4">
            <w:pPr>
              <w:widowControl/>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lang w:eastAsia="zh-CN"/>
              </w:rPr>
              <w:t>月</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u w:val="single"/>
              </w:rPr>
              <w:t>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w:t>
            </w:r>
          </w:p>
        </w:tc>
      </w:tr>
      <w:tr w14:paraId="32B6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701A626">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1174" w:type="pct"/>
            <w:vAlign w:val="center"/>
          </w:tcPr>
          <w:p w14:paraId="63E50A7C">
            <w:pPr>
              <w:pStyle w:val="48"/>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246" w:type="pct"/>
            <w:vAlign w:val="center"/>
          </w:tcPr>
          <w:p w14:paraId="246AFC21">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 xml:space="preserve">不分包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分为</w:t>
            </w:r>
            <w:r>
              <w:rPr>
                <w:rFonts w:hint="eastAsia" w:ascii="宋体" w:hAnsi="宋体" w:eastAsia="宋体" w:cs="宋体"/>
                <w:b w:val="0"/>
                <w:color w:val="auto"/>
                <w:sz w:val="24"/>
                <w:highlight w:val="none"/>
                <w:lang w:val="en-US" w:eastAsia="zh-CN"/>
              </w:rPr>
              <w:t>2</w:t>
            </w:r>
            <w:r>
              <w:rPr>
                <w:rFonts w:hint="eastAsia" w:ascii="宋体" w:hAnsi="宋体" w:eastAsia="宋体" w:cs="宋体"/>
                <w:b w:val="0"/>
                <w:color w:val="auto"/>
                <w:sz w:val="24"/>
                <w:highlight w:val="none"/>
              </w:rPr>
              <w:t>个包</w:t>
            </w:r>
          </w:p>
          <w:p w14:paraId="1E2E476D">
            <w:pPr>
              <w:pStyle w:val="48"/>
              <w:widowControl w:val="0"/>
              <w:spacing w:before="0" w:beforeAutospacing="0" w:after="0" w:afterAutospacing="0" w:line="440" w:lineRule="exact"/>
              <w:jc w:val="both"/>
              <w:rPr>
                <w:rFonts w:hint="eastAsia" w:ascii="宋体" w:hAnsi="宋体" w:eastAsia="宋体" w:cs="宋体"/>
                <w:b w:val="0"/>
                <w:color w:val="auto"/>
                <w:kern w:val="2"/>
                <w:sz w:val="24"/>
                <w:szCs w:val="20"/>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kern w:val="2"/>
                <w:sz w:val="24"/>
                <w:szCs w:val="20"/>
                <w:highlight w:val="none"/>
                <w:u w:val="single"/>
                <w:lang w:val="en-US" w:eastAsia="zh-CN"/>
              </w:rPr>
              <w:t>投标人可同时投两个包，但按评标顺序（先评第1包，再评第2包） 成为第1包的第一中标候选人，不能成为第2包的第一中标候选人。</w:t>
            </w:r>
          </w:p>
        </w:tc>
      </w:tr>
      <w:tr w14:paraId="252B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9" w:type="pct"/>
            <w:vAlign w:val="center"/>
          </w:tcPr>
          <w:p w14:paraId="03A6BCFF">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1174" w:type="pct"/>
            <w:vAlign w:val="center"/>
          </w:tcPr>
          <w:p w14:paraId="1EB7DCEC">
            <w:pPr>
              <w:pStyle w:val="48"/>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246" w:type="pct"/>
            <w:vAlign w:val="center"/>
          </w:tcPr>
          <w:p w14:paraId="7BF8D206">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415C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0535464">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1174" w:type="pct"/>
            <w:vAlign w:val="center"/>
          </w:tcPr>
          <w:p w14:paraId="2C0C40B9">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246" w:type="pct"/>
            <w:vAlign w:val="center"/>
          </w:tcPr>
          <w:p w14:paraId="16224FB0">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90</w:t>
            </w:r>
            <w:r>
              <w:rPr>
                <w:rFonts w:hint="eastAsia" w:ascii="宋体" w:hAnsi="宋体" w:eastAsia="宋体" w:cs="宋体"/>
                <w:b w:val="0"/>
                <w:color w:val="auto"/>
                <w:sz w:val="24"/>
                <w:highlight w:val="none"/>
              </w:rPr>
              <w:t>日历日</w:t>
            </w:r>
          </w:p>
        </w:tc>
      </w:tr>
      <w:tr w14:paraId="7C26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5537551">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13.1</w:t>
            </w:r>
          </w:p>
        </w:tc>
        <w:tc>
          <w:tcPr>
            <w:tcW w:w="1174" w:type="pct"/>
            <w:vAlign w:val="center"/>
          </w:tcPr>
          <w:p w14:paraId="207A1E42">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3246" w:type="pct"/>
            <w:vAlign w:val="center"/>
          </w:tcPr>
          <w:p w14:paraId="2141DF19">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color w:val="auto"/>
                <w:sz w:val="24"/>
                <w:highlight w:val="none"/>
              </w:rPr>
              <w:t>投标截止时间后</w:t>
            </w:r>
            <w:r>
              <w:rPr>
                <w:rFonts w:hint="eastAsia" w:ascii="宋体" w:hAnsi="宋体" w:eastAsia="宋体" w:cs="宋体"/>
                <w:bCs/>
                <w:color w:val="auto"/>
                <w:kern w:val="0"/>
                <w:sz w:val="24"/>
                <w:szCs w:val="28"/>
                <w:highlight w:val="none"/>
              </w:rPr>
              <w:t>60分钟内（以本项目网上招投标系统解密倒计时为准）</w:t>
            </w:r>
          </w:p>
        </w:tc>
      </w:tr>
      <w:tr w14:paraId="066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2EF373A">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14.1</w:t>
            </w:r>
          </w:p>
        </w:tc>
        <w:tc>
          <w:tcPr>
            <w:tcW w:w="1174" w:type="pct"/>
            <w:vAlign w:val="center"/>
          </w:tcPr>
          <w:p w14:paraId="678CDF0F">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246" w:type="pct"/>
            <w:vAlign w:val="center"/>
          </w:tcPr>
          <w:p w14:paraId="64B78A1E">
            <w:pPr>
              <w:pStyle w:val="48"/>
              <w:widowControl w:val="0"/>
              <w:spacing w:before="0" w:beforeAutospacing="0" w:after="0" w:afterAutospacing="0" w:line="44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采购人审查</w:t>
            </w:r>
          </w:p>
          <w:p w14:paraId="30C09D4C">
            <w:pPr>
              <w:pStyle w:val="48"/>
              <w:widowControl w:val="0"/>
              <w:spacing w:before="0" w:beforeAutospacing="0" w:after="0" w:afterAutospacing="0" w:line="440" w:lineRule="exact"/>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24F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E46A517">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17.2</w:t>
            </w:r>
          </w:p>
        </w:tc>
        <w:tc>
          <w:tcPr>
            <w:tcW w:w="1174" w:type="pct"/>
            <w:vAlign w:val="center"/>
          </w:tcPr>
          <w:p w14:paraId="2B08501E">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246" w:type="pct"/>
            <w:vAlign w:val="center"/>
          </w:tcPr>
          <w:p w14:paraId="5EBD7F88">
            <w:pPr>
              <w:pStyle w:val="48"/>
              <w:widowControl w:val="0"/>
              <w:spacing w:before="0" w:beforeAutospacing="0" w:after="0" w:afterAutospacing="0" w:line="440" w:lineRule="exact"/>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最低评标价法</w:t>
            </w:r>
          </w:p>
          <w:p w14:paraId="5D52F9DD">
            <w:pPr>
              <w:pStyle w:val="48"/>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lang w:val="en-US" w:eastAsia="zh-CN"/>
              </w:rPr>
              <w:t>综合评分法</w:t>
            </w:r>
          </w:p>
        </w:tc>
      </w:tr>
      <w:tr w14:paraId="4441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EC49DE">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17.3</w:t>
            </w:r>
          </w:p>
        </w:tc>
        <w:tc>
          <w:tcPr>
            <w:tcW w:w="1174" w:type="pct"/>
            <w:vAlign w:val="center"/>
          </w:tcPr>
          <w:p w14:paraId="74CFA714">
            <w:pPr>
              <w:pStyle w:val="48"/>
              <w:widowControl w:val="0"/>
              <w:spacing w:before="0" w:beforeAutospacing="0" w:after="0" w:afterAutospacing="0" w:line="440" w:lineRule="exact"/>
              <w:jc w:val="both"/>
              <w:rPr>
                <w:rFonts w:hint="eastAsia" w:ascii="宋体" w:hAnsi="宋体" w:eastAsia="宋体" w:cs="宋体"/>
                <w:b w:val="0"/>
                <w:i/>
                <w:color w:val="auto"/>
                <w:sz w:val="24"/>
                <w:highlight w:val="none"/>
              </w:rPr>
            </w:pPr>
            <w:r>
              <w:rPr>
                <w:rFonts w:hint="eastAsia" w:ascii="宋体" w:hAnsi="宋体" w:eastAsia="宋体" w:cs="宋体"/>
                <w:b w:val="0"/>
                <w:color w:val="auto"/>
                <w:sz w:val="24"/>
                <w:highlight w:val="none"/>
              </w:rPr>
              <w:t>报价扣除</w:t>
            </w:r>
            <w:r>
              <w:rPr>
                <w:rFonts w:hint="eastAsia" w:ascii="宋体" w:hAnsi="宋体" w:eastAsia="宋体" w:cs="宋体"/>
                <w:b w:val="0"/>
                <w:i/>
                <w:color w:val="auto"/>
                <w:sz w:val="24"/>
                <w:highlight w:val="none"/>
              </w:rPr>
              <w:t>（非专门面向中小企业采购项目适用）</w:t>
            </w:r>
          </w:p>
        </w:tc>
        <w:tc>
          <w:tcPr>
            <w:tcW w:w="3246" w:type="pct"/>
            <w:vAlign w:val="center"/>
          </w:tcPr>
          <w:p w14:paraId="51978359">
            <w:pPr>
              <w:pStyle w:val="48"/>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rPr>
              <w:t>对小型和微型企业的价格给予10%的扣除后参与评审；其评审价=最后投标报价*90%。</w:t>
            </w:r>
          </w:p>
          <w:p w14:paraId="7899898E">
            <w:pPr>
              <w:pStyle w:val="48"/>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3C98F71C">
            <w:pPr>
              <w:pStyle w:val="48"/>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2A52730E">
            <w:pPr>
              <w:pStyle w:val="48"/>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p>
          <w:p w14:paraId="1AA4B6F1">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002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1E76F9F">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1174" w:type="pct"/>
            <w:vAlign w:val="center"/>
          </w:tcPr>
          <w:p w14:paraId="639A38D4">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246" w:type="pct"/>
            <w:vAlign w:val="center"/>
          </w:tcPr>
          <w:p w14:paraId="29339DB3">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671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63E9B57">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1174" w:type="pct"/>
            <w:vAlign w:val="center"/>
          </w:tcPr>
          <w:p w14:paraId="57905A76">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246" w:type="pct"/>
            <w:vAlign w:val="center"/>
          </w:tcPr>
          <w:p w14:paraId="38219AB8">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35EAA381">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184C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3D24096">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1174" w:type="pct"/>
            <w:vAlign w:val="center"/>
          </w:tcPr>
          <w:p w14:paraId="277B0BEB">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3246" w:type="pct"/>
            <w:vAlign w:val="center"/>
          </w:tcPr>
          <w:p w14:paraId="43A357B0">
            <w:pPr>
              <w:pStyle w:val="48"/>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r>
              <w:rPr>
                <w:rFonts w:hint="eastAsia" w:ascii="宋体" w:hAnsi="宋体" w:eastAsia="宋体" w:cs="宋体"/>
                <w:b w:val="0"/>
                <w:i/>
                <w:iCs/>
                <w:color w:val="auto"/>
                <w:sz w:val="24"/>
                <w:highlight w:val="none"/>
                <w:u w:val="none"/>
              </w:rPr>
              <w:t>（如有）</w:t>
            </w:r>
          </w:p>
          <w:p w14:paraId="38513D5C">
            <w:pPr>
              <w:pStyle w:val="48"/>
              <w:widowControl w:val="0"/>
              <w:spacing w:before="0" w:beforeAutospacing="0" w:after="0" w:afterAutospacing="0" w:line="360" w:lineRule="auto"/>
              <w:jc w:val="both"/>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57AB533F">
            <w:pPr>
              <w:pStyle w:val="48"/>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）中标（成交）供应商的评审总得分。</w:t>
            </w:r>
          </w:p>
        </w:tc>
      </w:tr>
      <w:tr w14:paraId="5295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EE18CD">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1174" w:type="pct"/>
            <w:vAlign w:val="center"/>
          </w:tcPr>
          <w:p w14:paraId="2022995E">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246" w:type="pct"/>
            <w:vAlign w:val="center"/>
          </w:tcPr>
          <w:p w14:paraId="222E2B52">
            <w:pPr>
              <w:pStyle w:val="48"/>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010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698FE8D">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1174" w:type="pct"/>
            <w:vAlign w:val="center"/>
          </w:tcPr>
          <w:p w14:paraId="6CD0FE12">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246" w:type="pct"/>
            <w:vAlign w:val="center"/>
          </w:tcPr>
          <w:p w14:paraId="54AF9CCD">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43466603">
            <w:pPr>
              <w:pStyle w:val="48"/>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□评标现场告知</w:t>
            </w:r>
          </w:p>
        </w:tc>
      </w:tr>
      <w:tr w14:paraId="07FA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579" w:type="pct"/>
            <w:vAlign w:val="center"/>
          </w:tcPr>
          <w:p w14:paraId="28EECB14">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1174" w:type="pct"/>
            <w:vAlign w:val="center"/>
          </w:tcPr>
          <w:p w14:paraId="1ED2363A">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246" w:type="pct"/>
          </w:tcPr>
          <w:p w14:paraId="76C99903">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3DCF075">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☑免收</w:t>
            </w:r>
          </w:p>
          <w:p w14:paraId="6CB66F95">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sz w:val="24"/>
                <w:highlight w:val="none"/>
                <w:u w:val="single"/>
              </w:rPr>
              <w:t>/</w:t>
            </w:r>
            <w:r>
              <w:rPr>
                <w:rFonts w:hint="eastAsia" w:ascii="宋体" w:hAnsi="宋体" w:eastAsia="宋体" w:cs="宋体"/>
                <w:bCs/>
                <w:color w:val="auto"/>
                <w:kern w:val="0"/>
                <w:sz w:val="24"/>
                <w:szCs w:val="28"/>
                <w:highlight w:val="none"/>
              </w:rPr>
              <w:t>%</w:t>
            </w:r>
          </w:p>
          <w:p w14:paraId="5D043369">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sz w:val="24"/>
                <w:highlight w:val="none"/>
                <w:u w:val="single"/>
              </w:rPr>
              <w:t>/</w:t>
            </w:r>
            <w:r>
              <w:rPr>
                <w:rFonts w:hint="eastAsia" w:ascii="宋体" w:hAnsi="宋体" w:eastAsia="宋体" w:cs="宋体"/>
                <w:bCs/>
                <w:color w:val="auto"/>
                <w:kern w:val="0"/>
                <w:sz w:val="24"/>
                <w:szCs w:val="28"/>
                <w:highlight w:val="none"/>
              </w:rPr>
              <w:t>元</w:t>
            </w:r>
          </w:p>
          <w:p w14:paraId="04D741C2">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67AC6A66">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029A0366">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（3）收取单位：</w:t>
            </w:r>
            <w:r>
              <w:rPr>
                <w:rFonts w:hint="eastAsia" w:ascii="宋体" w:hAnsi="宋体" w:eastAsia="宋体" w:cs="宋体"/>
                <w:bCs/>
                <w:color w:val="auto"/>
                <w:sz w:val="24"/>
                <w:highlight w:val="none"/>
                <w:u w:val="single"/>
              </w:rPr>
              <w:t>/</w:t>
            </w:r>
            <w:r>
              <w:rPr>
                <w:rFonts w:hint="eastAsia" w:ascii="宋体" w:hAnsi="宋体" w:eastAsia="宋体" w:cs="宋体"/>
                <w:bCs/>
                <w:color w:val="auto"/>
                <w:kern w:val="0"/>
                <w:sz w:val="24"/>
                <w:szCs w:val="28"/>
                <w:highlight w:val="none"/>
              </w:rPr>
              <w:t xml:space="preserve">              </w:t>
            </w:r>
          </w:p>
          <w:p w14:paraId="3924B5F2">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（4）收取账号：</w:t>
            </w:r>
            <w:r>
              <w:rPr>
                <w:rFonts w:hint="eastAsia" w:ascii="宋体" w:hAnsi="宋体" w:eastAsia="宋体" w:cs="宋体"/>
                <w:bCs/>
                <w:color w:val="auto"/>
                <w:sz w:val="24"/>
                <w:highlight w:val="none"/>
                <w:u w:val="single"/>
              </w:rPr>
              <w:t>/</w:t>
            </w:r>
          </w:p>
          <w:p w14:paraId="78F48A46">
            <w:pPr>
              <w:spacing w:line="44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（5）</w:t>
            </w:r>
            <w:r>
              <w:rPr>
                <w:rFonts w:hint="eastAsia" w:ascii="宋体" w:hAnsi="宋体" w:eastAsia="宋体" w:cs="宋体"/>
                <w:color w:val="auto"/>
                <w:sz w:val="24"/>
                <w:highlight w:val="none"/>
              </w:rPr>
              <w:t>退还时间：</w:t>
            </w:r>
            <w:r>
              <w:rPr>
                <w:rFonts w:hint="eastAsia" w:ascii="宋体" w:hAnsi="宋体" w:eastAsia="宋体" w:cs="宋体"/>
                <w:bCs/>
                <w:color w:val="auto"/>
                <w:sz w:val="24"/>
                <w:highlight w:val="none"/>
                <w:u w:val="single"/>
              </w:rPr>
              <w:t>/</w:t>
            </w:r>
          </w:p>
          <w:p w14:paraId="59E57514">
            <w:pPr>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71A93B17">
            <w:pPr>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70037CF0">
            <w:pPr>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3EC0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9" w:type="pct"/>
            <w:vAlign w:val="center"/>
          </w:tcPr>
          <w:p w14:paraId="19AF8508">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1174" w:type="pct"/>
            <w:vAlign w:val="center"/>
          </w:tcPr>
          <w:p w14:paraId="53D06908">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3246" w:type="pct"/>
          </w:tcPr>
          <w:p w14:paraId="4B64F011">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3ABF6CC7">
            <w:pPr>
              <w:adjustRightInd w:val="0"/>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33BD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C9F8F45">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1174" w:type="pct"/>
            <w:vAlign w:val="center"/>
          </w:tcPr>
          <w:p w14:paraId="6B3BE956">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代理费用</w:t>
            </w:r>
          </w:p>
        </w:tc>
        <w:tc>
          <w:tcPr>
            <w:tcW w:w="3246" w:type="pct"/>
            <w:vAlign w:val="center"/>
          </w:tcPr>
          <w:p w14:paraId="39BFDE08">
            <w:pPr>
              <w:spacing w:before="39" w:line="440" w:lineRule="exact"/>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673B08C4">
            <w:pPr>
              <w:spacing w:before="24"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领取中标通知书时一次性支付给代理机构。</w:t>
            </w:r>
          </w:p>
          <w:p w14:paraId="0D1A2E7A">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color w:val="auto"/>
                <w:sz w:val="24"/>
                <w:highlight w:val="none"/>
                <w:u w:val="single"/>
                <w:lang w:val="en-US" w:eastAsia="zh-CN"/>
              </w:rPr>
              <w:t>代理费12420元，其中第1包7407</w:t>
            </w:r>
            <w:r>
              <w:rPr>
                <w:rFonts w:hint="eastAsia" w:ascii="宋体" w:hAnsi="宋体" w:eastAsia="宋体" w:cs="宋体"/>
                <w:b w:val="0"/>
                <w:bCs w:val="0"/>
                <w:color w:val="auto"/>
                <w:kern w:val="2"/>
                <w:sz w:val="24"/>
                <w:szCs w:val="24"/>
                <w:highlight w:val="none"/>
                <w:u w:val="single"/>
              </w:rPr>
              <w:t>元</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color w:val="auto"/>
                <w:sz w:val="24"/>
                <w:highlight w:val="none"/>
                <w:u w:val="single"/>
                <w:lang w:val="en-US" w:eastAsia="zh-CN"/>
              </w:rPr>
              <w:t>第2包</w:t>
            </w:r>
            <w:r>
              <w:rPr>
                <w:rFonts w:hint="eastAsia" w:ascii="宋体" w:hAnsi="宋体" w:eastAsia="宋体" w:cs="宋体"/>
                <w:b w:val="0"/>
                <w:bCs w:val="0"/>
                <w:color w:val="auto"/>
                <w:kern w:val="2"/>
                <w:sz w:val="24"/>
                <w:szCs w:val="24"/>
                <w:highlight w:val="none"/>
                <w:u w:val="single"/>
                <w:lang w:val="en-US" w:eastAsia="zh-CN"/>
              </w:rPr>
              <w:t>5013</w:t>
            </w:r>
            <w:r>
              <w:rPr>
                <w:rFonts w:hint="eastAsia" w:ascii="宋体" w:hAnsi="宋体" w:eastAsia="宋体" w:cs="宋体"/>
                <w:b w:val="0"/>
                <w:bCs w:val="0"/>
                <w:color w:val="auto"/>
                <w:kern w:val="2"/>
                <w:sz w:val="24"/>
                <w:szCs w:val="24"/>
                <w:highlight w:val="none"/>
                <w:u w:val="single"/>
              </w:rPr>
              <w:t>元。参考《滁州市公共资源交易代理机构及从业人员管理暂行办法》滁公管〔2022〕5号，以及补充文件滁公管综〔2023〕19号《关于进一步明确代理费计取标准的通知》标准，以最高限价（控制价）计算。</w:t>
            </w:r>
          </w:p>
        </w:tc>
      </w:tr>
      <w:tr w14:paraId="799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A28318E">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1174" w:type="pct"/>
            <w:vAlign w:val="center"/>
          </w:tcPr>
          <w:p w14:paraId="5BCD1D04">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246" w:type="pct"/>
            <w:vAlign w:val="center"/>
          </w:tcPr>
          <w:p w14:paraId="691CB68E">
            <w:pPr>
              <w:widowControl/>
              <w:spacing w:line="440" w:lineRule="exact"/>
              <w:jc w:val="left"/>
              <w:rPr>
                <w:rFonts w:hint="eastAsia" w:ascii="宋体" w:hAnsi="宋体" w:eastAsia="宋体" w:cs="宋体"/>
                <w:bCs/>
                <w:color w:val="auto"/>
                <w:kern w:val="0"/>
                <w:sz w:val="24"/>
                <w:szCs w:val="28"/>
                <w:highlight w:val="none"/>
                <w:u w:val="single"/>
              </w:rPr>
            </w:pPr>
            <w:r>
              <w:rPr>
                <w:rFonts w:hint="eastAsia" w:ascii="宋体" w:hAnsi="宋体" w:eastAsia="宋体" w:cs="宋体"/>
                <w:color w:val="auto"/>
                <w:sz w:val="24"/>
                <w:highlight w:val="none"/>
              </w:rPr>
              <w:t>递交</w:t>
            </w:r>
            <w:r>
              <w:rPr>
                <w:rFonts w:hint="eastAsia" w:ascii="宋体" w:hAnsi="宋体" w:eastAsia="宋体" w:cs="宋体"/>
                <w:bCs/>
                <w:color w:val="auto"/>
                <w:sz w:val="24"/>
                <w:highlight w:val="none"/>
              </w:rPr>
              <w:t>方式：</w:t>
            </w:r>
            <w:r>
              <w:rPr>
                <w:rFonts w:hint="eastAsia" w:ascii="宋体" w:hAnsi="宋体" w:eastAsia="宋体" w:cs="宋体"/>
                <w:bCs/>
                <w:color w:val="auto"/>
                <w:kern w:val="0"/>
                <w:sz w:val="24"/>
                <w:szCs w:val="28"/>
                <w:highlight w:val="none"/>
                <w:u w:val="single"/>
              </w:rPr>
              <w:t>如投标人对招标文件有质疑，依据中华人民共和国财政部令第94号《政府采购质疑和投诉办法》规定提出质疑；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7DBC719A">
            <w:pPr>
              <w:pStyle w:val="48"/>
              <w:widowControl w:val="0"/>
              <w:spacing w:before="0" w:beforeAutospacing="0" w:after="0" w:afterAutospacing="0" w:line="440" w:lineRule="exact"/>
              <w:jc w:val="both"/>
              <w:rPr>
                <w:rFonts w:hint="eastAsia" w:ascii="宋体" w:hAnsi="宋体" w:eastAsia="宋体" w:cs="宋体"/>
                <w:b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 w:val="0"/>
                <w:color w:val="auto"/>
                <w:sz w:val="24"/>
                <w:highlight w:val="none"/>
                <w:u w:val="single"/>
                <w:lang w:eastAsia="zh-CN"/>
              </w:rPr>
              <w:t>滁州市交通运输局</w:t>
            </w:r>
            <w:r>
              <w:rPr>
                <w:rFonts w:hint="eastAsia" w:ascii="宋体" w:hAnsi="宋体" w:eastAsia="宋体" w:cs="宋体"/>
                <w:b w:val="0"/>
                <w:color w:val="auto"/>
                <w:sz w:val="24"/>
                <w:highlight w:val="none"/>
                <w:u w:val="single"/>
              </w:rPr>
              <w:t>、滁州市城投工程咨询管理有限公司</w:t>
            </w:r>
          </w:p>
          <w:p w14:paraId="3F902BA5">
            <w:pPr>
              <w:pStyle w:val="48"/>
              <w:widowControl w:val="0"/>
              <w:spacing w:before="0" w:beforeAutospacing="0" w:after="0" w:afterAutospacing="0" w:line="440" w:lineRule="exact"/>
              <w:jc w:val="both"/>
              <w:rPr>
                <w:rFonts w:hint="eastAsia" w:ascii="宋体" w:hAnsi="宋体" w:eastAsia="宋体" w:cs="宋体"/>
                <w:b w:val="0"/>
                <w:color w:val="auto"/>
                <w:sz w:val="24"/>
                <w:szCs w:val="18"/>
                <w:highlight w:val="none"/>
                <w:lang w:eastAsia="zh-CN"/>
              </w:rPr>
            </w:pPr>
            <w:r>
              <w:rPr>
                <w:rFonts w:hint="eastAsia" w:ascii="宋体" w:hAnsi="宋体" w:eastAsia="宋体" w:cs="宋体"/>
                <w:b w:val="0"/>
                <w:color w:val="auto"/>
                <w:sz w:val="24"/>
                <w:highlight w:val="none"/>
              </w:rPr>
              <w:t>联系电话：</w:t>
            </w:r>
            <w:r>
              <w:rPr>
                <w:rFonts w:hint="eastAsia" w:ascii="宋体" w:hAnsi="宋体" w:eastAsia="宋体" w:cs="宋体"/>
                <w:b w:val="0"/>
                <w:color w:val="auto"/>
                <w:sz w:val="24"/>
                <w:highlight w:val="none"/>
                <w:u w:val="single"/>
                <w:lang w:eastAsia="zh-CN"/>
              </w:rPr>
              <w:t>0550-3218758</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u w:val="single"/>
                <w:lang w:eastAsia="zh-CN"/>
              </w:rPr>
              <w:t>0550-3519516、18712012204</w:t>
            </w:r>
          </w:p>
          <w:p w14:paraId="04F6BD23">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 w:val="0"/>
                <w:bCs w:val="0"/>
                <w:color w:val="auto"/>
                <w:sz w:val="24"/>
                <w:szCs w:val="18"/>
                <w:highlight w:val="none"/>
                <w:u w:val="single"/>
                <w:lang w:eastAsia="zh-CN"/>
              </w:rPr>
              <w:t>滁州市龙蟠大道200号</w:t>
            </w:r>
            <w:r>
              <w:rPr>
                <w:rFonts w:hint="eastAsia" w:ascii="宋体" w:hAnsi="宋体" w:eastAsia="宋体" w:cs="宋体"/>
                <w:b w:val="0"/>
                <w:bCs w:val="0"/>
                <w:color w:val="auto"/>
                <w:sz w:val="24"/>
                <w:szCs w:val="18"/>
                <w:highlight w:val="none"/>
                <w:u w:val="single"/>
              </w:rPr>
              <w:t>、滁州市龙蟠大道109号房产大厦6楼</w:t>
            </w:r>
          </w:p>
        </w:tc>
      </w:tr>
      <w:tr w14:paraId="7C77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0D1F8EE">
            <w:pPr>
              <w:pStyle w:val="4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32</w:t>
            </w:r>
          </w:p>
        </w:tc>
        <w:tc>
          <w:tcPr>
            <w:tcW w:w="1174" w:type="pct"/>
            <w:vAlign w:val="center"/>
          </w:tcPr>
          <w:p w14:paraId="14F963DD">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3246" w:type="pct"/>
            <w:vAlign w:val="center"/>
          </w:tcPr>
          <w:p w14:paraId="03C941FC">
            <w:pPr>
              <w:pStyle w:val="48"/>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1.解释权：</w:t>
            </w:r>
          </w:p>
          <w:p w14:paraId="7AEA1DAE">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25E4912E">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35A4F46F">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5C769CCD">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C360166">
            <w:pPr>
              <w:pStyle w:val="48"/>
              <w:widowControl w:val="0"/>
              <w:spacing w:before="0" w:beforeAutospacing="0" w:after="0" w:afterAutospacing="0" w:line="44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（5）按本款前述规定仍不能形成结论的，由采购人负责解释。</w:t>
            </w:r>
          </w:p>
          <w:p w14:paraId="02600191">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4265E053">
            <w:pPr>
              <w:pStyle w:val="48"/>
              <w:widowControl w:val="0"/>
              <w:spacing w:before="0" w:beforeAutospacing="0" w:after="0" w:afterAutospacing="0" w:line="44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3.电子保函指引：中标人可访问安徽省政府采购网“融资/保函”栏目，申请办理电子保函（包括：履约保函、预付款保函）。</w:t>
            </w:r>
          </w:p>
          <w:p w14:paraId="6185B08A">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4.</w:t>
            </w:r>
            <w:r>
              <w:rPr>
                <w:rFonts w:hint="eastAsia" w:ascii="宋体" w:hAnsi="宋体" w:eastAsia="宋体" w:cs="宋体"/>
                <w:bCs/>
                <w:color w:val="auto"/>
                <w:kern w:val="2"/>
                <w:szCs w:val="24"/>
                <w:highlight w:val="none"/>
                <w:lang w:bidi="ar"/>
              </w:rPr>
              <w:t>部分可提供线下政采贷的金融机构：</w:t>
            </w:r>
          </w:p>
          <w:p w14:paraId="5086D059">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市本级</w:t>
            </w:r>
          </w:p>
          <w:p w14:paraId="5762DFD4">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金融机构名称：兴业银行滁州分行</w:t>
            </w:r>
          </w:p>
          <w:p w14:paraId="5D3752F2">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安徽省滁州市琅琊区丰乐大道1090号</w:t>
            </w:r>
          </w:p>
          <w:p w14:paraId="5D1C16E3">
            <w:pPr>
              <w:pStyle w:val="26"/>
              <w:spacing w:before="0" w:beforeAutospacing="0" w:after="0" w:afterAutospacing="0" w:line="440" w:lineRule="exact"/>
              <w:jc w:val="both"/>
              <w:rPr>
                <w:rFonts w:hint="eastAsia" w:ascii="宋体" w:hAnsi="宋体" w:eastAsia="宋体" w:cs="宋体"/>
                <w:bCs/>
                <w:color w:val="auto"/>
                <w:kern w:val="2"/>
                <w:szCs w:val="24"/>
                <w:highlight w:val="none"/>
                <w:lang w:bidi="ar"/>
              </w:rPr>
            </w:pPr>
            <w:r>
              <w:rPr>
                <w:rFonts w:hint="eastAsia" w:ascii="宋体" w:hAnsi="宋体" w:eastAsia="宋体" w:cs="宋体"/>
                <w:bCs/>
                <w:color w:val="auto"/>
                <w:kern w:val="2"/>
                <w:szCs w:val="24"/>
                <w:highlight w:val="none"/>
                <w:lang w:bidi="ar"/>
              </w:rPr>
              <w:t>伏庚：17755080811</w:t>
            </w:r>
          </w:p>
          <w:p w14:paraId="3D2F1142">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5.特别提示：</w:t>
            </w:r>
          </w:p>
          <w:p w14:paraId="17645DFA">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（1）投标人应填写投标信息并下载招标文件，否则无法上传投标文件。</w:t>
            </w:r>
          </w:p>
          <w:p w14:paraId="648ED881">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注：投标人如为联合体的，牵头人必须完善投标人信息，并在上传投标文件环节添加联合体投标信息。</w:t>
            </w:r>
          </w:p>
          <w:p w14:paraId="543DCF1D">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A7A1DA0">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（3）如果过程中出现招标文件更改，应以最后发布的招标答疑澄清文件中的模板制作本项目最新投标文件。</w:t>
            </w:r>
          </w:p>
          <w:p w14:paraId="13ED0EF1">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 xml:space="preserve">（4）投标人应当用本单位CA数字证书制作投标文件，制作成功后进行投标文件上传。 </w:t>
            </w:r>
          </w:p>
          <w:p w14:paraId="0B15E6DE">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44B29ED">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（6）请投标人注意加密投标文件CA数字证书的有效期，不在有效期的CA数字证书无法解密投标文件。</w:t>
            </w:r>
          </w:p>
          <w:p w14:paraId="7F890139">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（7）投标人投标MAC地址或投标人联系人或联系电话相同的，由评标委员会否决其投标，并报告监管部门作不良行为处理和进一步调查。</w:t>
            </w:r>
          </w:p>
          <w:p w14:paraId="348371E3">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（8）投标人单方面出现其他投标人材料的，由评标委员会否决其投标。</w:t>
            </w:r>
          </w:p>
          <w:p w14:paraId="605E717E">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4E821E7">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7752D84B">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6.评标过程中的澄清、说明或补正：</w:t>
            </w:r>
          </w:p>
          <w:p w14:paraId="0E68738C">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32B7486">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A78AFF2">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7.同义词语：</w:t>
            </w:r>
          </w:p>
          <w:p w14:paraId="1EC5780F">
            <w:pPr>
              <w:pStyle w:val="26"/>
              <w:spacing w:before="0" w:beforeAutospacing="0" w:after="0" w:afterAutospacing="0" w:line="440" w:lineRule="exact"/>
              <w:jc w:val="both"/>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lang w:bidi="ar"/>
              </w:rPr>
              <w:t>招标文件第六章  投标文件格式、附件1“关于联合惩戒失信行为 加强信用查询管理的通知”等章节中 “招标人”、“供应商”，等同于“采购人”、“投标人”。</w:t>
            </w:r>
          </w:p>
          <w:p w14:paraId="18C755F4">
            <w:pPr>
              <w:pStyle w:val="48"/>
              <w:widowControl w:val="0"/>
              <w:numPr>
                <w:ilvl w:val="0"/>
                <w:numId w:val="1"/>
              </w:numPr>
              <w:spacing w:before="0" w:beforeAutospacing="0" w:after="0" w:afterAutospacing="0" w:line="440" w:lineRule="exact"/>
              <w:jc w:val="both"/>
              <w:rPr>
                <w:rFonts w:hint="eastAsia" w:ascii="宋体" w:hAnsi="宋体" w:eastAsia="宋体" w:cs="宋体"/>
                <w:b w:val="0"/>
                <w:color w:val="auto"/>
                <w:kern w:val="2"/>
                <w:sz w:val="24"/>
                <w:szCs w:val="24"/>
                <w:highlight w:val="none"/>
                <w:lang w:bidi="ar"/>
              </w:rPr>
            </w:pPr>
            <w:r>
              <w:rPr>
                <w:rFonts w:hint="eastAsia" w:ascii="宋体" w:hAnsi="宋体" w:eastAsia="宋体" w:cs="宋体"/>
                <w:b w:val="0"/>
                <w:color w:val="auto"/>
                <w:kern w:val="2"/>
                <w:sz w:val="24"/>
                <w:szCs w:val="24"/>
                <w:highlight w:val="none"/>
                <w:lang w:bidi="ar"/>
              </w:rPr>
              <w:t>落实政府采购支持节能产品、环境标志产品政策。</w:t>
            </w:r>
          </w:p>
          <w:p w14:paraId="681EF64E">
            <w:pPr>
              <w:pStyle w:val="48"/>
              <w:widowControl w:val="0"/>
              <w:numPr>
                <w:ilvl w:val="0"/>
                <w:numId w:val="1"/>
              </w:numPr>
              <w:spacing w:before="0" w:beforeAutospacing="0" w:after="0" w:afterAutospacing="0" w:line="440" w:lineRule="exact"/>
              <w:jc w:val="both"/>
              <w:rPr>
                <w:rFonts w:hint="eastAsia" w:ascii="宋体" w:hAnsi="宋体" w:eastAsia="宋体" w:cs="宋体"/>
                <w:b w:val="0"/>
                <w:color w:val="auto"/>
                <w:kern w:val="2"/>
                <w:sz w:val="24"/>
                <w:szCs w:val="24"/>
                <w:highlight w:val="none"/>
                <w:lang w:bidi="ar"/>
              </w:rPr>
            </w:pPr>
            <w:r>
              <w:rPr>
                <w:rFonts w:hint="eastAsia" w:ascii="宋体" w:hAnsi="宋体" w:eastAsia="宋体" w:cs="宋体"/>
                <w:b w:val="0"/>
                <w:color w:val="auto"/>
                <w:kern w:val="2"/>
                <w:sz w:val="24"/>
                <w:szCs w:val="24"/>
                <w:highlight w:val="none"/>
              </w:rPr>
              <w:t>系统中提供的表格与采购文件中不一致时，以采购文件中提供的表格格式为准。</w:t>
            </w:r>
          </w:p>
        </w:tc>
      </w:tr>
    </w:tbl>
    <w:p w14:paraId="408EDE9C">
      <w:pPr>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37" w:name="_Toc9427"/>
      <w:bookmarkStart w:id="38" w:name="_Toc24882"/>
      <w:bookmarkStart w:id="39" w:name="_Toc12032"/>
      <w:r>
        <w:rPr>
          <w:rFonts w:hint="eastAsia" w:ascii="宋体" w:hAnsi="宋体" w:eastAsia="宋体" w:cs="宋体"/>
          <w:b/>
          <w:color w:val="auto"/>
          <w:sz w:val="24"/>
          <w:highlight w:val="none"/>
        </w:rPr>
        <w:t>二、投标人须知正文</w:t>
      </w:r>
      <w:bookmarkEnd w:id="37"/>
      <w:bookmarkEnd w:id="38"/>
      <w:bookmarkEnd w:id="39"/>
    </w:p>
    <w:p w14:paraId="71E08AB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21702B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7420A16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7D5E2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232F71A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0225826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71007C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1ED34C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04EFA7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4032AD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544D07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0819F8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6A5FF8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4413A03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1CE6E9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1B648F7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631D30E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78C46E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25D3656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2B85D3D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5EED430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08BD8B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5CD45A0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532188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33E3AD6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780F5D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1DD129F2">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711911A1">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7059A94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1E4159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2C56AB8C">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6EE10EF">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3BF2FD8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1B95702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70837D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2F5ECB1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404C38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008402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4E1A8D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588858A">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7EB0ACB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57AE55B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7EC7581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EC18C7D">
      <w:pPr>
        <w:spacing w:line="440" w:lineRule="exact"/>
        <w:ind w:firstLine="435"/>
        <w:rPr>
          <w:rFonts w:hint="eastAsia" w:ascii="宋体" w:hAnsi="宋体" w:eastAsia="宋体" w:cs="宋体"/>
          <w:color w:val="auto"/>
          <w:sz w:val="24"/>
          <w:highlight w:val="none"/>
        </w:rPr>
      </w:pPr>
      <w:bookmarkStart w:id="40"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40"/>
    <w:p w14:paraId="3840E3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4B063D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1555DED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085ACA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0F3B387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41" w:name="_Hlk11703583"/>
      <w:r>
        <w:rPr>
          <w:rFonts w:hint="eastAsia" w:ascii="宋体" w:hAnsi="宋体" w:eastAsia="宋体" w:cs="宋体"/>
          <w:color w:val="auto"/>
          <w:sz w:val="24"/>
          <w:highlight w:val="none"/>
        </w:rPr>
        <w:t>等。</w:t>
      </w:r>
    </w:p>
    <w:bookmarkEnd w:id="41"/>
    <w:p w14:paraId="379466F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1D154AC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41EFB27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12.1投标人的报价应当包括满足本次招标全部采购需求。除招标文件另有规定外，所有投标均应以人民币报价。投标人的投标报价应遵守《中华人民共和国价格法》。</w:t>
      </w:r>
    </w:p>
    <w:p w14:paraId="3967C8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C3C9C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371107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3526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749CEA5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707933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41FF59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13E9F4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96E84E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9E193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F1906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449922D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29A86E5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32716CA">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2925805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0C1A06E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17E00E6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39A268E5">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6E6A74E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3CCFCF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2ECA59A2">
      <w:pPr>
        <w:spacing w:line="440" w:lineRule="exact"/>
        <w:ind w:firstLine="435"/>
        <w:rPr>
          <w:rFonts w:hint="eastAsia" w:ascii="宋体" w:hAnsi="宋体" w:eastAsia="宋体" w:cs="宋体"/>
          <w:color w:val="auto"/>
          <w:sz w:val="24"/>
          <w:szCs w:val="24"/>
          <w:highlight w:val="none"/>
        </w:rPr>
      </w:pPr>
      <w:bookmarkStart w:id="42"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4206507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A12C5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2"/>
    <w:p w14:paraId="7EB64DD1">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09394D5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21C966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1C55B2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281255F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22CCBD1">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766021D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104CC75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7AF6A8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14E5B9C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427F68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FA2B88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45C488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36B797B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136082E">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32FEC7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76A786B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7D2356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0E10A3E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39B28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9E4D7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7E6E1B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7D47930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6958E5B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70D033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2FFC5F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710F88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336A72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644A9F7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5AE3E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B627E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3E4FF9A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3D0508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581CA06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4441131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2316F5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F1C17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79CB8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06F30D1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58AFEE9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114262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043867C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6009585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78FC7B8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41A1B4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7EAE5A2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3F0370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3C714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36CCD53B">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3D97BB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5E12B00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063FBB5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3DAC3E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0C11D7D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2C5F3E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E5AAAD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4781C657">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8D33F65">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23.2自中标人确定之日起2个工作日内，采购代理机构将在滁州市公共资源交易网（http://ggzy.chuzhou.gov.cn/）、安徽省政府采购网（www.ccgp-anhui.gov.cn）上发布中标结果公告。</w:t>
      </w:r>
    </w:p>
    <w:p w14:paraId="392C60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2227F30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1F9EFF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236D570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22E574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63B755B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6E2B55B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1B825F9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0C6D441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49AE72B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66CD992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4E2930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448CCD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16F7DD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2740CA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5182F06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27A430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18DD8A75">
      <w:pPr>
        <w:spacing w:line="440" w:lineRule="exact"/>
        <w:ind w:firstLine="437"/>
        <w:outlineLvl w:val="2"/>
        <w:rPr>
          <w:rFonts w:hint="eastAsia" w:ascii="宋体" w:hAnsi="宋体" w:eastAsia="宋体" w:cs="宋体"/>
          <w:b/>
          <w:color w:val="auto"/>
          <w:sz w:val="24"/>
          <w:highlight w:val="none"/>
        </w:rPr>
      </w:pPr>
      <w:bookmarkStart w:id="43" w:name="_Toc2583661"/>
      <w:bookmarkStart w:id="44" w:name="_Toc518923100"/>
      <w:r>
        <w:rPr>
          <w:rFonts w:hint="eastAsia" w:ascii="宋体" w:hAnsi="宋体" w:eastAsia="宋体" w:cs="宋体"/>
          <w:b/>
          <w:color w:val="auto"/>
          <w:sz w:val="24"/>
          <w:highlight w:val="none"/>
        </w:rPr>
        <w:t>29.廉洁自律规定</w:t>
      </w:r>
      <w:bookmarkEnd w:id="43"/>
      <w:bookmarkEnd w:id="44"/>
    </w:p>
    <w:p w14:paraId="7BC736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59A209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46E4DA95">
      <w:pPr>
        <w:spacing w:line="440" w:lineRule="exact"/>
        <w:ind w:firstLine="437"/>
        <w:outlineLvl w:val="2"/>
        <w:rPr>
          <w:rFonts w:hint="eastAsia" w:ascii="宋体" w:hAnsi="宋体" w:eastAsia="宋体" w:cs="宋体"/>
          <w:b/>
          <w:color w:val="auto"/>
          <w:sz w:val="24"/>
          <w:highlight w:val="none"/>
        </w:rPr>
      </w:pPr>
      <w:bookmarkStart w:id="45" w:name="_Toc518923101"/>
      <w:bookmarkStart w:id="46" w:name="_Toc2583662"/>
      <w:r>
        <w:rPr>
          <w:rFonts w:hint="eastAsia" w:ascii="宋体" w:hAnsi="宋体" w:eastAsia="宋体" w:cs="宋体"/>
          <w:b/>
          <w:color w:val="auto"/>
          <w:sz w:val="24"/>
          <w:highlight w:val="none"/>
        </w:rPr>
        <w:t>30.人员回避</w:t>
      </w:r>
      <w:bookmarkEnd w:id="45"/>
      <w:bookmarkEnd w:id="46"/>
    </w:p>
    <w:p w14:paraId="19D7852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300D69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405E31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2DBE8D4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597D30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3443A1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0F836F0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0312B36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7C557B95">
      <w:pPr>
        <w:wordWrap w:val="0"/>
        <w:spacing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72EFF8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31051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77DEF6D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5A3CB5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2B942FC">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6FBDF7EC">
      <w:pPr>
        <w:numPr>
          <w:ilvl w:val="0"/>
          <w:numId w:val="2"/>
        </w:num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bookmarkStart w:id="47" w:name="_Toc28615"/>
      <w:r>
        <w:rPr>
          <w:rFonts w:hint="eastAsia" w:ascii="宋体" w:hAnsi="宋体" w:eastAsia="宋体" w:cs="宋体"/>
          <w:b/>
          <w:color w:val="auto"/>
          <w:sz w:val="28"/>
          <w:highlight w:val="none"/>
        </w:rPr>
        <w:t>采购需求</w:t>
      </w:r>
      <w:bookmarkEnd w:id="47"/>
    </w:p>
    <w:p w14:paraId="3408E59F">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64A72579">
      <w:pPr>
        <w:spacing w:line="48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1696DD3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p>
    <w:p w14:paraId="4108E6B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1AC002E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833B5A4">
      <w:pPr>
        <w:spacing w:line="480" w:lineRule="exact"/>
        <w:ind w:firstLine="480" w:firstLineChars="200"/>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5D0DF70F">
      <w:pPr>
        <w:spacing w:line="480" w:lineRule="exact"/>
        <w:ind w:firstLine="437"/>
        <w:outlineLvl w:val="1"/>
        <w:rPr>
          <w:rFonts w:hint="eastAsia" w:ascii="宋体" w:hAnsi="宋体" w:eastAsia="宋体" w:cs="宋体"/>
          <w:b/>
          <w:color w:val="auto"/>
          <w:sz w:val="24"/>
          <w:szCs w:val="18"/>
          <w:highlight w:val="none"/>
        </w:rPr>
      </w:pPr>
      <w:bookmarkStart w:id="48" w:name="_Toc4148"/>
      <w:bookmarkStart w:id="49" w:name="_Toc21798"/>
      <w:bookmarkStart w:id="50" w:name="_Toc14263"/>
      <w:bookmarkStart w:id="51" w:name="_Hlk23621890"/>
      <w:r>
        <w:rPr>
          <w:rFonts w:hint="eastAsia" w:ascii="宋体" w:hAnsi="宋体" w:eastAsia="宋体" w:cs="宋体"/>
          <w:b/>
          <w:color w:val="auto"/>
          <w:sz w:val="24"/>
          <w:szCs w:val="18"/>
          <w:highlight w:val="none"/>
        </w:rPr>
        <w:t>一、采购需求前附表</w:t>
      </w:r>
      <w:bookmarkEnd w:id="48"/>
      <w:bookmarkEnd w:id="49"/>
      <w:bookmarkEnd w:id="50"/>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818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BC57AB">
            <w:pPr>
              <w:pStyle w:val="49"/>
              <w:pBdr>
                <w:bottom w:val="none" w:color="auto" w:sz="0" w:space="0"/>
              </w:pBdr>
              <w:tabs>
                <w:tab w:val="clear" w:pos="4153"/>
                <w:tab w:val="clear" w:pos="8306"/>
              </w:tabs>
              <w:adjustRightInd/>
              <w:spacing w:line="48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77B119FB">
            <w:pPr>
              <w:pStyle w:val="48"/>
              <w:widowControl w:val="0"/>
              <w:spacing w:before="0" w:beforeAutospacing="0" w:after="0" w:afterAutospacing="0" w:line="480" w:lineRule="exact"/>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0B53DB6C">
            <w:pPr>
              <w:pStyle w:val="48"/>
              <w:widowControl w:val="0"/>
              <w:spacing w:before="0" w:beforeAutospacing="0" w:after="0" w:afterAutospacing="0" w:line="480" w:lineRule="exact"/>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6A2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9E64CB">
            <w:pPr>
              <w:pStyle w:val="49"/>
              <w:pBdr>
                <w:bottom w:val="none" w:color="auto" w:sz="0" w:space="0"/>
              </w:pBdr>
              <w:tabs>
                <w:tab w:val="clear" w:pos="4153"/>
                <w:tab w:val="clear" w:pos="8306"/>
              </w:tabs>
              <w:adjustRightInd/>
              <w:spacing w:line="48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0E35CB19">
            <w:pPr>
              <w:pStyle w:val="48"/>
              <w:widowControl w:val="0"/>
              <w:spacing w:before="0" w:beforeAutospacing="0" w:after="0" w:afterAutospacing="0" w:line="48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2E19AAC8">
            <w:pPr>
              <w:spacing w:line="48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合同签订生效并具备实施条件后支付合同价款的40%为预付款（预付款支付前，供应商须提供同等金额的见索即付保函），完成所有工作任务，经业主审查合格后付至合同价款的95%，通过省级交通主管部门审核后付清</w:t>
            </w:r>
            <w:r>
              <w:rPr>
                <w:rFonts w:hint="eastAsia" w:ascii="宋体" w:hAnsi="宋体" w:eastAsia="宋体" w:cs="宋体"/>
                <w:color w:val="auto"/>
                <w:sz w:val="24"/>
                <w:highlight w:val="none"/>
                <w:u w:val="single"/>
                <w:lang w:eastAsia="zh-CN"/>
              </w:rPr>
              <w:t>。</w:t>
            </w:r>
            <w:bookmarkStart w:id="292" w:name="_GoBack"/>
            <w:bookmarkEnd w:id="292"/>
          </w:p>
        </w:tc>
      </w:tr>
      <w:tr w14:paraId="5A5A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E4640C">
            <w:pPr>
              <w:pStyle w:val="49"/>
              <w:pBdr>
                <w:bottom w:val="none" w:color="auto" w:sz="0" w:space="0"/>
              </w:pBdr>
              <w:tabs>
                <w:tab w:val="clear" w:pos="4153"/>
                <w:tab w:val="clear" w:pos="8306"/>
              </w:tabs>
              <w:adjustRightInd/>
              <w:spacing w:line="48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5644ED81">
            <w:pPr>
              <w:pStyle w:val="48"/>
              <w:widowControl w:val="0"/>
              <w:spacing w:before="0" w:beforeAutospacing="0" w:after="0" w:afterAutospacing="0" w:line="48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34C1E45A">
            <w:pPr>
              <w:pStyle w:val="48"/>
              <w:widowControl w:val="0"/>
              <w:spacing w:before="0" w:beforeAutospacing="0" w:after="0" w:afterAutospacing="0" w:line="480" w:lineRule="exact"/>
              <w:jc w:val="both"/>
              <w:rPr>
                <w:rFonts w:hint="eastAsia" w:ascii="宋体" w:hAnsi="宋体" w:eastAsia="宋体" w:cs="宋体"/>
                <w:b w:val="0"/>
                <w:bCs w:val="0"/>
                <w:color w:val="auto"/>
                <w:sz w:val="24"/>
                <w:szCs w:val="20"/>
                <w:highlight w:val="none"/>
              </w:rPr>
            </w:pPr>
            <w:r>
              <w:rPr>
                <w:rFonts w:hint="eastAsia" w:ascii="宋体" w:hAnsi="宋体" w:eastAsia="宋体" w:cs="宋体"/>
                <w:b w:val="0"/>
                <w:bCs w:val="0"/>
                <w:color w:val="auto"/>
                <w:sz w:val="24"/>
                <w:szCs w:val="20"/>
                <w:highlight w:val="none"/>
              </w:rPr>
              <w:t>采购人指定地点</w:t>
            </w:r>
          </w:p>
        </w:tc>
      </w:tr>
      <w:tr w14:paraId="64B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500D33B">
            <w:pPr>
              <w:pStyle w:val="49"/>
              <w:pBdr>
                <w:bottom w:val="none" w:color="auto" w:sz="0" w:space="0"/>
              </w:pBdr>
              <w:tabs>
                <w:tab w:val="clear" w:pos="4153"/>
                <w:tab w:val="clear" w:pos="8306"/>
              </w:tabs>
              <w:adjustRightInd/>
              <w:spacing w:line="48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06B91BA4">
            <w:pPr>
              <w:pStyle w:val="48"/>
              <w:widowControl w:val="0"/>
              <w:spacing w:before="0" w:beforeAutospacing="0" w:after="0" w:afterAutospacing="0" w:line="48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3759E141">
            <w:pPr>
              <w:spacing w:line="480" w:lineRule="exact"/>
              <w:rPr>
                <w:rFonts w:hint="default"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自合同签订之日起90个日历天内完成</w:t>
            </w:r>
          </w:p>
        </w:tc>
      </w:tr>
      <w:tr w14:paraId="5B56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8BB900">
            <w:pPr>
              <w:pStyle w:val="49"/>
              <w:pBdr>
                <w:bottom w:val="none" w:color="auto" w:sz="0" w:space="0"/>
              </w:pBdr>
              <w:tabs>
                <w:tab w:val="clear" w:pos="4153"/>
                <w:tab w:val="clear" w:pos="8306"/>
              </w:tabs>
              <w:adjustRightInd/>
              <w:spacing w:line="48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430DB00D">
            <w:pPr>
              <w:pStyle w:val="48"/>
              <w:widowControl w:val="0"/>
              <w:spacing w:before="0" w:beforeAutospacing="0" w:after="0" w:afterAutospacing="0" w:line="48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217" w:type="pct"/>
            <w:vAlign w:val="center"/>
          </w:tcPr>
          <w:p w14:paraId="36F87FC0">
            <w:pPr>
              <w:spacing w:line="48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：2025年滁州市农村公路自动化检测项目</w:t>
            </w:r>
          </w:p>
          <w:p w14:paraId="77A7D200">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所属行业：其他未列明行业。</w:t>
            </w:r>
          </w:p>
        </w:tc>
      </w:tr>
      <w:bookmarkEnd w:id="51"/>
    </w:tbl>
    <w:p w14:paraId="212DE6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二、主要服务内容</w:t>
      </w:r>
    </w:p>
    <w:p w14:paraId="22D10D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（一）检测范围</w:t>
      </w:r>
    </w:p>
    <w:p w14:paraId="4858C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全市2024年报数据库农村公路总里程17987.845公里，第一包：包括南谯区、琅琊区、来安县、全椒县、天长市、明光市，检测公里数≥11089.543公里，第二包：包括定远县、凤阳县，检测公里数≥6898.302公里。</w:t>
      </w:r>
    </w:p>
    <w:p w14:paraId="13649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（二）检测的工作内容</w:t>
      </w:r>
    </w:p>
    <w:p w14:paraId="5F733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1、农村公路路况自动化检测：依据《公路技术状况评定标准 JTG5210-2018》、 《低等级农村公路技术状况评定指南》要求采用自动化检测设备检测路面技术状况指数PQI(包括 PCI 和 RQI 等)，对17987.845公里农村公路进行路况自动化检测工作，提交路面技术状况评定表、（百米）路面损坏明细表、对农村公路提出养护分析或建议等成果，满足行业管理及“以奖代补”数据审核要求。</w:t>
      </w:r>
    </w:p>
    <w:p w14:paraId="56A248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2、农村公路基础数据调查更新及数据治理</w:t>
      </w:r>
      <w:r>
        <w:rPr>
          <w:rFonts w:hint="eastAsia" w:ascii="宋体" w:hAnsi="宋体" w:eastAsia="宋体" w:cs="宋体"/>
          <w:b/>
          <w:bCs/>
          <w:color w:val="auto"/>
          <w:sz w:val="24"/>
          <w:szCs w:val="24"/>
          <w:highlight w:val="none"/>
          <w:lang w:val="en-US" w:eastAsia="zh-CN"/>
        </w:rPr>
        <w:t>（仅第二包需要）</w:t>
      </w:r>
      <w:r>
        <w:rPr>
          <w:rFonts w:hint="eastAsia" w:ascii="宋体" w:hAnsi="宋体" w:eastAsia="宋体" w:cs="宋体"/>
          <w:color w:val="auto"/>
          <w:sz w:val="24"/>
          <w:szCs w:val="24"/>
          <w:highlight w:val="none"/>
          <w:lang w:val="en-US" w:eastAsia="zh-CN"/>
        </w:rPr>
        <w:t xml:space="preserve">：按照交通部《农村公路基础设施统计调查制度》及“一路一档”相关数据标准，对定远县、凤阳县农村公路数据库内农村公路开展基础数据与空间数据的全面采集调查核实及电子地图更新工作；并结合农村公路“一路一档”信息化建设有关要求进行数据梳理、数据校核、数据处理，形成满足省、部级行业管理标准要求的农村公路数据资源库，汇聚至拟建的省级农村公路数据底座等。                                                    </w:t>
      </w:r>
    </w:p>
    <w:p w14:paraId="4C9ED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（三）检测要求</w:t>
      </w:r>
    </w:p>
    <w:p w14:paraId="0BC95C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1、(1)按照采购人要求，对全市农村公路进行路况自动化检测工作，检测率≥100%。依据《公路技术状况评定标准 JTG5210-2018》、《低等级农村公路技术状况评定指南》采用自动化检测设备检测路面技术状况指数 PQI(包括 PCI 和 RQI 等)，确保整个检测过程及结果的真实性、准确性和完整性。提交详细的检测报告、原始数据和影像资料、技术状况评定表、普通省道和农村公路路面技术状况明细表（含 JC2 明细表），最终检测数据需通过《安徽省农村公路技术状况检评数据管理系统》审核，同时结合检测成果，为滁州市农村公路养护工作的科学决策提供强基础支撑，降低检测成本和养护投入。</w:t>
      </w:r>
    </w:p>
    <w:p w14:paraId="000F71EB">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2、农村公路基础数据调查更新 </w:t>
      </w:r>
    </w:p>
    <w:p w14:paraId="67A7C5A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(1)调查更新的内容</w:t>
      </w:r>
    </w:p>
    <w:p w14:paraId="2E326332">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核实辖区内交通部门管养的所有农村公路基础数据现状，对“公路线形线位、里程规模、技术等级、路面类型、路基、路面宽度”等信息进行实地外业调查采集核实工作；核实辖区内农村公路桥梁、隧道、渡口、交安设施等建设现状。根据本单位需要适当扩展补充核实内容，主要包括符合《公路工程技术标准》规定，</w:t>
      </w:r>
    </w:p>
    <w:p w14:paraId="7DCC6E44">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连续长度达 200 米以上，未纳入现有农村公路基础数据库的新建村级道路的基本属性、线位和桥梁、隧道、渡口、交安设施等技术状况和空间位置。</w:t>
      </w:r>
    </w:p>
    <w:p w14:paraId="42595C24">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(2)基础数据核实成果数据的标准要求</w:t>
      </w:r>
    </w:p>
    <w:p w14:paraId="4FEEA5B1">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照交通运输部《农村公路基础设施统计调查制度》的各项规定要求与交通运输部“一路一档”相关数据标准的要求，最终数据成果需通过当地交通主管部门的认可并通过安徽省公路资源管理平台审核，具备汇聚至拟建的省级农村公路数据底座的技术条件。</w:t>
      </w:r>
    </w:p>
    <w:p w14:paraId="6F66DF0A">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路线标准要求：</w:t>
      </w:r>
    </w:p>
    <w:p w14:paraId="53A03BA9">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路线起点与第一个路段起点一致，包括坐标、桩号、是否为分界点、分界点类别、所在行政区划；</w:t>
      </w:r>
    </w:p>
    <w:p w14:paraId="4E98533F">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路线讫点与最后一个路段讫点一致，包括坐标、桩号、是否为分界点、分界点类别、所在行政区划。</w:t>
      </w:r>
    </w:p>
    <w:p w14:paraId="50BD4435">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同一路线下相邻路段间信息必须一致，即后一路段起点与前一路段讫点的信息一致，包括起（讫）坐标、起（讫）名称、起（讫）桩号、起（讫）分界点类别。</w:t>
      </w:r>
    </w:p>
    <w:p w14:paraId="3889EF89">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同一条路线下的桥梁、隧道、渡口的编号不能重复。每条路线至少包含一条路段，并且每条路段所对应的路线必须存在。</w:t>
      </w:r>
    </w:p>
    <w:p w14:paraId="331B5421">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桥梁、渡口、隧道所在路段序列号必须在路段表中存在，并且中心（起点）桩号必须在对应路段的起讫点桩号之间。</w:t>
      </w:r>
    </w:p>
    <w:p w14:paraId="477DB1A1">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空间数据技术要求：</w:t>
      </w:r>
    </w:p>
    <w:p w14:paraId="71EF0484">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坐标采用 WGS84 坐标或2000 国家大地坐标系(CGCS2000)经纬度表示，以“度”为单位，要求保留8位小数。</w:t>
      </w:r>
    </w:p>
    <w:p w14:paraId="4239E3BA">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保持路网的连通和正确的拓扑关系，要求路线相交处保持无缝连接；同一路线上相邻路段之间必须无缝衔接，路段内部不允许出现断点。</w:t>
      </w:r>
    </w:p>
    <w:p w14:paraId="0B9B769A">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公路路线在乡级行政区划界处必须分段，并保持路段之间的无缝拼接。</w:t>
      </w:r>
    </w:p>
    <w:p w14:paraId="59B6F66D">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要求公路线形平滑，不允许出现漂移很大的节点和长直线，相邻两个节点之间的距离应小于 500 米。特别是因路况较差或 GPS 信号不良导致路线线形出现飞点、尖角等现象，必须进行路线平滑处理。</w:t>
      </w:r>
    </w:p>
    <w:p w14:paraId="0BCF3B89">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要求建立附属设施和路线之间的拓扑关系，桥梁、隧道、渡口必须叠合在路线上，附属设施与路线之间的直线距离不能超过5米。</w:t>
      </w:r>
    </w:p>
    <w:p w14:paraId="0822449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农村公路空间数据库中不允许出现编码重复或编码为空的空间要素。</w:t>
      </w:r>
    </w:p>
    <w:p w14:paraId="13BF54EF">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 xml:space="preserve">在重复路段处每条路线必须分段，并且保持路线线形和分段一致。 </w:t>
      </w:r>
    </w:p>
    <w:p w14:paraId="6DF133CF">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数据标准：</w:t>
      </w:r>
    </w:p>
    <w:p w14:paraId="3E8BDD9A">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路线：路线名称、路线编码、所在乡镇、路段起终点桩号、路段起终点经纬度、路段起终点名称、是否断头路、技术等级、车道分类、面层类型、路段宽度、路基宽度、重复路段编码、里程规模、空间线形线位；</w:t>
      </w:r>
    </w:p>
    <w:p w14:paraId="6581E5C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乡镇和建制村：主要是空间位置和照片，其他相关信息需要和乡镇业主核对。</w:t>
      </w:r>
    </w:p>
    <w:p w14:paraId="12BA1A9B">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(3)数据治理要求</w:t>
      </w:r>
    </w:p>
    <w:p w14:paraId="2F90B380">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在本项目农村公路“基础数据调查更新、路况自动化检测”成果数据基础上，梳理</w:t>
      </w:r>
      <w:r>
        <w:rPr>
          <w:rFonts w:hint="eastAsia" w:ascii="宋体" w:hAnsi="宋体" w:eastAsia="宋体" w:cs="宋体"/>
          <w:color w:val="auto"/>
          <w:kern w:val="2"/>
          <w:sz w:val="24"/>
          <w:szCs w:val="24"/>
          <w:highlight w:val="none"/>
          <w:lang w:val="en-US" w:eastAsia="zh-CN" w:bidi="ar-SA"/>
        </w:rPr>
        <w:t>滁州市</w:t>
      </w:r>
      <w:r>
        <w:rPr>
          <w:rFonts w:hint="default" w:ascii="宋体" w:hAnsi="宋体" w:eastAsia="宋体" w:cs="宋体"/>
          <w:color w:val="auto"/>
          <w:kern w:val="2"/>
          <w:sz w:val="24"/>
          <w:szCs w:val="24"/>
          <w:highlight w:val="none"/>
          <w:lang w:val="en-US" w:eastAsia="zh-CN" w:bidi="ar-SA"/>
        </w:rPr>
        <w:t>农村公路基础数据要素清单。</w:t>
      </w:r>
    </w:p>
    <w:p w14:paraId="34A77D61">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按照农村公路“一路一档”数据信息标准，对各类基础数据进行数据清洗、数据校核、数据处理，确保各类属性数据、电子地图数据成果符合相关标准要求。</w:t>
      </w:r>
    </w:p>
    <w:p w14:paraId="34D2A17F">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结合农村公路“一路一档”信息化建设有关要求，建立全市农村公路基础数据资源库。</w:t>
      </w:r>
    </w:p>
    <w:p w14:paraId="4246BC38">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本次自动化检测数据与调查更新数据</w:t>
      </w:r>
      <w:r>
        <w:rPr>
          <w:rFonts w:hint="eastAsia" w:ascii="宋体" w:hAnsi="宋体" w:eastAsia="宋体" w:cs="宋体"/>
          <w:color w:val="auto"/>
          <w:kern w:val="2"/>
          <w:sz w:val="24"/>
          <w:szCs w:val="24"/>
          <w:highlight w:val="none"/>
          <w:lang w:val="en-US" w:eastAsia="zh-CN" w:bidi="ar-SA"/>
        </w:rPr>
        <w:t>需</w:t>
      </w:r>
      <w:r>
        <w:rPr>
          <w:rFonts w:hint="default" w:ascii="宋体" w:hAnsi="宋体" w:eastAsia="宋体" w:cs="宋体"/>
          <w:color w:val="auto"/>
          <w:kern w:val="2"/>
          <w:sz w:val="24"/>
          <w:szCs w:val="24"/>
          <w:highlight w:val="none"/>
          <w:lang w:val="en-US" w:eastAsia="zh-CN" w:bidi="ar-SA"/>
        </w:rPr>
        <w:t>满足养护统计年报的审核要求。</w:t>
      </w:r>
    </w:p>
    <w:p w14:paraId="7349E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（四）检测的主要工作包括：</w:t>
      </w:r>
    </w:p>
    <w:p w14:paraId="2579C6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1、出具报告上报至省级及交通部并通过审核。</w:t>
      </w:r>
    </w:p>
    <w:tbl>
      <w:tblPr>
        <w:tblStyle w:val="29"/>
        <w:tblW w:w="9559" w:type="dxa"/>
        <w:tblInd w:w="-3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4"/>
        <w:gridCol w:w="1864"/>
        <w:gridCol w:w="1474"/>
        <w:gridCol w:w="1474"/>
        <w:gridCol w:w="1609"/>
        <w:gridCol w:w="1064"/>
        <w:gridCol w:w="240"/>
      </w:tblGrid>
      <w:tr w14:paraId="5949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1"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574">
            <w:pPr>
              <w:keepNext w:val="0"/>
              <w:keepLines w:val="0"/>
              <w:widowControl/>
              <w:suppressLineNumbers w:val="0"/>
              <w:jc w:val="center"/>
              <w:textAlignment w:val="center"/>
              <w:rPr>
                <w:rFonts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县（市、区）名称</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3D6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县道里程（公里）</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38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乡道里程（公里）</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63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村道里程（公里）</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07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总计    </w:t>
            </w:r>
          </w:p>
          <w:p w14:paraId="65FB75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（公里）</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5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c>
          <w:tcPr>
            <w:tcW w:w="240" w:type="dxa"/>
            <w:tcBorders>
              <w:top w:val="nil"/>
              <w:left w:val="nil"/>
              <w:bottom w:val="nil"/>
              <w:right w:val="nil"/>
            </w:tcBorders>
            <w:shd w:val="clear" w:color="auto" w:fill="auto"/>
            <w:noWrap/>
            <w:vAlign w:val="center"/>
          </w:tcPr>
          <w:p w14:paraId="11EEBC62">
            <w:pPr>
              <w:rPr>
                <w:rFonts w:hint="eastAsia" w:ascii="宋体" w:hAnsi="宋体" w:eastAsia="宋体" w:cs="宋体"/>
                <w:i w:val="0"/>
                <w:iCs w:val="0"/>
                <w:color w:val="auto"/>
                <w:sz w:val="20"/>
                <w:szCs w:val="20"/>
                <w:highlight w:val="none"/>
                <w:u w:val="none"/>
              </w:rPr>
            </w:pPr>
          </w:p>
        </w:tc>
      </w:tr>
      <w:tr w14:paraId="1ABF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1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琅琊区</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A4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38.805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A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50.358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25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159.172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3E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248.335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1D3AA">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3EB4C456">
            <w:pPr>
              <w:rPr>
                <w:rFonts w:hint="eastAsia" w:ascii="宋体" w:hAnsi="宋体" w:eastAsia="宋体" w:cs="宋体"/>
                <w:i w:val="0"/>
                <w:iCs w:val="0"/>
                <w:color w:val="auto"/>
                <w:sz w:val="20"/>
                <w:szCs w:val="20"/>
                <w:highlight w:val="none"/>
                <w:u w:val="none"/>
              </w:rPr>
            </w:pPr>
          </w:p>
        </w:tc>
      </w:tr>
      <w:tr w14:paraId="30C5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71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南谯区</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8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3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268.791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7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861.825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27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1349.706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175A">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76EE1D57">
            <w:pPr>
              <w:rPr>
                <w:rFonts w:hint="eastAsia" w:ascii="宋体" w:hAnsi="宋体" w:eastAsia="宋体" w:cs="宋体"/>
                <w:i w:val="0"/>
                <w:iCs w:val="0"/>
                <w:color w:val="auto"/>
                <w:sz w:val="20"/>
                <w:szCs w:val="20"/>
                <w:highlight w:val="none"/>
                <w:u w:val="none"/>
              </w:rPr>
            </w:pPr>
          </w:p>
        </w:tc>
      </w:tr>
      <w:tr w14:paraId="3BCB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6E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来安县</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F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354.275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62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286.484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1473.422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8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2114.181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8542">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2BDB1648">
            <w:pPr>
              <w:rPr>
                <w:rFonts w:hint="eastAsia" w:ascii="宋体" w:hAnsi="宋体" w:eastAsia="宋体" w:cs="宋体"/>
                <w:i w:val="0"/>
                <w:iCs w:val="0"/>
                <w:color w:val="auto"/>
                <w:sz w:val="20"/>
                <w:szCs w:val="20"/>
                <w:highlight w:val="none"/>
                <w:u w:val="none"/>
              </w:rPr>
            </w:pPr>
          </w:p>
        </w:tc>
      </w:tr>
      <w:tr w14:paraId="3484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0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全椒县</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F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339.488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C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403.835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AC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1472.044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2215.367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3E45">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0486B10B">
            <w:pPr>
              <w:rPr>
                <w:rFonts w:hint="eastAsia" w:ascii="宋体" w:hAnsi="宋体" w:eastAsia="宋体" w:cs="宋体"/>
                <w:i w:val="0"/>
                <w:iCs w:val="0"/>
                <w:color w:val="auto"/>
                <w:sz w:val="20"/>
                <w:szCs w:val="20"/>
                <w:highlight w:val="none"/>
                <w:u w:val="none"/>
              </w:rPr>
            </w:pPr>
          </w:p>
        </w:tc>
      </w:tr>
      <w:tr w14:paraId="1429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8B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定远县</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A3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507.721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DE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740.759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56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2865.866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37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4114.346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185C">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0" w:type="dxa"/>
            <w:tcBorders>
              <w:top w:val="nil"/>
              <w:left w:val="nil"/>
              <w:bottom w:val="nil"/>
              <w:right w:val="nil"/>
            </w:tcBorders>
            <w:shd w:val="clear" w:color="auto" w:fill="auto"/>
            <w:noWrap/>
            <w:vAlign w:val="center"/>
          </w:tcPr>
          <w:p w14:paraId="0D75856C">
            <w:pPr>
              <w:rPr>
                <w:rFonts w:hint="eastAsia" w:ascii="宋体" w:hAnsi="宋体" w:eastAsia="宋体" w:cs="宋体"/>
                <w:i w:val="0"/>
                <w:iCs w:val="0"/>
                <w:color w:val="auto"/>
                <w:sz w:val="20"/>
                <w:szCs w:val="20"/>
                <w:highlight w:val="none"/>
                <w:u w:val="none"/>
              </w:rPr>
            </w:pPr>
          </w:p>
        </w:tc>
      </w:tr>
      <w:tr w14:paraId="68C1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FB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凤阳县</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E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358.074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8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427.97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61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1997.912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9F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2783.956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1969">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6836405E">
            <w:pPr>
              <w:rPr>
                <w:rFonts w:hint="eastAsia" w:ascii="宋体" w:hAnsi="宋体" w:eastAsia="宋体" w:cs="宋体"/>
                <w:i w:val="0"/>
                <w:iCs w:val="0"/>
                <w:color w:val="auto"/>
                <w:sz w:val="20"/>
                <w:szCs w:val="20"/>
                <w:highlight w:val="none"/>
                <w:u w:val="none"/>
              </w:rPr>
            </w:pPr>
          </w:p>
        </w:tc>
      </w:tr>
      <w:tr w14:paraId="3D8C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1C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天长市</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A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406.287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F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654.499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1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1496.391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DF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2557.177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CFA2">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4C79F42C">
            <w:pPr>
              <w:rPr>
                <w:rFonts w:hint="eastAsia" w:ascii="宋体" w:hAnsi="宋体" w:eastAsia="宋体" w:cs="宋体"/>
                <w:i w:val="0"/>
                <w:iCs w:val="0"/>
                <w:color w:val="auto"/>
                <w:sz w:val="20"/>
                <w:szCs w:val="20"/>
                <w:highlight w:val="none"/>
                <w:u w:val="none"/>
              </w:rPr>
            </w:pPr>
          </w:p>
        </w:tc>
      </w:tr>
      <w:tr w14:paraId="44BD0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5B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明光市</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1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355.103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4F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266.586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23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1983.088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EA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2604.777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5230">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2990CE87">
            <w:pPr>
              <w:rPr>
                <w:rFonts w:hint="eastAsia" w:ascii="宋体" w:hAnsi="宋体" w:eastAsia="宋体" w:cs="宋体"/>
                <w:i w:val="0"/>
                <w:iCs w:val="0"/>
                <w:color w:val="auto"/>
                <w:sz w:val="20"/>
                <w:szCs w:val="20"/>
                <w:highlight w:val="none"/>
                <w:u w:val="none"/>
              </w:rPr>
            </w:pPr>
          </w:p>
        </w:tc>
      </w:tr>
      <w:tr w14:paraId="1C26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09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总计（公里）</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7E4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2578.843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C770">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3099.282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F12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12309.72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DEF6">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17987.845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E55">
            <w:pPr>
              <w:jc w:val="center"/>
              <w:rPr>
                <w:rFonts w:hint="eastAsia" w:ascii="仿宋" w:hAnsi="仿宋" w:eastAsia="仿宋" w:cs="仿宋"/>
                <w:i w:val="0"/>
                <w:iCs w:val="0"/>
                <w:color w:val="auto"/>
                <w:sz w:val="20"/>
                <w:szCs w:val="20"/>
                <w:highlight w:val="none"/>
                <w:u w:val="none"/>
              </w:rPr>
            </w:pPr>
          </w:p>
        </w:tc>
        <w:tc>
          <w:tcPr>
            <w:tcW w:w="240" w:type="dxa"/>
            <w:tcBorders>
              <w:top w:val="nil"/>
              <w:left w:val="nil"/>
              <w:bottom w:val="nil"/>
              <w:right w:val="nil"/>
            </w:tcBorders>
            <w:shd w:val="clear" w:color="auto" w:fill="auto"/>
            <w:noWrap/>
            <w:vAlign w:val="center"/>
          </w:tcPr>
          <w:p w14:paraId="4D7DDC09">
            <w:pPr>
              <w:rPr>
                <w:rFonts w:hint="eastAsia" w:ascii="宋体" w:hAnsi="宋体" w:eastAsia="宋体" w:cs="宋体"/>
                <w:i w:val="0"/>
                <w:iCs w:val="0"/>
                <w:color w:val="auto"/>
                <w:sz w:val="20"/>
                <w:szCs w:val="20"/>
                <w:highlight w:val="none"/>
                <w:u w:val="none"/>
              </w:rPr>
            </w:pPr>
          </w:p>
        </w:tc>
      </w:tr>
    </w:tbl>
    <w:p w14:paraId="76EDA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、工作要求</w:t>
      </w:r>
    </w:p>
    <w:p w14:paraId="6B85A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（一）人员 、场地及机械设备要求：</w:t>
      </w:r>
    </w:p>
    <w:p w14:paraId="1B805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1、为本项目配备固定管理技术人员,班子人员较齐备、搭配较合理</w:t>
      </w:r>
    </w:p>
    <w:p w14:paraId="334ED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2、机械设备数量、配置种类充分、合适，主要设备</w:t>
      </w:r>
      <w:r>
        <w:rPr>
          <w:rFonts w:hint="eastAsia" w:ascii="宋体" w:hAnsi="宋体" w:eastAsia="宋体" w:cs="宋体"/>
          <w:color w:val="auto"/>
          <w:sz w:val="24"/>
          <w:szCs w:val="24"/>
          <w:highlight w:val="none"/>
          <w:lang w:val="en-US" w:eastAsia="zh-CN"/>
        </w:rPr>
        <w:t>多功能快速综合路况检测车的配备等</w:t>
      </w:r>
      <w:r>
        <w:rPr>
          <w:rFonts w:hint="eastAsia" w:ascii="宋体" w:hAnsi="宋体" w:eastAsia="宋体" w:cs="宋体"/>
          <w:color w:val="auto"/>
          <w:sz w:val="24"/>
          <w:szCs w:val="24"/>
          <w:highlight w:val="none"/>
          <w:lang w:eastAsia="zh-CN"/>
        </w:rPr>
        <w:t>落实，满足自动化检测需要。</w:t>
      </w:r>
    </w:p>
    <w:p w14:paraId="2F51B4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14:paraId="00A1C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1、服务期间，必须按招标人的要求以及实际需要配备足够的人员； </w:t>
      </w:r>
    </w:p>
    <w:p w14:paraId="3B26C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2、评定报告内容标准符合国家有关技术规程、规范要求。</w:t>
      </w:r>
    </w:p>
    <w:p w14:paraId="32D04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3、若不符合相关质量要求，由中标人立即无条件进行整改。由此发生的费用业主不用另行计量支付。</w:t>
      </w:r>
    </w:p>
    <w:p w14:paraId="03B9C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3、中标单位在承包期内工作人员发生各种事故：包括工程安全、治安、交通、防火和违法乱纪、劳资纠纷等事件，所造成一切后果及损失，由中标单位承担责任和负责赔偿。</w:t>
      </w:r>
    </w:p>
    <w:p w14:paraId="623EF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eastAsia="zh-CN"/>
        </w:rPr>
        <w:t>4、在合同期内，中标人因各种原因，造成第三方的损失或经济损失，由中标人独自承担其法律和经济责任，与招标人无关。</w:t>
      </w:r>
    </w:p>
    <w:p w14:paraId="50EBD9AE">
      <w:pPr>
        <w:numPr>
          <w:ilvl w:val="0"/>
          <w:numId w:val="3"/>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bookmarkStart w:id="52" w:name="_Toc25399"/>
      <w:r>
        <w:rPr>
          <w:rFonts w:hint="eastAsia" w:ascii="宋体" w:hAnsi="宋体" w:eastAsia="宋体" w:cs="宋体"/>
          <w:color w:val="auto"/>
          <w:kern w:val="2"/>
          <w:sz w:val="24"/>
          <w:szCs w:val="24"/>
          <w:highlight w:val="none"/>
          <w:lang w:val="en-US" w:eastAsia="zh-CN" w:bidi="ar-SA"/>
        </w:rPr>
        <w:t>人员要求（中标后须为本项目配备最低人员）</w:t>
      </w:r>
    </w:p>
    <w:p w14:paraId="1D091D03">
      <w:pPr>
        <w:pStyle w:val="2"/>
        <w:numPr>
          <w:ilvl w:val="0"/>
          <w:numId w:val="0"/>
        </w:numPr>
        <w:rPr>
          <w:rFonts w:hint="eastAsia"/>
          <w:color w:val="auto"/>
          <w:highlight w:val="none"/>
          <w:lang w:val="en-US" w:eastAsia="zh-CN"/>
        </w:rPr>
      </w:pPr>
    </w:p>
    <w:tbl>
      <w:tblPr>
        <w:tblStyle w:val="29"/>
        <w:tblW w:w="91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9"/>
        <w:gridCol w:w="1474"/>
        <w:gridCol w:w="5550"/>
      </w:tblGrid>
      <w:tr w14:paraId="0417D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2169" w:type="dxa"/>
            <w:noWrap w:val="0"/>
            <w:vAlign w:val="center"/>
          </w:tcPr>
          <w:p w14:paraId="4D62C2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1474" w:type="dxa"/>
            <w:noWrap w:val="0"/>
            <w:vAlign w:val="center"/>
          </w:tcPr>
          <w:p w14:paraId="58F91B4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w:t>
            </w:r>
          </w:p>
        </w:tc>
        <w:tc>
          <w:tcPr>
            <w:tcW w:w="5550" w:type="dxa"/>
            <w:noWrap w:val="0"/>
            <w:vAlign w:val="center"/>
          </w:tcPr>
          <w:p w14:paraId="2D8534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标  准</w:t>
            </w:r>
          </w:p>
        </w:tc>
      </w:tr>
      <w:tr w14:paraId="2333D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trPr>
        <w:tc>
          <w:tcPr>
            <w:tcW w:w="2169" w:type="dxa"/>
            <w:noWrap w:val="0"/>
            <w:vAlign w:val="center"/>
          </w:tcPr>
          <w:p w14:paraId="2BC507D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474" w:type="dxa"/>
            <w:noWrap w:val="0"/>
            <w:vAlign w:val="center"/>
          </w:tcPr>
          <w:p w14:paraId="79D15C3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50" w:type="dxa"/>
            <w:noWrap w:val="0"/>
            <w:vAlign w:val="center"/>
          </w:tcPr>
          <w:p w14:paraId="4E0866B3">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具备交通运输部试验检测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公路相关专业</w:t>
            </w:r>
            <w:r>
              <w:rPr>
                <w:rFonts w:hint="eastAsia" w:ascii="宋体" w:hAnsi="宋体" w:eastAsia="宋体" w:cs="宋体"/>
                <w:color w:val="auto"/>
                <w:szCs w:val="21"/>
                <w:highlight w:val="none"/>
                <w:lang w:eastAsia="zh-CN"/>
              </w:rPr>
              <w:t>）</w:t>
            </w:r>
          </w:p>
        </w:tc>
      </w:tr>
      <w:tr w14:paraId="3724A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9" w:hRule="atLeast"/>
        </w:trPr>
        <w:tc>
          <w:tcPr>
            <w:tcW w:w="2169" w:type="dxa"/>
            <w:noWrap w:val="0"/>
            <w:vAlign w:val="center"/>
          </w:tcPr>
          <w:p w14:paraId="476B52F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检测工程师</w:t>
            </w:r>
          </w:p>
        </w:tc>
        <w:tc>
          <w:tcPr>
            <w:tcW w:w="1474" w:type="dxa"/>
            <w:noWrap w:val="0"/>
            <w:vAlign w:val="center"/>
          </w:tcPr>
          <w:p w14:paraId="637D04DF">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5550" w:type="dxa"/>
            <w:noWrap w:val="0"/>
            <w:vAlign w:val="center"/>
          </w:tcPr>
          <w:p w14:paraId="3D16AB7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具备交通运输部试验检测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公路相关专业</w:t>
            </w:r>
            <w:r>
              <w:rPr>
                <w:rFonts w:hint="eastAsia" w:ascii="宋体" w:hAnsi="宋体" w:eastAsia="宋体" w:cs="宋体"/>
                <w:color w:val="auto"/>
                <w:szCs w:val="21"/>
                <w:highlight w:val="none"/>
                <w:lang w:eastAsia="zh-CN"/>
              </w:rPr>
              <w:t>）</w:t>
            </w:r>
          </w:p>
        </w:tc>
      </w:tr>
      <w:tr w14:paraId="00230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169" w:type="dxa"/>
            <w:noWrap w:val="0"/>
            <w:vAlign w:val="center"/>
          </w:tcPr>
          <w:p w14:paraId="0B991A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检测员</w:t>
            </w:r>
          </w:p>
        </w:tc>
        <w:tc>
          <w:tcPr>
            <w:tcW w:w="1474" w:type="dxa"/>
            <w:noWrap w:val="0"/>
            <w:vAlign w:val="center"/>
          </w:tcPr>
          <w:p w14:paraId="0B4AFC6B">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6</w:t>
            </w:r>
          </w:p>
        </w:tc>
        <w:tc>
          <w:tcPr>
            <w:tcW w:w="5550" w:type="dxa"/>
            <w:noWrap w:val="0"/>
            <w:vAlign w:val="center"/>
          </w:tcPr>
          <w:p w14:paraId="0C819341">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具有交通运输部检测员证书</w:t>
            </w:r>
          </w:p>
        </w:tc>
      </w:tr>
    </w:tbl>
    <w:p w14:paraId="5E3E4AB9">
      <w:pPr>
        <w:spacing w:line="360" w:lineRule="auto"/>
        <w:jc w:val="center"/>
        <w:outlineLvl w:val="0"/>
        <w:rPr>
          <w:rFonts w:hint="eastAsia" w:ascii="宋体" w:hAnsi="宋体" w:eastAsia="宋体" w:cs="宋体"/>
          <w:b/>
          <w:color w:val="auto"/>
          <w:sz w:val="28"/>
          <w:highlight w:val="none"/>
        </w:rPr>
      </w:pPr>
    </w:p>
    <w:p w14:paraId="0764D706">
      <w:pPr>
        <w:spacing w:line="360" w:lineRule="auto"/>
        <w:jc w:val="center"/>
        <w:outlineLvl w:val="0"/>
        <w:rPr>
          <w:rFonts w:hint="eastAsia" w:ascii="宋体" w:hAnsi="宋体" w:eastAsia="宋体" w:cs="宋体"/>
          <w:b/>
          <w:color w:val="auto"/>
          <w:sz w:val="28"/>
          <w:highlight w:val="none"/>
        </w:rPr>
      </w:pPr>
    </w:p>
    <w:p w14:paraId="6CE4C948">
      <w:pPr>
        <w:spacing w:line="360" w:lineRule="auto"/>
        <w:jc w:val="center"/>
        <w:outlineLvl w:val="0"/>
        <w:rPr>
          <w:rFonts w:hint="eastAsia" w:ascii="宋体" w:hAnsi="宋体" w:eastAsia="宋体" w:cs="宋体"/>
          <w:b/>
          <w:color w:val="auto"/>
          <w:sz w:val="28"/>
          <w:highlight w:val="none"/>
        </w:rPr>
      </w:pPr>
    </w:p>
    <w:p w14:paraId="7CF5F93A">
      <w:pPr>
        <w:spacing w:line="360" w:lineRule="auto"/>
        <w:jc w:val="center"/>
        <w:outlineLvl w:val="0"/>
        <w:rPr>
          <w:rFonts w:hint="eastAsia" w:ascii="宋体" w:hAnsi="宋体" w:eastAsia="宋体" w:cs="宋体"/>
          <w:b/>
          <w:color w:val="auto"/>
          <w:sz w:val="28"/>
          <w:highlight w:val="none"/>
        </w:rPr>
      </w:pPr>
    </w:p>
    <w:p w14:paraId="373BBED4">
      <w:pPr>
        <w:spacing w:line="360" w:lineRule="auto"/>
        <w:jc w:val="center"/>
        <w:outlineLvl w:val="0"/>
        <w:rPr>
          <w:rFonts w:hint="eastAsia" w:ascii="宋体" w:hAnsi="宋体" w:eastAsia="宋体" w:cs="宋体"/>
          <w:b/>
          <w:color w:val="auto"/>
          <w:sz w:val="28"/>
          <w:highlight w:val="none"/>
        </w:rPr>
      </w:pPr>
    </w:p>
    <w:p w14:paraId="76E3B3B7">
      <w:pPr>
        <w:spacing w:line="360" w:lineRule="auto"/>
        <w:jc w:val="center"/>
        <w:outlineLvl w:val="0"/>
        <w:rPr>
          <w:rFonts w:hint="eastAsia" w:ascii="宋体" w:hAnsi="宋体" w:eastAsia="宋体" w:cs="宋体"/>
          <w:b/>
          <w:color w:val="auto"/>
          <w:sz w:val="28"/>
          <w:highlight w:val="none"/>
        </w:rPr>
      </w:pPr>
    </w:p>
    <w:p w14:paraId="2749E419">
      <w:pPr>
        <w:spacing w:line="360" w:lineRule="auto"/>
        <w:jc w:val="center"/>
        <w:outlineLvl w:val="0"/>
        <w:rPr>
          <w:rFonts w:hint="eastAsia" w:ascii="宋体" w:hAnsi="宋体" w:eastAsia="宋体" w:cs="宋体"/>
          <w:b/>
          <w:color w:val="auto"/>
          <w:sz w:val="28"/>
          <w:highlight w:val="none"/>
        </w:rPr>
      </w:pPr>
    </w:p>
    <w:p w14:paraId="27291C55">
      <w:pPr>
        <w:spacing w:line="360" w:lineRule="auto"/>
        <w:jc w:val="center"/>
        <w:outlineLvl w:val="0"/>
        <w:rPr>
          <w:rFonts w:hint="eastAsia" w:ascii="宋体" w:hAnsi="宋体" w:eastAsia="宋体" w:cs="宋体"/>
          <w:b/>
          <w:color w:val="auto"/>
          <w:sz w:val="28"/>
          <w:highlight w:val="none"/>
        </w:rPr>
      </w:pPr>
    </w:p>
    <w:p w14:paraId="7673E975">
      <w:pPr>
        <w:spacing w:line="360" w:lineRule="auto"/>
        <w:jc w:val="center"/>
        <w:outlineLvl w:val="0"/>
        <w:rPr>
          <w:rFonts w:hint="eastAsia" w:ascii="宋体" w:hAnsi="宋体" w:eastAsia="宋体" w:cs="宋体"/>
          <w:b/>
          <w:color w:val="auto"/>
          <w:sz w:val="28"/>
          <w:highlight w:val="none"/>
        </w:rPr>
      </w:pPr>
    </w:p>
    <w:p w14:paraId="1BB3DCB1">
      <w:pPr>
        <w:spacing w:line="360" w:lineRule="auto"/>
        <w:jc w:val="center"/>
        <w:outlineLvl w:val="0"/>
        <w:rPr>
          <w:rFonts w:hint="eastAsia" w:ascii="宋体" w:hAnsi="宋体" w:eastAsia="宋体" w:cs="宋体"/>
          <w:b/>
          <w:color w:val="auto"/>
          <w:sz w:val="28"/>
          <w:highlight w:val="none"/>
        </w:rPr>
      </w:pPr>
    </w:p>
    <w:p w14:paraId="2E932B89">
      <w:pPr>
        <w:pStyle w:val="2"/>
        <w:rPr>
          <w:rFonts w:hint="eastAsia" w:ascii="宋体" w:hAnsi="宋体" w:eastAsia="宋体" w:cs="宋体"/>
          <w:b/>
          <w:color w:val="auto"/>
          <w:sz w:val="28"/>
          <w:highlight w:val="none"/>
        </w:rPr>
      </w:pPr>
    </w:p>
    <w:p w14:paraId="6D7E2FAB">
      <w:pPr>
        <w:rPr>
          <w:rFonts w:hint="eastAsia" w:ascii="宋体" w:hAnsi="宋体" w:eastAsia="宋体" w:cs="宋体"/>
          <w:b/>
          <w:color w:val="auto"/>
          <w:sz w:val="28"/>
          <w:highlight w:val="none"/>
        </w:rPr>
      </w:pPr>
    </w:p>
    <w:p w14:paraId="67FC155F">
      <w:pPr>
        <w:pStyle w:val="2"/>
        <w:rPr>
          <w:rFonts w:hint="eastAsia" w:ascii="宋体" w:hAnsi="宋体" w:eastAsia="宋体" w:cs="宋体"/>
          <w:b/>
          <w:color w:val="auto"/>
          <w:sz w:val="28"/>
          <w:highlight w:val="none"/>
        </w:rPr>
      </w:pPr>
    </w:p>
    <w:p w14:paraId="0AF6D7D2">
      <w:pPr>
        <w:rPr>
          <w:rFonts w:hint="eastAsia" w:ascii="宋体" w:hAnsi="宋体" w:eastAsia="宋体" w:cs="宋体"/>
          <w:b/>
          <w:color w:val="auto"/>
          <w:sz w:val="28"/>
          <w:highlight w:val="none"/>
        </w:rPr>
      </w:pPr>
    </w:p>
    <w:p w14:paraId="4D7F8082">
      <w:pPr>
        <w:pStyle w:val="2"/>
        <w:rPr>
          <w:rFonts w:hint="eastAsia" w:ascii="宋体" w:hAnsi="宋体" w:eastAsia="宋体" w:cs="宋体"/>
          <w:b/>
          <w:color w:val="auto"/>
          <w:sz w:val="28"/>
          <w:highlight w:val="none"/>
        </w:rPr>
      </w:pPr>
    </w:p>
    <w:p w14:paraId="471D4BC7">
      <w:pPr>
        <w:rPr>
          <w:rFonts w:hint="eastAsia" w:ascii="宋体" w:hAnsi="宋体" w:eastAsia="宋体" w:cs="宋体"/>
          <w:b/>
          <w:color w:val="auto"/>
          <w:sz w:val="28"/>
          <w:highlight w:val="none"/>
        </w:rPr>
      </w:pPr>
    </w:p>
    <w:p w14:paraId="64651D43">
      <w:pPr>
        <w:pStyle w:val="2"/>
        <w:rPr>
          <w:rFonts w:hint="eastAsia"/>
          <w:color w:val="auto"/>
          <w:highlight w:val="none"/>
        </w:rPr>
      </w:pPr>
    </w:p>
    <w:p w14:paraId="3C431D4F">
      <w:pPr>
        <w:rPr>
          <w:rFonts w:hint="eastAsia"/>
          <w:color w:val="auto"/>
          <w:highlight w:val="none"/>
        </w:rPr>
      </w:pPr>
    </w:p>
    <w:p w14:paraId="1A6844AD">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第四章  评标方法和标准</w:t>
      </w:r>
      <w:bookmarkEnd w:id="52"/>
      <w:r>
        <w:rPr>
          <w:rFonts w:hint="eastAsia" w:ascii="宋体" w:hAnsi="宋体" w:eastAsia="宋体" w:cs="宋体"/>
          <w:b/>
          <w:color w:val="auto"/>
          <w:sz w:val="28"/>
          <w:highlight w:val="none"/>
        </w:rPr>
        <w:t>（综合评分法）</w:t>
      </w:r>
    </w:p>
    <w:p w14:paraId="32795BD3">
      <w:pPr>
        <w:spacing w:line="440" w:lineRule="exact"/>
        <w:ind w:firstLine="437"/>
        <w:outlineLvl w:val="1"/>
        <w:rPr>
          <w:rFonts w:hint="eastAsia" w:ascii="宋体" w:hAnsi="宋体" w:eastAsia="宋体" w:cs="宋体"/>
          <w:b/>
          <w:color w:val="auto"/>
          <w:sz w:val="24"/>
          <w:highlight w:val="none"/>
        </w:rPr>
      </w:pPr>
      <w:bookmarkStart w:id="53" w:name="_Toc9286"/>
      <w:bookmarkStart w:id="54" w:name="_Toc4705"/>
      <w:bookmarkStart w:id="55" w:name="_Toc11823"/>
      <w:r>
        <w:rPr>
          <w:rFonts w:hint="eastAsia" w:ascii="宋体" w:hAnsi="宋体" w:eastAsia="宋体" w:cs="宋体"/>
          <w:b/>
          <w:color w:val="auto"/>
          <w:sz w:val="24"/>
          <w:highlight w:val="none"/>
        </w:rPr>
        <w:t>一、总则</w:t>
      </w:r>
      <w:bookmarkEnd w:id="53"/>
      <w:bookmarkEnd w:id="54"/>
      <w:bookmarkEnd w:id="55"/>
    </w:p>
    <w:p w14:paraId="17185BC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3CB6423B">
      <w:pPr>
        <w:spacing w:line="440" w:lineRule="exact"/>
        <w:ind w:firstLine="437"/>
        <w:outlineLvl w:val="1"/>
        <w:rPr>
          <w:rFonts w:hint="eastAsia" w:ascii="宋体" w:hAnsi="宋体" w:eastAsia="宋体" w:cs="宋体"/>
          <w:b/>
          <w:color w:val="auto"/>
          <w:sz w:val="24"/>
          <w:highlight w:val="none"/>
        </w:rPr>
      </w:pPr>
      <w:bookmarkStart w:id="56" w:name="_Toc12003"/>
      <w:bookmarkStart w:id="57" w:name="_Toc31871"/>
      <w:bookmarkStart w:id="58" w:name="_Toc32410"/>
      <w:r>
        <w:rPr>
          <w:rFonts w:hint="eastAsia" w:ascii="宋体" w:hAnsi="宋体" w:eastAsia="宋体" w:cs="宋体"/>
          <w:b/>
          <w:color w:val="auto"/>
          <w:sz w:val="24"/>
          <w:highlight w:val="none"/>
        </w:rPr>
        <w:t>二、评标方法</w:t>
      </w:r>
      <w:bookmarkEnd w:id="56"/>
      <w:bookmarkEnd w:id="57"/>
      <w:bookmarkEnd w:id="58"/>
    </w:p>
    <w:p w14:paraId="66BABE3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9"/>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51"/>
        <w:gridCol w:w="4556"/>
        <w:gridCol w:w="1906"/>
      </w:tblGrid>
      <w:tr w14:paraId="585B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3D3454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0389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34E72C4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48B4D19D">
            <w:pPr>
              <w:pStyle w:val="49"/>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0" w:type="pct"/>
            <w:tcBorders>
              <w:bottom w:val="single" w:color="auto" w:sz="4" w:space="0"/>
            </w:tcBorders>
            <w:vAlign w:val="center"/>
          </w:tcPr>
          <w:p w14:paraId="4DA42642">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87" w:type="pct"/>
            <w:tcBorders>
              <w:bottom w:val="single" w:color="auto" w:sz="4" w:space="0"/>
            </w:tcBorders>
            <w:vAlign w:val="center"/>
          </w:tcPr>
          <w:p w14:paraId="3180C3A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0F7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0" w:type="pct"/>
            <w:tcBorders>
              <w:bottom w:val="single" w:color="auto" w:sz="4" w:space="0"/>
            </w:tcBorders>
            <w:vAlign w:val="center"/>
          </w:tcPr>
          <w:p w14:paraId="5B16FD5C">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24E59D7A">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0" w:type="pct"/>
            <w:tcBorders>
              <w:bottom w:val="single" w:color="auto" w:sz="4" w:space="0"/>
            </w:tcBorders>
            <w:vAlign w:val="center"/>
          </w:tcPr>
          <w:p w14:paraId="3DAB00BA">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6B646F2A">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14825A89">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p w14:paraId="67B4D42C">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（4）投标人是个体工商户的，应提供有效的个体工商户营业执照；</w:t>
            </w:r>
          </w:p>
          <w:p w14:paraId="7A00B333">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（5）投标人是自然人的，应提供有效的自然人身份证明。</w:t>
            </w:r>
          </w:p>
        </w:tc>
        <w:tc>
          <w:tcPr>
            <w:tcW w:w="1087" w:type="pct"/>
            <w:vAlign w:val="center"/>
          </w:tcPr>
          <w:p w14:paraId="525704F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60F9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0" w:type="pct"/>
            <w:tcBorders>
              <w:bottom w:val="single" w:color="auto" w:sz="4" w:space="0"/>
            </w:tcBorders>
            <w:vAlign w:val="center"/>
          </w:tcPr>
          <w:p w14:paraId="1D2BA25C">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2" w:type="pct"/>
            <w:tcBorders>
              <w:bottom w:val="single" w:color="auto" w:sz="4" w:space="0"/>
            </w:tcBorders>
            <w:vAlign w:val="center"/>
          </w:tcPr>
          <w:p w14:paraId="0903EB12">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0" w:type="pct"/>
            <w:tcBorders>
              <w:bottom w:val="single" w:color="auto" w:sz="4" w:space="0"/>
            </w:tcBorders>
            <w:vAlign w:val="center"/>
          </w:tcPr>
          <w:p w14:paraId="53757F51">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87" w:type="pct"/>
            <w:vAlign w:val="center"/>
          </w:tcPr>
          <w:p w14:paraId="4A5838B5">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6730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3A2B0CDE">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2" w:type="pct"/>
            <w:vAlign w:val="center"/>
          </w:tcPr>
          <w:p w14:paraId="31B48DA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vAlign w:val="center"/>
          </w:tcPr>
          <w:p w14:paraId="42C8BB6E">
            <w:pPr>
              <w:spacing w:after="50" w:line="440" w:lineRule="exact"/>
              <w:ind w:right="-1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7" w:type="pct"/>
            <w:vAlign w:val="center"/>
          </w:tcPr>
          <w:p w14:paraId="5F2AEDBC">
            <w:pPr>
              <w:spacing w:line="440" w:lineRule="exact"/>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21F6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shd w:val="clear" w:color="auto" w:fill="auto"/>
            <w:vAlign w:val="center"/>
          </w:tcPr>
          <w:p w14:paraId="5BB4125A">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bookmarkStart w:id="59" w:name="_Hlk16461707"/>
            <w:r>
              <w:rPr>
                <w:rFonts w:hint="eastAsia" w:ascii="宋体" w:hAnsi="宋体" w:eastAsia="宋体" w:cs="宋体"/>
                <w:color w:val="auto"/>
                <w:sz w:val="24"/>
                <w:highlight w:val="none"/>
                <w:lang w:val="en-US" w:eastAsia="zh-CN"/>
              </w:rPr>
              <w:t>4</w:t>
            </w:r>
          </w:p>
        </w:tc>
        <w:tc>
          <w:tcPr>
            <w:tcW w:w="942" w:type="pct"/>
            <w:shd w:val="clear" w:color="auto" w:fill="auto"/>
            <w:vAlign w:val="center"/>
          </w:tcPr>
          <w:p w14:paraId="76AFA14B">
            <w:pPr>
              <w:spacing w:after="50" w:line="360" w:lineRule="auto"/>
              <w:ind w:right="-1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0" w:type="pct"/>
            <w:shd w:val="clear" w:color="auto" w:fill="auto"/>
            <w:vAlign w:val="center"/>
          </w:tcPr>
          <w:p w14:paraId="45ECB700">
            <w:pPr>
              <w:spacing w:after="50" w:line="360" w:lineRule="auto"/>
              <w:ind w:right="-10" w:right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pacing w:val="-2"/>
                <w:sz w:val="24"/>
                <w:szCs w:val="24"/>
                <w:highlight w:val="none"/>
                <w:lang w:val="en-US" w:eastAsia="zh-CN"/>
              </w:rPr>
              <w:t>如有，</w:t>
            </w:r>
            <w:r>
              <w:rPr>
                <w:rFonts w:hint="eastAsia" w:ascii="宋体" w:hAnsi="宋体" w:eastAsia="宋体" w:cs="宋体"/>
                <w:color w:val="auto"/>
                <w:spacing w:val="-2"/>
                <w:sz w:val="24"/>
                <w:szCs w:val="24"/>
                <w:highlight w:val="none"/>
              </w:rPr>
              <w:t>见第一章《投标邀请》</w:t>
            </w:r>
          </w:p>
        </w:tc>
        <w:tc>
          <w:tcPr>
            <w:tcW w:w="1087" w:type="pct"/>
            <w:shd w:val="clear" w:color="auto" w:fill="auto"/>
            <w:vAlign w:val="center"/>
          </w:tcPr>
          <w:p w14:paraId="30C92E6F">
            <w:pPr>
              <w:spacing w:after="50" w:line="360" w:lineRule="auto"/>
              <w:ind w:right="-10" w:righ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FA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shd w:val="clear" w:color="auto" w:fill="auto"/>
            <w:vAlign w:val="center"/>
          </w:tcPr>
          <w:p w14:paraId="130F3D2F">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5</w:t>
            </w:r>
          </w:p>
        </w:tc>
        <w:tc>
          <w:tcPr>
            <w:tcW w:w="942" w:type="pct"/>
            <w:tcBorders>
              <w:bottom w:val="single" w:color="auto" w:sz="4" w:space="0"/>
            </w:tcBorders>
            <w:shd w:val="clear" w:color="auto" w:fill="auto"/>
            <w:vAlign w:val="center"/>
          </w:tcPr>
          <w:p w14:paraId="3E227839">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sz w:val="24"/>
                <w:szCs w:val="24"/>
                <w:highlight w:val="none"/>
              </w:rPr>
              <w:t>其他特定资格要求</w:t>
            </w:r>
          </w:p>
        </w:tc>
        <w:tc>
          <w:tcPr>
            <w:tcW w:w="2600" w:type="pct"/>
            <w:tcBorders>
              <w:bottom w:val="single" w:color="auto" w:sz="4" w:space="0"/>
            </w:tcBorders>
            <w:shd w:val="clear" w:color="auto" w:fill="auto"/>
            <w:vAlign w:val="center"/>
          </w:tcPr>
          <w:p w14:paraId="37D7F185">
            <w:pPr>
              <w:spacing w:after="50" w:line="360" w:lineRule="auto"/>
              <w:ind w:right="-10" w:rightChars="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pacing w:val="-2"/>
                <w:sz w:val="24"/>
                <w:szCs w:val="24"/>
                <w:highlight w:val="none"/>
              </w:rPr>
              <w:t>见第一章《投标邀请》</w:t>
            </w:r>
          </w:p>
        </w:tc>
        <w:tc>
          <w:tcPr>
            <w:tcW w:w="1087" w:type="pct"/>
            <w:tcBorders>
              <w:bottom w:val="single" w:color="auto" w:sz="4" w:space="0"/>
            </w:tcBorders>
            <w:shd w:val="clear" w:color="auto" w:fill="auto"/>
            <w:vAlign w:val="center"/>
          </w:tcPr>
          <w:p w14:paraId="36F1B436">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2CCE854E">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bookmarkEnd w:id="59"/>
    <w:p w14:paraId="36A729D3">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521FC2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49B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1E9F2D">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6EB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72D8A14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7A62C52C">
            <w:pPr>
              <w:pStyle w:val="4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1CDA99D">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2EDBBC8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BA8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C8AB0F">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67330D2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66735CE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1C7D8330">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649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C24C6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2AB398A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35FB071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6C67A7B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04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48CAAE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4EC4C481">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78A0F23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589C685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213D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ED48A8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60913D56">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52EB3D7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5885C9C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7B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779D4F7">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64E19087">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45D1DB4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地点的要求</w:t>
            </w:r>
          </w:p>
        </w:tc>
        <w:tc>
          <w:tcPr>
            <w:tcW w:w="1472" w:type="pct"/>
            <w:vAlign w:val="center"/>
          </w:tcPr>
          <w:p w14:paraId="2D1232F2">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8A0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30468C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6345128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响应情况</w:t>
            </w:r>
          </w:p>
        </w:tc>
        <w:tc>
          <w:tcPr>
            <w:tcW w:w="1835" w:type="pct"/>
            <w:vAlign w:val="center"/>
          </w:tcPr>
          <w:p w14:paraId="5279CD2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要求</w:t>
            </w:r>
          </w:p>
        </w:tc>
        <w:tc>
          <w:tcPr>
            <w:tcW w:w="1472" w:type="pct"/>
            <w:vAlign w:val="center"/>
          </w:tcPr>
          <w:p w14:paraId="413C781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6BAE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C4BFC04">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7FB539B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25B02AF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符合法律、行政法规规定的其他条件或招标文件列明的其他要求</w:t>
            </w:r>
          </w:p>
        </w:tc>
        <w:tc>
          <w:tcPr>
            <w:tcW w:w="1472" w:type="pct"/>
            <w:vAlign w:val="center"/>
          </w:tcPr>
          <w:p w14:paraId="184AA0C7">
            <w:pPr>
              <w:adjustRightInd w:val="0"/>
              <w:snapToGrid w:val="0"/>
              <w:spacing w:line="360" w:lineRule="auto"/>
              <w:ind w:right="-10"/>
              <w:jc w:val="center"/>
              <w:rPr>
                <w:rFonts w:hint="eastAsia" w:ascii="宋体" w:hAnsi="宋体" w:eastAsia="宋体" w:cs="宋体"/>
                <w:color w:val="auto"/>
                <w:sz w:val="24"/>
                <w:highlight w:val="none"/>
              </w:rPr>
            </w:pPr>
          </w:p>
        </w:tc>
      </w:tr>
    </w:tbl>
    <w:p w14:paraId="40042092">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0B9DF329">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9C8F1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5793E2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%，技术分值占总分值的权重为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10 </w:t>
      </w:r>
      <w:r>
        <w:rPr>
          <w:rFonts w:hint="eastAsia" w:ascii="宋体" w:hAnsi="宋体" w:eastAsia="宋体" w:cs="宋体"/>
          <w:color w:val="auto"/>
          <w:sz w:val="24"/>
          <w:highlight w:val="none"/>
        </w:rPr>
        <w:t>%。具体评分细则如下：</w:t>
      </w:r>
    </w:p>
    <w:p w14:paraId="2B5F4C84">
      <w:pPr>
        <w:spacing w:line="400" w:lineRule="exact"/>
        <w:ind w:firstLine="417" w:firstLineChars="19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6.1资信标评审细则（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p w14:paraId="68C265D6">
      <w:pPr>
        <w:pStyle w:val="2"/>
        <w:rPr>
          <w:rFonts w:hint="eastAsia" w:eastAsia="宋体"/>
          <w:color w:val="auto"/>
          <w:highlight w:val="none"/>
          <w:lang w:val="en-US" w:eastAsia="zh-CN"/>
        </w:rPr>
      </w:pPr>
      <w:r>
        <w:rPr>
          <w:rFonts w:hint="eastAsia" w:ascii="宋体" w:hAnsi="宋体" w:eastAsia="宋体" w:cs="宋体"/>
          <w:b/>
          <w:color w:val="auto"/>
          <w:szCs w:val="21"/>
          <w:highlight w:val="none"/>
          <w:lang w:val="en-US" w:eastAsia="zh-CN"/>
        </w:rPr>
        <w:t>一标包：</w:t>
      </w:r>
    </w:p>
    <w:tbl>
      <w:tblPr>
        <w:tblStyle w:val="29"/>
        <w:tblW w:w="961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88"/>
        <w:gridCol w:w="7636"/>
      </w:tblGrid>
      <w:tr w14:paraId="1F60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8" w:type="dxa"/>
            <w:noWrap w:val="0"/>
            <w:vAlign w:val="center"/>
          </w:tcPr>
          <w:p w14:paraId="1A729E4E">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88" w:type="dxa"/>
            <w:noWrap w:val="0"/>
            <w:vAlign w:val="center"/>
          </w:tcPr>
          <w:p w14:paraId="6B6302B1">
            <w:pPr>
              <w:widowControl/>
              <w:spacing w:line="440" w:lineRule="exac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w:t>
            </w:r>
          </w:p>
        </w:tc>
        <w:tc>
          <w:tcPr>
            <w:tcW w:w="7636" w:type="dxa"/>
            <w:noWrap w:val="0"/>
            <w:vAlign w:val="center"/>
          </w:tcPr>
          <w:p w14:paraId="12D136DA">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r>
              <w:rPr>
                <w:rFonts w:hint="eastAsia" w:ascii="宋体" w:hAnsi="宋体" w:eastAsia="宋体" w:cs="宋体"/>
                <w:b/>
                <w:bCs/>
                <w:color w:val="auto"/>
                <w:kern w:val="0"/>
                <w:sz w:val="21"/>
                <w:szCs w:val="21"/>
                <w:highlight w:val="none"/>
                <w:lang w:val="en-US" w:eastAsia="zh-CN"/>
              </w:rPr>
              <w:t>及所需材料</w:t>
            </w:r>
          </w:p>
        </w:tc>
      </w:tr>
      <w:tr w14:paraId="2BEF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09F063FC">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188" w:type="dxa"/>
            <w:noWrap w:val="0"/>
            <w:vAlign w:val="center"/>
          </w:tcPr>
          <w:p w14:paraId="383FD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7636" w:type="dxa"/>
            <w:noWrap w:val="0"/>
            <w:vAlign w:val="center"/>
          </w:tcPr>
          <w:p w14:paraId="4B49AB11">
            <w:pPr>
              <w:keepNext w:val="0"/>
              <w:keepLines w:val="0"/>
              <w:pageBreakBefore w:val="0"/>
              <w:numPr>
                <w:ilvl w:val="0"/>
                <w:numId w:val="0"/>
              </w:numPr>
              <w:tabs>
                <w:tab w:val="left" w:pos="112"/>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年1月1日至今每提供1个公路（路面）</w:t>
            </w:r>
            <w:r>
              <w:rPr>
                <w:rFonts w:hint="eastAsia" w:ascii="宋体" w:hAnsi="宋体" w:eastAsia="宋体" w:cs="宋体"/>
                <w:color w:val="auto"/>
                <w:sz w:val="21"/>
                <w:szCs w:val="21"/>
                <w:highlight w:val="none"/>
                <w:lang w:val="en-US" w:eastAsia="zh-CN"/>
              </w:rPr>
              <w:t>自动化</w:t>
            </w:r>
            <w:r>
              <w:rPr>
                <w:rFonts w:hint="eastAsia" w:ascii="宋体" w:hAnsi="宋体" w:eastAsia="宋体" w:cs="宋体"/>
                <w:color w:val="auto"/>
                <w:sz w:val="21"/>
                <w:szCs w:val="21"/>
                <w:highlight w:val="none"/>
              </w:rPr>
              <w:t>检测评定项目业绩的</w:t>
            </w:r>
            <w:r>
              <w:rPr>
                <w:rFonts w:hint="eastAsia" w:ascii="宋体" w:hAnsi="宋体" w:eastAsia="宋体" w:cs="宋体"/>
                <w:color w:val="auto"/>
                <w:kern w:val="0"/>
                <w:sz w:val="21"/>
                <w:szCs w:val="21"/>
                <w:highlight w:val="none"/>
                <w:lang w:val="en-US" w:eastAsia="zh-CN"/>
              </w:rPr>
              <w:t>得2分，本项满分4分。</w:t>
            </w:r>
          </w:p>
          <w:p w14:paraId="3EBBB41C">
            <w:pPr>
              <w:keepNext w:val="0"/>
              <w:keepLines w:val="0"/>
              <w:pageBreakBefore w:val="0"/>
              <w:numPr>
                <w:ilvl w:val="0"/>
                <w:numId w:val="0"/>
              </w:numPr>
              <w:tabs>
                <w:tab w:val="left" w:pos="112"/>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最多提供两个业绩。</w:t>
            </w:r>
            <w:r>
              <w:rPr>
                <w:rFonts w:hint="eastAsia" w:ascii="宋体" w:hAnsi="宋体" w:eastAsia="宋体" w:cs="宋体"/>
                <w:color w:val="auto"/>
                <w:sz w:val="21"/>
                <w:szCs w:val="21"/>
                <w:highlight w:val="none"/>
                <w:lang w:val="en-US" w:eastAsia="zh-CN"/>
              </w:rPr>
              <w:t>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361D185F">
            <w:pPr>
              <w:widowControl/>
              <w:spacing w:line="440" w:lineRule="exac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rPr>
              <w:t>投标文件中</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zh-CN" w:eastAsia="zh-CN"/>
              </w:rPr>
              <w:t>合同原件扫描件，若合同不能体现相关评审因素的另须提供业主单位盖章的证明材料。</w:t>
            </w:r>
          </w:p>
        </w:tc>
      </w:tr>
      <w:tr w14:paraId="616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1CC840FC">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1188" w:type="dxa"/>
            <w:noWrap w:val="0"/>
            <w:vAlign w:val="center"/>
          </w:tcPr>
          <w:p w14:paraId="598A3E33">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人员配备（</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636" w:type="dxa"/>
            <w:noWrap w:val="0"/>
            <w:vAlign w:val="center"/>
          </w:tcPr>
          <w:p w14:paraId="1DC0A24F">
            <w:pPr>
              <w:numPr>
                <w:ilvl w:val="0"/>
                <w:numId w:val="0"/>
              </w:numPr>
              <w:spacing w:line="5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投标人拟配备人员中每有一个公路相关专业高级及以上职称的得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分，本项满分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1AB101BE">
            <w:pPr>
              <w:numPr>
                <w:ilvl w:val="0"/>
                <w:numId w:val="0"/>
              </w:numPr>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投标人拟配备人员中每有一个公路相关专业</w:t>
            </w:r>
            <w:r>
              <w:rPr>
                <w:rFonts w:hint="eastAsia" w:ascii="宋体" w:hAnsi="宋体" w:eastAsia="宋体" w:cs="宋体"/>
                <w:bCs/>
                <w:color w:val="auto"/>
                <w:sz w:val="21"/>
                <w:szCs w:val="21"/>
                <w:highlight w:val="none"/>
                <w:lang w:val="en-US" w:eastAsia="zh-CN"/>
              </w:rPr>
              <w:t>中级</w:t>
            </w:r>
            <w:r>
              <w:rPr>
                <w:rFonts w:hint="eastAsia" w:ascii="宋体" w:hAnsi="宋体" w:eastAsia="宋体" w:cs="宋体"/>
                <w:bCs/>
                <w:color w:val="auto"/>
                <w:sz w:val="21"/>
                <w:szCs w:val="21"/>
                <w:highlight w:val="none"/>
              </w:rPr>
              <w:t>及以上职称的得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分，本项满分</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529B7416">
            <w:pPr>
              <w:numPr>
                <w:ilvl w:val="0"/>
                <w:numId w:val="0"/>
              </w:numPr>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rPr>
              <w:t>注:须提供职称证书，人员不累计得分。</w:t>
            </w:r>
          </w:p>
        </w:tc>
      </w:tr>
    </w:tbl>
    <w:p w14:paraId="1A5D6AFA">
      <w:pPr>
        <w:spacing w:line="400" w:lineRule="exact"/>
        <w:jc w:val="both"/>
        <w:rPr>
          <w:rFonts w:hint="eastAsia" w:ascii="宋体" w:hAnsi="宋体" w:eastAsia="宋体" w:cs="宋体"/>
          <w:b/>
          <w:color w:val="auto"/>
          <w:szCs w:val="21"/>
          <w:highlight w:val="none"/>
        </w:rPr>
      </w:pPr>
    </w:p>
    <w:p w14:paraId="7938317C">
      <w:pPr>
        <w:spacing w:line="400" w:lineRule="exact"/>
        <w:ind w:firstLine="417" w:firstLineChars="198"/>
        <w:jc w:val="center"/>
        <w:rPr>
          <w:rFonts w:hint="eastAsia" w:ascii="宋体" w:hAnsi="宋体" w:eastAsia="宋体" w:cs="宋体"/>
          <w:b/>
          <w:color w:val="auto"/>
          <w:szCs w:val="21"/>
          <w:highlight w:val="none"/>
        </w:rPr>
      </w:pPr>
    </w:p>
    <w:p w14:paraId="7AFC1E9B">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技术标评审细则（</w:t>
      </w:r>
      <w:r>
        <w:rPr>
          <w:rFonts w:hint="eastAsia" w:ascii="宋体" w:hAnsi="宋体" w:eastAsia="宋体" w:cs="宋体"/>
          <w:b/>
          <w:color w:val="auto"/>
          <w:szCs w:val="21"/>
          <w:highlight w:val="none"/>
          <w:lang w:val="en-US" w:eastAsia="zh-CN"/>
        </w:rPr>
        <w:t>80</w:t>
      </w:r>
      <w:r>
        <w:rPr>
          <w:rFonts w:hint="eastAsia" w:ascii="宋体" w:hAnsi="宋体" w:eastAsia="宋体" w:cs="宋体"/>
          <w:b/>
          <w:color w:val="auto"/>
          <w:szCs w:val="21"/>
          <w:highlight w:val="none"/>
        </w:rPr>
        <w:t>分）</w:t>
      </w:r>
    </w:p>
    <w:tbl>
      <w:tblPr>
        <w:tblStyle w:val="30"/>
        <w:tblW w:w="9763"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62"/>
        <w:gridCol w:w="6538"/>
        <w:gridCol w:w="1275"/>
      </w:tblGrid>
      <w:tr w14:paraId="646B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138C730">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262" w:type="dxa"/>
            <w:vAlign w:val="center"/>
          </w:tcPr>
          <w:p w14:paraId="4057418D">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评分项目</w:t>
            </w:r>
          </w:p>
        </w:tc>
        <w:tc>
          <w:tcPr>
            <w:tcW w:w="6538" w:type="dxa"/>
            <w:vAlign w:val="center"/>
          </w:tcPr>
          <w:p w14:paraId="2BA9B48D">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评分细则</w:t>
            </w:r>
          </w:p>
        </w:tc>
        <w:tc>
          <w:tcPr>
            <w:tcW w:w="1275" w:type="dxa"/>
            <w:vAlign w:val="center"/>
          </w:tcPr>
          <w:p w14:paraId="468BF0E0">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2C94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43AAE19">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2" w:type="dxa"/>
            <w:vAlign w:val="center"/>
          </w:tcPr>
          <w:p w14:paraId="462A24F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整体服务</w:t>
            </w:r>
          </w:p>
          <w:p w14:paraId="19F9519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p>
        </w:tc>
        <w:tc>
          <w:tcPr>
            <w:tcW w:w="6538" w:type="dxa"/>
            <w:vAlign w:val="center"/>
          </w:tcPr>
          <w:p w14:paraId="48900A05">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根据本项目服务需求，投标人提供整体服务方案进行评审：</w:t>
            </w:r>
          </w:p>
          <w:p w14:paraId="032B19BD">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1.整体服务方案理解深刻，总体思路清晰，方案具体详实，定位准确，工作目标、内容和要求分析合理、全面的，得5分；</w:t>
            </w:r>
          </w:p>
          <w:p w14:paraId="54A46EE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2.整体服务方案理解全面，总体思路清晰，定位准确，工作目标、内容和要求分析合理的，得4分；</w:t>
            </w:r>
          </w:p>
          <w:p w14:paraId="0C1F53B0">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3.整体服务方案理解思路清晰，满足采购需求但需要进一步完善的，得3分；</w:t>
            </w:r>
          </w:p>
          <w:p w14:paraId="5704214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4.未提供的不得分。</w:t>
            </w:r>
          </w:p>
        </w:tc>
        <w:tc>
          <w:tcPr>
            <w:tcW w:w="1275" w:type="dxa"/>
            <w:vAlign w:val="center"/>
          </w:tcPr>
          <w:p w14:paraId="7231C279">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135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440DA4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62" w:type="dxa"/>
            <w:vAlign w:val="center"/>
          </w:tcPr>
          <w:p w14:paraId="7B9DBE7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检测工作服务内容（频率、方法、目标）及保证措施</w:t>
            </w:r>
          </w:p>
        </w:tc>
        <w:tc>
          <w:tcPr>
            <w:tcW w:w="6538" w:type="dxa"/>
            <w:vAlign w:val="center"/>
          </w:tcPr>
          <w:p w14:paraId="475132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检测工作服务</w:t>
            </w:r>
            <w:r>
              <w:rPr>
                <w:rFonts w:hint="eastAsia" w:ascii="宋体" w:hAnsi="宋体" w:eastAsia="宋体" w:cs="宋体"/>
                <w:color w:val="auto"/>
                <w:sz w:val="21"/>
                <w:szCs w:val="21"/>
                <w:highlight w:val="none"/>
                <w:lang w:val="en-US" w:eastAsia="zh-CN"/>
              </w:rPr>
              <w:t>服务内容（含检测频率、检测方法、检测目标）</w:t>
            </w:r>
            <w:r>
              <w:rPr>
                <w:rFonts w:hint="eastAsia" w:ascii="宋体" w:hAnsi="宋体" w:eastAsia="宋体" w:cs="宋体"/>
                <w:color w:val="auto"/>
                <w:kern w:val="0"/>
                <w:sz w:val="21"/>
                <w:szCs w:val="21"/>
                <w:highlight w:val="none"/>
                <w:lang w:val="en-US" w:eastAsia="zh-CN" w:bidi="ar"/>
              </w:rPr>
              <w:t xml:space="preserve">、专门的质量技术管理班子和制度，质量技术保证措施、自控体系；确保质量验收合格措施等方面进行评审： </w:t>
            </w:r>
          </w:p>
          <w:p w14:paraId="060B7CF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①目标明确具体、制度合理、内容完善且详细、各项措施全面，得5分； </w:t>
            </w:r>
          </w:p>
          <w:p w14:paraId="2961F7A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②目标清晰、制度合理、内容完善、各项措施可行，得4分； </w:t>
            </w:r>
          </w:p>
          <w:p w14:paraId="1B80971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③目标具有、制度合理、内容需要进一步完善，得3分； </w:t>
            </w:r>
          </w:p>
          <w:p w14:paraId="21990554">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5EE0CC4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E37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51DE09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62" w:type="dxa"/>
            <w:vAlign w:val="center"/>
          </w:tcPr>
          <w:p w14:paraId="0F87AB3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检测机构设置</w:t>
            </w:r>
          </w:p>
        </w:tc>
        <w:tc>
          <w:tcPr>
            <w:tcW w:w="6538" w:type="dxa"/>
            <w:vAlign w:val="center"/>
          </w:tcPr>
          <w:p w14:paraId="31065DB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根据本项目服务需求，投标人提供检测机构设置方案进行评审：</w:t>
            </w:r>
          </w:p>
          <w:p w14:paraId="621E7BA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①检测机构设置齐全，完善，符合本项目采购需求的，得5分； </w:t>
            </w:r>
          </w:p>
          <w:p w14:paraId="4D7F1F9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②检测机构设置完善、符合本项目采购需求的，得4分； </w:t>
            </w:r>
          </w:p>
          <w:p w14:paraId="7971D5D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③检测机构设置需要进一步完善，得3分； </w:t>
            </w:r>
          </w:p>
          <w:p w14:paraId="1281136E">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C105641">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075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2406EB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62" w:type="dxa"/>
            <w:vAlign w:val="center"/>
          </w:tcPr>
          <w:p w14:paraId="76184BD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检测人员进出场方案</w:t>
            </w:r>
          </w:p>
        </w:tc>
        <w:tc>
          <w:tcPr>
            <w:tcW w:w="6538" w:type="dxa"/>
            <w:vAlign w:val="center"/>
          </w:tcPr>
          <w:p w14:paraId="688C134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进行评审：</w:t>
            </w:r>
          </w:p>
          <w:p w14:paraId="4C902C5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①检测人员进出场安排合理、内容完善且详细、方案全面的得5分； </w:t>
            </w:r>
          </w:p>
          <w:p w14:paraId="1E2CA74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②检测人员进出场安排合理，方案可行，得4分； </w:t>
            </w:r>
          </w:p>
          <w:p w14:paraId="2416127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 xml:space="preserve">需要进一步完善，内容缺失得3分； </w:t>
            </w:r>
          </w:p>
          <w:p w14:paraId="303A192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6A13392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042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A01853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62" w:type="dxa"/>
            <w:vAlign w:val="center"/>
          </w:tcPr>
          <w:p w14:paraId="7FF20C7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检测设施、设备投入方案</w:t>
            </w:r>
          </w:p>
        </w:tc>
        <w:tc>
          <w:tcPr>
            <w:tcW w:w="6538" w:type="dxa"/>
            <w:vAlign w:val="center"/>
          </w:tcPr>
          <w:p w14:paraId="6214C2B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检测投入的主要机械、设备有详细的组织计划且计划周密；设备数量、选型配置、进场时间安排合理，满足检测要求，根据拟投入的主要机械、设备组织计划进行评审：</w:t>
            </w:r>
          </w:p>
          <w:p w14:paraId="03EF790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①投标供应商拟投入的主要机械、设备计划分项内容齐全，并承诺拟投入的机械、设备符合项目实际情况的得5分； </w:t>
            </w:r>
          </w:p>
          <w:p w14:paraId="7F67DB7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②投标供应商拟投入的主要机械、设备计划分项内容齐全，评审内容逐条分析，并制定措施，且符合项目实际情况，无套用、冒用其他项目的情况的得4分； </w:t>
            </w:r>
          </w:p>
          <w:p w14:paraId="2972A49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③投标供应商拟投入的主要机械、设备计划分项内容混乱，管理措施描述不清，前后矛盾，部分内容缺失，存在套用、冒用其他项目的情况的得3分； </w:t>
            </w:r>
          </w:p>
          <w:p w14:paraId="785E1129">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④未提供方案的或方案中未提供多功能快速综合路况检测车的不得分。</w:t>
            </w:r>
          </w:p>
        </w:tc>
        <w:tc>
          <w:tcPr>
            <w:tcW w:w="1275" w:type="dxa"/>
            <w:vAlign w:val="center"/>
          </w:tcPr>
          <w:p w14:paraId="45F5126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A94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957E5E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2" w:type="dxa"/>
            <w:vAlign w:val="center"/>
          </w:tcPr>
          <w:p w14:paraId="490F8CD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检测工作进度计划及保障措施方案</w:t>
            </w:r>
          </w:p>
        </w:tc>
        <w:tc>
          <w:tcPr>
            <w:tcW w:w="6538" w:type="dxa"/>
            <w:vAlign w:val="center"/>
          </w:tcPr>
          <w:p w14:paraId="4463C17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检测工作进度计划及保障措施进行评审：</w:t>
            </w:r>
          </w:p>
          <w:p w14:paraId="1D34CC2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①进度保障措施方案内容非常完整、进度计划及时间节点安排合理、贴合项目需求的得5分；</w:t>
            </w:r>
          </w:p>
          <w:p w14:paraId="440603D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②进度保障措施方案内容完善、进度计划及时间节点安排满足要求、整体标准满足项目需求的得4分；</w:t>
            </w:r>
          </w:p>
          <w:p w14:paraId="789EF28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③进度保障措施方案内容有待提高、计划及时间节点安排不合理的得3分；</w:t>
            </w:r>
          </w:p>
          <w:p w14:paraId="32B7C27F">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F07167D">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0E75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528690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2" w:type="dxa"/>
            <w:vAlign w:val="center"/>
          </w:tcPr>
          <w:p w14:paraId="5F4F78D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质量保证控制方案</w:t>
            </w:r>
          </w:p>
        </w:tc>
        <w:tc>
          <w:tcPr>
            <w:tcW w:w="6538" w:type="dxa"/>
            <w:vAlign w:val="center"/>
          </w:tcPr>
          <w:p w14:paraId="4757673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投标人提供内部质量控制方案进行评审，包括但不限于技术档案管理制度、成果文件质量控制制度、项目小组工作职责分工等：</w:t>
            </w:r>
          </w:p>
          <w:p w14:paraId="1067C0AF">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①方案内容完整详实，表述清晰，利于项目实施的得5分； </w:t>
            </w:r>
          </w:p>
          <w:p w14:paraId="54AD33D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②方案内容符合项目实施要求的得4分； </w:t>
            </w:r>
          </w:p>
          <w:p w14:paraId="4DEAC077">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③方案要点突出不够明显，具体细节有待完善的得3分； </w:t>
            </w:r>
          </w:p>
          <w:p w14:paraId="220E16CD">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④未提供的不得分。</w:t>
            </w:r>
            <w:r>
              <w:rPr>
                <w:rFonts w:hint="eastAsia" w:ascii="宋体" w:hAnsi="宋体" w:eastAsia="宋体" w:cs="宋体"/>
                <w:b/>
                <w:color w:val="auto"/>
                <w:kern w:val="2"/>
                <w:sz w:val="21"/>
                <w:szCs w:val="21"/>
                <w:highlight w:val="none"/>
                <w:lang w:val="en-US" w:eastAsia="zh-CN" w:bidi="ar-SA"/>
              </w:rPr>
              <w:t xml:space="preserve"> </w:t>
            </w:r>
          </w:p>
        </w:tc>
        <w:tc>
          <w:tcPr>
            <w:tcW w:w="1275" w:type="dxa"/>
            <w:vAlign w:val="center"/>
          </w:tcPr>
          <w:p w14:paraId="5AD0FCA6">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29F6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26CC2A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62" w:type="dxa"/>
            <w:vAlign w:val="center"/>
          </w:tcPr>
          <w:p w14:paraId="001C0F5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检测安全环保措施方案</w:t>
            </w:r>
          </w:p>
        </w:tc>
        <w:tc>
          <w:tcPr>
            <w:tcW w:w="6538" w:type="dxa"/>
            <w:vAlign w:val="center"/>
          </w:tcPr>
          <w:p w14:paraId="50456D0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根据投标人提供的检测安全环保管理制度，检测安全保证措施（包括人员安全措施、设备安全措施等）及检测环保保证措施（包括设备的选择、检测方法的选择等）等方面进行评审： </w:t>
            </w:r>
          </w:p>
          <w:p w14:paraId="15C40DE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①方案要点突出、内容完整详实，表述清晰，与本项目实际需求有很高适用度，利于项目实施的得5分； </w:t>
            </w:r>
          </w:p>
          <w:p w14:paraId="4559893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②有针对性，内容完整详实，表述清晰，与本项目实际要求有适应度，符合项目实施要求的得4分； </w:t>
            </w:r>
          </w:p>
          <w:p w14:paraId="308E057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③要点突出不够明显，具体细节有待完善的得3分； </w:t>
            </w:r>
          </w:p>
          <w:p w14:paraId="59C49F6B">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35926610">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22CC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CCF0FF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62" w:type="dxa"/>
            <w:vAlign w:val="center"/>
          </w:tcPr>
          <w:p w14:paraId="6326822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检测风险及防范措施</w:t>
            </w:r>
          </w:p>
        </w:tc>
        <w:tc>
          <w:tcPr>
            <w:tcW w:w="6538" w:type="dxa"/>
            <w:vAlign w:val="center"/>
          </w:tcPr>
          <w:p w14:paraId="313F770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等方面进行评审： </w:t>
            </w:r>
          </w:p>
          <w:p w14:paraId="61D03F2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①列出详细的检测风险内容并提供防范措施，内容要点突出，利于项目实施的得5分； </w:t>
            </w:r>
          </w:p>
          <w:p w14:paraId="0EA7512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内容完整详实，表述清晰，与本项目实际要求有适应度，符合项目实施要求的得4分； </w:t>
            </w:r>
          </w:p>
          <w:p w14:paraId="74CB2D5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③检测风险及防范措施要点突出不够明显，具体细节有待完善、内容缺失的得3分； </w:t>
            </w:r>
          </w:p>
          <w:p w14:paraId="793C25E1">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1B82B51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66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2BD228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2" w:type="dxa"/>
            <w:vAlign w:val="center"/>
          </w:tcPr>
          <w:p w14:paraId="4249FCB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检测合同管理</w:t>
            </w:r>
          </w:p>
        </w:tc>
        <w:tc>
          <w:tcPr>
            <w:tcW w:w="6538" w:type="dxa"/>
            <w:vAlign w:val="center"/>
          </w:tcPr>
          <w:p w14:paraId="040CE48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①有详细的合同管理方案或措施，合同管理方案或措施和项目实际需要适应度高，</w:t>
            </w:r>
            <w:r>
              <w:rPr>
                <w:rFonts w:hint="eastAsia" w:ascii="宋体" w:hAnsi="宋体" w:eastAsia="宋体" w:cs="宋体"/>
                <w:color w:val="auto"/>
                <w:sz w:val="21"/>
                <w:szCs w:val="21"/>
                <w:highlight w:val="none"/>
              </w:rPr>
              <w:t>周全、具体、有效</w:t>
            </w:r>
            <w:r>
              <w:rPr>
                <w:rFonts w:hint="eastAsia" w:ascii="宋体" w:hAnsi="宋体" w:eastAsia="宋体" w:cs="宋体"/>
                <w:color w:val="auto"/>
                <w:sz w:val="21"/>
                <w:szCs w:val="21"/>
                <w:highlight w:val="none"/>
                <w:lang w:val="en-US" w:eastAsia="zh-CN"/>
              </w:rPr>
              <w:t>的得5分；</w:t>
            </w:r>
          </w:p>
          <w:p w14:paraId="4998143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②合同管理方案或措施</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清晰、完善的得4分；</w:t>
            </w:r>
          </w:p>
          <w:p w14:paraId="404D08F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③有合同管理方案或措施，但缺项或关键点缺失或出现非专门针对本项目特性内容的得3分；</w:t>
            </w:r>
          </w:p>
          <w:p w14:paraId="5195AB1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7D48AB5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707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89D21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62" w:type="dxa"/>
            <w:vAlign w:val="center"/>
          </w:tcPr>
          <w:p w14:paraId="1AFE298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费用控制管理</w:t>
            </w:r>
          </w:p>
        </w:tc>
        <w:tc>
          <w:tcPr>
            <w:tcW w:w="6538" w:type="dxa"/>
            <w:vAlign w:val="center"/>
          </w:tcPr>
          <w:p w14:paraId="514CC4C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根据投标人提供的费用控制管理进行评审： </w:t>
            </w:r>
          </w:p>
          <w:p w14:paraId="2E118E6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①有详细的费用控制管理措施，费用控制管理措施合理，满足施工需要得5分；</w:t>
            </w:r>
          </w:p>
          <w:p w14:paraId="40E7807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②有详细的费用控制管理措施，能满足施工需要得4分；</w:t>
            </w:r>
          </w:p>
          <w:p w14:paraId="0894AB6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③有详细的费用控制管理措施，但缺项或关键点缺失或出现非专门针对本项目特性内容的得3分。</w:t>
            </w:r>
          </w:p>
          <w:p w14:paraId="2815CFB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④工作内容偏离项目需求、偏离客观现实或未提供的不得分。</w:t>
            </w:r>
          </w:p>
        </w:tc>
        <w:tc>
          <w:tcPr>
            <w:tcW w:w="1275" w:type="dxa"/>
            <w:vAlign w:val="center"/>
          </w:tcPr>
          <w:p w14:paraId="6726A104">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DB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5E0A76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62" w:type="dxa"/>
            <w:vAlign w:val="center"/>
          </w:tcPr>
          <w:p w14:paraId="0BE3D78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廉政保证措施</w:t>
            </w:r>
          </w:p>
        </w:tc>
        <w:tc>
          <w:tcPr>
            <w:tcW w:w="6538" w:type="dxa"/>
            <w:vAlign w:val="center"/>
          </w:tcPr>
          <w:p w14:paraId="404BE92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根据投标人提供的廉政保证措施进行评审： </w:t>
            </w:r>
          </w:p>
          <w:p w14:paraId="1706AD9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①廉政保证措施要点突出、内容完整详实，表述清晰，利于项目实施的得5分； </w:t>
            </w:r>
          </w:p>
          <w:p w14:paraId="09538B99">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②内容完整符合项目实施要求的得4分； </w:t>
            </w:r>
          </w:p>
          <w:p w14:paraId="66E0B3D7">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③要点突出不够明显，具体细节有待完善的得3分； </w:t>
            </w:r>
          </w:p>
          <w:p w14:paraId="5D4E83BA">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④工作内容偏离项目需求、偏离客观现实或未提供的不得分。 </w:t>
            </w:r>
          </w:p>
        </w:tc>
        <w:tc>
          <w:tcPr>
            <w:tcW w:w="1275" w:type="dxa"/>
            <w:vAlign w:val="center"/>
          </w:tcPr>
          <w:p w14:paraId="313062E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5D9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1A61F5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62" w:type="dxa"/>
            <w:vAlign w:val="center"/>
          </w:tcPr>
          <w:p w14:paraId="76C19F2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重点及保证措施</w:t>
            </w:r>
          </w:p>
        </w:tc>
        <w:tc>
          <w:tcPr>
            <w:tcW w:w="6538" w:type="dxa"/>
            <w:vAlign w:val="center"/>
          </w:tcPr>
          <w:p w14:paraId="6C7D6FD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根据投标人提供的服务过程中的关键内容、重点进行阐述，并提出详细的解决方案及控制措施进行评审：</w:t>
            </w:r>
          </w:p>
          <w:p w14:paraId="12698E5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①针对本项目特点，列出本项目的重点，并且有具体的保证措施。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30AF6E0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②针对本项目特点，列出本项目的重点，并且有具体的保证措施。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7DFD7CC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③针对本项目特点，列出本项目的重点，并且有具体的保证措施。但缺项或关键点缺失或出现非专门针对本项目特性内容的得3分；</w:t>
            </w:r>
          </w:p>
          <w:p w14:paraId="04BBB4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4811006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077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46C353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62" w:type="dxa"/>
            <w:vAlign w:val="center"/>
          </w:tcPr>
          <w:p w14:paraId="2BB0090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难点及保证措施</w:t>
            </w:r>
          </w:p>
        </w:tc>
        <w:tc>
          <w:tcPr>
            <w:tcW w:w="6538" w:type="dxa"/>
            <w:vAlign w:val="center"/>
          </w:tcPr>
          <w:p w14:paraId="5842BE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根据投标人提供的服务过程中的难点进行阐述，并提出详细的解决方案及控制措施进行评审：</w:t>
            </w:r>
          </w:p>
          <w:p w14:paraId="7037992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①针对本项目特点，列出本项目的难点，并且有具体的保证措施。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282DE79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②针对本项目特点，列出本项目的难点，并且有具体的保证措施。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79F0B63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③针对本项目特点，列出本项目的难点，并且有具体的保证措施。但缺项或关键点缺失或出现非专门针对本项目特性内容的得3分；</w:t>
            </w:r>
          </w:p>
          <w:p w14:paraId="56C9F18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63373CF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523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4B66C6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262" w:type="dxa"/>
            <w:vAlign w:val="center"/>
          </w:tcPr>
          <w:p w14:paraId="0EBF031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538" w:type="dxa"/>
            <w:vAlign w:val="center"/>
          </w:tcPr>
          <w:p w14:paraId="5238123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①针对本项目特点，列出对本项目的建议（包括养护分析或建议），建议合理并且有具体的保证措施。</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val="en-US" w:eastAsia="zh-CN"/>
              </w:rPr>
              <w:t>完善的得5分；</w:t>
            </w:r>
          </w:p>
          <w:p w14:paraId="29A7E0B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②针对本项目特点，列出本项目的建议，建议合理并且有具体的保证措施。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清晰的得4分；</w:t>
            </w:r>
          </w:p>
          <w:p w14:paraId="022919C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③针对本项目特点，列出本项目的建议，建议合理并且有具体的保证措施。但缺项或关键点缺失或出现非专门针对本项目特性内容的得3分；</w:t>
            </w:r>
          </w:p>
          <w:p w14:paraId="776F6B1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29686D6F">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5E8D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76E58C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262" w:type="dxa"/>
            <w:vAlign w:val="center"/>
          </w:tcPr>
          <w:p w14:paraId="7363B613">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检测后续服务方案</w:t>
            </w:r>
          </w:p>
        </w:tc>
        <w:tc>
          <w:tcPr>
            <w:tcW w:w="6538" w:type="dxa"/>
            <w:vAlign w:val="center"/>
          </w:tcPr>
          <w:p w14:paraId="4FAB49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评委会根据投标人提供的检测后续服务方案进行打分：</w:t>
            </w:r>
          </w:p>
          <w:p w14:paraId="5881C40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①后续服务支持、技术支持形式灵活多样，方案全面详尽，对遇到的问题响应及时且能迅速反馈解决方案，提供全面的技术服务的，得5分；</w:t>
            </w:r>
          </w:p>
          <w:p w14:paraId="47AC36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②后续服务支持、技术支持形式多样，方案全面详尽，对遇到的问题能够快速的响应并得到解决，并提供技术服务的，得4分；</w:t>
            </w:r>
          </w:p>
          <w:p w14:paraId="78BFDD5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③后续服务支持、技术支持满足项目需求，对遇到的问题能够响应并解决，并提供技术服务的，得3分；</w:t>
            </w:r>
          </w:p>
          <w:p w14:paraId="352760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④未提供的不得分。</w:t>
            </w:r>
          </w:p>
        </w:tc>
        <w:tc>
          <w:tcPr>
            <w:tcW w:w="1275" w:type="dxa"/>
            <w:vAlign w:val="center"/>
          </w:tcPr>
          <w:p w14:paraId="5D9A7695">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bl>
    <w:p w14:paraId="6459AC97">
      <w:pPr>
        <w:rPr>
          <w:rFonts w:hint="eastAsia" w:ascii="宋体" w:hAnsi="宋体" w:eastAsia="宋体" w:cs="宋体"/>
          <w:color w:val="auto"/>
          <w:highlight w:val="none"/>
        </w:rPr>
      </w:pPr>
    </w:p>
    <w:p w14:paraId="55160477">
      <w:pPr>
        <w:rPr>
          <w:rFonts w:hint="eastAsia" w:ascii="宋体" w:hAnsi="宋体" w:eastAsia="宋体" w:cs="宋体"/>
          <w:color w:val="auto"/>
          <w:highlight w:val="none"/>
        </w:rPr>
      </w:pPr>
      <w:r>
        <w:rPr>
          <w:rFonts w:hint="eastAsia" w:ascii="宋体" w:hAnsi="宋体" w:eastAsia="宋体" w:cs="宋体"/>
          <w:color w:val="auto"/>
          <w:highlight w:val="none"/>
        </w:rPr>
        <w:t>注：1、评审标委员会将根据技术标所有内容进行独立打分，各评审标委员会成员打分分值的算术平均值作为最终得分，得分保留两位小数点，第三位四舍五入。</w:t>
      </w:r>
    </w:p>
    <w:p w14:paraId="3FECFE8C">
      <w:pPr>
        <w:pStyle w:val="2"/>
        <w:rPr>
          <w:rFonts w:hint="eastAsia" w:ascii="宋体" w:hAnsi="宋体" w:eastAsia="宋体" w:cs="宋体"/>
          <w:b/>
          <w:color w:val="auto"/>
          <w:szCs w:val="21"/>
          <w:highlight w:val="none"/>
          <w:lang w:val="en-US" w:eastAsia="zh-CN"/>
        </w:rPr>
      </w:pPr>
    </w:p>
    <w:p w14:paraId="143BDCBD">
      <w:pPr>
        <w:pStyle w:val="2"/>
        <w:rPr>
          <w:rFonts w:hint="eastAsia" w:eastAsia="宋体"/>
          <w:color w:val="auto"/>
          <w:highlight w:val="none"/>
          <w:lang w:val="en-US" w:eastAsia="zh-CN"/>
        </w:rPr>
      </w:pPr>
      <w:r>
        <w:rPr>
          <w:rFonts w:hint="eastAsia" w:ascii="宋体" w:hAnsi="宋体" w:eastAsia="宋体" w:cs="宋体"/>
          <w:b/>
          <w:color w:val="auto"/>
          <w:szCs w:val="21"/>
          <w:highlight w:val="none"/>
          <w:lang w:val="en-US" w:eastAsia="zh-CN"/>
        </w:rPr>
        <w:t>二标包：</w:t>
      </w:r>
    </w:p>
    <w:tbl>
      <w:tblPr>
        <w:tblStyle w:val="29"/>
        <w:tblW w:w="961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88"/>
        <w:gridCol w:w="7636"/>
      </w:tblGrid>
      <w:tr w14:paraId="772C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8" w:type="dxa"/>
            <w:noWrap w:val="0"/>
            <w:vAlign w:val="center"/>
          </w:tcPr>
          <w:p w14:paraId="25BD01BB">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88" w:type="dxa"/>
            <w:noWrap w:val="0"/>
            <w:vAlign w:val="center"/>
          </w:tcPr>
          <w:p w14:paraId="6E843D4E">
            <w:pPr>
              <w:widowControl/>
              <w:spacing w:line="440" w:lineRule="exac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w:t>
            </w:r>
          </w:p>
        </w:tc>
        <w:tc>
          <w:tcPr>
            <w:tcW w:w="7636" w:type="dxa"/>
            <w:noWrap w:val="0"/>
            <w:vAlign w:val="center"/>
          </w:tcPr>
          <w:p w14:paraId="2581DF30">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r>
              <w:rPr>
                <w:rFonts w:hint="eastAsia" w:ascii="宋体" w:hAnsi="宋体" w:eastAsia="宋体" w:cs="宋体"/>
                <w:b/>
                <w:bCs/>
                <w:color w:val="auto"/>
                <w:kern w:val="0"/>
                <w:sz w:val="21"/>
                <w:szCs w:val="21"/>
                <w:highlight w:val="none"/>
                <w:lang w:val="en-US" w:eastAsia="zh-CN"/>
              </w:rPr>
              <w:t>及所需材料</w:t>
            </w:r>
          </w:p>
        </w:tc>
      </w:tr>
      <w:tr w14:paraId="1E5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49D5CF16">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188" w:type="dxa"/>
            <w:noWrap w:val="0"/>
            <w:vAlign w:val="center"/>
          </w:tcPr>
          <w:p w14:paraId="066363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7636" w:type="dxa"/>
            <w:noWrap w:val="0"/>
            <w:vAlign w:val="center"/>
          </w:tcPr>
          <w:p w14:paraId="4A528046">
            <w:pPr>
              <w:keepNext w:val="0"/>
              <w:keepLines w:val="0"/>
              <w:pageBreakBefore w:val="0"/>
              <w:numPr>
                <w:ilvl w:val="0"/>
                <w:numId w:val="0"/>
              </w:numPr>
              <w:tabs>
                <w:tab w:val="left" w:pos="112"/>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年1月1日至今每提供1个公路（路面）</w:t>
            </w:r>
            <w:r>
              <w:rPr>
                <w:rFonts w:hint="eastAsia" w:ascii="宋体" w:hAnsi="宋体" w:eastAsia="宋体" w:cs="宋体"/>
                <w:color w:val="auto"/>
                <w:sz w:val="21"/>
                <w:szCs w:val="21"/>
                <w:highlight w:val="none"/>
                <w:lang w:val="en-US" w:eastAsia="zh-CN"/>
              </w:rPr>
              <w:t>自动化</w:t>
            </w:r>
            <w:r>
              <w:rPr>
                <w:rFonts w:hint="eastAsia" w:ascii="宋体" w:hAnsi="宋体" w:eastAsia="宋体" w:cs="宋体"/>
                <w:color w:val="auto"/>
                <w:sz w:val="21"/>
                <w:szCs w:val="21"/>
                <w:highlight w:val="none"/>
              </w:rPr>
              <w:t>检测评定项目业绩的</w:t>
            </w:r>
            <w:r>
              <w:rPr>
                <w:rFonts w:hint="eastAsia" w:ascii="宋体" w:hAnsi="宋体" w:eastAsia="宋体" w:cs="宋体"/>
                <w:color w:val="auto"/>
                <w:kern w:val="0"/>
                <w:sz w:val="21"/>
                <w:szCs w:val="21"/>
                <w:highlight w:val="none"/>
                <w:lang w:val="en-US" w:eastAsia="zh-CN"/>
              </w:rPr>
              <w:t>得2分，本项满分2分。</w:t>
            </w:r>
          </w:p>
          <w:p w14:paraId="4E8A64D6">
            <w:pPr>
              <w:pStyle w:val="2"/>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年1月1日至今每提供1个公路数据库管理更新项目业绩的</w:t>
            </w:r>
            <w:r>
              <w:rPr>
                <w:rFonts w:hint="eastAsia" w:ascii="宋体" w:hAnsi="宋体" w:eastAsia="宋体" w:cs="宋体"/>
                <w:color w:val="auto"/>
                <w:kern w:val="0"/>
                <w:sz w:val="21"/>
                <w:szCs w:val="21"/>
                <w:highlight w:val="none"/>
                <w:lang w:val="en-US" w:eastAsia="zh-CN"/>
              </w:rPr>
              <w:t>得2分，本项满分2分。</w:t>
            </w:r>
          </w:p>
          <w:p w14:paraId="0BE539A9">
            <w:pPr>
              <w:keepNext w:val="0"/>
              <w:keepLines w:val="0"/>
              <w:pageBreakBefore w:val="0"/>
              <w:numPr>
                <w:ilvl w:val="0"/>
                <w:numId w:val="0"/>
              </w:numPr>
              <w:tabs>
                <w:tab w:val="left" w:pos="112"/>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最多提供两个业绩。</w:t>
            </w:r>
            <w:r>
              <w:rPr>
                <w:rFonts w:hint="eastAsia" w:ascii="宋体" w:hAnsi="宋体" w:eastAsia="宋体" w:cs="宋体"/>
                <w:color w:val="auto"/>
                <w:sz w:val="21"/>
                <w:szCs w:val="21"/>
                <w:highlight w:val="none"/>
                <w:lang w:val="en-US" w:eastAsia="zh-CN"/>
              </w:rPr>
              <w:t>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3FD2BE89">
            <w:pPr>
              <w:widowControl/>
              <w:spacing w:line="440" w:lineRule="exac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rPr>
              <w:t>投标文件中</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zh-CN" w:eastAsia="zh-CN"/>
              </w:rPr>
              <w:t>合同原件扫描件，若合同不能体现相关评审因素的另须提供业主单位盖章的证明材料。</w:t>
            </w:r>
          </w:p>
        </w:tc>
      </w:tr>
      <w:tr w14:paraId="3175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47ADE1BE">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1188" w:type="dxa"/>
            <w:noWrap w:val="0"/>
            <w:vAlign w:val="center"/>
          </w:tcPr>
          <w:p w14:paraId="264DEC1F">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人员配备（</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636" w:type="dxa"/>
            <w:noWrap w:val="0"/>
            <w:vAlign w:val="center"/>
          </w:tcPr>
          <w:p w14:paraId="111D0358">
            <w:pPr>
              <w:numPr>
                <w:ilvl w:val="0"/>
                <w:numId w:val="0"/>
              </w:numPr>
              <w:spacing w:line="5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投标人拟配备人员中每有一个公路相关专业高级及以上职称的得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分，本项满分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2BF1622C">
            <w:pPr>
              <w:numPr>
                <w:ilvl w:val="0"/>
                <w:numId w:val="0"/>
              </w:numPr>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投标人拟配备人员中每有一个公路相关专业</w:t>
            </w:r>
            <w:r>
              <w:rPr>
                <w:rFonts w:hint="eastAsia" w:ascii="宋体" w:hAnsi="宋体" w:eastAsia="宋体" w:cs="宋体"/>
                <w:bCs/>
                <w:color w:val="auto"/>
                <w:sz w:val="21"/>
                <w:szCs w:val="21"/>
                <w:highlight w:val="none"/>
                <w:lang w:val="en-US" w:eastAsia="zh-CN"/>
              </w:rPr>
              <w:t>中级</w:t>
            </w:r>
            <w:r>
              <w:rPr>
                <w:rFonts w:hint="eastAsia" w:ascii="宋体" w:hAnsi="宋体" w:eastAsia="宋体" w:cs="宋体"/>
                <w:bCs/>
                <w:color w:val="auto"/>
                <w:sz w:val="21"/>
                <w:szCs w:val="21"/>
                <w:highlight w:val="none"/>
              </w:rPr>
              <w:t>及以上职称的得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分，本项满分</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67DDBAA4">
            <w:pPr>
              <w:numPr>
                <w:ilvl w:val="0"/>
                <w:numId w:val="0"/>
              </w:numPr>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rPr>
              <w:t>注:须提供职称证书，人员不累计得分。</w:t>
            </w:r>
          </w:p>
        </w:tc>
      </w:tr>
    </w:tbl>
    <w:p w14:paraId="4A4C2B0B">
      <w:pPr>
        <w:spacing w:line="400" w:lineRule="exact"/>
        <w:jc w:val="both"/>
        <w:rPr>
          <w:rFonts w:hint="eastAsia" w:ascii="宋体" w:hAnsi="宋体" w:eastAsia="宋体" w:cs="宋体"/>
          <w:b/>
          <w:color w:val="auto"/>
          <w:szCs w:val="21"/>
          <w:highlight w:val="none"/>
        </w:rPr>
      </w:pPr>
    </w:p>
    <w:p w14:paraId="36967A39">
      <w:pPr>
        <w:spacing w:line="400" w:lineRule="exact"/>
        <w:ind w:firstLine="417" w:firstLineChars="198"/>
        <w:jc w:val="center"/>
        <w:rPr>
          <w:rFonts w:hint="eastAsia" w:ascii="宋体" w:hAnsi="宋体" w:eastAsia="宋体" w:cs="宋体"/>
          <w:b/>
          <w:color w:val="auto"/>
          <w:szCs w:val="21"/>
          <w:highlight w:val="none"/>
        </w:rPr>
      </w:pPr>
    </w:p>
    <w:p w14:paraId="5DF18410">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技术标评审细则（</w:t>
      </w:r>
      <w:r>
        <w:rPr>
          <w:rFonts w:hint="eastAsia" w:ascii="宋体" w:hAnsi="宋体" w:eastAsia="宋体" w:cs="宋体"/>
          <w:b/>
          <w:color w:val="auto"/>
          <w:szCs w:val="21"/>
          <w:highlight w:val="none"/>
          <w:lang w:val="en-US" w:eastAsia="zh-CN"/>
        </w:rPr>
        <w:t>80</w:t>
      </w:r>
      <w:r>
        <w:rPr>
          <w:rFonts w:hint="eastAsia" w:ascii="宋体" w:hAnsi="宋体" w:eastAsia="宋体" w:cs="宋体"/>
          <w:b/>
          <w:color w:val="auto"/>
          <w:szCs w:val="21"/>
          <w:highlight w:val="none"/>
        </w:rPr>
        <w:t>分）</w:t>
      </w:r>
    </w:p>
    <w:tbl>
      <w:tblPr>
        <w:tblStyle w:val="30"/>
        <w:tblW w:w="9763"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62"/>
        <w:gridCol w:w="6538"/>
        <w:gridCol w:w="1275"/>
      </w:tblGrid>
      <w:tr w14:paraId="5736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0E17F8B">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262" w:type="dxa"/>
            <w:vAlign w:val="center"/>
          </w:tcPr>
          <w:p w14:paraId="7A6B6EF6">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评分项目</w:t>
            </w:r>
          </w:p>
        </w:tc>
        <w:tc>
          <w:tcPr>
            <w:tcW w:w="6538" w:type="dxa"/>
            <w:vAlign w:val="center"/>
          </w:tcPr>
          <w:p w14:paraId="60CEE9C1">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评分细则</w:t>
            </w:r>
          </w:p>
        </w:tc>
        <w:tc>
          <w:tcPr>
            <w:tcW w:w="1275" w:type="dxa"/>
            <w:vAlign w:val="center"/>
          </w:tcPr>
          <w:p w14:paraId="70D40A98">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0556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0F447D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2" w:type="dxa"/>
            <w:vAlign w:val="center"/>
          </w:tcPr>
          <w:p w14:paraId="7F12AA2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整体服务</w:t>
            </w:r>
          </w:p>
          <w:p w14:paraId="4968D21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p>
        </w:tc>
        <w:tc>
          <w:tcPr>
            <w:tcW w:w="6538" w:type="dxa"/>
            <w:vAlign w:val="center"/>
          </w:tcPr>
          <w:p w14:paraId="0BBC0DF5">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根据本项目服务需求，投标人提供整体服务方案进行评审：</w:t>
            </w:r>
          </w:p>
          <w:p w14:paraId="1F29AE9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1.整体服务方案理解深刻，总体思路清晰，方案具体详实，定位准确，工作目标、内容和要求分析合理、全面的，得5分；</w:t>
            </w:r>
          </w:p>
          <w:p w14:paraId="6C33770D">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2.整体服务方案理解全面，总体思路清晰，定位准确，工作目标、内容和要求分析合理的，得4分；</w:t>
            </w:r>
          </w:p>
          <w:p w14:paraId="53B6B628">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3.整体服务方案理解思路清晰，满足采购需求但需要进一步完善的，得3分；</w:t>
            </w:r>
          </w:p>
          <w:p w14:paraId="5CC78157">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4.未提供的不得分。</w:t>
            </w:r>
          </w:p>
        </w:tc>
        <w:tc>
          <w:tcPr>
            <w:tcW w:w="1275" w:type="dxa"/>
            <w:vAlign w:val="center"/>
          </w:tcPr>
          <w:p w14:paraId="7A245EB7">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6691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7EA37C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62" w:type="dxa"/>
            <w:vAlign w:val="center"/>
          </w:tcPr>
          <w:p w14:paraId="02B0537C">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检测工作服务内容（频率、方法、目标）及保证措施</w:t>
            </w:r>
          </w:p>
        </w:tc>
        <w:tc>
          <w:tcPr>
            <w:tcW w:w="6538" w:type="dxa"/>
            <w:vAlign w:val="center"/>
          </w:tcPr>
          <w:p w14:paraId="01424093">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检测工作服务</w:t>
            </w:r>
            <w:r>
              <w:rPr>
                <w:rFonts w:hint="eastAsia" w:ascii="宋体" w:hAnsi="宋体" w:eastAsia="宋体" w:cs="宋体"/>
                <w:color w:val="auto"/>
                <w:sz w:val="21"/>
                <w:szCs w:val="21"/>
                <w:highlight w:val="none"/>
                <w:lang w:val="en-US" w:eastAsia="zh-CN"/>
              </w:rPr>
              <w:t>服务内容（含检测频率、检测方法、检测目标）</w:t>
            </w:r>
            <w:r>
              <w:rPr>
                <w:rFonts w:hint="eastAsia" w:ascii="宋体" w:hAnsi="宋体" w:eastAsia="宋体" w:cs="宋体"/>
                <w:color w:val="auto"/>
                <w:kern w:val="0"/>
                <w:sz w:val="21"/>
                <w:szCs w:val="21"/>
                <w:highlight w:val="none"/>
                <w:lang w:val="en-US" w:eastAsia="zh-CN" w:bidi="ar"/>
              </w:rPr>
              <w:t xml:space="preserve">、专门的质量技术管理班子和制度，质量技术保证措施、自控体系；确保质量验收合格措施等方面进行评审： </w:t>
            </w:r>
          </w:p>
          <w:p w14:paraId="2B270C2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①目标明确具体、制度合理、内容完善且详细、各项措施全面，得5分； </w:t>
            </w:r>
          </w:p>
          <w:p w14:paraId="20FA75F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②目标清晰、制度合理、内容完善、各项措施可行，得4分； </w:t>
            </w:r>
          </w:p>
          <w:p w14:paraId="161015A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③目标具有、制度合理、内容需要进一步完善，得3分； </w:t>
            </w:r>
          </w:p>
          <w:p w14:paraId="61BF7B8E">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29BF8AAD">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754B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3ED3D0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62" w:type="dxa"/>
            <w:vAlign w:val="center"/>
          </w:tcPr>
          <w:p w14:paraId="0514531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检测机构设置</w:t>
            </w:r>
          </w:p>
        </w:tc>
        <w:tc>
          <w:tcPr>
            <w:tcW w:w="6538" w:type="dxa"/>
            <w:vAlign w:val="center"/>
          </w:tcPr>
          <w:p w14:paraId="020B756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根据本项目服务需求，投标人提供检测机构设置方案进行评审：</w:t>
            </w:r>
          </w:p>
          <w:p w14:paraId="78C35BA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①检测机构设置齐全，完善，符合本项目采购需求的，得5分； </w:t>
            </w:r>
          </w:p>
          <w:p w14:paraId="0AA2FD4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②检测机构设置完善、符合本项目采购需求的，得4分； </w:t>
            </w:r>
          </w:p>
          <w:p w14:paraId="18D3B81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③检测机构设置需要进一步完善，得3分； </w:t>
            </w:r>
          </w:p>
          <w:p w14:paraId="4F625BF1">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0DD55074">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77AA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359A29C">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62" w:type="dxa"/>
            <w:vAlign w:val="center"/>
          </w:tcPr>
          <w:p w14:paraId="1431603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检测人员进出场方案</w:t>
            </w:r>
          </w:p>
        </w:tc>
        <w:tc>
          <w:tcPr>
            <w:tcW w:w="6538" w:type="dxa"/>
            <w:vAlign w:val="center"/>
          </w:tcPr>
          <w:p w14:paraId="28ACDA3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进行评审：</w:t>
            </w:r>
          </w:p>
          <w:p w14:paraId="604E234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①检测人员进出场安排合理、内容完善且详细、方案全面的得5分； </w:t>
            </w:r>
          </w:p>
          <w:p w14:paraId="386A959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②检测人员进出场安排合理，方案可行，得4分； </w:t>
            </w:r>
          </w:p>
          <w:p w14:paraId="444C5A8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 xml:space="preserve">需要进一步完善，内容缺失得3分； </w:t>
            </w:r>
          </w:p>
          <w:p w14:paraId="4B02F5D8">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644B917B">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84A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BBB54C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62" w:type="dxa"/>
            <w:vAlign w:val="center"/>
          </w:tcPr>
          <w:p w14:paraId="1E68552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检测设施、设备投入方案</w:t>
            </w:r>
          </w:p>
        </w:tc>
        <w:tc>
          <w:tcPr>
            <w:tcW w:w="6538" w:type="dxa"/>
            <w:vAlign w:val="center"/>
          </w:tcPr>
          <w:p w14:paraId="559EE15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检测投入的主要机械、设备有详细的组织计划且计划周密；设备数量、选型配置、进场时间安排合理，满足检测要求，根据拟投入的主要机械、设备组织计划进行评审：</w:t>
            </w:r>
          </w:p>
          <w:p w14:paraId="799EEFBD">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①投标供应商拟投入的主要机械、设备计划分项内容齐全，并承诺拟投入的机械、设备符合项目实际情况的得5分； </w:t>
            </w:r>
          </w:p>
          <w:p w14:paraId="75D010C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②投标供应商拟投入的主要机械、设备计划分项内容齐全，评审内容逐条分析，并制定措施，且符合项目实际情况，无套用、冒用其他项目的情况的得4分； </w:t>
            </w:r>
          </w:p>
          <w:p w14:paraId="07EC977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③投标供应商拟投入的主要机械、设备计划分项内容混乱，管理措施描述不清，前后矛盾，部分内容缺失，存在套用、冒用其他项目的情况的得3分； </w:t>
            </w:r>
          </w:p>
          <w:p w14:paraId="18884787">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④未提供方案的或方案中未提供多功能快速综合路况检测车的不得分。</w:t>
            </w:r>
          </w:p>
        </w:tc>
        <w:tc>
          <w:tcPr>
            <w:tcW w:w="1275" w:type="dxa"/>
            <w:vAlign w:val="center"/>
          </w:tcPr>
          <w:p w14:paraId="0E18265A">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4544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F1CE84C">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2" w:type="dxa"/>
            <w:vAlign w:val="center"/>
          </w:tcPr>
          <w:p w14:paraId="0049947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检测工作进度计划及保障措施方案</w:t>
            </w:r>
          </w:p>
        </w:tc>
        <w:tc>
          <w:tcPr>
            <w:tcW w:w="6538" w:type="dxa"/>
            <w:vAlign w:val="center"/>
          </w:tcPr>
          <w:p w14:paraId="62A7CB7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检测工作进度计划及保障措施进行评审：</w:t>
            </w:r>
          </w:p>
          <w:p w14:paraId="4F34B4F1">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①进度保障措施方案内容非常完整、进度计划及时间节点安排合理、贴合项目需求的得5分；</w:t>
            </w:r>
          </w:p>
          <w:p w14:paraId="1DE08C94">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②进度保障措施方案内容完善、进度计划及时间节点安排满足要求、整体标准满足项目需求的得4分；</w:t>
            </w:r>
          </w:p>
          <w:p w14:paraId="1534C6A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③进度保障措施方案内容有待提高、计划及时间节点安排不合理的得3分；</w:t>
            </w:r>
          </w:p>
          <w:p w14:paraId="784300A0">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3CDAD435">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14F1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722F79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2" w:type="dxa"/>
            <w:vAlign w:val="center"/>
          </w:tcPr>
          <w:p w14:paraId="1A07920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质量保证控制方案</w:t>
            </w:r>
          </w:p>
        </w:tc>
        <w:tc>
          <w:tcPr>
            <w:tcW w:w="6538" w:type="dxa"/>
            <w:vAlign w:val="center"/>
          </w:tcPr>
          <w:p w14:paraId="5A6713C7">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投标人提供内部质量控制方案进行评审，包括但不限于技术档案管理制度、成果文件质量控制制度、项目小组工作职责分工等：</w:t>
            </w:r>
          </w:p>
          <w:p w14:paraId="3DE0C5DF">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①方案内容完整详实，表述清晰，利于项目实施的得5分； </w:t>
            </w:r>
          </w:p>
          <w:p w14:paraId="258FE08F">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②方案内容符合项目实施要求的得4分； </w:t>
            </w:r>
          </w:p>
          <w:p w14:paraId="6736407F">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③方案要点突出不够明显，具体细节有待完善的得3分； </w:t>
            </w:r>
          </w:p>
          <w:p w14:paraId="50BBE4FC">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④未提供的不得分。</w:t>
            </w:r>
            <w:r>
              <w:rPr>
                <w:rFonts w:hint="eastAsia" w:ascii="宋体" w:hAnsi="宋体" w:eastAsia="宋体" w:cs="宋体"/>
                <w:b/>
                <w:color w:val="auto"/>
                <w:kern w:val="2"/>
                <w:sz w:val="21"/>
                <w:szCs w:val="21"/>
                <w:highlight w:val="none"/>
                <w:lang w:val="en-US" w:eastAsia="zh-CN" w:bidi="ar-SA"/>
              </w:rPr>
              <w:t xml:space="preserve"> </w:t>
            </w:r>
          </w:p>
        </w:tc>
        <w:tc>
          <w:tcPr>
            <w:tcW w:w="1275" w:type="dxa"/>
            <w:vAlign w:val="center"/>
          </w:tcPr>
          <w:p w14:paraId="1A4E2332">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18AE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319A89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62" w:type="dxa"/>
            <w:vAlign w:val="center"/>
          </w:tcPr>
          <w:p w14:paraId="7E29626C">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检测安全环保措施方案</w:t>
            </w:r>
          </w:p>
        </w:tc>
        <w:tc>
          <w:tcPr>
            <w:tcW w:w="6538" w:type="dxa"/>
            <w:vAlign w:val="center"/>
          </w:tcPr>
          <w:p w14:paraId="06BA66E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根据投标人提供的检测安全环保管理制度，检测安全保证措施（包括人员安全措施、设备安全措施等）及检测环保保证措施（包括设备的选择、检测方法的选择等）等方面进行评审： </w:t>
            </w:r>
          </w:p>
          <w:p w14:paraId="1D2576D3">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①方案要点突出、内容完整详实，表述清晰，与本项目实际需求有很高适用度，利于项目实施的得5分； </w:t>
            </w:r>
          </w:p>
          <w:p w14:paraId="0E203049">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②有针对性，内容完整详实，表述清晰，与本项目实际要求有适应度，符合项目实施要求的得4分； </w:t>
            </w:r>
          </w:p>
          <w:p w14:paraId="6CB6E8B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③要点突出不够明显，具体细节有待完善的得3分； </w:t>
            </w:r>
          </w:p>
          <w:p w14:paraId="6A53A77C">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42D66151">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0F1A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65CE3C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62" w:type="dxa"/>
            <w:vAlign w:val="center"/>
          </w:tcPr>
          <w:p w14:paraId="37B26299">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检测风险及防范措施</w:t>
            </w:r>
          </w:p>
        </w:tc>
        <w:tc>
          <w:tcPr>
            <w:tcW w:w="6538" w:type="dxa"/>
            <w:vAlign w:val="center"/>
          </w:tcPr>
          <w:p w14:paraId="6E538D4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等方面进行评审： </w:t>
            </w:r>
          </w:p>
          <w:p w14:paraId="0EB25B5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①列出详细的检测风险内容并提供防范措施，内容要点突出，利于项目实施的得5分； </w:t>
            </w:r>
          </w:p>
          <w:p w14:paraId="6B6F77D3">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内容完整详实，表述清晰，与本项目实际要求有适应度，符合项目实施要求的得4分； </w:t>
            </w:r>
          </w:p>
          <w:p w14:paraId="2A57094B">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③检测风险及防范措施要点突出不够明显，具体细节有待完善、内容缺失的得3分； </w:t>
            </w:r>
          </w:p>
          <w:p w14:paraId="5ACE5CA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2F031C99">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641F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497C8E3">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2" w:type="dxa"/>
            <w:vAlign w:val="center"/>
          </w:tcPr>
          <w:p w14:paraId="29C8D9D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检测合同管理</w:t>
            </w:r>
          </w:p>
        </w:tc>
        <w:tc>
          <w:tcPr>
            <w:tcW w:w="6538" w:type="dxa"/>
            <w:vAlign w:val="center"/>
          </w:tcPr>
          <w:p w14:paraId="27A0D03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①有详细的合同管理方案或措施，合同管理方案或措施和项目实际需要适应度高，</w:t>
            </w:r>
            <w:r>
              <w:rPr>
                <w:rFonts w:hint="eastAsia" w:ascii="宋体" w:hAnsi="宋体" w:eastAsia="宋体" w:cs="宋体"/>
                <w:color w:val="auto"/>
                <w:sz w:val="21"/>
                <w:szCs w:val="21"/>
                <w:highlight w:val="none"/>
              </w:rPr>
              <w:t>周全、具体、有效</w:t>
            </w:r>
            <w:r>
              <w:rPr>
                <w:rFonts w:hint="eastAsia" w:ascii="宋体" w:hAnsi="宋体" w:eastAsia="宋体" w:cs="宋体"/>
                <w:color w:val="auto"/>
                <w:sz w:val="21"/>
                <w:szCs w:val="21"/>
                <w:highlight w:val="none"/>
                <w:lang w:val="en-US" w:eastAsia="zh-CN"/>
              </w:rPr>
              <w:t>的得5分；</w:t>
            </w:r>
          </w:p>
          <w:p w14:paraId="2C1D92B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②合同管理方案或措施</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清晰、完善的得4分；</w:t>
            </w:r>
          </w:p>
          <w:p w14:paraId="17E1373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③有合同管理方案或措施，但缺项或关键点缺失或出现非专门针对本项目特性内容的得3分；</w:t>
            </w:r>
          </w:p>
          <w:p w14:paraId="047D33F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57F5710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45CA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DDF98C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62" w:type="dxa"/>
            <w:vAlign w:val="center"/>
          </w:tcPr>
          <w:p w14:paraId="731F3F2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费用控制管理</w:t>
            </w:r>
          </w:p>
        </w:tc>
        <w:tc>
          <w:tcPr>
            <w:tcW w:w="6538" w:type="dxa"/>
            <w:vAlign w:val="center"/>
          </w:tcPr>
          <w:p w14:paraId="15E4EB29">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根据投标人提供的费用控制管理进行评审： </w:t>
            </w:r>
          </w:p>
          <w:p w14:paraId="042F69B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①有详细的费用控制管理措施，费用控制管理措施合理，满足施工需要得5分；</w:t>
            </w:r>
          </w:p>
          <w:p w14:paraId="680A97C0">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②有详细的费用控制管理措施，能满足施工需要得4分；</w:t>
            </w:r>
          </w:p>
          <w:p w14:paraId="42E3640C">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③有详细的费用控制管理措施，但缺项或关键点缺失或出现非专门针对本项目特性内容的得3分。</w:t>
            </w:r>
          </w:p>
          <w:p w14:paraId="53B2EDF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④工作内容偏离项目需求、偏离客观现实或未提供的不得分。</w:t>
            </w:r>
          </w:p>
        </w:tc>
        <w:tc>
          <w:tcPr>
            <w:tcW w:w="1275" w:type="dxa"/>
            <w:vAlign w:val="center"/>
          </w:tcPr>
          <w:p w14:paraId="44596077">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2836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A524B2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62" w:type="dxa"/>
            <w:vAlign w:val="center"/>
          </w:tcPr>
          <w:p w14:paraId="6B5585C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廉政保证措施</w:t>
            </w:r>
          </w:p>
        </w:tc>
        <w:tc>
          <w:tcPr>
            <w:tcW w:w="6538" w:type="dxa"/>
            <w:vAlign w:val="center"/>
          </w:tcPr>
          <w:p w14:paraId="6A71B201">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根据投标人提供的廉政保证措施进行评审： </w:t>
            </w:r>
          </w:p>
          <w:p w14:paraId="5B2AC93B">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①廉政保证措施要点突出、内容完整详实，表述清晰，利于项目实施的得5分； </w:t>
            </w:r>
          </w:p>
          <w:p w14:paraId="67AA159E">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②内容完整符合项目实施要求的得4分； </w:t>
            </w:r>
          </w:p>
          <w:p w14:paraId="565B34B7">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③要点突出不够明显，具体细节有待完善的得3分； </w:t>
            </w:r>
          </w:p>
          <w:p w14:paraId="155EBEA5">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④工作内容偏离项目需求、偏离客观现实或未提供的不得分。 </w:t>
            </w:r>
          </w:p>
        </w:tc>
        <w:tc>
          <w:tcPr>
            <w:tcW w:w="1275" w:type="dxa"/>
            <w:vAlign w:val="center"/>
          </w:tcPr>
          <w:p w14:paraId="1D3772F8">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4000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3398E8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62" w:type="dxa"/>
            <w:vAlign w:val="center"/>
          </w:tcPr>
          <w:p w14:paraId="5E7AC566">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难点</w:t>
            </w:r>
            <w:r>
              <w:rPr>
                <w:rFonts w:hint="eastAsia" w:ascii="宋体" w:hAnsi="宋体" w:eastAsia="宋体" w:cs="宋体"/>
                <w:color w:val="auto"/>
                <w:sz w:val="21"/>
                <w:szCs w:val="21"/>
                <w:highlight w:val="none"/>
              </w:rPr>
              <w:t>及保证措施</w:t>
            </w:r>
          </w:p>
        </w:tc>
        <w:tc>
          <w:tcPr>
            <w:tcW w:w="6538" w:type="dxa"/>
            <w:vAlign w:val="center"/>
          </w:tcPr>
          <w:p w14:paraId="4E038B6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根据投标人提供的服务过程中的关键内容、</w:t>
            </w:r>
            <w:r>
              <w:rPr>
                <w:rFonts w:hint="eastAsia" w:ascii="宋体" w:hAnsi="宋体" w:eastAsia="宋体" w:cs="宋体"/>
                <w:color w:val="auto"/>
                <w:sz w:val="21"/>
                <w:szCs w:val="21"/>
                <w:highlight w:val="none"/>
              </w:rPr>
              <w:t>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难点进行阐述，并提出详细的解决方案及控制措施进行评审：</w:t>
            </w:r>
          </w:p>
          <w:p w14:paraId="7D32CE5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w:t>
            </w:r>
            <w:r>
              <w:rPr>
                <w:rFonts w:hint="eastAsia" w:ascii="宋体" w:hAnsi="宋体" w:eastAsia="宋体" w:cs="宋体"/>
                <w:color w:val="auto"/>
                <w:sz w:val="21"/>
                <w:szCs w:val="21"/>
                <w:highlight w:val="none"/>
              </w:rPr>
              <w:t>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难点，并且有具体的保证措施。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val="en-US" w:eastAsia="zh-CN"/>
              </w:rPr>
              <w:t>的得5分；</w:t>
            </w:r>
          </w:p>
          <w:p w14:paraId="0D6F9EB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w:t>
            </w:r>
            <w:r>
              <w:rPr>
                <w:rFonts w:hint="eastAsia" w:ascii="宋体" w:hAnsi="宋体" w:eastAsia="宋体" w:cs="宋体"/>
                <w:color w:val="auto"/>
                <w:sz w:val="21"/>
                <w:szCs w:val="21"/>
                <w:highlight w:val="none"/>
              </w:rPr>
              <w:t>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难点，并且有具体的保证措施。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5FD7DC6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w:t>
            </w:r>
            <w:r>
              <w:rPr>
                <w:rFonts w:hint="eastAsia" w:ascii="宋体" w:hAnsi="宋体" w:eastAsia="宋体" w:cs="宋体"/>
                <w:color w:val="auto"/>
                <w:sz w:val="21"/>
                <w:szCs w:val="21"/>
                <w:highlight w:val="none"/>
              </w:rPr>
              <w:t>重点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难点，并且有具体的保证措施。但缺项或关键点缺失或出现非专门针对本项目特性内容的得3分；</w:t>
            </w:r>
          </w:p>
          <w:p w14:paraId="53F05ED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1EA67EC3">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3E27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38CE9F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62" w:type="dxa"/>
            <w:vAlign w:val="center"/>
          </w:tcPr>
          <w:p w14:paraId="38FCCE1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基础数据调查更新及数据治</w:t>
            </w:r>
          </w:p>
          <w:p w14:paraId="0B0E516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理措施</w:t>
            </w:r>
          </w:p>
        </w:tc>
        <w:tc>
          <w:tcPr>
            <w:tcW w:w="6538" w:type="dxa"/>
            <w:vAlign w:val="center"/>
          </w:tcPr>
          <w:p w14:paraId="2EF4EB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根据针对本项目特点对供应商提供的农村公路基础数据调查更新及数据治理进行评审:</w:t>
            </w:r>
          </w:p>
          <w:p w14:paraId="6E29EDC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满足农村公路基础数据更新调查建库及省级数据底座的汇聚要求;②自动化检测与基础数据更新调查同步实施，保证数据一致性的技术问题分析与对策措施;③农村公路养护统计年报基础数据与电子地图更新的技术问题分析与对策措施。</w:t>
            </w:r>
          </w:p>
          <w:p w14:paraId="4A18BD6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1、方案中每小项内容对本项目特点和难点理解准确，方案优于本项目采购需求，完整详细，可行性、实用性，得 5 分；</w:t>
            </w:r>
          </w:p>
          <w:p w14:paraId="6D2E5FF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2、方案中每小项内容对本项目特点和难点理解准确，方案适合本项目采购需求，完整详细得4 分；</w:t>
            </w:r>
          </w:p>
          <w:p w14:paraId="54F173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3、方案中每小项内容对本项目特点和难点理解有待提升，有待改善，得3 分；</w:t>
            </w:r>
          </w:p>
          <w:p w14:paraId="04B38C9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4、不能满足项目实施要求或未提供的不得分。</w:t>
            </w:r>
          </w:p>
        </w:tc>
        <w:tc>
          <w:tcPr>
            <w:tcW w:w="1275" w:type="dxa"/>
            <w:vAlign w:val="center"/>
          </w:tcPr>
          <w:p w14:paraId="75E61E5D">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7C16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769A541">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262" w:type="dxa"/>
            <w:vAlign w:val="center"/>
          </w:tcPr>
          <w:p w14:paraId="39A2DFFC">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538" w:type="dxa"/>
            <w:vAlign w:val="center"/>
          </w:tcPr>
          <w:p w14:paraId="73870CF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①针对本项目特点，列出对本项目的建议（包括养护分析或建议），建议合理并且有具体的保证措施。</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val="en-US" w:eastAsia="zh-CN"/>
              </w:rPr>
              <w:t>完善的得5分；</w:t>
            </w:r>
          </w:p>
          <w:p w14:paraId="6740574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②针对本项目特点，列出本项目的建议，建议合理并且有具体的保证措施。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清晰的得4分；</w:t>
            </w:r>
          </w:p>
          <w:p w14:paraId="79D3956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③针对本项目特点，列出本项目的建议，建议合理并且有具体的保证措施。但缺项或关键点缺失或出现非专门针对本项目特性内容的得3分；</w:t>
            </w:r>
          </w:p>
          <w:p w14:paraId="29EE605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1EA883C6">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6223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F36D32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262" w:type="dxa"/>
            <w:vAlign w:val="center"/>
          </w:tcPr>
          <w:p w14:paraId="6CD5BF61">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检测后续服务方案</w:t>
            </w:r>
          </w:p>
        </w:tc>
        <w:tc>
          <w:tcPr>
            <w:tcW w:w="6538" w:type="dxa"/>
            <w:vAlign w:val="center"/>
          </w:tcPr>
          <w:p w14:paraId="65BD89C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评委会根据投标人提供的检测后续服务方案进行打分：</w:t>
            </w:r>
          </w:p>
          <w:p w14:paraId="6DA67B5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①后续服务支持、技术支持形式灵活多样，方案全面详尽，对遇到的问题响应及时且能迅速反馈解决方案，提供全面的技术服务的，得5分；</w:t>
            </w:r>
          </w:p>
          <w:p w14:paraId="4B87F50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②后续服务支持、技术支持形式多样，方案全面详尽，对遇到的问题能够快速的响应并得到解决，并提供技术服务的，得4分；</w:t>
            </w:r>
          </w:p>
          <w:p w14:paraId="6689423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③后续服务支持、技术支持满足项目需求，对遇到的问题能够响应并解决，并提供技术服务的，得3分；</w:t>
            </w:r>
          </w:p>
          <w:p w14:paraId="3737419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④未提供的不得分。</w:t>
            </w:r>
          </w:p>
        </w:tc>
        <w:tc>
          <w:tcPr>
            <w:tcW w:w="1275" w:type="dxa"/>
            <w:vAlign w:val="center"/>
          </w:tcPr>
          <w:p w14:paraId="0BFE1A98">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bl>
    <w:p w14:paraId="7D5ABDEF">
      <w:pPr>
        <w:rPr>
          <w:rFonts w:hint="eastAsia" w:ascii="宋体" w:hAnsi="宋体" w:eastAsia="宋体" w:cs="宋体"/>
          <w:color w:val="auto"/>
          <w:highlight w:val="none"/>
        </w:rPr>
      </w:pPr>
      <w:r>
        <w:rPr>
          <w:rFonts w:hint="eastAsia" w:ascii="宋体" w:hAnsi="宋体" w:eastAsia="宋体" w:cs="宋体"/>
          <w:color w:val="auto"/>
          <w:highlight w:val="none"/>
        </w:rPr>
        <w:t>注：1、评审标委员会将根据技术标所有内容进行独立打分，各评审标委员会成员打分分值的算术平均值作为最终得分，得分保留两位小数点，第三位四舍五入。</w:t>
      </w:r>
    </w:p>
    <w:p w14:paraId="004C5F88">
      <w:pPr>
        <w:rPr>
          <w:rFonts w:hint="eastAsia" w:ascii="宋体" w:hAnsi="宋体" w:eastAsia="宋体" w:cs="宋体"/>
          <w:color w:val="auto"/>
          <w:highlight w:val="none"/>
          <w:lang w:val="en-US" w:eastAsia="zh-CN"/>
        </w:rPr>
      </w:pPr>
    </w:p>
    <w:p w14:paraId="219AC42F">
      <w:pP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一、二标包：</w:t>
      </w:r>
    </w:p>
    <w:p w14:paraId="2A85B162">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29"/>
        <w:tblW w:w="9887"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24"/>
        <w:gridCol w:w="713"/>
        <w:gridCol w:w="6975"/>
      </w:tblGrid>
      <w:tr w14:paraId="68A0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5" w:type="dxa"/>
            <w:noWrap w:val="0"/>
            <w:vAlign w:val="center"/>
          </w:tcPr>
          <w:p w14:paraId="1DA9EF5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24" w:type="dxa"/>
            <w:noWrap w:val="0"/>
            <w:vAlign w:val="center"/>
          </w:tcPr>
          <w:p w14:paraId="7ECBB8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13" w:type="dxa"/>
            <w:noWrap w:val="0"/>
            <w:vAlign w:val="center"/>
          </w:tcPr>
          <w:p w14:paraId="0F21B4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6975" w:type="dxa"/>
            <w:noWrap w:val="0"/>
            <w:vAlign w:val="center"/>
          </w:tcPr>
          <w:p w14:paraId="782C50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评审细则</w:t>
            </w:r>
          </w:p>
        </w:tc>
      </w:tr>
      <w:tr w14:paraId="6822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5" w:type="dxa"/>
            <w:noWrap w:val="0"/>
            <w:vAlign w:val="center"/>
          </w:tcPr>
          <w:p w14:paraId="74F3DEA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24" w:type="dxa"/>
            <w:noWrap w:val="0"/>
            <w:vAlign w:val="center"/>
          </w:tcPr>
          <w:p w14:paraId="3B44AF5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tc>
        <w:tc>
          <w:tcPr>
            <w:tcW w:w="713" w:type="dxa"/>
            <w:noWrap w:val="0"/>
            <w:vAlign w:val="center"/>
          </w:tcPr>
          <w:p w14:paraId="73185E27">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975" w:type="dxa"/>
            <w:noWrap w:val="0"/>
            <w:vAlign w:val="center"/>
          </w:tcPr>
          <w:p w14:paraId="311A5EF6">
            <w:pPr>
              <w:spacing w:line="360" w:lineRule="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价格分统一采用低价优先法，即满足招标文件要求且投标价格最低的投标报价（如有扣除为扣除后价格）为评标基准价，其价格分为满分</w:t>
            </w:r>
            <w:r>
              <w:rPr>
                <w:rFonts w:hint="eastAsia"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rPr>
              <w:t>0分。其他投标人的价格分统一按照下列公式计算：</w:t>
            </w:r>
          </w:p>
          <w:p w14:paraId="257931AA">
            <w:pPr>
              <w:pStyle w:val="14"/>
              <w:spacing w:after="0" w:line="44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pacing w:val="1"/>
                <w:kern w:val="0"/>
                <w:sz w:val="24"/>
                <w:szCs w:val="24"/>
                <w:highlight w:val="none"/>
              </w:rPr>
              <w:t>投标报价得分＝（评标基准价/投标报价）×</w:t>
            </w:r>
            <w:r>
              <w:rPr>
                <w:rFonts w:hint="eastAsia" w:ascii="宋体" w:hAnsi="宋体" w:eastAsia="宋体" w:cs="宋体"/>
                <w:color w:val="auto"/>
                <w:spacing w:val="1"/>
                <w:kern w:val="0"/>
                <w:sz w:val="24"/>
                <w:szCs w:val="24"/>
                <w:highlight w:val="none"/>
                <w:lang w:val="en-US" w:eastAsia="zh-CN"/>
              </w:rPr>
              <w:t>10</w:t>
            </w:r>
            <w:r>
              <w:rPr>
                <w:rFonts w:hint="eastAsia" w:ascii="宋体" w:hAnsi="宋体" w:eastAsia="宋体" w:cs="宋体"/>
                <w:color w:val="auto"/>
                <w:spacing w:val="1"/>
                <w:kern w:val="0"/>
                <w:sz w:val="24"/>
                <w:szCs w:val="24"/>
                <w:highlight w:val="none"/>
              </w:rPr>
              <w:t>％×100</w:t>
            </w:r>
          </w:p>
        </w:tc>
      </w:tr>
    </w:tbl>
    <w:p w14:paraId="0A492F54">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07DEDF7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08A75CA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未在开标截止时间前通过网上招标投标系统递交有效电子投标文件的，开标系统不予接收，投标将被拒绝。</w:t>
      </w:r>
    </w:p>
    <w:p w14:paraId="4CE0F56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24512B6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2E7FAFF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3E8EB04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2CC1DC3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640F36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618CC4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206262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(6)评标专家无法查看并检验电子投标文件中相关资料的；</w:t>
      </w:r>
    </w:p>
    <w:p w14:paraId="5071562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2280AAB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6BA043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675004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13CD224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1D6573B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139A5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(13)其它情形，经评标委员会委提出按无效投标处理，并经公共资源交易监督部门核准的；</w:t>
      </w:r>
    </w:p>
    <w:p w14:paraId="44AE470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(14)投标人投标MAC地址或投标人联系人或联系电话相同的，由评标委员会否决其投标，并报告监管部门作不良行为处理和进一步调查；</w:t>
      </w:r>
    </w:p>
    <w:p w14:paraId="22C260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(15)投标人单方面出现其他投标人材料的；</w:t>
      </w:r>
    </w:p>
    <w:p w14:paraId="0F8085A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(16)招标文件规定的其它无效投标情形。</w:t>
      </w:r>
    </w:p>
    <w:p w14:paraId="0D2A91F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253EC08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(1)投标文件签字、盖章不全，经评标委员会一致认定对开评标内容有实质性影响并经公共资源交易监督部门核准的；</w:t>
      </w:r>
    </w:p>
    <w:p w14:paraId="232549C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(2)未按规定的格式填写导致实质性内容不全以及实质上不响应，或者关键字迹模糊、无法辨认; 经公共资源交易监督部门核准的；</w:t>
      </w:r>
    </w:p>
    <w:p w14:paraId="3DFC14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0C3760A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584540E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0E7F2DD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1CC5BF5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(7)其它情形，经评标委员会委提出按无效投标处理，并经公共资源交易监督部门核准的；</w:t>
      </w:r>
    </w:p>
    <w:p w14:paraId="5861E8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260B392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76F653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20F91ED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0D7C20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05BF490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09C6ABF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2632538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0B5E6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(6)其它情形，经评标委员会委提出按无效投标处理，并经公共资源交易监督部门核准的；</w:t>
      </w:r>
    </w:p>
    <w:p w14:paraId="1192F1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4E4A708C">
      <w:pPr>
        <w:spacing w:line="360" w:lineRule="auto"/>
        <w:jc w:val="center"/>
        <w:outlineLvl w:val="0"/>
        <w:rPr>
          <w:rFonts w:hint="eastAsia" w:ascii="宋体" w:hAnsi="宋体" w:eastAsia="宋体" w:cs="宋体"/>
          <w:b/>
          <w:color w:val="auto"/>
          <w:sz w:val="28"/>
          <w:highlight w:val="none"/>
        </w:rPr>
      </w:pPr>
      <w:bookmarkStart w:id="60" w:name="_Toc13856"/>
      <w:r>
        <w:rPr>
          <w:rFonts w:hint="eastAsia" w:ascii="宋体" w:hAnsi="宋体" w:eastAsia="宋体" w:cs="宋体"/>
          <w:b/>
          <w:color w:val="auto"/>
          <w:sz w:val="28"/>
          <w:highlight w:val="none"/>
        </w:rPr>
        <w:t>第五章  政府采购合同</w:t>
      </w:r>
      <w:bookmarkEnd w:id="60"/>
    </w:p>
    <w:p w14:paraId="0EA75657">
      <w:pPr>
        <w:spacing w:line="480" w:lineRule="auto"/>
        <w:jc w:val="center"/>
        <w:rPr>
          <w:rFonts w:hint="eastAsia" w:ascii="宋体" w:hAnsi="宋体" w:eastAsia="宋体" w:cs="宋体"/>
          <w:b/>
          <w:color w:val="auto"/>
          <w:sz w:val="28"/>
          <w:szCs w:val="28"/>
          <w:highlight w:val="none"/>
        </w:rPr>
      </w:pPr>
      <w:bookmarkStart w:id="61" w:name="_Toc331685784"/>
    </w:p>
    <w:p w14:paraId="2D993AE0">
      <w:pPr>
        <w:spacing w:line="480" w:lineRule="auto"/>
        <w:jc w:val="center"/>
        <w:rPr>
          <w:rFonts w:hint="eastAsia" w:ascii="宋体" w:hAnsi="宋体" w:eastAsia="宋体" w:cs="宋体"/>
          <w:b/>
          <w:color w:val="auto"/>
          <w:sz w:val="28"/>
          <w:szCs w:val="28"/>
          <w:highlight w:val="none"/>
        </w:rPr>
      </w:pPr>
    </w:p>
    <w:p w14:paraId="4A7DCF45">
      <w:pPr>
        <w:pStyle w:val="12"/>
        <w:rPr>
          <w:rFonts w:hint="eastAsia" w:ascii="宋体" w:hAnsi="宋体" w:eastAsia="宋体" w:cs="宋体"/>
          <w:color w:val="auto"/>
          <w:highlight w:val="none"/>
        </w:rPr>
      </w:pPr>
    </w:p>
    <w:p w14:paraId="7E96D3EA">
      <w:pPr>
        <w:spacing w:line="480" w:lineRule="auto"/>
        <w:jc w:val="center"/>
        <w:outlineLvl w:val="1"/>
        <w:rPr>
          <w:rFonts w:hint="eastAsia" w:ascii="宋体" w:hAnsi="宋体" w:eastAsia="宋体" w:cs="宋体"/>
          <w:b/>
          <w:color w:val="auto"/>
          <w:sz w:val="28"/>
          <w:szCs w:val="28"/>
          <w:highlight w:val="none"/>
        </w:rPr>
      </w:pPr>
      <w:bookmarkStart w:id="62" w:name="_Toc3714"/>
      <w:bookmarkStart w:id="63" w:name="_Toc14813"/>
      <w:r>
        <w:rPr>
          <w:rFonts w:hint="eastAsia" w:ascii="宋体" w:hAnsi="宋体" w:eastAsia="宋体" w:cs="宋体"/>
          <w:b/>
          <w:color w:val="auto"/>
          <w:sz w:val="28"/>
          <w:szCs w:val="28"/>
          <w:highlight w:val="none"/>
        </w:rPr>
        <w:t>政府采购合同参考范本</w:t>
      </w:r>
      <w:bookmarkEnd w:id="62"/>
      <w:bookmarkEnd w:id="63"/>
    </w:p>
    <w:p w14:paraId="7E3DC69C">
      <w:pPr>
        <w:spacing w:line="480" w:lineRule="auto"/>
        <w:jc w:val="center"/>
        <w:outlineLvl w:val="1"/>
        <w:rPr>
          <w:rFonts w:hint="eastAsia" w:ascii="宋体" w:hAnsi="宋体" w:eastAsia="宋体" w:cs="宋体"/>
          <w:b/>
          <w:color w:val="auto"/>
          <w:sz w:val="28"/>
          <w:szCs w:val="28"/>
          <w:highlight w:val="none"/>
        </w:rPr>
      </w:pPr>
      <w:bookmarkStart w:id="64" w:name="_Toc8560"/>
      <w:bookmarkStart w:id="65" w:name="_Toc30265"/>
      <w:r>
        <w:rPr>
          <w:rFonts w:hint="eastAsia" w:ascii="宋体" w:hAnsi="宋体" w:eastAsia="宋体" w:cs="宋体"/>
          <w:b/>
          <w:color w:val="auto"/>
          <w:sz w:val="28"/>
          <w:szCs w:val="28"/>
          <w:highlight w:val="none"/>
        </w:rPr>
        <w:t>（服务类）</w:t>
      </w:r>
      <w:bookmarkEnd w:id="64"/>
      <w:bookmarkEnd w:id="65"/>
    </w:p>
    <w:p w14:paraId="49E9B248">
      <w:pPr>
        <w:spacing w:line="480" w:lineRule="auto"/>
        <w:jc w:val="center"/>
        <w:rPr>
          <w:rFonts w:hint="eastAsia" w:ascii="宋体" w:hAnsi="宋体" w:eastAsia="宋体" w:cs="宋体"/>
          <w:b/>
          <w:color w:val="auto"/>
          <w:sz w:val="24"/>
          <w:szCs w:val="24"/>
          <w:highlight w:val="none"/>
        </w:rPr>
      </w:pPr>
    </w:p>
    <w:p w14:paraId="65ED46B8">
      <w:pPr>
        <w:spacing w:line="480" w:lineRule="auto"/>
        <w:jc w:val="center"/>
        <w:rPr>
          <w:rFonts w:hint="eastAsia" w:ascii="宋体" w:hAnsi="宋体" w:eastAsia="宋体" w:cs="宋体"/>
          <w:b/>
          <w:color w:val="auto"/>
          <w:sz w:val="24"/>
          <w:szCs w:val="24"/>
          <w:highlight w:val="none"/>
        </w:rPr>
      </w:pPr>
    </w:p>
    <w:p w14:paraId="491C3F13">
      <w:pPr>
        <w:spacing w:line="480" w:lineRule="auto"/>
        <w:jc w:val="center"/>
        <w:rPr>
          <w:rFonts w:hint="eastAsia" w:ascii="宋体" w:hAnsi="宋体" w:eastAsia="宋体" w:cs="宋体"/>
          <w:b/>
          <w:color w:val="auto"/>
          <w:sz w:val="24"/>
          <w:szCs w:val="24"/>
          <w:highlight w:val="none"/>
        </w:rPr>
      </w:pPr>
    </w:p>
    <w:p w14:paraId="7B1D91E4">
      <w:pPr>
        <w:spacing w:line="360" w:lineRule="auto"/>
        <w:jc w:val="center"/>
        <w:outlineLvl w:val="1"/>
        <w:rPr>
          <w:rFonts w:hint="eastAsia" w:ascii="宋体" w:hAnsi="宋体" w:eastAsia="宋体" w:cs="宋体"/>
          <w:b/>
          <w:color w:val="auto"/>
          <w:sz w:val="24"/>
          <w:highlight w:val="none"/>
        </w:rPr>
      </w:pPr>
      <w:bookmarkStart w:id="66" w:name="_Toc2449"/>
      <w:bookmarkStart w:id="67" w:name="_Toc28317"/>
      <w:r>
        <w:rPr>
          <w:rFonts w:hint="eastAsia" w:ascii="宋体" w:hAnsi="宋体" w:eastAsia="宋体" w:cs="宋体"/>
          <w:b/>
          <w:color w:val="auto"/>
          <w:sz w:val="24"/>
          <w:highlight w:val="none"/>
        </w:rPr>
        <w:t>第一部分 合同书</w:t>
      </w:r>
      <w:bookmarkEnd w:id="66"/>
      <w:bookmarkEnd w:id="67"/>
    </w:p>
    <w:p w14:paraId="5671DEC4">
      <w:pPr>
        <w:spacing w:line="480" w:lineRule="auto"/>
        <w:jc w:val="center"/>
        <w:rPr>
          <w:rFonts w:hint="eastAsia" w:ascii="宋体" w:hAnsi="宋体" w:eastAsia="宋体" w:cs="宋体"/>
          <w:b/>
          <w:color w:val="auto"/>
          <w:sz w:val="24"/>
          <w:szCs w:val="24"/>
          <w:highlight w:val="none"/>
        </w:rPr>
      </w:pPr>
    </w:p>
    <w:p w14:paraId="42AE25A9">
      <w:pPr>
        <w:spacing w:line="480" w:lineRule="auto"/>
        <w:jc w:val="center"/>
        <w:rPr>
          <w:rFonts w:hint="eastAsia" w:ascii="宋体" w:hAnsi="宋体" w:eastAsia="宋体" w:cs="宋体"/>
          <w:b/>
          <w:color w:val="auto"/>
          <w:sz w:val="24"/>
          <w:szCs w:val="24"/>
          <w:highlight w:val="none"/>
        </w:rPr>
      </w:pPr>
    </w:p>
    <w:p w14:paraId="69039F63">
      <w:pPr>
        <w:pStyle w:val="12"/>
        <w:rPr>
          <w:rFonts w:hint="eastAsia" w:ascii="宋体" w:hAnsi="宋体" w:eastAsia="宋体" w:cs="宋体"/>
          <w:color w:val="auto"/>
          <w:highlight w:val="none"/>
        </w:rPr>
      </w:pPr>
    </w:p>
    <w:p w14:paraId="4E49A7A1">
      <w:pPr>
        <w:pStyle w:val="12"/>
        <w:rPr>
          <w:rFonts w:hint="eastAsia" w:ascii="宋体" w:hAnsi="宋体" w:eastAsia="宋体" w:cs="宋体"/>
          <w:color w:val="auto"/>
          <w:highlight w:val="none"/>
        </w:rPr>
      </w:pPr>
    </w:p>
    <w:p w14:paraId="18110D9D">
      <w:pPr>
        <w:spacing w:before="120" w:line="480" w:lineRule="auto"/>
        <w:ind w:left="96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2025年滁州市农村公路自动化检测项目</w:t>
      </w:r>
    </w:p>
    <w:p w14:paraId="6C2021D9">
      <w:pPr>
        <w:spacing w:before="120" w:line="48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4576FC6B">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lang w:eastAsia="zh-CN"/>
        </w:rPr>
        <w:t>滁州市交通运输局</w:t>
      </w:r>
      <w:r>
        <w:rPr>
          <w:rFonts w:hint="eastAsia" w:ascii="宋体" w:hAnsi="宋体" w:eastAsia="宋体" w:cs="宋体"/>
          <w:color w:val="auto"/>
          <w:sz w:val="24"/>
          <w:szCs w:val="24"/>
          <w:highlight w:val="none"/>
          <w:u w:val="single"/>
        </w:rPr>
        <w:t xml:space="preserve"> </w:t>
      </w:r>
    </w:p>
    <w:p w14:paraId="55AA0D83">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108589B9">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lang w:eastAsia="zh-CN"/>
        </w:rPr>
        <w:t>滁州市交通运输局</w:t>
      </w:r>
      <w:r>
        <w:rPr>
          <w:rFonts w:hint="eastAsia" w:ascii="宋体" w:hAnsi="宋体" w:eastAsia="宋体" w:cs="宋体"/>
          <w:color w:val="auto"/>
          <w:sz w:val="24"/>
          <w:szCs w:val="24"/>
          <w:highlight w:val="none"/>
          <w:u w:val="single"/>
        </w:rPr>
        <w:t xml:space="preserve"> </w:t>
      </w:r>
    </w:p>
    <w:p w14:paraId="3F46B590">
      <w:pPr>
        <w:spacing w:before="120" w:line="48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F70E1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ED9D07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滁州市交通运输局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以下简称：甲方</w:t>
      </w:r>
      <w:r>
        <w:rPr>
          <w:rFonts w:hint="eastAsia" w:ascii="宋体" w:hAnsi="宋体" w:eastAsia="宋体" w:cs="宋体"/>
          <w:color w:val="auto"/>
          <w:sz w:val="24"/>
          <w:highlight w:val="none"/>
        </w:rPr>
        <w:t xml:space="preserve">）通过 </w:t>
      </w:r>
      <w:r>
        <w:rPr>
          <w:rFonts w:hint="eastAsia" w:ascii="宋体" w:hAnsi="宋体" w:eastAsia="宋体" w:cs="宋体"/>
          <w:color w:val="auto"/>
          <w:sz w:val="24"/>
          <w:highlight w:val="none"/>
          <w:u w:val="single"/>
        </w:rPr>
        <w:t>滁州市城投工程咨询管理有限公司</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u w:val="single"/>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以下简称：乙方</w:t>
      </w:r>
      <w:r>
        <w:rPr>
          <w:rFonts w:hint="eastAsia" w:ascii="宋体" w:hAnsi="宋体" w:eastAsia="宋体" w:cs="宋体"/>
          <w:color w:val="auto"/>
          <w:sz w:val="24"/>
          <w:highlight w:val="none"/>
        </w:rPr>
        <w:t>）为本项目中标人，现按照采购文件确定的事项签订本合同。</w:t>
      </w:r>
    </w:p>
    <w:p w14:paraId="7EFA7A98">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6B7B346A">
      <w:pPr>
        <w:spacing w:line="440" w:lineRule="exact"/>
        <w:ind w:firstLine="437"/>
        <w:outlineLvl w:val="2"/>
        <w:rPr>
          <w:rFonts w:hint="eastAsia" w:ascii="宋体" w:hAnsi="宋体" w:eastAsia="宋体" w:cs="宋体"/>
          <w:b/>
          <w:bCs/>
          <w:color w:val="auto"/>
          <w:sz w:val="24"/>
          <w:szCs w:val="24"/>
          <w:highlight w:val="none"/>
          <w:lang w:val="zh-CN"/>
        </w:rPr>
      </w:pPr>
      <w:bookmarkStart w:id="68" w:name="_Toc24059"/>
      <w:bookmarkStart w:id="69" w:name="_Toc3029"/>
      <w:bookmarkStart w:id="70" w:name="_Toc2232"/>
      <w:r>
        <w:rPr>
          <w:rFonts w:hint="eastAsia" w:ascii="宋体" w:hAnsi="宋体" w:eastAsia="宋体" w:cs="宋体"/>
          <w:b/>
          <w:bCs/>
          <w:color w:val="auto"/>
          <w:sz w:val="24"/>
          <w:szCs w:val="24"/>
          <w:highlight w:val="none"/>
          <w:lang w:val="zh-CN"/>
        </w:rPr>
        <w:t>1.1 合同组成部分</w:t>
      </w:r>
      <w:bookmarkEnd w:id="68"/>
      <w:bookmarkEnd w:id="69"/>
      <w:bookmarkEnd w:id="70"/>
    </w:p>
    <w:p w14:paraId="7C10E8F1">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10C0F68">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5C69C6DB">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43D820B0">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5C000E1B">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60B43B18">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430D4CAE">
      <w:pPr>
        <w:spacing w:line="440" w:lineRule="exact"/>
        <w:ind w:firstLine="437"/>
        <w:outlineLvl w:val="2"/>
        <w:rPr>
          <w:rFonts w:hint="eastAsia" w:ascii="宋体" w:hAnsi="宋体" w:eastAsia="宋体" w:cs="宋体"/>
          <w:b/>
          <w:bCs/>
          <w:color w:val="auto"/>
          <w:sz w:val="24"/>
          <w:szCs w:val="24"/>
          <w:highlight w:val="none"/>
          <w:lang w:val="zh-CN"/>
        </w:rPr>
      </w:pPr>
      <w:bookmarkStart w:id="71" w:name="_Toc2918"/>
      <w:bookmarkStart w:id="72" w:name="_Toc6311"/>
      <w:bookmarkStart w:id="73" w:name="_Toc22185"/>
      <w:bookmarkStart w:id="74" w:name="_Toc18585"/>
      <w:bookmarkStart w:id="75" w:name="_Toc6773"/>
      <w:r>
        <w:rPr>
          <w:rFonts w:hint="eastAsia" w:ascii="宋体" w:hAnsi="宋体" w:eastAsia="宋体" w:cs="宋体"/>
          <w:b/>
          <w:bCs/>
          <w:color w:val="auto"/>
          <w:sz w:val="24"/>
          <w:szCs w:val="24"/>
          <w:highlight w:val="none"/>
          <w:lang w:val="zh-CN"/>
        </w:rPr>
        <w:t xml:space="preserve">1.2 </w:t>
      </w:r>
      <w:bookmarkEnd w:id="71"/>
      <w:bookmarkEnd w:id="72"/>
      <w:bookmarkEnd w:id="73"/>
      <w:bookmarkEnd w:id="74"/>
      <w:bookmarkEnd w:id="75"/>
      <w:r>
        <w:rPr>
          <w:rFonts w:hint="eastAsia" w:ascii="宋体" w:hAnsi="宋体" w:eastAsia="宋体" w:cs="宋体"/>
          <w:b/>
          <w:bCs/>
          <w:color w:val="auto"/>
          <w:sz w:val="24"/>
          <w:szCs w:val="24"/>
          <w:highlight w:val="none"/>
          <w:lang w:val="zh-CN"/>
        </w:rPr>
        <w:t>服务</w:t>
      </w:r>
    </w:p>
    <w:p w14:paraId="7487BF37">
      <w:pPr>
        <w:spacing w:line="44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lang w:eastAsia="zh-CN"/>
        </w:rPr>
        <w:t>2025年滁州市农村公路自动化检测项目</w:t>
      </w:r>
      <w:r>
        <w:rPr>
          <w:rFonts w:hint="eastAsia" w:ascii="宋体" w:hAnsi="宋体" w:eastAsia="宋体" w:cs="宋体"/>
          <w:color w:val="auto"/>
          <w:sz w:val="24"/>
          <w:szCs w:val="24"/>
          <w:highlight w:val="none"/>
        </w:rPr>
        <w:t>；</w:t>
      </w:r>
    </w:p>
    <w:p w14:paraId="21141D8C">
      <w:pPr>
        <w:spacing w:line="44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highlight w:val="none"/>
          <w:u w:val="single"/>
        </w:rPr>
        <w:t>招标文件第三章采购需求全部内容</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详见附件</w:t>
      </w:r>
      <w:r>
        <w:rPr>
          <w:rFonts w:hint="eastAsia" w:ascii="宋体" w:hAnsi="宋体" w:eastAsia="宋体" w:cs="宋体"/>
          <w:color w:val="auto"/>
          <w:sz w:val="24"/>
          <w:szCs w:val="24"/>
          <w:highlight w:val="none"/>
        </w:rPr>
        <w:t>；</w:t>
      </w:r>
    </w:p>
    <w:p w14:paraId="0820E6C1">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满足招标文件要求及采购人相关要求</w:t>
      </w:r>
      <w:r>
        <w:rPr>
          <w:rFonts w:hint="eastAsia" w:ascii="宋体" w:hAnsi="宋体" w:eastAsia="宋体" w:cs="宋体"/>
          <w:color w:val="auto"/>
          <w:sz w:val="24"/>
          <w:szCs w:val="24"/>
          <w:highlight w:val="none"/>
        </w:rPr>
        <w:t>。</w:t>
      </w:r>
    </w:p>
    <w:p w14:paraId="38217329">
      <w:pPr>
        <w:spacing w:line="440" w:lineRule="exact"/>
        <w:ind w:firstLine="437"/>
        <w:outlineLvl w:val="2"/>
        <w:rPr>
          <w:rFonts w:hint="eastAsia" w:ascii="宋体" w:hAnsi="宋体" w:eastAsia="宋体" w:cs="宋体"/>
          <w:b/>
          <w:bCs/>
          <w:color w:val="auto"/>
          <w:sz w:val="24"/>
          <w:szCs w:val="24"/>
          <w:highlight w:val="none"/>
          <w:lang w:val="zh-CN"/>
        </w:rPr>
      </w:pPr>
      <w:bookmarkStart w:id="76" w:name="_Toc21631"/>
      <w:bookmarkStart w:id="77" w:name="_Toc21551"/>
      <w:bookmarkStart w:id="78" w:name="_Toc23292"/>
      <w:r>
        <w:rPr>
          <w:rFonts w:hint="eastAsia" w:ascii="宋体" w:hAnsi="宋体" w:eastAsia="宋体" w:cs="宋体"/>
          <w:b/>
          <w:bCs/>
          <w:color w:val="auto"/>
          <w:sz w:val="24"/>
          <w:szCs w:val="24"/>
          <w:highlight w:val="none"/>
          <w:lang w:val="zh-CN"/>
        </w:rPr>
        <w:t>1.3 价款</w:t>
      </w:r>
      <w:bookmarkEnd w:id="76"/>
      <w:bookmarkEnd w:id="77"/>
      <w:bookmarkEnd w:id="78"/>
    </w:p>
    <w:p w14:paraId="17B86AFE">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14:paraId="2F8A3DBD">
      <w:pPr>
        <w:spacing w:line="440" w:lineRule="exact"/>
        <w:ind w:firstLine="437"/>
        <w:outlineLvl w:val="2"/>
        <w:rPr>
          <w:rFonts w:hint="eastAsia" w:ascii="宋体" w:hAnsi="宋体" w:eastAsia="宋体" w:cs="宋体"/>
          <w:b/>
          <w:bCs/>
          <w:color w:val="auto"/>
          <w:sz w:val="24"/>
          <w:szCs w:val="24"/>
          <w:highlight w:val="none"/>
          <w:lang w:val="zh-CN"/>
        </w:rPr>
      </w:pPr>
      <w:bookmarkStart w:id="79" w:name="_Toc1814"/>
      <w:bookmarkStart w:id="80" w:name="_Toc22618"/>
      <w:bookmarkStart w:id="81" w:name="_Toc10340"/>
      <w:r>
        <w:rPr>
          <w:rFonts w:hint="eastAsia" w:ascii="宋体" w:hAnsi="宋体" w:eastAsia="宋体" w:cs="宋体"/>
          <w:b/>
          <w:bCs/>
          <w:color w:val="auto"/>
          <w:sz w:val="24"/>
          <w:szCs w:val="24"/>
          <w:highlight w:val="none"/>
          <w:lang w:val="zh-CN"/>
        </w:rPr>
        <w:t>1.4 付款方式和发票开具方式</w:t>
      </w:r>
      <w:bookmarkEnd w:id="79"/>
      <w:bookmarkEnd w:id="80"/>
      <w:bookmarkEnd w:id="81"/>
    </w:p>
    <w:p w14:paraId="0099BEB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161CE1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开具符合要求的增值税专用发票</w:t>
      </w:r>
      <w:r>
        <w:rPr>
          <w:rFonts w:hint="eastAsia" w:ascii="宋体" w:hAnsi="宋体" w:eastAsia="宋体" w:cs="宋体"/>
          <w:color w:val="auto"/>
          <w:sz w:val="24"/>
          <w:szCs w:val="24"/>
          <w:highlight w:val="none"/>
        </w:rPr>
        <w:t>。</w:t>
      </w:r>
    </w:p>
    <w:p w14:paraId="10DFF46A">
      <w:pPr>
        <w:spacing w:line="440" w:lineRule="exact"/>
        <w:ind w:firstLine="437"/>
        <w:outlineLvl w:val="2"/>
        <w:rPr>
          <w:rFonts w:hint="eastAsia" w:ascii="宋体" w:hAnsi="宋体" w:eastAsia="宋体" w:cs="宋体"/>
          <w:b/>
          <w:bCs/>
          <w:color w:val="auto"/>
          <w:sz w:val="24"/>
          <w:szCs w:val="24"/>
          <w:highlight w:val="none"/>
          <w:lang w:val="zh-CN"/>
        </w:rPr>
      </w:pPr>
      <w:bookmarkStart w:id="82" w:name="_Toc19304"/>
      <w:bookmarkStart w:id="83" w:name="_Toc32071"/>
      <w:bookmarkStart w:id="84" w:name="_Toc2846"/>
      <w:r>
        <w:rPr>
          <w:rFonts w:hint="eastAsia" w:ascii="宋体" w:hAnsi="宋体" w:eastAsia="宋体" w:cs="宋体"/>
          <w:b/>
          <w:bCs/>
          <w:color w:val="auto"/>
          <w:sz w:val="24"/>
          <w:szCs w:val="24"/>
          <w:highlight w:val="none"/>
          <w:lang w:val="zh-CN"/>
        </w:rPr>
        <w:t>1.5 服务期限、地点和方式</w:t>
      </w:r>
      <w:bookmarkEnd w:id="82"/>
      <w:bookmarkEnd w:id="83"/>
      <w:bookmarkEnd w:id="84"/>
    </w:p>
    <w:p w14:paraId="23EFA877">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lang w:val="en-US" w:eastAsia="zh-CN"/>
        </w:rPr>
        <w:t>90个日历天</w:t>
      </w:r>
      <w:r>
        <w:rPr>
          <w:rFonts w:hint="eastAsia" w:ascii="宋体" w:hAnsi="宋体" w:eastAsia="宋体" w:cs="宋体"/>
          <w:color w:val="auto"/>
          <w:sz w:val="24"/>
          <w:szCs w:val="24"/>
          <w:highlight w:val="none"/>
        </w:rPr>
        <w:t>；</w:t>
      </w:r>
    </w:p>
    <w:p w14:paraId="4626C39F">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szCs w:val="24"/>
          <w:highlight w:val="none"/>
        </w:rPr>
        <w:t>；</w:t>
      </w:r>
    </w:p>
    <w:p w14:paraId="3400D73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甲方指定方式</w:t>
      </w:r>
      <w:r>
        <w:rPr>
          <w:rFonts w:hint="eastAsia" w:ascii="宋体" w:hAnsi="宋体" w:eastAsia="宋体" w:cs="宋体"/>
          <w:color w:val="auto"/>
          <w:sz w:val="24"/>
          <w:szCs w:val="24"/>
          <w:highlight w:val="none"/>
        </w:rPr>
        <w:t>。</w:t>
      </w:r>
    </w:p>
    <w:p w14:paraId="207007E2">
      <w:pPr>
        <w:spacing w:line="440" w:lineRule="exact"/>
        <w:ind w:firstLine="437"/>
        <w:outlineLvl w:val="2"/>
        <w:rPr>
          <w:rFonts w:hint="eastAsia" w:ascii="宋体" w:hAnsi="宋体" w:eastAsia="宋体" w:cs="宋体"/>
          <w:b/>
          <w:bCs/>
          <w:color w:val="auto"/>
          <w:sz w:val="24"/>
          <w:szCs w:val="24"/>
          <w:highlight w:val="none"/>
          <w:lang w:val="zh-CN"/>
        </w:rPr>
      </w:pPr>
      <w:bookmarkStart w:id="85" w:name="_Toc19554"/>
      <w:bookmarkStart w:id="86" w:name="_Toc27250"/>
      <w:bookmarkStart w:id="87" w:name="_Toc21423"/>
      <w:r>
        <w:rPr>
          <w:rFonts w:hint="eastAsia" w:ascii="宋体" w:hAnsi="宋体" w:eastAsia="宋体" w:cs="宋体"/>
          <w:b/>
          <w:bCs/>
          <w:color w:val="auto"/>
          <w:sz w:val="24"/>
          <w:szCs w:val="24"/>
          <w:highlight w:val="none"/>
          <w:lang w:val="zh-CN"/>
        </w:rPr>
        <w:t>1.6 违约责任</w:t>
      </w:r>
      <w:bookmarkEnd w:id="85"/>
      <w:bookmarkEnd w:id="86"/>
      <w:bookmarkEnd w:id="87"/>
    </w:p>
    <w:p w14:paraId="380FC02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6119EE67">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30B268E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D854E4">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CAE800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8843E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01B6B7FE">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7A1F702">
      <w:pPr>
        <w:spacing w:line="440" w:lineRule="exact"/>
        <w:ind w:firstLine="437"/>
        <w:outlineLvl w:val="2"/>
        <w:rPr>
          <w:rFonts w:hint="eastAsia" w:ascii="宋体" w:hAnsi="宋体" w:eastAsia="宋体" w:cs="宋体"/>
          <w:b/>
          <w:bCs/>
          <w:color w:val="auto"/>
          <w:sz w:val="24"/>
          <w:szCs w:val="24"/>
          <w:highlight w:val="none"/>
          <w:lang w:val="zh-CN"/>
        </w:rPr>
      </w:pPr>
      <w:bookmarkStart w:id="88" w:name="_Toc28375"/>
      <w:bookmarkStart w:id="89" w:name="_Toc15583"/>
      <w:bookmarkStart w:id="90" w:name="_Toc16021"/>
      <w:r>
        <w:rPr>
          <w:rFonts w:hint="eastAsia" w:ascii="宋体" w:hAnsi="宋体" w:eastAsia="宋体" w:cs="宋体"/>
          <w:b/>
          <w:bCs/>
          <w:color w:val="auto"/>
          <w:sz w:val="24"/>
          <w:szCs w:val="24"/>
          <w:highlight w:val="none"/>
          <w:lang w:val="zh-CN"/>
        </w:rPr>
        <w:t>1.7 合同争议的解决</w:t>
      </w:r>
      <w:bookmarkEnd w:id="88"/>
      <w:bookmarkEnd w:id="89"/>
      <w:bookmarkEnd w:id="90"/>
    </w:p>
    <w:p w14:paraId="6425436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292E745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（1）将争议提交</w:t>
      </w:r>
      <w:r>
        <w:rPr>
          <w:rFonts w:hint="eastAsia" w:ascii="宋体" w:hAnsi="宋体" w:eastAsia="宋体" w:cs="宋体"/>
          <w:color w:val="auto"/>
          <w:sz w:val="24"/>
          <w:szCs w:val="24"/>
          <w:highlight w:val="none"/>
          <w:u w:val="single"/>
        </w:rPr>
        <w:t xml:space="preserve">  滁州    </w:t>
      </w:r>
      <w:r>
        <w:rPr>
          <w:rFonts w:hint="eastAsia" w:ascii="宋体" w:hAnsi="宋体" w:eastAsia="宋体" w:cs="宋体"/>
          <w:color w:val="auto"/>
          <w:sz w:val="24"/>
          <w:szCs w:val="24"/>
          <w:highlight w:val="none"/>
        </w:rPr>
        <w:t>仲裁委员会依申请仲裁时其现行有效的仲裁规则裁决；</w:t>
      </w:r>
    </w:p>
    <w:p w14:paraId="4DDFDBC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甲方（采购人） </w:t>
      </w:r>
      <w:r>
        <w:rPr>
          <w:rFonts w:hint="eastAsia" w:ascii="宋体" w:hAnsi="宋体" w:eastAsia="宋体" w:cs="宋体"/>
          <w:color w:val="auto"/>
          <w:sz w:val="24"/>
          <w:szCs w:val="24"/>
          <w:highlight w:val="none"/>
        </w:rPr>
        <w:t>人民法院起诉。</w:t>
      </w:r>
    </w:p>
    <w:p w14:paraId="2A3DD813">
      <w:pPr>
        <w:spacing w:line="440" w:lineRule="exact"/>
        <w:ind w:firstLine="437"/>
        <w:outlineLvl w:val="2"/>
        <w:rPr>
          <w:rFonts w:hint="eastAsia" w:ascii="宋体" w:hAnsi="宋体" w:eastAsia="宋体" w:cs="宋体"/>
          <w:b/>
          <w:bCs/>
          <w:color w:val="auto"/>
          <w:sz w:val="24"/>
          <w:szCs w:val="24"/>
          <w:highlight w:val="none"/>
          <w:lang w:val="zh-CN"/>
        </w:rPr>
      </w:pPr>
      <w:bookmarkStart w:id="91" w:name="_Toc11173"/>
      <w:bookmarkStart w:id="92" w:name="_Toc15322"/>
      <w:bookmarkStart w:id="93" w:name="_Toc7245"/>
      <w:r>
        <w:rPr>
          <w:rFonts w:hint="eastAsia" w:ascii="宋体" w:hAnsi="宋体" w:eastAsia="宋体" w:cs="宋体"/>
          <w:b/>
          <w:bCs/>
          <w:color w:val="auto"/>
          <w:sz w:val="24"/>
          <w:szCs w:val="24"/>
          <w:highlight w:val="none"/>
          <w:lang w:val="zh-CN"/>
        </w:rPr>
        <w:t>1.8 合同生效</w:t>
      </w:r>
      <w:bookmarkEnd w:id="91"/>
      <w:bookmarkEnd w:id="92"/>
      <w:bookmarkEnd w:id="93"/>
    </w:p>
    <w:p w14:paraId="67D2FE6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22E25675">
      <w:pPr>
        <w:autoSpaceDE w:val="0"/>
        <w:autoSpaceDN w:val="0"/>
        <w:adjustRightInd w:val="0"/>
        <w:spacing w:line="440" w:lineRule="exact"/>
        <w:rPr>
          <w:rFonts w:hint="eastAsia" w:ascii="宋体" w:hAnsi="宋体" w:eastAsia="宋体" w:cs="宋体"/>
          <w:color w:val="auto"/>
          <w:sz w:val="24"/>
          <w:szCs w:val="24"/>
          <w:highlight w:val="none"/>
          <w:lang w:val="zh-CN"/>
        </w:rPr>
      </w:pPr>
    </w:p>
    <w:p w14:paraId="5DC5181B">
      <w:pPr>
        <w:autoSpaceDE w:val="0"/>
        <w:autoSpaceDN w:val="0"/>
        <w:adjustRightInd w:val="0"/>
        <w:spacing w:line="440" w:lineRule="exact"/>
        <w:rPr>
          <w:rFonts w:hint="eastAsia" w:ascii="宋体" w:hAnsi="宋体" w:eastAsia="宋体" w:cs="宋体"/>
          <w:color w:val="auto"/>
          <w:sz w:val="24"/>
          <w:szCs w:val="24"/>
          <w:highlight w:val="none"/>
          <w:lang w:val="zh-CN"/>
        </w:rPr>
      </w:pPr>
    </w:p>
    <w:p w14:paraId="1FF7C227">
      <w:pPr>
        <w:autoSpaceDE w:val="0"/>
        <w:autoSpaceDN w:val="0"/>
        <w:adjustRightInd w:val="0"/>
        <w:spacing w:line="440" w:lineRule="exact"/>
        <w:rPr>
          <w:rFonts w:hint="eastAsia" w:ascii="宋体" w:hAnsi="宋体" w:eastAsia="宋体" w:cs="宋体"/>
          <w:color w:val="auto"/>
          <w:sz w:val="24"/>
          <w:szCs w:val="24"/>
          <w:highlight w:val="none"/>
          <w:lang w:val="zh-CN"/>
        </w:rPr>
      </w:pPr>
    </w:p>
    <w:p w14:paraId="34B6E272">
      <w:pPr>
        <w:autoSpaceDE w:val="0"/>
        <w:autoSpaceDN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06F640DD">
      <w:pPr>
        <w:autoSpaceDE w:val="0"/>
        <w:autoSpaceDN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78E6CD57">
      <w:pPr>
        <w:autoSpaceDE w:val="0"/>
        <w:autoSpaceDN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18A47161">
      <w:pPr>
        <w:widowControl/>
        <w:spacing w:line="440" w:lineRule="exact"/>
        <w:jc w:val="left"/>
        <w:rPr>
          <w:rFonts w:hint="eastAsia" w:ascii="宋体" w:hAnsi="宋体" w:eastAsia="宋体" w:cs="宋体"/>
          <w:bCs/>
          <w:color w:val="auto"/>
          <w:sz w:val="24"/>
          <w:szCs w:val="24"/>
          <w:highlight w:val="none"/>
        </w:rPr>
      </w:pPr>
      <w:bookmarkStart w:id="94"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76BBE36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95" w:name="_Hlk110099149"/>
      <w:r>
        <w:rPr>
          <w:rFonts w:hint="eastAsia" w:ascii="宋体" w:hAnsi="宋体" w:eastAsia="宋体" w:cs="宋体"/>
          <w:color w:val="auto"/>
          <w:sz w:val="24"/>
          <w:szCs w:val="24"/>
          <w:highlight w:val="none"/>
        </w:rPr>
        <w:t>乙方账户信息</w:t>
      </w:r>
    </w:p>
    <w:p w14:paraId="65EE1A4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2E238D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4DDD46D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95"/>
    <w:p w14:paraId="6AE2916E">
      <w:pPr>
        <w:widowControl/>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6CEFACE">
      <w:pPr>
        <w:spacing w:line="440" w:lineRule="exact"/>
        <w:jc w:val="center"/>
        <w:outlineLvl w:val="1"/>
        <w:rPr>
          <w:rFonts w:hint="eastAsia" w:ascii="宋体" w:hAnsi="宋体" w:eastAsia="宋体" w:cs="宋体"/>
          <w:b/>
          <w:color w:val="auto"/>
          <w:sz w:val="24"/>
          <w:highlight w:val="none"/>
        </w:rPr>
      </w:pPr>
      <w:bookmarkStart w:id="96" w:name="_Toc12414"/>
      <w:bookmarkStart w:id="97" w:name="_Toc415"/>
      <w:r>
        <w:rPr>
          <w:rFonts w:hint="eastAsia" w:ascii="宋体" w:hAnsi="宋体" w:eastAsia="宋体" w:cs="宋体"/>
          <w:b/>
          <w:color w:val="auto"/>
          <w:sz w:val="24"/>
          <w:highlight w:val="none"/>
        </w:rPr>
        <w:t>第二部分 合同一般条款</w:t>
      </w:r>
      <w:bookmarkEnd w:id="94"/>
      <w:bookmarkEnd w:id="96"/>
      <w:bookmarkEnd w:id="97"/>
    </w:p>
    <w:p w14:paraId="06DFECB7">
      <w:pPr>
        <w:spacing w:line="440" w:lineRule="exact"/>
        <w:ind w:firstLine="437"/>
        <w:outlineLvl w:val="2"/>
        <w:rPr>
          <w:rFonts w:hint="eastAsia" w:ascii="宋体" w:hAnsi="宋体" w:eastAsia="宋体" w:cs="宋体"/>
          <w:b/>
          <w:bCs/>
          <w:color w:val="auto"/>
          <w:sz w:val="24"/>
          <w:szCs w:val="24"/>
          <w:highlight w:val="none"/>
          <w:lang w:val="zh-CN"/>
        </w:rPr>
      </w:pPr>
      <w:bookmarkStart w:id="98" w:name="_Ref467378463"/>
      <w:bookmarkStart w:id="99" w:name="_Ref467379214"/>
      <w:bookmarkStart w:id="100" w:name="_Ref467379205"/>
      <w:bookmarkStart w:id="101" w:name="_Toc279701240"/>
      <w:bookmarkStart w:id="102" w:name="_Ref467379094"/>
      <w:bookmarkStart w:id="103" w:name="_Ref467379109"/>
      <w:bookmarkStart w:id="104" w:name="_Toc28763"/>
      <w:bookmarkStart w:id="105" w:name="_Toc259093669"/>
      <w:bookmarkStart w:id="106" w:name="_Ref467379225"/>
      <w:bookmarkStart w:id="107" w:name="_Toc487900349"/>
      <w:bookmarkStart w:id="108" w:name="_Toc19614"/>
      <w:bookmarkStart w:id="109" w:name="_Ref467378499"/>
      <w:bookmarkStart w:id="110" w:name="_Toc16917"/>
      <w:bookmarkStart w:id="111" w:name="_Ref467378404"/>
      <w:bookmarkStart w:id="112" w:name="_Ref467379195"/>
      <w:bookmarkStart w:id="113" w:name="_Ref467379101"/>
      <w:r>
        <w:rPr>
          <w:rFonts w:hint="eastAsia" w:ascii="宋体" w:hAnsi="宋体" w:eastAsia="宋体" w:cs="宋体"/>
          <w:b/>
          <w:bCs/>
          <w:color w:val="auto"/>
          <w:sz w:val="24"/>
          <w:szCs w:val="24"/>
          <w:highlight w:val="none"/>
          <w:lang w:val="zh-CN"/>
        </w:rPr>
        <w:t>2.1 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8A72D7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1408EBF">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2.1.1“合同”系指采购人和中标人签订的载明双方当事人所达成的协议，并包括所有的附件、附录和构成合同的其他文件。</w:t>
      </w:r>
    </w:p>
    <w:p w14:paraId="4D21D47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2.1.2“合同价”系指根据合同约定，中标人在完全履行合同义务后，采购人应支付给中标人的价格。</w:t>
      </w:r>
    </w:p>
    <w:p w14:paraId="282A49DD">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B612820">
      <w:pPr>
        <w:spacing w:line="440" w:lineRule="exact"/>
        <w:ind w:firstLine="435"/>
        <w:rPr>
          <w:rFonts w:hint="eastAsia" w:ascii="宋体" w:hAnsi="宋体" w:eastAsia="宋体" w:cs="宋体"/>
          <w:color w:val="auto"/>
          <w:sz w:val="24"/>
          <w:szCs w:val="24"/>
          <w:highlight w:val="none"/>
        </w:rPr>
      </w:pPr>
      <w:bookmarkStart w:id="114" w:name="_Ref467378840"/>
      <w:r>
        <w:rPr>
          <w:rFonts w:hint="eastAsia" w:ascii="宋体" w:hAnsi="宋体" w:eastAsia="宋体" w:cs="宋体"/>
          <w:color w:val="auto"/>
          <w:sz w:val="24"/>
          <w:szCs w:val="24"/>
          <w:highlight w:val="none"/>
        </w:rPr>
        <w:t>2.1.4“甲方”系指与中标人签署合同的采购人</w:t>
      </w:r>
      <w:bookmarkEnd w:id="114"/>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6B6AA724">
      <w:pPr>
        <w:spacing w:line="440" w:lineRule="exact"/>
        <w:ind w:firstLine="435"/>
        <w:rPr>
          <w:rFonts w:hint="eastAsia" w:ascii="宋体" w:hAnsi="宋体" w:eastAsia="宋体" w:cs="宋体"/>
          <w:color w:val="auto"/>
          <w:sz w:val="24"/>
          <w:szCs w:val="24"/>
          <w:highlight w:val="none"/>
        </w:rPr>
      </w:pPr>
      <w:bookmarkStart w:id="115" w:name="_Ref467379400"/>
      <w:r>
        <w:rPr>
          <w:rFonts w:hint="eastAsia" w:ascii="宋体" w:hAnsi="宋体" w:eastAsia="宋体" w:cs="宋体"/>
          <w:color w:val="auto"/>
          <w:sz w:val="24"/>
          <w:szCs w:val="24"/>
          <w:highlight w:val="none"/>
        </w:rPr>
        <w:t>2.1.5“乙方”系指根据合同约定提供服务的中标人</w:t>
      </w:r>
      <w:bookmarkEnd w:id="115"/>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A6BDCF">
      <w:pPr>
        <w:spacing w:line="440" w:lineRule="exact"/>
        <w:ind w:firstLine="435"/>
        <w:rPr>
          <w:rFonts w:hint="eastAsia" w:ascii="宋体" w:hAnsi="宋体" w:eastAsia="宋体" w:cs="宋体"/>
          <w:color w:val="auto"/>
          <w:sz w:val="24"/>
          <w:szCs w:val="24"/>
          <w:highlight w:val="none"/>
        </w:rPr>
      </w:pPr>
      <w:bookmarkStart w:id="116" w:name="_Ref467379436"/>
      <w:r>
        <w:rPr>
          <w:rFonts w:hint="eastAsia" w:ascii="宋体" w:hAnsi="宋体" w:eastAsia="宋体" w:cs="宋体"/>
          <w:color w:val="auto"/>
          <w:sz w:val="24"/>
          <w:szCs w:val="24"/>
          <w:highlight w:val="none"/>
        </w:rPr>
        <w:t>2.1.6“现场”系指合同约定提供服务的地点。</w:t>
      </w:r>
      <w:bookmarkEnd w:id="116"/>
    </w:p>
    <w:p w14:paraId="47686C4D">
      <w:pPr>
        <w:spacing w:line="440" w:lineRule="exact"/>
        <w:ind w:firstLine="437"/>
        <w:outlineLvl w:val="2"/>
        <w:rPr>
          <w:rFonts w:hint="eastAsia" w:ascii="宋体" w:hAnsi="宋体" w:eastAsia="宋体" w:cs="宋体"/>
          <w:b/>
          <w:bCs/>
          <w:color w:val="auto"/>
          <w:sz w:val="24"/>
          <w:szCs w:val="24"/>
          <w:highlight w:val="none"/>
          <w:lang w:val="zh-CN"/>
        </w:rPr>
      </w:pPr>
      <w:bookmarkStart w:id="117" w:name="_Toc32504"/>
      <w:bookmarkStart w:id="118" w:name="_Toc27635"/>
      <w:bookmarkStart w:id="119" w:name="_Toc13336"/>
      <w:bookmarkStart w:id="120" w:name="_Toc259093670"/>
      <w:bookmarkStart w:id="121" w:name="_Toc279701241"/>
      <w:bookmarkStart w:id="122" w:name="_Toc487900350"/>
      <w:r>
        <w:rPr>
          <w:rFonts w:hint="eastAsia" w:ascii="宋体" w:hAnsi="宋体" w:eastAsia="宋体" w:cs="宋体"/>
          <w:b/>
          <w:bCs/>
          <w:color w:val="auto"/>
          <w:sz w:val="24"/>
          <w:szCs w:val="24"/>
          <w:highlight w:val="none"/>
          <w:lang w:val="zh-CN"/>
        </w:rPr>
        <w:t>2.2 技术规范</w:t>
      </w:r>
      <w:bookmarkEnd w:id="117"/>
      <w:bookmarkEnd w:id="118"/>
      <w:bookmarkEnd w:id="119"/>
      <w:bookmarkEnd w:id="120"/>
      <w:bookmarkEnd w:id="121"/>
      <w:bookmarkEnd w:id="122"/>
    </w:p>
    <w:p w14:paraId="33169FD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6D6C1D">
      <w:pPr>
        <w:spacing w:line="440" w:lineRule="exact"/>
        <w:ind w:firstLine="437"/>
        <w:outlineLvl w:val="2"/>
        <w:rPr>
          <w:rFonts w:hint="eastAsia" w:ascii="宋体" w:hAnsi="宋体" w:eastAsia="宋体" w:cs="宋体"/>
          <w:b/>
          <w:bCs/>
          <w:color w:val="auto"/>
          <w:sz w:val="24"/>
          <w:szCs w:val="24"/>
          <w:highlight w:val="none"/>
          <w:lang w:val="zh-CN"/>
        </w:rPr>
      </w:pPr>
      <w:bookmarkStart w:id="123" w:name="_Toc27853"/>
      <w:bookmarkStart w:id="124" w:name="_Toc487900351"/>
      <w:bookmarkStart w:id="125" w:name="_Toc9829"/>
      <w:bookmarkStart w:id="126" w:name="_Toc31634"/>
      <w:bookmarkStart w:id="127" w:name="_Toc279701242"/>
      <w:bookmarkStart w:id="128" w:name="_Toc259093671"/>
      <w:r>
        <w:rPr>
          <w:rFonts w:hint="eastAsia" w:ascii="宋体" w:hAnsi="宋体" w:eastAsia="宋体" w:cs="宋体"/>
          <w:b/>
          <w:bCs/>
          <w:color w:val="auto"/>
          <w:sz w:val="24"/>
          <w:szCs w:val="24"/>
          <w:highlight w:val="none"/>
          <w:lang w:val="zh-CN"/>
        </w:rPr>
        <w:t>2.3 知识产权</w:t>
      </w:r>
      <w:bookmarkEnd w:id="123"/>
      <w:bookmarkEnd w:id="124"/>
      <w:bookmarkEnd w:id="125"/>
      <w:bookmarkEnd w:id="126"/>
      <w:bookmarkEnd w:id="127"/>
      <w:bookmarkEnd w:id="128"/>
    </w:p>
    <w:p w14:paraId="2CAC806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409F6FE">
      <w:pPr>
        <w:spacing w:line="440" w:lineRule="exact"/>
        <w:ind w:firstLine="437"/>
        <w:outlineLvl w:val="2"/>
        <w:rPr>
          <w:rFonts w:hint="eastAsia" w:ascii="宋体" w:hAnsi="宋体" w:eastAsia="宋体" w:cs="宋体"/>
          <w:b/>
          <w:bCs/>
          <w:color w:val="auto"/>
          <w:sz w:val="24"/>
          <w:szCs w:val="24"/>
          <w:highlight w:val="none"/>
          <w:lang w:val="zh-CN"/>
        </w:rPr>
      </w:pPr>
      <w:bookmarkStart w:id="129" w:name="_Ref467378591"/>
      <w:bookmarkStart w:id="130" w:name="_Ref467379542"/>
      <w:bookmarkStart w:id="131" w:name="_Ref467379527"/>
      <w:bookmarkStart w:id="132" w:name="_Toc259093674"/>
      <w:bookmarkStart w:id="133" w:name="_Ref467378541"/>
      <w:bookmarkStart w:id="134" w:name="_Toc487900354"/>
      <w:bookmarkStart w:id="135" w:name="_Ref467379536"/>
      <w:bookmarkStart w:id="136" w:name="_Toc279701245"/>
      <w:bookmarkStart w:id="137" w:name="_Toc26182"/>
      <w:bookmarkStart w:id="138" w:name="_Toc30272"/>
      <w:bookmarkStart w:id="139" w:name="_Toc19074"/>
      <w:r>
        <w:rPr>
          <w:rFonts w:hint="eastAsia" w:ascii="宋体" w:hAnsi="宋体" w:eastAsia="宋体" w:cs="宋体"/>
          <w:b/>
          <w:bCs/>
          <w:color w:val="auto"/>
          <w:sz w:val="24"/>
          <w:szCs w:val="24"/>
          <w:highlight w:val="none"/>
          <w:lang w:val="zh-CN"/>
        </w:rPr>
        <w:t>2.</w:t>
      </w:r>
      <w:bookmarkEnd w:id="129"/>
      <w:bookmarkEnd w:id="130"/>
      <w:bookmarkEnd w:id="131"/>
      <w:bookmarkEnd w:id="132"/>
      <w:bookmarkEnd w:id="133"/>
      <w:bookmarkEnd w:id="134"/>
      <w:bookmarkEnd w:id="135"/>
      <w:bookmarkEnd w:id="136"/>
      <w:r>
        <w:rPr>
          <w:rFonts w:hint="eastAsia" w:ascii="宋体" w:hAnsi="宋体" w:eastAsia="宋体" w:cs="宋体"/>
          <w:b/>
          <w:bCs/>
          <w:color w:val="auto"/>
          <w:sz w:val="24"/>
          <w:szCs w:val="24"/>
          <w:highlight w:val="none"/>
          <w:lang w:val="zh-CN"/>
        </w:rPr>
        <w:t>4 履约检查和问题反馈</w:t>
      </w:r>
      <w:bookmarkEnd w:id="137"/>
      <w:bookmarkEnd w:id="138"/>
      <w:bookmarkEnd w:id="139"/>
    </w:p>
    <w:p w14:paraId="46F16F92">
      <w:pPr>
        <w:spacing w:line="440" w:lineRule="exact"/>
        <w:ind w:firstLine="435"/>
        <w:rPr>
          <w:rFonts w:hint="eastAsia" w:ascii="宋体" w:hAnsi="宋体" w:eastAsia="宋体" w:cs="宋体"/>
          <w:color w:val="auto"/>
          <w:sz w:val="24"/>
          <w:szCs w:val="24"/>
          <w:highlight w:val="none"/>
        </w:rPr>
      </w:pPr>
      <w:bookmarkStart w:id="140" w:name="_Toc186431854"/>
      <w:bookmarkStart w:id="141" w:name="_Toc279701247"/>
      <w:bookmarkStart w:id="142" w:name="_Toc487900357"/>
      <w:bookmarkStart w:id="143" w:name="_Ref467379793"/>
      <w:bookmarkStart w:id="144" w:name="_Toc259093676"/>
      <w:bookmarkStart w:id="145" w:name="_Ref467379807"/>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2E7BB75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140"/>
      <w:bookmarkStart w:id="146" w:name="_Toc186431855"/>
      <w:r>
        <w:rPr>
          <w:rFonts w:hint="eastAsia" w:ascii="宋体" w:hAnsi="宋体" w:eastAsia="宋体" w:cs="宋体"/>
          <w:color w:val="auto"/>
          <w:sz w:val="24"/>
          <w:szCs w:val="24"/>
          <w:highlight w:val="none"/>
        </w:rPr>
        <w:t>。</w:t>
      </w:r>
    </w:p>
    <w:bookmarkEnd w:id="146"/>
    <w:p w14:paraId="57D5077D">
      <w:pPr>
        <w:spacing w:line="440" w:lineRule="exact"/>
        <w:ind w:firstLine="437"/>
        <w:outlineLvl w:val="2"/>
        <w:rPr>
          <w:rFonts w:hint="eastAsia" w:ascii="宋体" w:hAnsi="宋体" w:eastAsia="宋体" w:cs="宋体"/>
          <w:b/>
          <w:bCs/>
          <w:color w:val="auto"/>
          <w:sz w:val="24"/>
          <w:szCs w:val="24"/>
          <w:highlight w:val="none"/>
          <w:lang w:val="zh-CN"/>
        </w:rPr>
      </w:pPr>
      <w:bookmarkStart w:id="147" w:name="_Toc28451"/>
      <w:bookmarkStart w:id="148" w:name="_Toc7836"/>
      <w:bookmarkStart w:id="149" w:name="_Toc19219"/>
      <w:r>
        <w:rPr>
          <w:rFonts w:hint="eastAsia" w:ascii="宋体" w:hAnsi="宋体" w:eastAsia="宋体" w:cs="宋体"/>
          <w:b/>
          <w:bCs/>
          <w:color w:val="auto"/>
          <w:sz w:val="24"/>
          <w:szCs w:val="24"/>
          <w:highlight w:val="none"/>
          <w:lang w:val="zh-CN"/>
        </w:rPr>
        <w:t>2.5 结算方式和付款条件</w:t>
      </w:r>
      <w:bookmarkEnd w:id="141"/>
      <w:bookmarkEnd w:id="142"/>
      <w:bookmarkEnd w:id="143"/>
      <w:bookmarkEnd w:id="144"/>
      <w:bookmarkEnd w:id="145"/>
      <w:bookmarkEnd w:id="147"/>
      <w:bookmarkEnd w:id="148"/>
      <w:bookmarkEnd w:id="149"/>
    </w:p>
    <w:p w14:paraId="403E0D3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BF322C5">
      <w:pPr>
        <w:spacing w:line="440" w:lineRule="exact"/>
        <w:ind w:firstLine="437"/>
        <w:outlineLvl w:val="2"/>
        <w:rPr>
          <w:rFonts w:hint="eastAsia" w:ascii="宋体" w:hAnsi="宋体" w:eastAsia="宋体" w:cs="宋体"/>
          <w:b/>
          <w:bCs/>
          <w:color w:val="auto"/>
          <w:sz w:val="24"/>
          <w:szCs w:val="24"/>
          <w:highlight w:val="none"/>
          <w:lang w:val="zh-CN"/>
        </w:rPr>
      </w:pPr>
      <w:bookmarkStart w:id="150" w:name="_Toc487900358"/>
      <w:bookmarkStart w:id="151" w:name="_Toc259093677"/>
      <w:bookmarkStart w:id="152" w:name="_Ref467379923"/>
      <w:bookmarkStart w:id="153" w:name="_Toc279701248"/>
      <w:bookmarkStart w:id="154" w:name="_Ref467379852"/>
      <w:bookmarkStart w:id="155" w:name="_Ref467379863"/>
      <w:bookmarkStart w:id="156" w:name="_Toc16110"/>
      <w:bookmarkStart w:id="157" w:name="_Toc3225"/>
      <w:bookmarkStart w:id="158" w:name="_Toc774"/>
      <w:r>
        <w:rPr>
          <w:rFonts w:hint="eastAsia" w:ascii="宋体" w:hAnsi="宋体" w:eastAsia="宋体" w:cs="宋体"/>
          <w:b/>
          <w:bCs/>
          <w:color w:val="auto"/>
          <w:sz w:val="24"/>
          <w:szCs w:val="24"/>
          <w:highlight w:val="none"/>
          <w:lang w:val="zh-CN"/>
        </w:rPr>
        <w:t>2.6 技术资料</w:t>
      </w:r>
      <w:bookmarkEnd w:id="150"/>
      <w:bookmarkEnd w:id="151"/>
      <w:bookmarkEnd w:id="152"/>
      <w:bookmarkEnd w:id="153"/>
      <w:bookmarkEnd w:id="154"/>
      <w:bookmarkEnd w:id="155"/>
      <w:r>
        <w:rPr>
          <w:rFonts w:hint="eastAsia" w:ascii="宋体" w:hAnsi="宋体" w:eastAsia="宋体" w:cs="宋体"/>
          <w:b/>
          <w:bCs/>
          <w:color w:val="auto"/>
          <w:sz w:val="24"/>
          <w:szCs w:val="24"/>
          <w:highlight w:val="none"/>
          <w:lang w:val="zh-CN"/>
        </w:rPr>
        <w:t>和保密义务</w:t>
      </w:r>
      <w:bookmarkEnd w:id="156"/>
      <w:bookmarkEnd w:id="157"/>
      <w:bookmarkEnd w:id="158"/>
    </w:p>
    <w:p w14:paraId="2982309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3FAE74A1">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47E6FF93">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FCC7CA">
      <w:pPr>
        <w:spacing w:line="440" w:lineRule="exact"/>
        <w:ind w:firstLine="437"/>
        <w:outlineLvl w:val="2"/>
        <w:rPr>
          <w:rFonts w:hint="eastAsia" w:ascii="宋体" w:hAnsi="宋体" w:eastAsia="宋体" w:cs="宋体"/>
          <w:b/>
          <w:bCs/>
          <w:color w:val="auto"/>
          <w:sz w:val="24"/>
          <w:szCs w:val="24"/>
          <w:highlight w:val="none"/>
          <w:lang w:val="zh-CN"/>
        </w:rPr>
      </w:pPr>
      <w:bookmarkStart w:id="159" w:name="_Toc7860"/>
      <w:r>
        <w:rPr>
          <w:rFonts w:hint="eastAsia" w:ascii="宋体" w:hAnsi="宋体" w:eastAsia="宋体" w:cs="宋体"/>
          <w:b/>
          <w:bCs/>
          <w:color w:val="auto"/>
          <w:sz w:val="24"/>
          <w:szCs w:val="24"/>
          <w:highlight w:val="none"/>
          <w:lang w:val="zh-CN"/>
        </w:rPr>
        <w:t>2.7 质量保证</w:t>
      </w:r>
      <w:bookmarkEnd w:id="159"/>
    </w:p>
    <w:p w14:paraId="2BB9056E">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1F6CFD7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2183EDF2">
      <w:pPr>
        <w:spacing w:line="440" w:lineRule="exact"/>
        <w:ind w:firstLine="437"/>
        <w:outlineLvl w:val="2"/>
        <w:rPr>
          <w:rFonts w:hint="eastAsia" w:ascii="宋体" w:hAnsi="宋体" w:eastAsia="宋体" w:cs="宋体"/>
          <w:b/>
          <w:color w:val="auto"/>
          <w:sz w:val="24"/>
          <w:szCs w:val="24"/>
          <w:highlight w:val="none"/>
        </w:rPr>
      </w:pPr>
      <w:bookmarkStart w:id="160" w:name="_Toc22267"/>
      <w:r>
        <w:rPr>
          <w:rFonts w:hint="eastAsia" w:ascii="宋体" w:hAnsi="宋体" w:eastAsia="宋体" w:cs="宋体"/>
          <w:b/>
          <w:color w:val="auto"/>
          <w:sz w:val="24"/>
          <w:szCs w:val="24"/>
          <w:highlight w:val="none"/>
        </w:rPr>
        <w:t>2.8 延迟履行</w:t>
      </w:r>
      <w:bookmarkEnd w:id="160"/>
    </w:p>
    <w:p w14:paraId="279EBF5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1A3330F">
      <w:pPr>
        <w:spacing w:line="440" w:lineRule="exact"/>
        <w:ind w:firstLine="437"/>
        <w:outlineLvl w:val="2"/>
        <w:rPr>
          <w:rFonts w:hint="eastAsia" w:ascii="宋体" w:hAnsi="宋体" w:eastAsia="宋体" w:cs="宋体"/>
          <w:b/>
          <w:bCs/>
          <w:color w:val="auto"/>
          <w:sz w:val="24"/>
          <w:szCs w:val="24"/>
          <w:highlight w:val="none"/>
          <w:lang w:val="zh-CN"/>
        </w:rPr>
      </w:pPr>
      <w:bookmarkStart w:id="161" w:name="_Toc7502"/>
      <w:bookmarkStart w:id="162" w:name="_Toc259093683"/>
      <w:bookmarkStart w:id="163" w:name="_Ref467378121"/>
      <w:bookmarkStart w:id="164" w:name="_Toc279701254"/>
      <w:bookmarkStart w:id="165" w:name="_Toc487900364"/>
      <w:r>
        <w:rPr>
          <w:rFonts w:hint="eastAsia" w:ascii="宋体" w:hAnsi="宋体" w:eastAsia="宋体" w:cs="宋体"/>
          <w:b/>
          <w:bCs/>
          <w:color w:val="auto"/>
          <w:sz w:val="24"/>
          <w:szCs w:val="24"/>
          <w:highlight w:val="none"/>
          <w:lang w:val="zh-CN"/>
        </w:rPr>
        <w:t>2.9 合同变更</w:t>
      </w:r>
      <w:bookmarkEnd w:id="161"/>
    </w:p>
    <w:p w14:paraId="2189724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w:t>
      </w:r>
    </w:p>
    <w:p w14:paraId="786D19A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66" w:name="_Toc259093688"/>
      <w:bookmarkStart w:id="167" w:name="_Toc279701259"/>
      <w:bookmarkStart w:id="168" w:name="_Toc487900369"/>
    </w:p>
    <w:p w14:paraId="23A45D33">
      <w:pPr>
        <w:spacing w:line="440" w:lineRule="exact"/>
        <w:ind w:firstLine="437"/>
        <w:outlineLvl w:val="2"/>
        <w:rPr>
          <w:rFonts w:hint="eastAsia" w:ascii="宋体" w:hAnsi="宋体" w:eastAsia="宋体" w:cs="宋体"/>
          <w:b/>
          <w:bCs/>
          <w:color w:val="auto"/>
          <w:sz w:val="24"/>
          <w:szCs w:val="24"/>
          <w:highlight w:val="none"/>
          <w:lang w:val="zh-CN"/>
        </w:rPr>
      </w:pPr>
      <w:bookmarkStart w:id="169" w:name="_Toc22955"/>
      <w:bookmarkStart w:id="170" w:name="_Toc15237"/>
      <w:bookmarkStart w:id="171" w:name="_Toc10366"/>
      <w:r>
        <w:rPr>
          <w:rFonts w:hint="eastAsia" w:ascii="宋体" w:hAnsi="宋体" w:eastAsia="宋体" w:cs="宋体"/>
          <w:b/>
          <w:bCs/>
          <w:color w:val="auto"/>
          <w:sz w:val="24"/>
          <w:szCs w:val="24"/>
          <w:highlight w:val="none"/>
          <w:lang w:val="zh-CN"/>
        </w:rPr>
        <w:t>2.10 合同转让</w:t>
      </w:r>
      <w:bookmarkEnd w:id="166"/>
      <w:bookmarkEnd w:id="167"/>
      <w:bookmarkEnd w:id="168"/>
      <w:r>
        <w:rPr>
          <w:rFonts w:hint="eastAsia" w:ascii="宋体" w:hAnsi="宋体" w:eastAsia="宋体" w:cs="宋体"/>
          <w:b/>
          <w:bCs/>
          <w:color w:val="auto"/>
          <w:sz w:val="24"/>
          <w:szCs w:val="24"/>
          <w:highlight w:val="none"/>
          <w:lang w:val="zh-CN"/>
        </w:rPr>
        <w:t>和分包</w:t>
      </w:r>
      <w:bookmarkEnd w:id="169"/>
      <w:bookmarkEnd w:id="170"/>
      <w:bookmarkEnd w:id="171"/>
    </w:p>
    <w:p w14:paraId="66C6A48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4B6252">
      <w:pPr>
        <w:spacing w:line="440" w:lineRule="exact"/>
        <w:ind w:firstLine="437"/>
        <w:outlineLvl w:val="2"/>
        <w:rPr>
          <w:rFonts w:hint="eastAsia" w:ascii="宋体" w:hAnsi="宋体" w:eastAsia="宋体" w:cs="宋体"/>
          <w:b/>
          <w:bCs/>
          <w:color w:val="auto"/>
          <w:sz w:val="24"/>
          <w:szCs w:val="24"/>
          <w:highlight w:val="none"/>
          <w:lang w:val="zh-CN"/>
        </w:rPr>
      </w:pPr>
      <w:bookmarkStart w:id="172" w:name="_Toc13566"/>
      <w:bookmarkStart w:id="173" w:name="_Toc16508"/>
      <w:bookmarkStart w:id="174" w:name="_Toc14066"/>
      <w:r>
        <w:rPr>
          <w:rFonts w:hint="eastAsia" w:ascii="宋体" w:hAnsi="宋体" w:eastAsia="宋体" w:cs="宋体"/>
          <w:b/>
          <w:bCs/>
          <w:color w:val="auto"/>
          <w:sz w:val="24"/>
          <w:szCs w:val="24"/>
          <w:highlight w:val="none"/>
          <w:lang w:val="zh-CN"/>
        </w:rPr>
        <w:t>2.11 不可抗力</w:t>
      </w:r>
      <w:bookmarkEnd w:id="172"/>
      <w:bookmarkEnd w:id="173"/>
      <w:bookmarkEnd w:id="174"/>
    </w:p>
    <w:p w14:paraId="70414FF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2330EAF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4EB8542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3B1B743">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737F2CAE">
      <w:pPr>
        <w:spacing w:line="440" w:lineRule="exact"/>
        <w:ind w:firstLine="437"/>
        <w:outlineLvl w:val="2"/>
        <w:rPr>
          <w:rFonts w:hint="eastAsia" w:ascii="宋体" w:hAnsi="宋体" w:eastAsia="宋体" w:cs="宋体"/>
          <w:b/>
          <w:bCs/>
          <w:color w:val="auto"/>
          <w:sz w:val="24"/>
          <w:szCs w:val="24"/>
          <w:highlight w:val="none"/>
          <w:lang w:val="zh-CN"/>
        </w:rPr>
      </w:pPr>
      <w:bookmarkStart w:id="175" w:name="_Toc6969"/>
      <w:bookmarkStart w:id="176" w:name="_Toc689"/>
      <w:bookmarkStart w:id="177" w:name="_Toc30676"/>
      <w:bookmarkStart w:id="178" w:name="_Toc259093684"/>
      <w:bookmarkStart w:id="179" w:name="_Toc487900365"/>
      <w:bookmarkStart w:id="180" w:name="_Toc279701255"/>
      <w:r>
        <w:rPr>
          <w:rFonts w:hint="eastAsia" w:ascii="宋体" w:hAnsi="宋体" w:eastAsia="宋体" w:cs="宋体"/>
          <w:b/>
          <w:bCs/>
          <w:color w:val="auto"/>
          <w:sz w:val="24"/>
          <w:szCs w:val="24"/>
          <w:highlight w:val="none"/>
          <w:lang w:val="zh-CN"/>
        </w:rPr>
        <w:t>2.12 税费</w:t>
      </w:r>
      <w:bookmarkEnd w:id="175"/>
      <w:bookmarkEnd w:id="176"/>
      <w:bookmarkEnd w:id="177"/>
      <w:bookmarkEnd w:id="178"/>
      <w:bookmarkEnd w:id="179"/>
      <w:bookmarkEnd w:id="180"/>
    </w:p>
    <w:p w14:paraId="4F59D8E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428A8296">
      <w:pPr>
        <w:spacing w:line="440" w:lineRule="exact"/>
        <w:ind w:firstLine="437"/>
        <w:outlineLvl w:val="2"/>
        <w:rPr>
          <w:rFonts w:hint="eastAsia" w:ascii="宋体" w:hAnsi="宋体" w:eastAsia="宋体" w:cs="宋体"/>
          <w:b/>
          <w:bCs/>
          <w:color w:val="auto"/>
          <w:sz w:val="24"/>
          <w:szCs w:val="24"/>
          <w:highlight w:val="none"/>
          <w:lang w:val="zh-CN"/>
        </w:rPr>
      </w:pPr>
      <w:bookmarkStart w:id="181" w:name="_Toc8298"/>
      <w:bookmarkStart w:id="182" w:name="_Toc487900368"/>
      <w:bookmarkStart w:id="183" w:name="_Toc259093687"/>
      <w:bookmarkStart w:id="184" w:name="_Toc279701258"/>
      <w:bookmarkStart w:id="185" w:name="_Toc16959"/>
      <w:bookmarkStart w:id="186" w:name="_Toc7102"/>
      <w:r>
        <w:rPr>
          <w:rFonts w:hint="eastAsia" w:ascii="宋体" w:hAnsi="宋体" w:eastAsia="宋体" w:cs="宋体"/>
          <w:b/>
          <w:bCs/>
          <w:color w:val="auto"/>
          <w:sz w:val="24"/>
          <w:szCs w:val="24"/>
          <w:highlight w:val="none"/>
          <w:lang w:val="zh-CN"/>
        </w:rPr>
        <w:t>2.13 乙方破产</w:t>
      </w:r>
      <w:bookmarkEnd w:id="181"/>
      <w:bookmarkEnd w:id="182"/>
      <w:bookmarkEnd w:id="183"/>
      <w:bookmarkEnd w:id="184"/>
      <w:bookmarkEnd w:id="185"/>
      <w:bookmarkEnd w:id="186"/>
    </w:p>
    <w:p w14:paraId="6334925F">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E62389">
      <w:pPr>
        <w:spacing w:line="440" w:lineRule="exact"/>
        <w:ind w:firstLine="437"/>
        <w:outlineLvl w:val="2"/>
        <w:rPr>
          <w:rFonts w:hint="eastAsia" w:ascii="宋体" w:hAnsi="宋体" w:eastAsia="宋体" w:cs="宋体"/>
          <w:b/>
          <w:color w:val="auto"/>
          <w:sz w:val="24"/>
          <w:szCs w:val="24"/>
          <w:highlight w:val="none"/>
        </w:rPr>
      </w:pPr>
      <w:bookmarkStart w:id="187" w:name="_Toc15387"/>
      <w:bookmarkStart w:id="188" w:name="_Toc6134"/>
      <w:bookmarkStart w:id="189" w:name="_Toc29333"/>
      <w:r>
        <w:rPr>
          <w:rFonts w:hint="eastAsia" w:ascii="宋体" w:hAnsi="宋体" w:eastAsia="宋体" w:cs="宋体"/>
          <w:b/>
          <w:bCs/>
          <w:color w:val="auto"/>
          <w:sz w:val="24"/>
          <w:szCs w:val="24"/>
          <w:highlight w:val="none"/>
          <w:lang w:val="zh-CN"/>
        </w:rPr>
        <w:t>2.14 合同中止、终止</w:t>
      </w:r>
      <w:bookmarkEnd w:id="187"/>
      <w:bookmarkEnd w:id="188"/>
      <w:bookmarkEnd w:id="189"/>
    </w:p>
    <w:p w14:paraId="2256EB53">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39A37BE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410FD942">
      <w:pPr>
        <w:spacing w:line="440" w:lineRule="exact"/>
        <w:ind w:firstLine="437"/>
        <w:outlineLvl w:val="2"/>
        <w:rPr>
          <w:rFonts w:hint="eastAsia" w:ascii="宋体" w:hAnsi="宋体" w:eastAsia="宋体" w:cs="宋体"/>
          <w:b/>
          <w:bCs/>
          <w:color w:val="auto"/>
          <w:sz w:val="24"/>
          <w:szCs w:val="24"/>
          <w:highlight w:val="none"/>
          <w:lang w:val="zh-CN"/>
        </w:rPr>
      </w:pPr>
      <w:bookmarkStart w:id="190" w:name="_Toc14563"/>
      <w:bookmarkStart w:id="191" w:name="_Toc6596"/>
      <w:bookmarkStart w:id="192" w:name="_Toc1125"/>
      <w:r>
        <w:rPr>
          <w:rFonts w:hint="eastAsia" w:ascii="宋体" w:hAnsi="宋体" w:eastAsia="宋体" w:cs="宋体"/>
          <w:b/>
          <w:bCs/>
          <w:color w:val="auto"/>
          <w:sz w:val="24"/>
          <w:szCs w:val="24"/>
          <w:highlight w:val="none"/>
          <w:lang w:val="zh-CN"/>
        </w:rPr>
        <w:t>2.15 检验和验收</w:t>
      </w:r>
      <w:bookmarkEnd w:id="190"/>
      <w:bookmarkEnd w:id="191"/>
      <w:bookmarkEnd w:id="192"/>
    </w:p>
    <w:p w14:paraId="55AD595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0F09C5C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993F8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bookmarkEnd w:id="162"/>
    <w:bookmarkEnd w:id="163"/>
    <w:bookmarkEnd w:id="164"/>
    <w:bookmarkEnd w:id="165"/>
    <w:p w14:paraId="04A2C5BD">
      <w:pPr>
        <w:spacing w:line="440" w:lineRule="exact"/>
        <w:ind w:firstLine="437"/>
        <w:outlineLvl w:val="2"/>
        <w:rPr>
          <w:rFonts w:hint="eastAsia" w:ascii="宋体" w:hAnsi="宋体" w:eastAsia="宋体" w:cs="宋体"/>
          <w:b/>
          <w:bCs/>
          <w:color w:val="auto"/>
          <w:sz w:val="24"/>
          <w:szCs w:val="24"/>
          <w:highlight w:val="none"/>
        </w:rPr>
      </w:pPr>
      <w:bookmarkStart w:id="193" w:name="_Toc487900373"/>
      <w:bookmarkStart w:id="194" w:name="_Toc259093692"/>
      <w:bookmarkStart w:id="195" w:name="_Toc279701263"/>
      <w:bookmarkStart w:id="196" w:name="_Toc10330"/>
      <w:bookmarkStart w:id="197" w:name="_Toc18567"/>
      <w:bookmarkStart w:id="198" w:name="_Toc12773"/>
      <w:r>
        <w:rPr>
          <w:rFonts w:hint="eastAsia" w:ascii="宋体" w:hAnsi="宋体" w:eastAsia="宋体" w:cs="宋体"/>
          <w:b/>
          <w:bCs/>
          <w:color w:val="auto"/>
          <w:sz w:val="24"/>
          <w:szCs w:val="24"/>
          <w:highlight w:val="none"/>
        </w:rPr>
        <w:t xml:space="preserve">2.16 </w:t>
      </w:r>
      <w:r>
        <w:rPr>
          <w:rFonts w:hint="eastAsia" w:ascii="宋体" w:hAnsi="宋体" w:eastAsia="宋体" w:cs="宋体"/>
          <w:b/>
          <w:bCs/>
          <w:color w:val="auto"/>
          <w:sz w:val="24"/>
          <w:szCs w:val="24"/>
          <w:highlight w:val="none"/>
          <w:lang w:val="zh-CN"/>
        </w:rPr>
        <w:t>合同使用的文字和适用的法律</w:t>
      </w:r>
      <w:bookmarkEnd w:id="193"/>
      <w:bookmarkEnd w:id="194"/>
      <w:bookmarkEnd w:id="195"/>
      <w:bookmarkEnd w:id="196"/>
      <w:bookmarkEnd w:id="197"/>
      <w:bookmarkEnd w:id="198"/>
    </w:p>
    <w:p w14:paraId="4FD1BC1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2.16.1合同使用汉语书就、变更和解释；</w:t>
      </w:r>
    </w:p>
    <w:p w14:paraId="1EA3454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2.16.2合同适用中华人民共和国法律。</w:t>
      </w:r>
    </w:p>
    <w:p w14:paraId="3E2FFE35">
      <w:pPr>
        <w:spacing w:line="440" w:lineRule="exact"/>
        <w:ind w:firstLine="437"/>
        <w:outlineLvl w:val="2"/>
        <w:rPr>
          <w:rFonts w:hint="eastAsia" w:ascii="宋体" w:hAnsi="宋体" w:eastAsia="宋体" w:cs="宋体"/>
          <w:b/>
          <w:color w:val="auto"/>
          <w:sz w:val="24"/>
          <w:szCs w:val="24"/>
          <w:highlight w:val="none"/>
        </w:rPr>
      </w:pPr>
      <w:bookmarkStart w:id="199" w:name="_Toc16673"/>
      <w:bookmarkStart w:id="200" w:name="_Toc12004"/>
      <w:bookmarkStart w:id="201" w:name="_Toc279701264"/>
      <w:bookmarkStart w:id="202" w:name="_Toc259093693"/>
      <w:bookmarkStart w:id="203" w:name="_Toc3148"/>
      <w:bookmarkStart w:id="204" w:name="_Toc487900374"/>
      <w:r>
        <w:rPr>
          <w:rFonts w:hint="eastAsia" w:ascii="宋体" w:hAnsi="宋体" w:eastAsia="宋体" w:cs="宋体"/>
          <w:b/>
          <w:bCs/>
          <w:color w:val="auto"/>
          <w:sz w:val="24"/>
          <w:szCs w:val="24"/>
          <w:highlight w:val="none"/>
          <w:lang w:val="zh-CN"/>
        </w:rPr>
        <w:t>2.17 履约保证金</w:t>
      </w:r>
      <w:bookmarkEnd w:id="199"/>
      <w:bookmarkEnd w:id="200"/>
      <w:bookmarkEnd w:id="201"/>
      <w:bookmarkEnd w:id="202"/>
      <w:bookmarkEnd w:id="203"/>
    </w:p>
    <w:p w14:paraId="33B4925E">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w:t>
      </w:r>
    </w:p>
    <w:p w14:paraId="2A3FAC73">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个工作日内，甲方应将履约保证金退还乙方，甲方逾期退还履约保证金应承担违约责任。</w:t>
      </w:r>
    </w:p>
    <w:p w14:paraId="0DF08E3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4"/>
    <w:p w14:paraId="6B2BB622">
      <w:pPr>
        <w:spacing w:line="440" w:lineRule="exact"/>
        <w:ind w:firstLine="437"/>
        <w:outlineLvl w:val="2"/>
        <w:rPr>
          <w:rFonts w:hint="eastAsia" w:ascii="宋体" w:hAnsi="宋体" w:eastAsia="宋体" w:cs="宋体"/>
          <w:b/>
          <w:color w:val="auto"/>
          <w:sz w:val="24"/>
          <w:szCs w:val="24"/>
          <w:highlight w:val="none"/>
        </w:rPr>
      </w:pPr>
      <w:bookmarkStart w:id="205" w:name="_Toc19890"/>
      <w:bookmarkStart w:id="206" w:name="_Toc14001"/>
      <w:bookmarkStart w:id="207" w:name="_Toc6885"/>
      <w:r>
        <w:rPr>
          <w:rFonts w:hint="eastAsia" w:ascii="宋体" w:hAnsi="宋体" w:eastAsia="宋体" w:cs="宋体"/>
          <w:b/>
          <w:bCs/>
          <w:color w:val="auto"/>
          <w:sz w:val="24"/>
          <w:szCs w:val="24"/>
          <w:highlight w:val="none"/>
          <w:lang w:val="zh-CN"/>
        </w:rPr>
        <w:t>2.18 合同份数</w:t>
      </w:r>
      <w:bookmarkEnd w:id="205"/>
      <w:bookmarkEnd w:id="206"/>
      <w:bookmarkEnd w:id="207"/>
    </w:p>
    <w:p w14:paraId="459633B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36FF3F5C">
      <w:pPr>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bookmarkStart w:id="208" w:name="_Toc3736"/>
      <w:bookmarkStart w:id="209" w:name="_Toc3937"/>
      <w:r>
        <w:rPr>
          <w:rFonts w:hint="eastAsia" w:ascii="宋体" w:hAnsi="宋体" w:eastAsia="宋体" w:cs="宋体"/>
          <w:b/>
          <w:color w:val="auto"/>
          <w:sz w:val="24"/>
          <w:highlight w:val="none"/>
        </w:rPr>
        <w:t>第三部分 合同专用条款</w:t>
      </w:r>
      <w:bookmarkEnd w:id="208"/>
      <w:bookmarkEnd w:id="209"/>
    </w:p>
    <w:p w14:paraId="2233DC1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BF8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794" w:type="dxa"/>
            <w:tcBorders>
              <w:left w:val="single" w:color="auto" w:sz="4" w:space="0"/>
            </w:tcBorders>
            <w:vAlign w:val="center"/>
          </w:tcPr>
          <w:p w14:paraId="75F62872">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7D13D79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2166F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09FF72F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568" w:type="dxa"/>
            <w:vAlign w:val="center"/>
          </w:tcPr>
          <w:p w14:paraId="6F97F171">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结算方式：固定总价</w:t>
            </w:r>
          </w:p>
          <w:p w14:paraId="54E04B9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付款方式：   </w:t>
            </w:r>
          </w:p>
        </w:tc>
      </w:tr>
      <w:tr w14:paraId="1471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2BC931A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7568" w:type="dxa"/>
            <w:vAlign w:val="center"/>
          </w:tcPr>
          <w:p w14:paraId="6703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62241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CD3CFF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7568" w:type="dxa"/>
            <w:vAlign w:val="center"/>
          </w:tcPr>
          <w:p w14:paraId="3066CC7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13B3A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A52934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p>
        </w:tc>
        <w:tc>
          <w:tcPr>
            <w:tcW w:w="7568" w:type="dxa"/>
            <w:vAlign w:val="center"/>
          </w:tcPr>
          <w:p w14:paraId="46A2486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2.15.1乙方按照月定期提交服务报告，甲方按照在收到报告后，结合当月考核情况定期验收予以支付服务费用；</w:t>
            </w:r>
          </w:p>
          <w:p w14:paraId="44CF67E9">
            <w:pPr>
              <w:spacing w:line="44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2.15.3检验和验收标准、程序等具体内容以及前述验收书的效力：验收书的内容以检验和验收标准、程序结合项目具体内容出具，以验收书作为结算依据。</w:t>
            </w:r>
          </w:p>
        </w:tc>
      </w:tr>
      <w:tr w14:paraId="41C7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43CB826">
            <w:pPr>
              <w:spacing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2.17</w:t>
            </w:r>
          </w:p>
        </w:tc>
        <w:tc>
          <w:tcPr>
            <w:tcW w:w="7568" w:type="dxa"/>
            <w:vAlign w:val="center"/>
          </w:tcPr>
          <w:p w14:paraId="593ACCC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zh-CN"/>
              </w:rPr>
              <w:t>履约保证金</w:t>
            </w:r>
          </w:p>
        </w:tc>
      </w:tr>
      <w:tr w14:paraId="62209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C228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w:t>
            </w:r>
          </w:p>
        </w:tc>
        <w:tc>
          <w:tcPr>
            <w:tcW w:w="7568" w:type="dxa"/>
            <w:vAlign w:val="center"/>
          </w:tcPr>
          <w:p w14:paraId="394B4F8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合同一式陆份，甲乙双方各执叁份。</w:t>
            </w:r>
          </w:p>
        </w:tc>
      </w:tr>
      <w:tr w14:paraId="44AF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C7B4B1B">
            <w:pPr>
              <w:spacing w:line="440" w:lineRule="exact"/>
              <w:rPr>
                <w:rFonts w:hint="eastAsia" w:ascii="宋体" w:hAnsi="宋体" w:eastAsia="宋体" w:cs="宋体"/>
                <w:color w:val="auto"/>
                <w:sz w:val="24"/>
                <w:szCs w:val="24"/>
                <w:highlight w:val="none"/>
              </w:rPr>
            </w:pPr>
          </w:p>
        </w:tc>
        <w:tc>
          <w:tcPr>
            <w:tcW w:w="7568" w:type="dxa"/>
            <w:vAlign w:val="center"/>
          </w:tcPr>
          <w:p w14:paraId="03076B58">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（签订合同时可补充）</w:t>
            </w:r>
          </w:p>
        </w:tc>
      </w:tr>
      <w:tr w14:paraId="3A8A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00F1B9D">
            <w:pPr>
              <w:spacing w:line="440" w:lineRule="exact"/>
              <w:rPr>
                <w:rFonts w:hint="eastAsia" w:ascii="宋体" w:hAnsi="宋体" w:eastAsia="宋体" w:cs="宋体"/>
                <w:color w:val="auto"/>
                <w:sz w:val="24"/>
                <w:szCs w:val="24"/>
                <w:highlight w:val="none"/>
              </w:rPr>
            </w:pPr>
          </w:p>
        </w:tc>
        <w:tc>
          <w:tcPr>
            <w:tcW w:w="7568" w:type="dxa"/>
            <w:vAlign w:val="center"/>
          </w:tcPr>
          <w:p w14:paraId="47F18AAA">
            <w:pPr>
              <w:spacing w:line="440" w:lineRule="exact"/>
              <w:rPr>
                <w:rFonts w:hint="eastAsia" w:ascii="宋体" w:hAnsi="宋体" w:eastAsia="宋体" w:cs="宋体"/>
                <w:color w:val="auto"/>
                <w:sz w:val="24"/>
                <w:szCs w:val="24"/>
                <w:highlight w:val="none"/>
              </w:rPr>
            </w:pPr>
          </w:p>
        </w:tc>
      </w:tr>
      <w:tr w14:paraId="4FAF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BE15EE9">
            <w:pPr>
              <w:spacing w:line="440" w:lineRule="exact"/>
              <w:rPr>
                <w:rFonts w:hint="eastAsia" w:ascii="宋体" w:hAnsi="宋体" w:eastAsia="宋体" w:cs="宋体"/>
                <w:color w:val="auto"/>
                <w:sz w:val="24"/>
                <w:szCs w:val="24"/>
                <w:highlight w:val="none"/>
              </w:rPr>
            </w:pPr>
          </w:p>
        </w:tc>
        <w:tc>
          <w:tcPr>
            <w:tcW w:w="7568" w:type="dxa"/>
            <w:vAlign w:val="center"/>
          </w:tcPr>
          <w:p w14:paraId="67027919">
            <w:pPr>
              <w:spacing w:line="440" w:lineRule="exact"/>
              <w:rPr>
                <w:rFonts w:hint="eastAsia" w:ascii="宋体" w:hAnsi="宋体" w:eastAsia="宋体" w:cs="宋体"/>
                <w:color w:val="auto"/>
                <w:sz w:val="24"/>
                <w:szCs w:val="24"/>
                <w:highlight w:val="none"/>
                <w:u w:val="single"/>
              </w:rPr>
            </w:pPr>
          </w:p>
        </w:tc>
      </w:tr>
      <w:tr w14:paraId="2A22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4794ED7">
            <w:pPr>
              <w:spacing w:line="440" w:lineRule="exact"/>
              <w:rPr>
                <w:rFonts w:hint="eastAsia" w:ascii="宋体" w:hAnsi="宋体" w:eastAsia="宋体" w:cs="宋体"/>
                <w:color w:val="auto"/>
                <w:sz w:val="24"/>
                <w:szCs w:val="24"/>
                <w:highlight w:val="none"/>
              </w:rPr>
            </w:pPr>
          </w:p>
        </w:tc>
        <w:tc>
          <w:tcPr>
            <w:tcW w:w="7568" w:type="dxa"/>
            <w:vAlign w:val="center"/>
          </w:tcPr>
          <w:p w14:paraId="4035FC37">
            <w:pPr>
              <w:spacing w:line="440" w:lineRule="exact"/>
              <w:rPr>
                <w:rFonts w:hint="eastAsia" w:ascii="宋体" w:hAnsi="宋体" w:eastAsia="宋体" w:cs="宋体"/>
                <w:color w:val="auto"/>
                <w:sz w:val="24"/>
                <w:szCs w:val="24"/>
                <w:highlight w:val="none"/>
              </w:rPr>
            </w:pPr>
          </w:p>
        </w:tc>
      </w:tr>
      <w:tr w14:paraId="2B318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DDE4C91">
            <w:pPr>
              <w:spacing w:line="440" w:lineRule="exact"/>
              <w:rPr>
                <w:rFonts w:hint="eastAsia" w:ascii="宋体" w:hAnsi="宋体" w:eastAsia="宋体" w:cs="宋体"/>
                <w:color w:val="auto"/>
                <w:sz w:val="24"/>
                <w:szCs w:val="24"/>
                <w:highlight w:val="none"/>
              </w:rPr>
            </w:pPr>
          </w:p>
        </w:tc>
        <w:tc>
          <w:tcPr>
            <w:tcW w:w="7568" w:type="dxa"/>
            <w:vAlign w:val="center"/>
          </w:tcPr>
          <w:p w14:paraId="0982E89B">
            <w:pPr>
              <w:spacing w:line="440" w:lineRule="exact"/>
              <w:rPr>
                <w:rFonts w:hint="eastAsia" w:ascii="宋体" w:hAnsi="宋体" w:eastAsia="宋体" w:cs="宋体"/>
                <w:color w:val="auto"/>
                <w:sz w:val="24"/>
                <w:szCs w:val="24"/>
                <w:highlight w:val="none"/>
              </w:rPr>
            </w:pPr>
          </w:p>
        </w:tc>
      </w:tr>
      <w:tr w14:paraId="5041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7FFA96D">
            <w:pPr>
              <w:spacing w:line="440" w:lineRule="exact"/>
              <w:rPr>
                <w:rFonts w:hint="eastAsia" w:ascii="宋体" w:hAnsi="宋体" w:eastAsia="宋体" w:cs="宋体"/>
                <w:color w:val="auto"/>
                <w:sz w:val="24"/>
                <w:szCs w:val="24"/>
                <w:highlight w:val="none"/>
              </w:rPr>
            </w:pPr>
          </w:p>
        </w:tc>
        <w:tc>
          <w:tcPr>
            <w:tcW w:w="7568" w:type="dxa"/>
            <w:vAlign w:val="center"/>
          </w:tcPr>
          <w:p w14:paraId="5B83B188">
            <w:pPr>
              <w:spacing w:line="440" w:lineRule="exact"/>
              <w:rPr>
                <w:rFonts w:hint="eastAsia" w:ascii="宋体" w:hAnsi="宋体" w:eastAsia="宋体" w:cs="宋体"/>
                <w:color w:val="auto"/>
                <w:sz w:val="24"/>
                <w:szCs w:val="24"/>
                <w:highlight w:val="none"/>
              </w:rPr>
            </w:pPr>
          </w:p>
        </w:tc>
      </w:tr>
      <w:tr w14:paraId="3820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C6A2156">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52B7406D">
            <w:pPr>
              <w:spacing w:line="440" w:lineRule="exact"/>
              <w:rPr>
                <w:rFonts w:hint="eastAsia" w:ascii="宋体" w:hAnsi="宋体" w:eastAsia="宋体" w:cs="宋体"/>
                <w:color w:val="auto"/>
                <w:sz w:val="24"/>
                <w:szCs w:val="24"/>
                <w:highlight w:val="none"/>
              </w:rPr>
            </w:pPr>
          </w:p>
        </w:tc>
      </w:tr>
      <w:tr w14:paraId="143A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4E35684">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6AA38FA1">
            <w:pPr>
              <w:spacing w:line="440" w:lineRule="exact"/>
              <w:rPr>
                <w:rFonts w:hint="eastAsia" w:ascii="宋体" w:hAnsi="宋体" w:eastAsia="宋体" w:cs="宋体"/>
                <w:color w:val="auto"/>
                <w:sz w:val="24"/>
                <w:szCs w:val="24"/>
                <w:highlight w:val="none"/>
              </w:rPr>
            </w:pPr>
          </w:p>
        </w:tc>
      </w:tr>
      <w:tr w14:paraId="5E4C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92785C6">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1559917">
            <w:pPr>
              <w:spacing w:line="440" w:lineRule="exact"/>
              <w:rPr>
                <w:rFonts w:hint="eastAsia" w:ascii="宋体" w:hAnsi="宋体" w:eastAsia="宋体" w:cs="宋体"/>
                <w:color w:val="auto"/>
                <w:sz w:val="24"/>
                <w:szCs w:val="24"/>
                <w:highlight w:val="none"/>
              </w:rPr>
            </w:pPr>
          </w:p>
        </w:tc>
      </w:tr>
      <w:tr w14:paraId="0D6A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9B614F2">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1E2A5F85">
            <w:pPr>
              <w:spacing w:line="440" w:lineRule="exact"/>
              <w:rPr>
                <w:rFonts w:hint="eastAsia" w:ascii="宋体" w:hAnsi="宋体" w:eastAsia="宋体" w:cs="宋体"/>
                <w:color w:val="auto"/>
                <w:sz w:val="24"/>
                <w:szCs w:val="24"/>
                <w:highlight w:val="none"/>
              </w:rPr>
            </w:pPr>
          </w:p>
        </w:tc>
      </w:tr>
      <w:tr w14:paraId="2955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6D3FF31">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3A9C0B6">
            <w:pPr>
              <w:spacing w:line="440" w:lineRule="exact"/>
              <w:rPr>
                <w:rFonts w:hint="eastAsia" w:ascii="宋体" w:hAnsi="宋体" w:eastAsia="宋体" w:cs="宋体"/>
                <w:color w:val="auto"/>
                <w:sz w:val="24"/>
                <w:szCs w:val="24"/>
                <w:highlight w:val="none"/>
              </w:rPr>
            </w:pPr>
          </w:p>
        </w:tc>
      </w:tr>
      <w:bookmarkEnd w:id="61"/>
    </w:tbl>
    <w:p w14:paraId="40ACD135">
      <w:pPr>
        <w:numPr>
          <w:ilvl w:val="0"/>
          <w:numId w:val="4"/>
        </w:num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bookmarkStart w:id="210" w:name="_Toc21522"/>
      <w:r>
        <w:rPr>
          <w:rFonts w:hint="eastAsia" w:ascii="宋体" w:hAnsi="宋体" w:eastAsia="宋体" w:cs="宋体"/>
          <w:b/>
          <w:color w:val="auto"/>
          <w:sz w:val="28"/>
          <w:highlight w:val="none"/>
        </w:rPr>
        <w:t>投标文件格式</w:t>
      </w:r>
      <w:bookmarkEnd w:id="210"/>
    </w:p>
    <w:p w14:paraId="273ABCCB">
      <w:pPr>
        <w:rPr>
          <w:rFonts w:hint="eastAsia" w:ascii="宋体" w:hAnsi="宋体" w:eastAsia="宋体" w:cs="宋体"/>
          <w:b/>
          <w:color w:val="auto"/>
          <w:sz w:val="28"/>
          <w:szCs w:val="28"/>
          <w:highlight w:val="none"/>
          <w:bdr w:val="single" w:color="000000" w:sz="4" w:space="0"/>
        </w:rPr>
      </w:pPr>
      <w:bookmarkStart w:id="211" w:name="_Toc28960"/>
      <w:bookmarkStart w:id="212" w:name="_Toc17986"/>
      <w:bookmarkStart w:id="213" w:name="_Toc16620"/>
      <w:bookmarkStart w:id="214" w:name="_Toc6435"/>
      <w:r>
        <w:rPr>
          <w:rFonts w:hint="eastAsia" w:ascii="宋体" w:hAnsi="宋体" w:eastAsia="宋体" w:cs="宋体"/>
          <w:b/>
          <w:color w:val="auto"/>
          <w:sz w:val="28"/>
          <w:szCs w:val="28"/>
          <w:highlight w:val="none"/>
        </w:rPr>
        <w:t>一、资信证明格式文件</w:t>
      </w:r>
    </w:p>
    <w:p w14:paraId="05984444">
      <w:pPr>
        <w:jc w:val="center"/>
        <w:rPr>
          <w:rFonts w:hint="eastAsia" w:ascii="宋体" w:hAnsi="宋体" w:eastAsia="宋体" w:cs="宋体"/>
          <w:color w:val="auto"/>
          <w:sz w:val="20"/>
          <w:highlight w:val="none"/>
        </w:rPr>
      </w:pPr>
    </w:p>
    <w:p w14:paraId="08B882E9">
      <w:pPr>
        <w:rPr>
          <w:rFonts w:hint="eastAsia" w:ascii="宋体" w:hAnsi="宋体" w:eastAsia="宋体" w:cs="宋体"/>
          <w:color w:val="auto"/>
          <w:sz w:val="20"/>
          <w:highlight w:val="none"/>
        </w:rPr>
      </w:pPr>
    </w:p>
    <w:p w14:paraId="745C51FE">
      <w:pPr>
        <w:jc w:val="center"/>
        <w:rPr>
          <w:rFonts w:hint="eastAsia" w:ascii="宋体" w:hAnsi="宋体" w:eastAsia="宋体" w:cs="宋体"/>
          <w:b/>
          <w:color w:val="auto"/>
          <w:sz w:val="44"/>
          <w:szCs w:val="44"/>
          <w:highlight w:val="none"/>
        </w:rPr>
      </w:pPr>
      <w:bookmarkStart w:id="215" w:name="_Toc350698753"/>
      <w:bookmarkStart w:id="216" w:name="_Toc449028949"/>
      <w:r>
        <w:rPr>
          <w:rFonts w:hint="eastAsia" w:ascii="宋体" w:hAnsi="宋体" w:eastAsia="宋体" w:cs="宋体"/>
          <w:b/>
          <w:color w:val="auto"/>
          <w:sz w:val="44"/>
          <w:szCs w:val="44"/>
          <w:highlight w:val="none"/>
        </w:rPr>
        <w:t>资信证明文件</w:t>
      </w:r>
      <w:bookmarkEnd w:id="215"/>
      <w:bookmarkEnd w:id="216"/>
    </w:p>
    <w:p w14:paraId="4854A11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29E97DD5">
      <w:pPr>
        <w:jc w:val="center"/>
        <w:rPr>
          <w:rFonts w:hint="eastAsia" w:ascii="宋体" w:hAnsi="宋体" w:eastAsia="宋体" w:cs="宋体"/>
          <w:color w:val="auto"/>
          <w:sz w:val="44"/>
          <w:szCs w:val="44"/>
          <w:highlight w:val="none"/>
        </w:rPr>
      </w:pPr>
    </w:p>
    <w:p w14:paraId="65E0CB4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45DB44FA">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0875C77">
      <w:pPr>
        <w:rPr>
          <w:rFonts w:hint="eastAsia" w:ascii="宋体" w:hAnsi="宋体" w:eastAsia="宋体" w:cs="宋体"/>
          <w:color w:val="auto"/>
          <w:sz w:val="28"/>
          <w:szCs w:val="28"/>
          <w:highlight w:val="none"/>
        </w:rPr>
      </w:pPr>
    </w:p>
    <w:p w14:paraId="44F75A14">
      <w:pPr>
        <w:rPr>
          <w:rFonts w:hint="eastAsia" w:ascii="宋体" w:hAnsi="宋体" w:eastAsia="宋体" w:cs="宋体"/>
          <w:color w:val="auto"/>
          <w:sz w:val="28"/>
          <w:szCs w:val="28"/>
          <w:highlight w:val="none"/>
        </w:rPr>
      </w:pPr>
    </w:p>
    <w:p w14:paraId="2ED6D8B0">
      <w:pPr>
        <w:rPr>
          <w:rFonts w:hint="eastAsia" w:ascii="宋体" w:hAnsi="宋体" w:eastAsia="宋体" w:cs="宋体"/>
          <w:color w:val="auto"/>
          <w:sz w:val="28"/>
          <w:szCs w:val="28"/>
          <w:highlight w:val="none"/>
        </w:rPr>
      </w:pPr>
    </w:p>
    <w:p w14:paraId="607705BC">
      <w:pPr>
        <w:rPr>
          <w:rFonts w:hint="eastAsia" w:ascii="宋体" w:hAnsi="宋体" w:eastAsia="宋体" w:cs="宋体"/>
          <w:color w:val="auto"/>
          <w:sz w:val="28"/>
          <w:szCs w:val="28"/>
          <w:highlight w:val="none"/>
        </w:rPr>
      </w:pPr>
    </w:p>
    <w:p w14:paraId="7FEAC5B9">
      <w:pPr>
        <w:rPr>
          <w:rFonts w:hint="eastAsia" w:ascii="宋体" w:hAnsi="宋体" w:eastAsia="宋体" w:cs="宋体"/>
          <w:color w:val="auto"/>
          <w:sz w:val="28"/>
          <w:szCs w:val="28"/>
          <w:highlight w:val="none"/>
        </w:rPr>
      </w:pPr>
    </w:p>
    <w:p w14:paraId="1A6AF196">
      <w:pPr>
        <w:rPr>
          <w:rFonts w:hint="eastAsia" w:ascii="宋体" w:hAnsi="宋体" w:eastAsia="宋体" w:cs="宋体"/>
          <w:color w:val="auto"/>
          <w:sz w:val="28"/>
          <w:szCs w:val="28"/>
          <w:highlight w:val="none"/>
        </w:rPr>
      </w:pPr>
    </w:p>
    <w:p w14:paraId="739974B5">
      <w:pPr>
        <w:rPr>
          <w:rFonts w:hint="eastAsia" w:ascii="宋体" w:hAnsi="宋体" w:eastAsia="宋体" w:cs="宋体"/>
          <w:color w:val="auto"/>
          <w:sz w:val="28"/>
          <w:szCs w:val="28"/>
          <w:highlight w:val="none"/>
        </w:rPr>
      </w:pPr>
    </w:p>
    <w:p w14:paraId="700CD266">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7E8A9A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0480757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363C2E5">
      <w:pPr>
        <w:spacing w:line="720" w:lineRule="auto"/>
        <w:jc w:val="center"/>
        <w:rPr>
          <w:rFonts w:hint="eastAsia" w:ascii="宋体" w:hAnsi="宋体" w:eastAsia="宋体" w:cs="宋体"/>
          <w:b/>
          <w:color w:val="auto"/>
          <w:sz w:val="36"/>
          <w:szCs w:val="36"/>
          <w:highlight w:val="none"/>
        </w:rPr>
      </w:pPr>
    </w:p>
    <w:p w14:paraId="2C6E8C13">
      <w:pPr>
        <w:spacing w:line="400" w:lineRule="exact"/>
        <w:ind w:firstLine="4130" w:firstLineChars="935"/>
        <w:rPr>
          <w:rFonts w:hint="eastAsia" w:ascii="宋体" w:hAnsi="宋体" w:eastAsia="宋体" w:cs="宋体"/>
          <w:b/>
          <w:color w:val="auto"/>
          <w:sz w:val="44"/>
          <w:szCs w:val="44"/>
          <w:highlight w:val="none"/>
        </w:rPr>
      </w:pPr>
    </w:p>
    <w:p w14:paraId="48DF5BBC">
      <w:pPr>
        <w:spacing w:line="400" w:lineRule="exact"/>
        <w:ind w:firstLine="4130" w:firstLineChars="935"/>
        <w:rPr>
          <w:rFonts w:hint="eastAsia" w:ascii="宋体" w:hAnsi="宋体" w:eastAsia="宋体" w:cs="宋体"/>
          <w:b/>
          <w:color w:val="auto"/>
          <w:sz w:val="44"/>
          <w:szCs w:val="44"/>
          <w:highlight w:val="none"/>
        </w:rPr>
      </w:pPr>
    </w:p>
    <w:p w14:paraId="66E60EFF">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15F722C4">
      <w:pPr>
        <w:spacing w:line="440" w:lineRule="exact"/>
        <w:rPr>
          <w:rFonts w:hint="eastAsia" w:ascii="宋体" w:hAnsi="宋体" w:eastAsia="宋体" w:cs="宋体"/>
          <w:color w:val="auto"/>
          <w:sz w:val="24"/>
          <w:szCs w:val="24"/>
          <w:highlight w:val="none"/>
        </w:rPr>
      </w:pPr>
    </w:p>
    <w:p w14:paraId="479F76B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226A812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376F0F2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（3）诚信投标承诺书（格式见附件）；</w:t>
      </w:r>
    </w:p>
    <w:p w14:paraId="1538B4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）招标文件中要求的资格审查和资信评分的支持资料；</w:t>
      </w:r>
    </w:p>
    <w:p w14:paraId="2C39384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）投标人认为需要提供的其他资信证明材料；</w:t>
      </w:r>
    </w:p>
    <w:p w14:paraId="52FE1567">
      <w:pPr>
        <w:pageBreakBefore/>
        <w:spacing w:line="440" w:lineRule="exact"/>
        <w:jc w:val="center"/>
        <w:outlineLvl w:val="1"/>
        <w:rPr>
          <w:rFonts w:hint="eastAsia" w:ascii="宋体" w:hAnsi="宋体" w:eastAsia="宋体" w:cs="宋体"/>
          <w:b/>
          <w:color w:val="auto"/>
          <w:sz w:val="24"/>
          <w:highlight w:val="none"/>
        </w:rPr>
      </w:pPr>
      <w:bookmarkStart w:id="217" w:name="_Toc18881"/>
      <w:r>
        <w:rPr>
          <w:rFonts w:hint="eastAsia" w:ascii="宋体" w:hAnsi="宋体" w:eastAsia="宋体" w:cs="宋体"/>
          <w:b/>
          <w:color w:val="auto"/>
          <w:sz w:val="24"/>
          <w:highlight w:val="none"/>
        </w:rPr>
        <w:t>（1）投标人资格声明书</w:t>
      </w:r>
      <w:bookmarkEnd w:id="217"/>
      <w:r>
        <w:rPr>
          <w:rFonts w:hint="eastAsia" w:ascii="宋体" w:hAnsi="宋体" w:eastAsia="宋体" w:cs="宋体"/>
          <w:b/>
          <w:color w:val="auto"/>
          <w:sz w:val="24"/>
          <w:highlight w:val="none"/>
        </w:rPr>
        <w:t xml:space="preserve"> </w:t>
      </w:r>
    </w:p>
    <w:p w14:paraId="59EC2739">
      <w:pPr>
        <w:pStyle w:val="2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00D9517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7AE44DAE">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7670A04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6ADE244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279476CF">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81928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34DBDED0">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7A7960CC">
      <w:pPr>
        <w:widowControl/>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B37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6DDFDFA">
            <w:pPr>
              <w:widowControl/>
              <w:spacing w:before="156" w:beforeLines="50" w:after="10" w:line="44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41" w:type="dxa"/>
          </w:tcPr>
          <w:p w14:paraId="3D6B6DA3">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单位名称</w:t>
            </w:r>
          </w:p>
        </w:tc>
        <w:tc>
          <w:tcPr>
            <w:tcW w:w="2841" w:type="dxa"/>
          </w:tcPr>
          <w:p w14:paraId="36454E0C">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相互关系</w:t>
            </w:r>
          </w:p>
        </w:tc>
      </w:tr>
      <w:tr w14:paraId="520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ABB993">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1</w:t>
            </w:r>
          </w:p>
        </w:tc>
        <w:tc>
          <w:tcPr>
            <w:tcW w:w="2841" w:type="dxa"/>
          </w:tcPr>
          <w:p w14:paraId="5928FA34">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73D55BDD">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r>
      <w:tr w14:paraId="1EF1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D6E9B42">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2</w:t>
            </w:r>
          </w:p>
        </w:tc>
        <w:tc>
          <w:tcPr>
            <w:tcW w:w="2841" w:type="dxa"/>
          </w:tcPr>
          <w:p w14:paraId="3C8A81B7">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6069D616">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r>
    </w:tbl>
    <w:p w14:paraId="535725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D6FA038">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3A30041">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354DD238">
      <w:pPr>
        <w:spacing w:line="440" w:lineRule="exact"/>
        <w:rPr>
          <w:rFonts w:hint="eastAsia" w:ascii="宋体" w:hAnsi="宋体" w:eastAsia="宋体" w:cs="宋体"/>
          <w:b/>
          <w:color w:val="auto"/>
          <w:sz w:val="24"/>
          <w:highlight w:val="none"/>
        </w:rPr>
      </w:pPr>
      <w:bookmarkStart w:id="218" w:name="_Toc11607"/>
      <w:r>
        <w:rPr>
          <w:rFonts w:hint="eastAsia" w:ascii="宋体" w:hAnsi="宋体" w:eastAsia="宋体" w:cs="宋体"/>
          <w:b/>
          <w:color w:val="auto"/>
          <w:sz w:val="24"/>
          <w:highlight w:val="none"/>
        </w:rPr>
        <w:br w:type="page"/>
      </w:r>
    </w:p>
    <w:p w14:paraId="761FCBD9">
      <w:pPr>
        <w:spacing w:line="440" w:lineRule="exact"/>
        <w:jc w:val="center"/>
        <w:outlineLvl w:val="1"/>
        <w:rPr>
          <w:rFonts w:hint="eastAsia" w:ascii="宋体" w:hAnsi="宋体" w:eastAsia="宋体" w:cs="宋体"/>
          <w:b/>
          <w:color w:val="auto"/>
          <w:sz w:val="24"/>
          <w:highlight w:val="none"/>
        </w:rPr>
      </w:pPr>
      <w:bookmarkStart w:id="219" w:name="_Toc24583"/>
      <w:r>
        <w:rPr>
          <w:rFonts w:hint="eastAsia" w:ascii="宋体" w:hAnsi="宋体" w:eastAsia="宋体" w:cs="宋体"/>
          <w:b/>
          <w:color w:val="auto"/>
          <w:sz w:val="24"/>
          <w:highlight w:val="none"/>
        </w:rPr>
        <w:t>（2）授权书</w:t>
      </w:r>
      <w:bookmarkEnd w:id="218"/>
      <w:bookmarkEnd w:id="219"/>
    </w:p>
    <w:p w14:paraId="542AAC27">
      <w:pPr>
        <w:pStyle w:val="19"/>
        <w:snapToGrid w:val="0"/>
        <w:spacing w:line="440" w:lineRule="exact"/>
        <w:ind w:firstLine="480" w:firstLineChars="200"/>
        <w:jc w:val="left"/>
        <w:rPr>
          <w:rFonts w:hint="eastAsia" w:ascii="宋体" w:hAnsi="宋体" w:eastAsia="宋体" w:cs="宋体"/>
          <w:color w:val="auto"/>
          <w:sz w:val="24"/>
          <w:szCs w:val="28"/>
          <w:highlight w:val="none"/>
        </w:rPr>
      </w:pPr>
    </w:p>
    <w:p w14:paraId="7AF8330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0691DF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41635E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7CFC8CB9">
      <w:pPr>
        <w:spacing w:line="440" w:lineRule="exact"/>
        <w:ind w:firstLine="435"/>
        <w:rPr>
          <w:rFonts w:hint="eastAsia" w:ascii="宋体" w:hAnsi="宋体" w:eastAsia="宋体" w:cs="宋体"/>
          <w:color w:val="auto"/>
          <w:sz w:val="24"/>
          <w:highlight w:val="none"/>
        </w:rPr>
      </w:pPr>
    </w:p>
    <w:p w14:paraId="0F377FA6">
      <w:pPr>
        <w:spacing w:line="440" w:lineRule="exact"/>
        <w:ind w:firstLine="435"/>
        <w:rPr>
          <w:rFonts w:hint="eastAsia" w:ascii="宋体" w:hAnsi="宋体" w:eastAsia="宋体" w:cs="宋体"/>
          <w:color w:val="auto"/>
          <w:sz w:val="24"/>
          <w:highlight w:val="none"/>
        </w:rPr>
      </w:pPr>
    </w:p>
    <w:p w14:paraId="3FDC36FF">
      <w:pPr>
        <w:spacing w:line="440" w:lineRule="exact"/>
        <w:ind w:firstLine="435"/>
        <w:rPr>
          <w:rFonts w:hint="eastAsia" w:ascii="宋体" w:hAnsi="宋体" w:eastAsia="宋体" w:cs="宋体"/>
          <w:color w:val="auto"/>
          <w:sz w:val="24"/>
          <w:highlight w:val="none"/>
        </w:rPr>
      </w:pPr>
    </w:p>
    <w:p w14:paraId="5AB0AB14">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E4E97B5">
      <w:pPr>
        <w:spacing w:line="440" w:lineRule="exact"/>
        <w:ind w:firstLine="435"/>
        <w:rPr>
          <w:rFonts w:hint="eastAsia" w:ascii="宋体" w:hAnsi="宋体" w:eastAsia="宋体" w:cs="宋体"/>
          <w:color w:val="auto"/>
          <w:sz w:val="24"/>
          <w:szCs w:val="28"/>
          <w:highlight w:val="none"/>
          <w:lang w:val="zh-CN"/>
        </w:rPr>
      </w:pPr>
    </w:p>
    <w:p w14:paraId="0AED34F2">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5A6B35C3">
      <w:pPr>
        <w:spacing w:line="440" w:lineRule="exact"/>
        <w:rPr>
          <w:rFonts w:hint="eastAsia" w:ascii="宋体" w:hAnsi="宋体" w:eastAsia="宋体" w:cs="宋体"/>
          <w:color w:val="auto"/>
          <w:sz w:val="24"/>
          <w:szCs w:val="28"/>
          <w:highlight w:val="none"/>
        </w:rPr>
      </w:pPr>
    </w:p>
    <w:p w14:paraId="4E0084E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58AC8723">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8863E7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CAB41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7FB2B8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009AC44F">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04E7003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本人以企业法定代表人的身份郑重承诺：</w:t>
      </w:r>
    </w:p>
    <w:p w14:paraId="073FA71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53F2416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F868C4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4AB9B7F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2A9F3376">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29052E2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8"/>
          <w:highlight w:val="none"/>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没有下列情形：①被列入“信用中国”网站“失信被执行人”的；②被列入“信用中国”网站“重大税收违法失信主体”的；③被列入“信用中国”网站“严重失信主体名单”的；④在“信用中国”网站上披露的仍在公示期的严重失信行为(具体行为类别及判定依据见附件2)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670D27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七</w:t>
      </w:r>
      <w:r>
        <w:rPr>
          <w:rFonts w:hint="eastAsia" w:ascii="宋体" w:hAnsi="宋体" w:eastAsia="宋体" w:cs="宋体"/>
          <w:color w:val="auto"/>
          <w:sz w:val="24"/>
          <w:szCs w:val="28"/>
          <w:highlight w:val="none"/>
        </w:rPr>
        <w:t>、严格遵守开标现场纪律，服从监管人员管理；</w:t>
      </w:r>
    </w:p>
    <w:p w14:paraId="3F8335DD">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w:t>
      </w:r>
      <w:r>
        <w:rPr>
          <w:rFonts w:hint="eastAsia" w:ascii="宋体" w:hAnsi="宋体" w:eastAsia="宋体" w:cs="宋体"/>
          <w:color w:val="auto"/>
          <w:sz w:val="24"/>
          <w:szCs w:val="28"/>
          <w:highlight w:val="none"/>
        </w:rPr>
        <w:t>、保证中标后不转包，若有分包征得招标人同意；</w:t>
      </w:r>
    </w:p>
    <w:p w14:paraId="08FEF6B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w:t>
      </w:r>
      <w:r>
        <w:rPr>
          <w:rFonts w:hint="eastAsia" w:ascii="宋体" w:hAnsi="宋体" w:eastAsia="宋体" w:cs="宋体"/>
          <w:color w:val="auto"/>
          <w:sz w:val="24"/>
          <w:szCs w:val="28"/>
          <w:highlight w:val="none"/>
        </w:rPr>
        <w:t>、保证中标之后，按照投标文件要求提供相关后续服务；</w:t>
      </w:r>
    </w:p>
    <w:p w14:paraId="12FF89C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十、保证企业及所属相关人员在本次投标中无行贿等犯罪行为；</w:t>
      </w:r>
    </w:p>
    <w:p w14:paraId="6D2EF02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sz w:val="24"/>
          <w:szCs w:val="28"/>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C8F8A7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46880F0C">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A64A6F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346E36C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p>
    <w:p w14:paraId="04CF36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258D98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           年            月             日</w:t>
      </w:r>
    </w:p>
    <w:p w14:paraId="7F183874">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6A995923">
      <w:pPr>
        <w:pageBreakBefore/>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二、技术标格式文件</w:t>
      </w:r>
    </w:p>
    <w:p w14:paraId="780BD67C">
      <w:pPr>
        <w:jc w:val="center"/>
        <w:rPr>
          <w:rFonts w:hint="eastAsia" w:ascii="宋体" w:hAnsi="宋体" w:eastAsia="宋体" w:cs="宋体"/>
          <w:color w:val="auto"/>
          <w:sz w:val="20"/>
          <w:highlight w:val="none"/>
        </w:rPr>
      </w:pPr>
    </w:p>
    <w:p w14:paraId="650FB12B">
      <w:pPr>
        <w:rPr>
          <w:rFonts w:hint="eastAsia" w:ascii="宋体" w:hAnsi="宋体" w:eastAsia="宋体" w:cs="宋体"/>
          <w:color w:val="auto"/>
          <w:sz w:val="20"/>
          <w:highlight w:val="none"/>
        </w:rPr>
      </w:pPr>
    </w:p>
    <w:p w14:paraId="63D625F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w:t>
      </w:r>
    </w:p>
    <w:p w14:paraId="2AFC333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（投标文件二）</w:t>
      </w:r>
    </w:p>
    <w:p w14:paraId="78CD83DF">
      <w:pPr>
        <w:jc w:val="center"/>
        <w:rPr>
          <w:rFonts w:hint="eastAsia" w:ascii="宋体" w:hAnsi="宋体" w:eastAsia="宋体" w:cs="宋体"/>
          <w:color w:val="auto"/>
          <w:sz w:val="44"/>
          <w:szCs w:val="44"/>
          <w:highlight w:val="none"/>
        </w:rPr>
      </w:pPr>
    </w:p>
    <w:p w14:paraId="21DBC5C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5D951B2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23A3E617">
      <w:pPr>
        <w:rPr>
          <w:rFonts w:hint="eastAsia" w:ascii="宋体" w:hAnsi="宋体" w:eastAsia="宋体" w:cs="宋体"/>
          <w:color w:val="auto"/>
          <w:sz w:val="28"/>
          <w:szCs w:val="28"/>
          <w:highlight w:val="none"/>
        </w:rPr>
      </w:pPr>
    </w:p>
    <w:p w14:paraId="7FFEED71">
      <w:pPr>
        <w:rPr>
          <w:rFonts w:hint="eastAsia" w:ascii="宋体" w:hAnsi="宋体" w:eastAsia="宋体" w:cs="宋体"/>
          <w:color w:val="auto"/>
          <w:sz w:val="28"/>
          <w:szCs w:val="28"/>
          <w:highlight w:val="none"/>
        </w:rPr>
      </w:pPr>
    </w:p>
    <w:p w14:paraId="2409F218">
      <w:pPr>
        <w:rPr>
          <w:rFonts w:hint="eastAsia" w:ascii="宋体" w:hAnsi="宋体" w:eastAsia="宋体" w:cs="宋体"/>
          <w:color w:val="auto"/>
          <w:sz w:val="28"/>
          <w:szCs w:val="28"/>
          <w:highlight w:val="none"/>
        </w:rPr>
      </w:pPr>
    </w:p>
    <w:p w14:paraId="0954865E">
      <w:pPr>
        <w:rPr>
          <w:rFonts w:hint="eastAsia" w:ascii="宋体" w:hAnsi="宋体" w:eastAsia="宋体" w:cs="宋体"/>
          <w:color w:val="auto"/>
          <w:sz w:val="28"/>
          <w:szCs w:val="28"/>
          <w:highlight w:val="none"/>
        </w:rPr>
      </w:pPr>
    </w:p>
    <w:p w14:paraId="53F59208">
      <w:pPr>
        <w:rPr>
          <w:rFonts w:hint="eastAsia" w:ascii="宋体" w:hAnsi="宋体" w:eastAsia="宋体" w:cs="宋体"/>
          <w:color w:val="auto"/>
          <w:sz w:val="28"/>
          <w:szCs w:val="28"/>
          <w:highlight w:val="none"/>
        </w:rPr>
      </w:pPr>
    </w:p>
    <w:p w14:paraId="7AC0EBAA">
      <w:pPr>
        <w:rPr>
          <w:rFonts w:hint="eastAsia" w:ascii="宋体" w:hAnsi="宋体" w:eastAsia="宋体" w:cs="宋体"/>
          <w:color w:val="auto"/>
          <w:sz w:val="28"/>
          <w:szCs w:val="28"/>
          <w:highlight w:val="none"/>
        </w:rPr>
      </w:pPr>
    </w:p>
    <w:p w14:paraId="43B1647F">
      <w:pPr>
        <w:rPr>
          <w:rFonts w:hint="eastAsia" w:ascii="宋体" w:hAnsi="宋体" w:eastAsia="宋体" w:cs="宋体"/>
          <w:color w:val="auto"/>
          <w:sz w:val="28"/>
          <w:szCs w:val="28"/>
          <w:highlight w:val="none"/>
        </w:rPr>
      </w:pPr>
    </w:p>
    <w:p w14:paraId="18E34B9F">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003837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30ECF80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389799">
      <w:pPr>
        <w:spacing w:line="720" w:lineRule="auto"/>
        <w:jc w:val="center"/>
        <w:rPr>
          <w:rFonts w:hint="eastAsia" w:ascii="宋体" w:hAnsi="宋体" w:eastAsia="宋体" w:cs="宋体"/>
          <w:b/>
          <w:color w:val="auto"/>
          <w:sz w:val="36"/>
          <w:szCs w:val="36"/>
          <w:highlight w:val="none"/>
        </w:rPr>
      </w:pPr>
    </w:p>
    <w:p w14:paraId="7E742020">
      <w:pPr>
        <w:spacing w:line="400" w:lineRule="exact"/>
        <w:ind w:firstLine="4130" w:firstLineChars="935"/>
        <w:rPr>
          <w:rFonts w:hint="eastAsia" w:ascii="宋体" w:hAnsi="宋体" w:eastAsia="宋体" w:cs="宋体"/>
          <w:b/>
          <w:color w:val="auto"/>
          <w:sz w:val="44"/>
          <w:szCs w:val="44"/>
          <w:highlight w:val="none"/>
        </w:rPr>
      </w:pPr>
    </w:p>
    <w:p w14:paraId="788D0108">
      <w:pPr>
        <w:spacing w:line="400" w:lineRule="exact"/>
        <w:ind w:firstLine="4130" w:firstLineChars="935"/>
        <w:rPr>
          <w:rFonts w:hint="eastAsia" w:ascii="宋体" w:hAnsi="宋体" w:eastAsia="宋体" w:cs="宋体"/>
          <w:b/>
          <w:color w:val="auto"/>
          <w:sz w:val="44"/>
          <w:szCs w:val="44"/>
          <w:highlight w:val="none"/>
        </w:rPr>
      </w:pPr>
    </w:p>
    <w:p w14:paraId="2B789397">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72E8D58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（1）投标响应表（格式见附件）；</w:t>
      </w:r>
    </w:p>
    <w:p w14:paraId="39650A7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（2）诚信履约承诺函（格式见附件）</w:t>
      </w:r>
    </w:p>
    <w:p w14:paraId="31F3F3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（4）招标文件中要求的技术标评审及技术标评分的支持资料；</w:t>
      </w:r>
    </w:p>
    <w:p w14:paraId="35ED90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（5）投标人认为需要提供的其他技术证明材料；</w:t>
      </w:r>
    </w:p>
    <w:p w14:paraId="20F4A622">
      <w:pPr>
        <w:pageBreakBefore/>
        <w:spacing w:line="440" w:lineRule="exact"/>
        <w:jc w:val="center"/>
        <w:outlineLvl w:val="1"/>
        <w:rPr>
          <w:rFonts w:hint="eastAsia" w:ascii="宋体" w:hAnsi="宋体" w:eastAsia="宋体" w:cs="宋体"/>
          <w:b/>
          <w:color w:val="auto"/>
          <w:sz w:val="24"/>
          <w:highlight w:val="none"/>
        </w:rPr>
      </w:pPr>
      <w:bookmarkStart w:id="220" w:name="_Toc15209"/>
      <w:r>
        <w:rPr>
          <w:rFonts w:hint="eastAsia" w:ascii="宋体" w:hAnsi="宋体" w:eastAsia="宋体" w:cs="宋体"/>
          <w:b/>
          <w:color w:val="auto"/>
          <w:sz w:val="24"/>
          <w:highlight w:val="none"/>
        </w:rPr>
        <w:t>（1）投标响应表</w:t>
      </w:r>
      <w:bookmarkEnd w:id="220"/>
    </w:p>
    <w:p w14:paraId="1991A370">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39A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3780A00">
            <w:pPr>
              <w:pStyle w:val="19"/>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0707ADD9">
            <w:pPr>
              <w:pStyle w:val="19"/>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3AFE31ED">
            <w:pPr>
              <w:pStyle w:val="19"/>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78087AA3">
            <w:pPr>
              <w:pStyle w:val="19"/>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31D52D72">
            <w:pPr>
              <w:pStyle w:val="19"/>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122C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0A481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5F80031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03B26306">
            <w:pPr>
              <w:spacing w:line="440" w:lineRule="exact"/>
              <w:jc w:val="center"/>
              <w:rPr>
                <w:rFonts w:hint="eastAsia" w:ascii="宋体" w:hAnsi="宋体" w:eastAsia="宋体" w:cs="宋体"/>
                <w:color w:val="auto"/>
                <w:sz w:val="24"/>
                <w:highlight w:val="none"/>
              </w:rPr>
            </w:pPr>
          </w:p>
        </w:tc>
        <w:tc>
          <w:tcPr>
            <w:tcW w:w="1510" w:type="pct"/>
            <w:vAlign w:val="center"/>
          </w:tcPr>
          <w:p w14:paraId="056894EB">
            <w:pPr>
              <w:spacing w:line="440" w:lineRule="exact"/>
              <w:jc w:val="center"/>
              <w:rPr>
                <w:rFonts w:hint="eastAsia" w:ascii="宋体" w:hAnsi="宋体" w:eastAsia="宋体" w:cs="宋体"/>
                <w:color w:val="auto"/>
                <w:sz w:val="24"/>
                <w:highlight w:val="none"/>
              </w:rPr>
            </w:pPr>
          </w:p>
        </w:tc>
        <w:tc>
          <w:tcPr>
            <w:tcW w:w="475" w:type="pct"/>
            <w:vAlign w:val="center"/>
          </w:tcPr>
          <w:p w14:paraId="60C5821A">
            <w:pPr>
              <w:spacing w:line="440" w:lineRule="exact"/>
              <w:jc w:val="center"/>
              <w:rPr>
                <w:rFonts w:hint="eastAsia" w:ascii="宋体" w:hAnsi="宋体" w:eastAsia="宋体" w:cs="宋体"/>
                <w:color w:val="auto"/>
                <w:sz w:val="24"/>
                <w:highlight w:val="none"/>
              </w:rPr>
            </w:pPr>
          </w:p>
        </w:tc>
      </w:tr>
      <w:tr w14:paraId="713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A28768F">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35A142F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1EBF488">
            <w:pPr>
              <w:spacing w:line="440" w:lineRule="exact"/>
              <w:jc w:val="center"/>
              <w:rPr>
                <w:rFonts w:hint="eastAsia" w:ascii="宋体" w:hAnsi="宋体" w:eastAsia="宋体" w:cs="宋体"/>
                <w:color w:val="auto"/>
                <w:sz w:val="24"/>
                <w:highlight w:val="none"/>
              </w:rPr>
            </w:pPr>
          </w:p>
        </w:tc>
        <w:tc>
          <w:tcPr>
            <w:tcW w:w="1510" w:type="pct"/>
            <w:vAlign w:val="center"/>
          </w:tcPr>
          <w:p w14:paraId="1B05E402">
            <w:pPr>
              <w:spacing w:line="440" w:lineRule="exact"/>
              <w:jc w:val="center"/>
              <w:rPr>
                <w:rFonts w:hint="eastAsia" w:ascii="宋体" w:hAnsi="宋体" w:eastAsia="宋体" w:cs="宋体"/>
                <w:color w:val="auto"/>
                <w:sz w:val="24"/>
                <w:highlight w:val="none"/>
              </w:rPr>
            </w:pPr>
          </w:p>
        </w:tc>
        <w:tc>
          <w:tcPr>
            <w:tcW w:w="475" w:type="pct"/>
            <w:vAlign w:val="center"/>
          </w:tcPr>
          <w:p w14:paraId="2F79D323">
            <w:pPr>
              <w:spacing w:line="440" w:lineRule="exact"/>
              <w:jc w:val="center"/>
              <w:rPr>
                <w:rFonts w:hint="eastAsia" w:ascii="宋体" w:hAnsi="宋体" w:eastAsia="宋体" w:cs="宋体"/>
                <w:color w:val="auto"/>
                <w:sz w:val="24"/>
                <w:highlight w:val="none"/>
              </w:rPr>
            </w:pPr>
          </w:p>
        </w:tc>
      </w:tr>
      <w:tr w14:paraId="53BE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BE8313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610BBC8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543ADB6A">
            <w:pPr>
              <w:spacing w:line="440" w:lineRule="exact"/>
              <w:jc w:val="center"/>
              <w:rPr>
                <w:rFonts w:hint="eastAsia" w:ascii="宋体" w:hAnsi="宋体" w:eastAsia="宋体" w:cs="宋体"/>
                <w:color w:val="auto"/>
                <w:sz w:val="24"/>
                <w:highlight w:val="none"/>
              </w:rPr>
            </w:pPr>
          </w:p>
        </w:tc>
        <w:tc>
          <w:tcPr>
            <w:tcW w:w="1510" w:type="pct"/>
            <w:vAlign w:val="center"/>
          </w:tcPr>
          <w:p w14:paraId="5F4055A9">
            <w:pPr>
              <w:pStyle w:val="56"/>
              <w:spacing w:line="440" w:lineRule="exact"/>
              <w:jc w:val="center"/>
              <w:rPr>
                <w:rFonts w:hint="eastAsia" w:ascii="宋体" w:hAnsi="宋体" w:eastAsia="宋体" w:cs="宋体"/>
                <w:color w:val="auto"/>
                <w:highlight w:val="none"/>
              </w:rPr>
            </w:pPr>
          </w:p>
        </w:tc>
        <w:tc>
          <w:tcPr>
            <w:tcW w:w="475" w:type="pct"/>
            <w:vAlign w:val="center"/>
          </w:tcPr>
          <w:p w14:paraId="6FF9544A">
            <w:pPr>
              <w:spacing w:line="440" w:lineRule="exact"/>
              <w:jc w:val="center"/>
              <w:rPr>
                <w:rFonts w:hint="eastAsia" w:ascii="宋体" w:hAnsi="宋体" w:eastAsia="宋体" w:cs="宋体"/>
                <w:color w:val="auto"/>
                <w:sz w:val="24"/>
                <w:highlight w:val="none"/>
              </w:rPr>
            </w:pPr>
          </w:p>
        </w:tc>
      </w:tr>
      <w:tr w14:paraId="0AD7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85AFA7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14A643BE">
            <w:pPr>
              <w:spacing w:line="440" w:lineRule="exact"/>
              <w:jc w:val="center"/>
              <w:rPr>
                <w:rFonts w:hint="eastAsia" w:ascii="宋体" w:hAnsi="宋体" w:eastAsia="宋体" w:cs="宋体"/>
                <w:color w:val="auto"/>
                <w:sz w:val="24"/>
                <w:highlight w:val="none"/>
              </w:rPr>
            </w:pPr>
          </w:p>
        </w:tc>
        <w:tc>
          <w:tcPr>
            <w:tcW w:w="1465" w:type="pct"/>
            <w:vAlign w:val="center"/>
          </w:tcPr>
          <w:p w14:paraId="69A14412">
            <w:pPr>
              <w:spacing w:line="440" w:lineRule="exact"/>
              <w:jc w:val="center"/>
              <w:rPr>
                <w:rFonts w:hint="eastAsia" w:ascii="宋体" w:hAnsi="宋体" w:eastAsia="宋体" w:cs="宋体"/>
                <w:color w:val="auto"/>
                <w:sz w:val="24"/>
                <w:highlight w:val="none"/>
              </w:rPr>
            </w:pPr>
          </w:p>
        </w:tc>
        <w:tc>
          <w:tcPr>
            <w:tcW w:w="1510" w:type="pct"/>
            <w:vAlign w:val="center"/>
          </w:tcPr>
          <w:p w14:paraId="5D2847D7">
            <w:pPr>
              <w:spacing w:line="440" w:lineRule="exact"/>
              <w:jc w:val="center"/>
              <w:rPr>
                <w:rFonts w:hint="eastAsia" w:ascii="宋体" w:hAnsi="宋体" w:eastAsia="宋体" w:cs="宋体"/>
                <w:color w:val="auto"/>
                <w:sz w:val="24"/>
                <w:highlight w:val="none"/>
              </w:rPr>
            </w:pPr>
          </w:p>
        </w:tc>
        <w:tc>
          <w:tcPr>
            <w:tcW w:w="475" w:type="pct"/>
            <w:vAlign w:val="center"/>
          </w:tcPr>
          <w:p w14:paraId="355A0845">
            <w:pPr>
              <w:spacing w:line="440" w:lineRule="exact"/>
              <w:jc w:val="center"/>
              <w:rPr>
                <w:rFonts w:hint="eastAsia" w:ascii="宋体" w:hAnsi="宋体" w:eastAsia="宋体" w:cs="宋体"/>
                <w:color w:val="auto"/>
                <w:sz w:val="24"/>
                <w:highlight w:val="none"/>
              </w:rPr>
            </w:pPr>
          </w:p>
        </w:tc>
      </w:tr>
    </w:tbl>
    <w:p w14:paraId="2FC75DB4">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DD30927">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86E1733">
      <w:pPr>
        <w:pStyle w:val="20"/>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221" w:name="_Toc23860"/>
      <w:bookmarkStart w:id="222" w:name="_Toc26536"/>
      <w:bookmarkStart w:id="223" w:name="_Hlk11701496"/>
      <w:r>
        <w:rPr>
          <w:rFonts w:hint="eastAsia" w:ascii="宋体" w:hAnsi="宋体" w:eastAsia="宋体" w:cs="宋体"/>
          <w:color w:val="auto"/>
          <w:sz w:val="24"/>
          <w:highlight w:val="none"/>
        </w:rPr>
        <w:t>（2）诚信履约承诺函</w:t>
      </w:r>
      <w:bookmarkEnd w:id="221"/>
      <w:bookmarkEnd w:id="222"/>
    </w:p>
    <w:p w14:paraId="18F39ED5">
      <w:pPr>
        <w:spacing w:line="440" w:lineRule="exact"/>
        <w:rPr>
          <w:rFonts w:hint="eastAsia" w:ascii="宋体" w:hAnsi="宋体" w:eastAsia="宋体" w:cs="宋体"/>
          <w:b/>
          <w:bCs/>
          <w:color w:val="auto"/>
          <w:sz w:val="24"/>
          <w:highlight w:val="none"/>
        </w:rPr>
      </w:pPr>
    </w:p>
    <w:p w14:paraId="491B4B4B">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65BE4E1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CE9A3B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4B8F562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3D067A18">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E2FFF21">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2980C5F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394C034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08925E">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7AFCD8D6">
      <w:pPr>
        <w:spacing w:line="440" w:lineRule="exact"/>
        <w:rPr>
          <w:rFonts w:hint="eastAsia" w:ascii="宋体" w:hAnsi="宋体" w:eastAsia="宋体" w:cs="宋体"/>
          <w:bCs/>
          <w:color w:val="auto"/>
          <w:sz w:val="24"/>
          <w:highlight w:val="none"/>
        </w:rPr>
      </w:pPr>
    </w:p>
    <w:p w14:paraId="31BA4D54">
      <w:pPr>
        <w:spacing w:line="440" w:lineRule="exact"/>
        <w:rPr>
          <w:rFonts w:hint="eastAsia" w:ascii="宋体" w:hAnsi="宋体" w:eastAsia="宋体" w:cs="宋体"/>
          <w:bCs/>
          <w:color w:val="auto"/>
          <w:sz w:val="24"/>
          <w:highlight w:val="none"/>
        </w:rPr>
      </w:pPr>
    </w:p>
    <w:p w14:paraId="47257FA2">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1AE0FE32">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015DB3D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23"/>
    <w:p w14:paraId="3324268B">
      <w:pPr>
        <w:spacing w:line="440" w:lineRule="exact"/>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三、商务标格式文件</w:t>
      </w:r>
    </w:p>
    <w:p w14:paraId="2C186FC3">
      <w:pPr>
        <w:jc w:val="center"/>
        <w:rPr>
          <w:rFonts w:hint="eastAsia" w:ascii="宋体" w:hAnsi="宋体" w:eastAsia="宋体" w:cs="宋体"/>
          <w:color w:val="auto"/>
          <w:sz w:val="20"/>
          <w:highlight w:val="none"/>
        </w:rPr>
      </w:pPr>
    </w:p>
    <w:p w14:paraId="34F795FE">
      <w:pPr>
        <w:rPr>
          <w:rFonts w:hint="eastAsia" w:ascii="宋体" w:hAnsi="宋体" w:eastAsia="宋体" w:cs="宋体"/>
          <w:color w:val="auto"/>
          <w:sz w:val="20"/>
          <w:highlight w:val="none"/>
        </w:rPr>
      </w:pPr>
    </w:p>
    <w:p w14:paraId="4EEFBEE1">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32C2584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3AB93ECA">
      <w:pPr>
        <w:jc w:val="center"/>
        <w:rPr>
          <w:rFonts w:hint="eastAsia" w:ascii="宋体" w:hAnsi="宋体" w:eastAsia="宋体" w:cs="宋体"/>
          <w:color w:val="auto"/>
          <w:sz w:val="44"/>
          <w:szCs w:val="44"/>
          <w:highlight w:val="none"/>
        </w:rPr>
      </w:pPr>
    </w:p>
    <w:p w14:paraId="0DED4521">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6FCA7ADF">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3D8A347F">
      <w:pPr>
        <w:rPr>
          <w:rFonts w:hint="eastAsia" w:ascii="宋体" w:hAnsi="宋体" w:eastAsia="宋体" w:cs="宋体"/>
          <w:color w:val="auto"/>
          <w:sz w:val="28"/>
          <w:szCs w:val="28"/>
          <w:highlight w:val="none"/>
        </w:rPr>
      </w:pPr>
    </w:p>
    <w:p w14:paraId="0C3CDA01">
      <w:pPr>
        <w:rPr>
          <w:rFonts w:hint="eastAsia" w:ascii="宋体" w:hAnsi="宋体" w:eastAsia="宋体" w:cs="宋体"/>
          <w:color w:val="auto"/>
          <w:sz w:val="28"/>
          <w:szCs w:val="28"/>
          <w:highlight w:val="none"/>
        </w:rPr>
      </w:pPr>
    </w:p>
    <w:p w14:paraId="1D45D43B">
      <w:pPr>
        <w:rPr>
          <w:rFonts w:hint="eastAsia" w:ascii="宋体" w:hAnsi="宋体" w:eastAsia="宋体" w:cs="宋体"/>
          <w:color w:val="auto"/>
          <w:sz w:val="28"/>
          <w:szCs w:val="28"/>
          <w:highlight w:val="none"/>
        </w:rPr>
      </w:pPr>
    </w:p>
    <w:p w14:paraId="4F76FFC4">
      <w:pPr>
        <w:rPr>
          <w:rFonts w:hint="eastAsia" w:ascii="宋体" w:hAnsi="宋体" w:eastAsia="宋体" w:cs="宋体"/>
          <w:color w:val="auto"/>
          <w:sz w:val="28"/>
          <w:szCs w:val="28"/>
          <w:highlight w:val="none"/>
        </w:rPr>
      </w:pPr>
    </w:p>
    <w:p w14:paraId="0E1AF5F5">
      <w:pPr>
        <w:rPr>
          <w:rFonts w:hint="eastAsia" w:ascii="宋体" w:hAnsi="宋体" w:eastAsia="宋体" w:cs="宋体"/>
          <w:color w:val="auto"/>
          <w:sz w:val="28"/>
          <w:szCs w:val="28"/>
          <w:highlight w:val="none"/>
        </w:rPr>
      </w:pPr>
    </w:p>
    <w:p w14:paraId="1B71633D">
      <w:pPr>
        <w:rPr>
          <w:rFonts w:hint="eastAsia" w:ascii="宋体" w:hAnsi="宋体" w:eastAsia="宋体" w:cs="宋体"/>
          <w:color w:val="auto"/>
          <w:sz w:val="28"/>
          <w:szCs w:val="28"/>
          <w:highlight w:val="none"/>
        </w:rPr>
      </w:pPr>
    </w:p>
    <w:p w14:paraId="2A442D69">
      <w:pPr>
        <w:rPr>
          <w:rFonts w:hint="eastAsia" w:ascii="宋体" w:hAnsi="宋体" w:eastAsia="宋体" w:cs="宋体"/>
          <w:color w:val="auto"/>
          <w:sz w:val="28"/>
          <w:szCs w:val="28"/>
          <w:highlight w:val="none"/>
        </w:rPr>
      </w:pPr>
    </w:p>
    <w:p w14:paraId="0D6A1754">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3A72CC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1C68C1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681EB1C">
      <w:pPr>
        <w:spacing w:line="720" w:lineRule="auto"/>
        <w:jc w:val="center"/>
        <w:rPr>
          <w:rFonts w:hint="eastAsia" w:ascii="宋体" w:hAnsi="宋体" w:eastAsia="宋体" w:cs="宋体"/>
          <w:b/>
          <w:color w:val="auto"/>
          <w:sz w:val="36"/>
          <w:szCs w:val="36"/>
          <w:highlight w:val="none"/>
        </w:rPr>
      </w:pPr>
    </w:p>
    <w:p w14:paraId="2A2102B1">
      <w:pPr>
        <w:spacing w:line="400" w:lineRule="exact"/>
        <w:ind w:firstLine="4130" w:firstLineChars="935"/>
        <w:rPr>
          <w:rFonts w:hint="eastAsia" w:ascii="宋体" w:hAnsi="宋体" w:eastAsia="宋体" w:cs="宋体"/>
          <w:b/>
          <w:color w:val="auto"/>
          <w:sz w:val="44"/>
          <w:szCs w:val="44"/>
          <w:highlight w:val="none"/>
        </w:rPr>
      </w:pPr>
    </w:p>
    <w:p w14:paraId="0138141E">
      <w:pPr>
        <w:spacing w:line="400" w:lineRule="exact"/>
        <w:ind w:firstLine="4130" w:firstLineChars="935"/>
        <w:rPr>
          <w:rFonts w:hint="eastAsia" w:ascii="宋体" w:hAnsi="宋体" w:eastAsia="宋体" w:cs="宋体"/>
          <w:b/>
          <w:color w:val="auto"/>
          <w:sz w:val="44"/>
          <w:szCs w:val="44"/>
          <w:highlight w:val="none"/>
        </w:rPr>
      </w:pPr>
    </w:p>
    <w:p w14:paraId="4811A639">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26836F1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05699B1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22280DB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（3）中小企业声明函，残疾人福利性企业（格式见附件）；（如是）</w:t>
      </w:r>
    </w:p>
    <w:p w14:paraId="0E57AAE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）省级以上监狱管理局、戒毒管理局（含新疆生产建设兵团）出具的属于监狱企业的证明（如是）；</w:t>
      </w:r>
    </w:p>
    <w:p w14:paraId="778299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）招标文件商务评审中要求提供的其他相关资料；</w:t>
      </w:r>
    </w:p>
    <w:p w14:paraId="0EED1DA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CCA11ED">
      <w:pPr>
        <w:spacing w:line="440" w:lineRule="exact"/>
        <w:rPr>
          <w:rFonts w:hint="eastAsia" w:ascii="宋体" w:hAnsi="宋体" w:eastAsia="宋体" w:cs="宋体"/>
          <w:color w:val="auto"/>
          <w:sz w:val="24"/>
          <w:szCs w:val="24"/>
          <w:highlight w:val="none"/>
        </w:rPr>
      </w:pPr>
    </w:p>
    <w:p w14:paraId="3BE5F4FC">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（1）开标一览表</w:t>
      </w:r>
      <w:bookmarkEnd w:id="211"/>
      <w:bookmarkEnd w:id="212"/>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196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B632C52">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3E086E9">
            <w:pPr>
              <w:spacing w:line="440" w:lineRule="exact"/>
              <w:jc w:val="center"/>
              <w:rPr>
                <w:rFonts w:hint="eastAsia" w:ascii="宋体" w:hAnsi="宋体" w:eastAsia="宋体" w:cs="宋体"/>
                <w:bCs/>
                <w:color w:val="auto"/>
                <w:sz w:val="24"/>
                <w:highlight w:val="none"/>
                <w:u w:val="single"/>
              </w:rPr>
            </w:pPr>
          </w:p>
        </w:tc>
      </w:tr>
      <w:tr w14:paraId="0639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D31F48E">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69AC53DD">
            <w:pPr>
              <w:spacing w:line="440" w:lineRule="exact"/>
              <w:rPr>
                <w:rFonts w:hint="eastAsia" w:ascii="宋体" w:hAnsi="宋体" w:eastAsia="宋体" w:cs="宋体"/>
                <w:color w:val="auto"/>
                <w:sz w:val="24"/>
                <w:highlight w:val="none"/>
              </w:rPr>
            </w:pPr>
          </w:p>
        </w:tc>
      </w:tr>
      <w:tr w14:paraId="597B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5756EB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608972EF">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7F07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DCD07E5">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59245FC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03C3D69">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5E0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03F3588F">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27B661BD">
            <w:pPr>
              <w:spacing w:line="440" w:lineRule="exact"/>
              <w:jc w:val="left"/>
              <w:rPr>
                <w:rFonts w:hint="eastAsia" w:ascii="宋体" w:hAnsi="宋体" w:eastAsia="宋体" w:cs="宋体"/>
                <w:color w:val="auto"/>
                <w:sz w:val="24"/>
                <w:szCs w:val="28"/>
                <w:highlight w:val="none"/>
              </w:rPr>
            </w:pPr>
          </w:p>
        </w:tc>
      </w:tr>
    </w:tbl>
    <w:p w14:paraId="3BD6BB2C">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6059183">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866A9E7">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115FF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6BEF00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C353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11A93E41">
      <w:pPr>
        <w:spacing w:line="440" w:lineRule="exact"/>
        <w:jc w:val="center"/>
        <w:outlineLvl w:val="1"/>
        <w:rPr>
          <w:rFonts w:hint="eastAsia" w:ascii="宋体" w:hAnsi="宋体" w:eastAsia="宋体" w:cs="宋体"/>
          <w:b/>
          <w:color w:val="auto"/>
          <w:sz w:val="24"/>
          <w:highlight w:val="none"/>
        </w:rPr>
      </w:pPr>
      <w:bookmarkStart w:id="224" w:name="_Toc6120"/>
      <w:bookmarkStart w:id="225" w:name="_Toc6441"/>
      <w:r>
        <w:rPr>
          <w:rFonts w:hint="eastAsia" w:ascii="宋体" w:hAnsi="宋体" w:eastAsia="宋体" w:cs="宋体"/>
          <w:b/>
          <w:color w:val="auto"/>
          <w:sz w:val="24"/>
          <w:highlight w:val="none"/>
        </w:rPr>
        <w:t>（2）投标函</w:t>
      </w:r>
      <w:bookmarkEnd w:id="224"/>
      <w:bookmarkEnd w:id="225"/>
    </w:p>
    <w:p w14:paraId="50DFF027">
      <w:pPr>
        <w:pStyle w:val="2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5575CC5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57EF0AE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210036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718B194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518F44D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0D4C1B5">
      <w:pPr>
        <w:spacing w:line="440" w:lineRule="exact"/>
        <w:ind w:firstLine="4800" w:firstLineChars="2000"/>
        <w:rPr>
          <w:rFonts w:hint="eastAsia" w:ascii="宋体" w:hAnsi="宋体" w:eastAsia="宋体" w:cs="宋体"/>
          <w:color w:val="auto"/>
          <w:sz w:val="24"/>
          <w:highlight w:val="none"/>
        </w:rPr>
      </w:pPr>
    </w:p>
    <w:p w14:paraId="4A8A8C9E">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BDAFA07">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D152E9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u w:val="single"/>
        </w:rPr>
        <w:br w:type="page"/>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）中小企业声明函</w:t>
      </w:r>
    </w:p>
    <w:p w14:paraId="3D7EFA58">
      <w:pPr>
        <w:rPr>
          <w:rFonts w:hint="eastAsia" w:ascii="宋体" w:hAnsi="宋体" w:eastAsia="宋体" w:cs="宋体"/>
          <w:color w:val="auto"/>
          <w:sz w:val="24"/>
          <w:szCs w:val="24"/>
          <w:highlight w:val="none"/>
        </w:rPr>
      </w:pPr>
    </w:p>
    <w:p w14:paraId="032C669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89E08F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6FA9A1E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511AF02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6848C8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E68E9D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416C32D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rPr>
      </w:pPr>
    </w:p>
    <w:p w14:paraId="1506F264">
      <w:pPr>
        <w:keepNext w:val="0"/>
        <w:keepLines w:val="0"/>
        <w:pageBreakBefore w:val="0"/>
        <w:widowControl w:val="0"/>
        <w:kinsoku/>
        <w:wordWrap/>
        <w:overflowPunct/>
        <w:topLinePunct w:val="0"/>
        <w:autoSpaceDE/>
        <w:autoSpaceDN/>
        <w:bidi w:val="0"/>
        <w:adjustRightInd/>
        <w:snapToGrid/>
        <w:spacing w:line="42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699EB3">
      <w:pPr>
        <w:keepNext w:val="0"/>
        <w:keepLines w:val="0"/>
        <w:pageBreakBefore w:val="0"/>
        <w:widowControl w:val="0"/>
        <w:tabs>
          <w:tab w:val="left" w:pos="4620"/>
        </w:tabs>
        <w:kinsoku/>
        <w:wordWrap/>
        <w:overflowPunct/>
        <w:topLinePunct w:val="0"/>
        <w:autoSpaceDE/>
        <w:autoSpaceDN/>
        <w:bidi w:val="0"/>
        <w:adjustRightInd/>
        <w:snapToGrid/>
        <w:spacing w:line="42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32A7A03">
      <w:pPr>
        <w:tabs>
          <w:tab w:val="left" w:pos="4620"/>
        </w:tabs>
        <w:spacing w:line="360" w:lineRule="auto"/>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5DE999AE">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2564749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AFF5785">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08FCCEBE">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65F22B2">
      <w:pPr>
        <w:tabs>
          <w:tab w:val="left" w:pos="4620"/>
        </w:tabs>
        <w:spacing w:line="360" w:lineRule="auto"/>
        <w:jc w:val="left"/>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037E903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）残疾人福利性单位声明函</w:t>
      </w:r>
    </w:p>
    <w:p w14:paraId="178F87D5">
      <w:pPr>
        <w:pStyle w:val="12"/>
        <w:jc w:val="center"/>
        <w:rPr>
          <w:rFonts w:hint="eastAsia" w:ascii="宋体" w:hAnsi="宋体" w:eastAsia="宋体" w:cs="宋体"/>
          <w:i/>
          <w:color w:val="auto"/>
          <w:sz w:val="24"/>
          <w:highlight w:val="none"/>
          <w:lang w:val="en-US"/>
        </w:rPr>
      </w:pPr>
      <w:r>
        <w:rPr>
          <w:rFonts w:hint="eastAsia" w:ascii="宋体" w:hAnsi="宋体" w:eastAsia="宋体" w:cs="宋体"/>
          <w:i/>
          <w:color w:val="auto"/>
          <w:sz w:val="24"/>
          <w:highlight w:val="none"/>
          <w:lang w:val="en-US"/>
        </w:rPr>
        <w:t>（非残疾人福利性单位投标，请删去“残疾人福利性单位声明函”）</w:t>
      </w:r>
    </w:p>
    <w:p w14:paraId="2D267FB5">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6C92AECD">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9AA433A">
      <w:pPr>
        <w:spacing w:line="360" w:lineRule="auto"/>
        <w:ind w:firstLine="4228" w:firstLineChars="1762"/>
        <w:rPr>
          <w:rFonts w:hint="eastAsia" w:ascii="宋体" w:hAnsi="宋体" w:eastAsia="宋体" w:cs="宋体"/>
          <w:color w:val="auto"/>
          <w:sz w:val="24"/>
          <w:szCs w:val="24"/>
          <w:highlight w:val="none"/>
        </w:rPr>
      </w:pPr>
    </w:p>
    <w:p w14:paraId="18C07AAB">
      <w:pPr>
        <w:spacing w:line="360" w:lineRule="auto"/>
        <w:ind w:firstLine="4228" w:firstLineChars="1762"/>
        <w:rPr>
          <w:rFonts w:hint="eastAsia" w:ascii="宋体" w:hAnsi="宋体" w:eastAsia="宋体" w:cs="宋体"/>
          <w:color w:val="auto"/>
          <w:sz w:val="24"/>
          <w:szCs w:val="24"/>
          <w:highlight w:val="none"/>
        </w:rPr>
      </w:pPr>
    </w:p>
    <w:p w14:paraId="73CADE81">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42975FC">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1C95224">
      <w:pPr>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br w:type="page"/>
      </w:r>
    </w:p>
    <w:p w14:paraId="56B8691C">
      <w:pPr>
        <w:spacing w:line="360" w:lineRule="auto"/>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第七章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13"/>
      <w:bookmarkEnd w:id="214"/>
    </w:p>
    <w:p w14:paraId="610F28DA">
      <w:pPr>
        <w:spacing w:line="360" w:lineRule="auto"/>
        <w:jc w:val="center"/>
        <w:outlineLvl w:val="1"/>
        <w:rPr>
          <w:rFonts w:hint="eastAsia" w:ascii="宋体" w:hAnsi="宋体" w:eastAsia="宋体" w:cs="宋体"/>
          <w:b/>
          <w:bCs/>
          <w:color w:val="auto"/>
          <w:sz w:val="32"/>
          <w:szCs w:val="44"/>
          <w:highlight w:val="none"/>
        </w:rPr>
      </w:pPr>
      <w:bookmarkStart w:id="226" w:name="_Toc27159"/>
      <w:bookmarkStart w:id="227" w:name="_Toc6955"/>
      <w:bookmarkStart w:id="228" w:name="_Toc24558"/>
      <w:r>
        <w:rPr>
          <w:rFonts w:hint="eastAsia" w:ascii="宋体" w:hAnsi="宋体" w:eastAsia="宋体" w:cs="宋体"/>
          <w:b/>
          <w:bCs/>
          <w:color w:val="auto"/>
          <w:sz w:val="32"/>
          <w:szCs w:val="44"/>
          <w:highlight w:val="none"/>
        </w:rPr>
        <w:t>询问函范本</w:t>
      </w:r>
      <w:bookmarkEnd w:id="226"/>
      <w:bookmarkEnd w:id="227"/>
      <w:bookmarkEnd w:id="228"/>
    </w:p>
    <w:p w14:paraId="7D9A4FC1">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046FDFE3">
      <w:pPr>
        <w:adjustRightInd w:val="0"/>
        <w:snapToGrid w:val="0"/>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7579E2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rPr>
        <w:t>项目名称、编号</w:t>
      </w:r>
      <w:r>
        <w:rPr>
          <w:rFonts w:hint="eastAsia" w:ascii="宋体" w:hAnsi="宋体" w:eastAsia="宋体" w:cs="宋体"/>
          <w:color w:val="auto"/>
          <w:sz w:val="24"/>
          <w:szCs w:val="24"/>
          <w:highlight w:val="none"/>
        </w:rPr>
        <w:t>）的采购活动，现有以下内容(或条款)存在疑问(或无法理解)，特提出询问。</w:t>
      </w:r>
    </w:p>
    <w:p w14:paraId="327DF85F">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229" w:name="_Toc13899"/>
      <w:r>
        <w:rPr>
          <w:rFonts w:hint="eastAsia" w:ascii="宋体" w:hAnsi="宋体" w:eastAsia="宋体" w:cs="宋体"/>
          <w:color w:val="auto"/>
          <w:sz w:val="24"/>
          <w:szCs w:val="24"/>
          <w:highlight w:val="none"/>
        </w:rPr>
        <w:t>一、(事项一)</w:t>
      </w:r>
      <w:bookmarkEnd w:id="229"/>
    </w:p>
    <w:p w14:paraId="1827A4B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91359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7D7C6E3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029E8F4C">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230" w:name="_Toc3352"/>
      <w:r>
        <w:rPr>
          <w:rFonts w:hint="eastAsia" w:ascii="宋体" w:hAnsi="宋体" w:eastAsia="宋体" w:cs="宋体"/>
          <w:color w:val="auto"/>
          <w:sz w:val="24"/>
          <w:szCs w:val="24"/>
          <w:highlight w:val="none"/>
        </w:rPr>
        <w:t>二、(事项二)</w:t>
      </w:r>
      <w:bookmarkEnd w:id="230"/>
    </w:p>
    <w:p w14:paraId="4F2F27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D86ED3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5243888B">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7F79C2F">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58E6E516">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E432C37">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278FD34D">
      <w:pPr>
        <w:jc w:val="center"/>
        <w:outlineLvl w:val="1"/>
        <w:rPr>
          <w:rFonts w:hint="eastAsia" w:ascii="宋体" w:hAnsi="宋体" w:eastAsia="宋体" w:cs="宋体"/>
          <w:b/>
          <w:bCs/>
          <w:color w:val="auto"/>
          <w:sz w:val="32"/>
          <w:szCs w:val="44"/>
          <w:highlight w:val="none"/>
        </w:rPr>
      </w:pPr>
      <w:bookmarkStart w:id="231" w:name="_Toc1575"/>
      <w:bookmarkStart w:id="232" w:name="_Toc857"/>
      <w:bookmarkStart w:id="233" w:name="_Toc14218"/>
      <w:r>
        <w:rPr>
          <w:rFonts w:hint="eastAsia" w:ascii="宋体" w:hAnsi="宋体" w:eastAsia="宋体" w:cs="宋体"/>
          <w:b/>
          <w:bCs/>
          <w:color w:val="auto"/>
          <w:sz w:val="32"/>
          <w:szCs w:val="44"/>
          <w:highlight w:val="none"/>
        </w:rPr>
        <w:t>质疑函范本</w:t>
      </w:r>
      <w:bookmarkEnd w:id="231"/>
      <w:bookmarkEnd w:id="232"/>
      <w:bookmarkEnd w:id="233"/>
    </w:p>
    <w:p w14:paraId="07DEA8DE">
      <w:pPr>
        <w:adjustRightInd w:val="0"/>
        <w:snapToGrid w:val="0"/>
        <w:spacing w:before="312" w:beforeLines="100" w:line="360" w:lineRule="auto"/>
        <w:rPr>
          <w:rFonts w:hint="eastAsia" w:ascii="宋体" w:hAnsi="宋体" w:eastAsia="宋体" w:cs="宋体"/>
          <w:b/>
          <w:bCs/>
          <w:color w:val="auto"/>
          <w:sz w:val="24"/>
          <w:szCs w:val="24"/>
          <w:highlight w:val="none"/>
        </w:rPr>
      </w:pPr>
      <w:bookmarkStart w:id="234" w:name="_Toc21381"/>
      <w:r>
        <w:rPr>
          <w:rFonts w:hint="eastAsia" w:ascii="宋体" w:hAnsi="宋体" w:eastAsia="宋体" w:cs="宋体"/>
          <w:b/>
          <w:bCs/>
          <w:color w:val="auto"/>
          <w:sz w:val="24"/>
          <w:szCs w:val="24"/>
          <w:highlight w:val="none"/>
        </w:rPr>
        <w:t>一、质疑供应商基本信息</w:t>
      </w:r>
      <w:bookmarkEnd w:id="234"/>
    </w:p>
    <w:p w14:paraId="767532D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6CE869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5257A2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DE2FF3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7C6B286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74842DC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B1E1BAC">
      <w:pPr>
        <w:adjustRightInd w:val="0"/>
        <w:snapToGrid w:val="0"/>
        <w:spacing w:line="360" w:lineRule="auto"/>
        <w:rPr>
          <w:rFonts w:hint="eastAsia" w:ascii="宋体" w:hAnsi="宋体" w:eastAsia="宋体" w:cs="宋体"/>
          <w:b/>
          <w:bCs/>
          <w:color w:val="auto"/>
          <w:sz w:val="24"/>
          <w:szCs w:val="24"/>
          <w:highlight w:val="none"/>
        </w:rPr>
      </w:pPr>
      <w:bookmarkStart w:id="235" w:name="_Toc28415"/>
      <w:r>
        <w:rPr>
          <w:rFonts w:hint="eastAsia" w:ascii="宋体" w:hAnsi="宋体" w:eastAsia="宋体" w:cs="宋体"/>
          <w:b/>
          <w:bCs/>
          <w:color w:val="auto"/>
          <w:sz w:val="24"/>
          <w:szCs w:val="24"/>
          <w:highlight w:val="none"/>
        </w:rPr>
        <w:t>二、质疑项目基本情况</w:t>
      </w:r>
      <w:bookmarkEnd w:id="235"/>
    </w:p>
    <w:p w14:paraId="683A07D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0D7CB2F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40EA07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0C4BC1B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27B85448">
      <w:pPr>
        <w:adjustRightInd w:val="0"/>
        <w:snapToGrid w:val="0"/>
        <w:spacing w:line="360" w:lineRule="auto"/>
        <w:rPr>
          <w:rFonts w:hint="eastAsia" w:ascii="宋体" w:hAnsi="宋体" w:eastAsia="宋体" w:cs="宋体"/>
          <w:b/>
          <w:bCs/>
          <w:color w:val="auto"/>
          <w:sz w:val="24"/>
          <w:szCs w:val="24"/>
          <w:highlight w:val="none"/>
        </w:rPr>
      </w:pPr>
      <w:bookmarkStart w:id="236" w:name="_Toc19014"/>
      <w:r>
        <w:rPr>
          <w:rFonts w:hint="eastAsia" w:ascii="宋体" w:hAnsi="宋体" w:eastAsia="宋体" w:cs="宋体"/>
          <w:b/>
          <w:bCs/>
          <w:color w:val="auto"/>
          <w:sz w:val="24"/>
          <w:szCs w:val="24"/>
          <w:highlight w:val="none"/>
        </w:rPr>
        <w:t>三、质疑事项具体内容</w:t>
      </w:r>
      <w:bookmarkEnd w:id="236"/>
    </w:p>
    <w:p w14:paraId="4D3EA1D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71499B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379F70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A4014E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C8FFDC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C726CA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D741B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D4DFF0">
      <w:pPr>
        <w:adjustRightInd w:val="0"/>
        <w:snapToGrid w:val="0"/>
        <w:spacing w:line="360" w:lineRule="auto"/>
        <w:rPr>
          <w:rFonts w:hint="eastAsia" w:ascii="宋体" w:hAnsi="宋体" w:eastAsia="宋体" w:cs="宋体"/>
          <w:b/>
          <w:bCs/>
          <w:color w:val="auto"/>
          <w:sz w:val="24"/>
          <w:szCs w:val="24"/>
          <w:highlight w:val="none"/>
        </w:rPr>
      </w:pPr>
      <w:bookmarkStart w:id="237" w:name="_Toc17919"/>
      <w:r>
        <w:rPr>
          <w:rFonts w:hint="eastAsia" w:ascii="宋体" w:hAnsi="宋体" w:eastAsia="宋体" w:cs="宋体"/>
          <w:b/>
          <w:bCs/>
          <w:color w:val="auto"/>
          <w:sz w:val="24"/>
          <w:szCs w:val="24"/>
          <w:highlight w:val="none"/>
        </w:rPr>
        <w:t>四、与质疑事项相关的质疑请求</w:t>
      </w:r>
      <w:bookmarkEnd w:id="237"/>
    </w:p>
    <w:p w14:paraId="653B8F6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82AE8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213D8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CBDEFD4">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F9A4EBF">
      <w:pPr>
        <w:outlineLvl w:val="0"/>
        <w:rPr>
          <w:rFonts w:hint="eastAsia" w:ascii="宋体" w:hAnsi="宋体" w:eastAsia="宋体" w:cs="宋体"/>
          <w:b/>
          <w:color w:val="auto"/>
          <w:sz w:val="28"/>
          <w:szCs w:val="32"/>
          <w:highlight w:val="none"/>
        </w:rPr>
      </w:pPr>
      <w:bookmarkStart w:id="238" w:name="_Toc22239"/>
      <w:bookmarkStart w:id="239" w:name="_Toc31614"/>
      <w:bookmarkStart w:id="240" w:name="_Toc9754"/>
      <w:r>
        <w:rPr>
          <w:rFonts w:hint="eastAsia" w:ascii="宋体" w:hAnsi="宋体" w:eastAsia="宋体" w:cs="宋体"/>
          <w:b/>
          <w:color w:val="auto"/>
          <w:sz w:val="28"/>
          <w:szCs w:val="32"/>
          <w:highlight w:val="none"/>
        </w:rPr>
        <w:t>质疑函制作说明：</w:t>
      </w:r>
      <w:bookmarkEnd w:id="238"/>
      <w:bookmarkEnd w:id="239"/>
      <w:bookmarkEnd w:id="240"/>
    </w:p>
    <w:p w14:paraId="0EA8A93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EE236F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40F23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227305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EF7DBF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F7172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5F5A32">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p>
    <w:p w14:paraId="15ED85FE">
      <w:pPr>
        <w:jc w:val="center"/>
        <w:rPr>
          <w:rFonts w:hint="eastAsia" w:ascii="宋体" w:hAnsi="宋体" w:eastAsia="宋体" w:cs="宋体"/>
          <w:b/>
          <w:color w:val="auto"/>
          <w:sz w:val="28"/>
          <w:szCs w:val="28"/>
          <w:highlight w:val="none"/>
          <w:lang w:bidi="ar"/>
        </w:rPr>
      </w:pPr>
      <w:bookmarkStart w:id="241" w:name="_Toc95223548"/>
      <w:r>
        <w:rPr>
          <w:rFonts w:hint="eastAsia" w:ascii="宋体" w:hAnsi="宋体" w:eastAsia="宋体" w:cs="宋体"/>
          <w:color w:val="auto"/>
          <w:sz w:val="36"/>
          <w:szCs w:val="28"/>
          <w:highlight w:val="none"/>
        </w:rPr>
        <w:t xml:space="preserve">附件1 </w:t>
      </w:r>
      <w:bookmarkEnd w:id="241"/>
      <w:r>
        <w:rPr>
          <w:rFonts w:hint="eastAsia" w:ascii="宋体" w:hAnsi="宋体" w:eastAsia="宋体" w:cs="宋体"/>
          <w:b/>
          <w:color w:val="auto"/>
          <w:sz w:val="28"/>
          <w:szCs w:val="28"/>
          <w:highlight w:val="none"/>
          <w:lang w:bidi="ar"/>
        </w:rPr>
        <w:t>关于联合惩戒失信行为加强信用查询管理的通知</w:t>
      </w:r>
    </w:p>
    <w:p w14:paraId="0F18A3B1">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0E485E7F">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在我市公共资源交易活动中对存在下列失信行为的投标人、法定代表人及其项目经理（建造师）实施联合惩戒，禁止参与我市公共资源交易活动。</w:t>
      </w:r>
    </w:p>
    <w:p w14:paraId="6C3438AC">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（一）工程建设项目</w:t>
      </w:r>
    </w:p>
    <w:p w14:paraId="3BC3C0B2">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1、“信用中国”网站（www.creditchina.gov.cn）查询</w:t>
      </w:r>
      <w:bookmarkStart w:id="242" w:name="OLE_LINK91"/>
      <w:bookmarkStart w:id="243" w:name="OLE_LINK103"/>
      <w:bookmarkStart w:id="244" w:name="OLE_LINK92"/>
      <w:bookmarkStart w:id="245" w:name="OLE_LINK93"/>
      <w:r>
        <w:rPr>
          <w:rFonts w:hint="eastAsia" w:ascii="宋体" w:hAnsi="宋体" w:eastAsia="宋体" w:cs="宋体"/>
          <w:color w:val="auto"/>
          <w:sz w:val="24"/>
          <w:szCs w:val="24"/>
          <w:highlight w:val="none"/>
        </w:rPr>
        <w:t>投标人、法定代表人及其项目经理(建造师)</w:t>
      </w:r>
      <w:bookmarkEnd w:id="242"/>
      <w:bookmarkEnd w:id="243"/>
      <w:bookmarkEnd w:id="244"/>
      <w:bookmarkEnd w:id="245"/>
      <w:r>
        <w:rPr>
          <w:rFonts w:hint="eastAsia" w:ascii="宋体" w:hAnsi="宋体" w:eastAsia="宋体" w:cs="宋体"/>
          <w:color w:val="auto"/>
          <w:sz w:val="24"/>
          <w:szCs w:val="24"/>
          <w:highlight w:val="none"/>
        </w:rPr>
        <w:t>以下失信行为：</w:t>
      </w:r>
    </w:p>
    <w:p w14:paraId="09225A3F">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46" w:name="OLE_LINK87"/>
      <w:bookmarkStart w:id="247" w:name="OLE_LINK86"/>
      <w:bookmarkStart w:id="248" w:name="OLE_LINK3"/>
      <w:bookmarkStart w:id="249" w:name="OLE_LINK94"/>
      <w:bookmarkStart w:id="250" w:name="OLE_LINK119"/>
      <w:r>
        <w:rPr>
          <w:rFonts w:hint="eastAsia" w:ascii="宋体" w:hAnsi="宋体" w:eastAsia="宋体" w:cs="宋体"/>
          <w:color w:val="auto"/>
          <w:sz w:val="24"/>
          <w:szCs w:val="24"/>
          <w:highlight w:val="none"/>
        </w:rPr>
        <w:t>①被列入“失信被执行人”的;</w:t>
      </w:r>
    </w:p>
    <w:p w14:paraId="49D9345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w:t>
      </w:r>
      <w:bookmarkStart w:id="251" w:name="OLE_LINK116"/>
      <w:bookmarkStart w:id="252" w:name="OLE_LINK115"/>
      <w:bookmarkStart w:id="253" w:name="OLE_LINK117"/>
      <w:bookmarkStart w:id="254" w:name="OLE_LINK118"/>
      <w:r>
        <w:rPr>
          <w:rFonts w:hint="eastAsia" w:ascii="宋体" w:hAnsi="宋体" w:eastAsia="宋体" w:cs="宋体"/>
          <w:color w:val="auto"/>
          <w:sz w:val="24"/>
          <w:szCs w:val="24"/>
          <w:highlight w:val="none"/>
        </w:rPr>
        <w:t>“重大税收违法失信主体”</w:t>
      </w:r>
      <w:bookmarkEnd w:id="251"/>
      <w:bookmarkEnd w:id="252"/>
      <w:bookmarkEnd w:id="253"/>
      <w:bookmarkEnd w:id="254"/>
      <w:r>
        <w:rPr>
          <w:rFonts w:hint="eastAsia" w:ascii="宋体" w:hAnsi="宋体" w:eastAsia="宋体" w:cs="宋体"/>
          <w:color w:val="auto"/>
          <w:sz w:val="24"/>
          <w:szCs w:val="24"/>
          <w:highlight w:val="none"/>
        </w:rPr>
        <w:t>的；</w:t>
      </w:r>
    </w:p>
    <w:p w14:paraId="1D30B616">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55" w:name="OLE_LINK2"/>
      <w:bookmarkStart w:id="256" w:name="OLE_LINK1"/>
      <w:r>
        <w:rPr>
          <w:rFonts w:hint="eastAsia" w:ascii="宋体" w:hAnsi="宋体" w:eastAsia="宋体" w:cs="宋体"/>
          <w:color w:val="auto"/>
          <w:sz w:val="24"/>
          <w:szCs w:val="24"/>
          <w:highlight w:val="none"/>
        </w:rPr>
        <w:t>③被列入“拖欠</w:t>
      </w:r>
      <w:bookmarkStart w:id="257" w:name="OLE_LINK85"/>
      <w:bookmarkStart w:id="258" w:name="OLE_LINK84"/>
      <w:r>
        <w:rPr>
          <w:rFonts w:hint="eastAsia" w:ascii="宋体" w:hAnsi="宋体" w:eastAsia="宋体" w:cs="宋体"/>
          <w:color w:val="auto"/>
          <w:sz w:val="24"/>
          <w:szCs w:val="24"/>
          <w:highlight w:val="none"/>
        </w:rPr>
        <w:t>农民工工资失信联合惩戒对象</w:t>
      </w:r>
      <w:bookmarkEnd w:id="257"/>
      <w:bookmarkEnd w:id="258"/>
      <w:r>
        <w:rPr>
          <w:rFonts w:hint="eastAsia" w:ascii="宋体" w:hAnsi="宋体" w:eastAsia="宋体" w:cs="宋体"/>
          <w:color w:val="auto"/>
          <w:sz w:val="24"/>
          <w:szCs w:val="24"/>
          <w:highlight w:val="none"/>
        </w:rPr>
        <w:t>名单”的；</w:t>
      </w:r>
      <w:bookmarkEnd w:id="255"/>
      <w:bookmarkEnd w:id="256"/>
    </w:p>
    <w:p w14:paraId="75D9DCF7">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20FBC307">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bookmarkEnd w:id="246"/>
    <w:bookmarkEnd w:id="247"/>
    <w:bookmarkEnd w:id="248"/>
    <w:bookmarkEnd w:id="249"/>
    <w:bookmarkEnd w:id="250"/>
    <w:p w14:paraId="6EB9D11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59" w:name="OLE_LINK130"/>
      <w:r>
        <w:rPr>
          <w:rFonts w:hint="eastAsia" w:ascii="宋体" w:hAnsi="宋体" w:eastAsia="宋体" w:cs="宋体"/>
          <w:color w:val="auto"/>
          <w:sz w:val="24"/>
          <w:szCs w:val="24"/>
          <w:highlight w:val="none"/>
        </w:rPr>
        <w:t>国家企业信用信息公示系统网站</w:t>
      </w:r>
      <w:bookmarkEnd w:id="25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bookmarkStart w:id="260" w:name="OLE_LINK90"/>
      <w:bookmarkStart w:id="261" w:name="OLE_LINK89"/>
      <w:r>
        <w:rPr>
          <w:rStyle w:val="39"/>
          <w:rFonts w:hint="eastAsia" w:ascii="宋体" w:hAnsi="宋体" w:eastAsia="宋体" w:cs="宋体"/>
          <w:color w:val="auto"/>
          <w:sz w:val="24"/>
          <w:szCs w:val="24"/>
          <w:highlight w:val="none"/>
        </w:rPr>
        <w:t>www.gsxt.gov.cn</w:t>
      </w:r>
      <w:bookmarkEnd w:id="260"/>
      <w:bookmarkEnd w:id="261"/>
      <w:r>
        <w:rPr>
          <w:rStyle w:val="39"/>
          <w:rFonts w:hint="eastAsia" w:ascii="宋体" w:hAnsi="宋体" w:eastAsia="宋体" w:cs="宋体"/>
          <w:color w:val="auto"/>
          <w:sz w:val="24"/>
          <w:szCs w:val="24"/>
          <w:highlight w:val="none"/>
        </w:rPr>
        <w:t>）</w:t>
      </w:r>
      <w:r>
        <w:rPr>
          <w:rStyle w:val="39"/>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查询投标人以下失信行为：</w:t>
      </w:r>
    </w:p>
    <w:p w14:paraId="1AB6A47C">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62" w:name="OLE_LINK120"/>
      <w:bookmarkStart w:id="263" w:name="OLE_LINK121"/>
      <w:bookmarkStart w:id="264" w:name="OLE_LINK122"/>
      <w:r>
        <w:rPr>
          <w:rFonts w:hint="eastAsia" w:ascii="宋体" w:hAnsi="宋体" w:eastAsia="宋体" w:cs="宋体"/>
          <w:color w:val="auto"/>
          <w:sz w:val="24"/>
          <w:szCs w:val="24"/>
          <w:highlight w:val="none"/>
        </w:rPr>
        <w:t>①</w:t>
      </w:r>
      <w:bookmarkStart w:id="265" w:name="OLE_LINK113"/>
      <w:bookmarkStart w:id="266" w:name="OLE_LINK114"/>
      <w:r>
        <w:rPr>
          <w:rFonts w:hint="eastAsia" w:ascii="宋体" w:hAnsi="宋体" w:eastAsia="宋体" w:cs="宋体"/>
          <w:color w:val="auto"/>
          <w:sz w:val="24"/>
          <w:szCs w:val="24"/>
          <w:highlight w:val="none"/>
        </w:rPr>
        <w:t>被列入“经营异常名录”或者“严重违法失信名单”的</w:t>
      </w:r>
      <w:bookmarkEnd w:id="265"/>
      <w:bookmarkEnd w:id="266"/>
      <w:r>
        <w:rPr>
          <w:rFonts w:hint="eastAsia" w:ascii="宋体" w:hAnsi="宋体" w:eastAsia="宋体" w:cs="宋体"/>
          <w:color w:val="auto"/>
          <w:sz w:val="24"/>
          <w:szCs w:val="24"/>
          <w:highlight w:val="none"/>
        </w:rPr>
        <w:t>。</w:t>
      </w:r>
      <w:bookmarkEnd w:id="262"/>
      <w:bookmarkEnd w:id="263"/>
      <w:bookmarkEnd w:id="264"/>
    </w:p>
    <w:p w14:paraId="1C6F316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w:t>
      </w:r>
      <w:r>
        <w:rPr>
          <w:rFonts w:hint="eastAsia" w:ascii="宋体" w:hAnsi="宋体" w:eastAsia="宋体" w:cs="宋体"/>
          <w:color w:val="auto"/>
          <w:kern w:val="0"/>
          <w:sz w:val="24"/>
          <w:szCs w:val="24"/>
          <w:highlight w:val="none"/>
        </w:rPr>
        <w:t>投标人、法定代表人及其项目经理(建造师)</w:t>
      </w:r>
      <w:r>
        <w:rPr>
          <w:rFonts w:hint="eastAsia" w:ascii="宋体" w:hAnsi="宋体" w:eastAsia="宋体" w:cs="宋体"/>
          <w:color w:val="auto"/>
          <w:sz w:val="24"/>
          <w:szCs w:val="24"/>
          <w:highlight w:val="none"/>
        </w:rPr>
        <w:t>进行承诺，不进行现场网上信用查询的失信行为：</w:t>
      </w:r>
    </w:p>
    <w:p w14:paraId="19678F2D">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67" w:name="OLE_LINK123"/>
      <w:bookmarkStart w:id="268" w:name="OLE_LINK124"/>
      <w:r>
        <w:rPr>
          <w:rFonts w:hint="eastAsia" w:ascii="宋体" w:hAnsi="宋体" w:eastAsia="宋体" w:cs="宋体"/>
          <w:color w:val="auto"/>
          <w:sz w:val="24"/>
          <w:szCs w:val="24"/>
          <w:highlight w:val="none"/>
        </w:rPr>
        <w:t>①前三年有行贿犯罪行为的单位和个人；</w:t>
      </w:r>
    </w:p>
    <w:p w14:paraId="080989A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②被滁州市县两级公管部门取消在一定期限内的投标资格且在取消期限内的；</w:t>
      </w:r>
    </w:p>
    <w:p w14:paraId="6B511AF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③被滁州市县两级各行业主管部门取消在一定期限内的投标资格且在取消期限内的；</w:t>
      </w:r>
    </w:p>
    <w:p w14:paraId="139291FD">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④因拖欠农民工工资被</w:t>
      </w:r>
      <w:bookmarkStart w:id="269" w:name="OLE_LINK108"/>
      <w:bookmarkStart w:id="270" w:name="OLE_LINK107"/>
      <w:r>
        <w:rPr>
          <w:rFonts w:hint="eastAsia" w:ascii="宋体" w:hAnsi="宋体" w:eastAsia="宋体" w:cs="宋体"/>
          <w:color w:val="auto"/>
          <w:sz w:val="24"/>
          <w:szCs w:val="24"/>
          <w:highlight w:val="none"/>
        </w:rPr>
        <w:t>县级及以上有关行政主管部门限制投标资格且在限制期限内的</w:t>
      </w:r>
      <w:bookmarkEnd w:id="269"/>
      <w:bookmarkEnd w:id="270"/>
      <w:r>
        <w:rPr>
          <w:rFonts w:hint="eastAsia" w:ascii="宋体" w:hAnsi="宋体" w:eastAsia="宋体" w:cs="宋体"/>
          <w:color w:val="auto"/>
          <w:sz w:val="24"/>
          <w:szCs w:val="24"/>
          <w:highlight w:val="none"/>
        </w:rPr>
        <w:t>；</w:t>
      </w:r>
    </w:p>
    <w:p w14:paraId="6932D0D7">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67"/>
    <w:bookmarkEnd w:id="268"/>
    <w:p w14:paraId="5F40E35C">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（二）政府采购项目</w:t>
      </w:r>
    </w:p>
    <w:p w14:paraId="6CED7F5E">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t>
      </w:r>
      <w:r>
        <w:rPr>
          <w:rStyle w:val="39"/>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t>）查询供应商、法定代表人及其项目负责人以下失信行为：</w:t>
      </w:r>
    </w:p>
    <w:p w14:paraId="67A4EF37">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2A964E3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②被列入“重大税收违法失信主体”的；</w:t>
      </w:r>
    </w:p>
    <w:p w14:paraId="7C96D59D">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 “严重失信主体名单”的；</w:t>
      </w:r>
    </w:p>
    <w:p w14:paraId="00A35D1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④在“信用中国”网站上披露的仍在公示期的严重失信行为(具体行为类别及判定依据见附件2)的。</w:t>
      </w:r>
    </w:p>
    <w:p w14:paraId="00F8F224">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2、国家企业信用信息公示系统网站（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www.gsxt.gov.cn）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查询供应商以下失信行为：</w:t>
      </w:r>
    </w:p>
    <w:p w14:paraId="281AF8E0">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271" w:name="OLE_LINK101"/>
      <w:bookmarkStart w:id="272" w:name="OLE_LINK102"/>
      <w:bookmarkStart w:id="273" w:name="OLE_LINK100"/>
      <w:r>
        <w:rPr>
          <w:rFonts w:hint="eastAsia" w:ascii="宋体" w:hAnsi="宋体" w:eastAsia="宋体" w:cs="宋体"/>
          <w:color w:val="auto"/>
          <w:sz w:val="24"/>
          <w:szCs w:val="24"/>
          <w:highlight w:val="none"/>
        </w:rPr>
        <w:t>被列入“经营异常名录”或者“严重违法失信名单”的</w:t>
      </w:r>
      <w:bookmarkEnd w:id="271"/>
      <w:bookmarkEnd w:id="272"/>
      <w:bookmarkEnd w:id="273"/>
      <w:r>
        <w:rPr>
          <w:rFonts w:hint="eastAsia" w:ascii="宋体" w:hAnsi="宋体" w:eastAsia="宋体" w:cs="宋体"/>
          <w:color w:val="auto"/>
          <w:sz w:val="24"/>
          <w:szCs w:val="24"/>
          <w:highlight w:val="none"/>
        </w:rPr>
        <w:t>。</w:t>
      </w:r>
    </w:p>
    <w:p w14:paraId="2B8C39D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3、中国政府采购网站（</w:t>
      </w:r>
      <w:bookmarkStart w:id="274" w:name="OLE_LINK95"/>
      <w:bookmarkStart w:id="275" w:name="OLE_LINK96"/>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bookmarkEnd w:id="274"/>
      <w:bookmarkEnd w:id="275"/>
      <w:r>
        <w:rPr>
          <w:rFonts w:hint="eastAsia" w:ascii="宋体" w:hAnsi="宋体" w:eastAsia="宋体" w:cs="宋体"/>
          <w:color w:val="auto"/>
          <w:sz w:val="24"/>
          <w:szCs w:val="24"/>
          <w:highlight w:val="none"/>
        </w:rPr>
        <w:t>）查询以下失信行为：</w:t>
      </w:r>
    </w:p>
    <w:p w14:paraId="78182FB0">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276" w:name="OLE_LINK106"/>
      <w:bookmarkStart w:id="277" w:name="OLE_LINK104"/>
      <w:bookmarkStart w:id="278" w:name="OLE_LINK105"/>
      <w:r>
        <w:rPr>
          <w:rFonts w:hint="eastAsia" w:ascii="宋体" w:hAnsi="宋体" w:eastAsia="宋体" w:cs="宋体"/>
          <w:color w:val="auto"/>
          <w:sz w:val="24"/>
          <w:szCs w:val="24"/>
          <w:highlight w:val="none"/>
        </w:rPr>
        <w:t>被列入“政府采购严重违法失信行为信息记录”的</w:t>
      </w:r>
      <w:bookmarkEnd w:id="276"/>
      <w:bookmarkEnd w:id="277"/>
      <w:bookmarkEnd w:id="278"/>
      <w:r>
        <w:rPr>
          <w:rFonts w:hint="eastAsia" w:ascii="宋体" w:hAnsi="宋体" w:eastAsia="宋体" w:cs="宋体"/>
          <w:color w:val="auto"/>
          <w:sz w:val="24"/>
          <w:szCs w:val="24"/>
          <w:highlight w:val="none"/>
        </w:rPr>
        <w:t>。</w:t>
      </w:r>
    </w:p>
    <w:p w14:paraId="20C95BAE">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4、由竞争主体进行承诺，不进行现场网上信用查询的失信行为：</w:t>
      </w:r>
    </w:p>
    <w:p w14:paraId="3C42472C">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45125AEA">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二、在开评标活动中的查询程序</w:t>
      </w:r>
    </w:p>
    <w:p w14:paraId="7572ACD4">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43A12A82">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589799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3、项目单位及其委托的代理机构应当做好信用查询结果截图和记录留存。</w:t>
      </w:r>
    </w:p>
    <w:p w14:paraId="6857C2AD">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三、相关要求</w:t>
      </w:r>
    </w:p>
    <w:p w14:paraId="184F0FB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75CE909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9038771">
      <w:pPr>
        <w:wordWrap w:val="0"/>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"https://credit.ah.gov.cn/xinyong-fuwu/xvbahv/index.html"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https://credit.ah.gov.cn/xinyong-fuwu/xvbahv/index.html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90885B5">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2、“信用中国”查询的严重失信行为判定依据为各行业主管部门下发的联合惩戒文件中规定的行为（按附件2执行）。</w:t>
      </w:r>
    </w:p>
    <w:p w14:paraId="3FC4E71A">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3、资格预审的项目以递交资格预审申请文件截止时间查询为准；资格后审的项目以递交投标文件截止时间查询为准。</w:t>
      </w:r>
      <w:r>
        <w:rPr>
          <w:rFonts w:hint="eastAsia" w:ascii="宋体" w:hAnsi="宋体" w:eastAsia="宋体" w:cs="宋体"/>
          <w:b/>
          <w:color w:val="auto"/>
          <w:sz w:val="24"/>
          <w:szCs w:val="24"/>
          <w:highlight w:val="none"/>
          <w:lang w:bidi="ar"/>
        </w:rPr>
        <w:t xml:space="preserve"> </w:t>
      </w:r>
    </w:p>
    <w:p w14:paraId="7E74DD54">
      <w:pPr>
        <w:pStyle w:val="14"/>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CD03635">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DC9922A">
      <w:pPr>
        <w:adjustRightInd w:val="0"/>
        <w:snapToGrid w:val="0"/>
        <w:spacing w:line="560" w:lineRule="exact"/>
        <w:ind w:firstLine="645"/>
        <w:jc w:val="center"/>
        <w:rPr>
          <w:rFonts w:hint="eastAsia" w:ascii="宋体" w:hAnsi="宋体" w:eastAsia="宋体" w:cs="宋体"/>
          <w:b/>
          <w:color w:val="auto"/>
          <w:sz w:val="24"/>
          <w:szCs w:val="24"/>
          <w:highlight w:val="none"/>
          <w:lang w:eastAsia="zh-CN" w:bidi="ar"/>
        </w:rPr>
      </w:pPr>
      <w:r>
        <w:rPr>
          <w:rFonts w:hint="eastAsia" w:ascii="宋体" w:hAnsi="宋体" w:eastAsia="宋体" w:cs="宋体"/>
          <w:b/>
          <w:color w:val="auto"/>
          <w:sz w:val="24"/>
          <w:szCs w:val="24"/>
          <w:highlight w:val="none"/>
          <w:lang w:eastAsia="zh-CN" w:bidi="ar"/>
        </w:rPr>
        <w:t>“信用中国”查询的严重失信行为类别及判定依据</w:t>
      </w:r>
    </w:p>
    <w:p w14:paraId="5C77681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08574CE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0AD777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3DAB6F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53986C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325762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5A4162C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7E61F7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47F6DCA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3B4263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78BADC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165C049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3632F9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0223BDA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5E44C70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26E4B20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494D6A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6FB8953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62A5EEB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064488B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788483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3A387EF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63E9926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5E4E7E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10010F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5E76AD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25EF99F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487AC45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3DF8DD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10BFFAB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279" w:name="OLE_LINK9"/>
      <w:bookmarkStart w:id="280" w:name="OLE_LINK10"/>
      <w:bookmarkStart w:id="281" w:name="OLE_LINK8"/>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279"/>
      <w:bookmarkEnd w:id="280"/>
      <w:bookmarkEnd w:id="281"/>
      <w:r>
        <w:rPr>
          <w:rFonts w:hint="eastAsia" w:ascii="宋体" w:hAnsi="宋体" w:eastAsia="宋体" w:cs="宋体"/>
          <w:b/>
          <w:color w:val="auto"/>
          <w:sz w:val="24"/>
          <w:szCs w:val="24"/>
          <w:highlight w:val="none"/>
        </w:rPr>
        <w:t>》、《</w:t>
      </w:r>
      <w:bookmarkStart w:id="282" w:name="OLE_LINK11"/>
      <w:bookmarkStart w:id="283" w:name="OLE_LINK12"/>
      <w:r>
        <w:rPr>
          <w:rFonts w:hint="eastAsia" w:ascii="宋体" w:hAnsi="宋体" w:eastAsia="宋体" w:cs="宋体"/>
          <w:b/>
          <w:color w:val="auto"/>
          <w:sz w:val="24"/>
          <w:szCs w:val="24"/>
          <w:highlight w:val="none"/>
        </w:rPr>
        <w:t>企业环境信用评价办法（试行）</w:t>
      </w:r>
      <w:bookmarkEnd w:id="282"/>
      <w:bookmarkEnd w:id="283"/>
      <w:r>
        <w:rPr>
          <w:rFonts w:hint="eastAsia" w:ascii="宋体" w:hAnsi="宋体" w:eastAsia="宋体" w:cs="宋体"/>
          <w:b/>
          <w:color w:val="auto"/>
          <w:sz w:val="24"/>
          <w:szCs w:val="24"/>
          <w:highlight w:val="none"/>
        </w:rPr>
        <w:t>》（环发〔2013〕150号）</w:t>
      </w:r>
    </w:p>
    <w:p w14:paraId="255B813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26EDB97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74F287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6B89667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3804376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394024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1725D13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3B0084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7D8FA0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627E6C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4A01764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79BF66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079BE2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6D0C65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1C8B8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B7CDC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542688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566F146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4FBFAD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54DFA7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5D8E37C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284" w:name="OLE_LINK13"/>
      <w:bookmarkStart w:id="285" w:name="OLE_LINK14"/>
      <w:r>
        <w:rPr>
          <w:rFonts w:hint="eastAsia" w:ascii="宋体" w:hAnsi="宋体" w:eastAsia="宋体" w:cs="宋体"/>
          <w:b/>
          <w:color w:val="auto"/>
          <w:sz w:val="24"/>
          <w:szCs w:val="24"/>
          <w:highlight w:val="none"/>
        </w:rPr>
        <w:t>关于对公共资源交易领域严重失信主体开展联合惩戒的备忘录</w:t>
      </w:r>
      <w:bookmarkEnd w:id="284"/>
      <w:bookmarkEnd w:id="285"/>
      <w:r>
        <w:rPr>
          <w:rFonts w:hint="eastAsia" w:ascii="宋体" w:hAnsi="宋体" w:eastAsia="宋体" w:cs="宋体"/>
          <w:b/>
          <w:color w:val="auto"/>
          <w:sz w:val="24"/>
          <w:szCs w:val="24"/>
          <w:highlight w:val="none"/>
        </w:rPr>
        <w:t>》（发改法规〔2018〕457号）</w:t>
      </w:r>
    </w:p>
    <w:p w14:paraId="18DA656D">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384F0A1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5CACF8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790EE2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6A4AC6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5E84629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6A31B5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5DA5CDB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7293E2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083AEE2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4690B4F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286" w:name="OLE_LINK16"/>
      <w:bookmarkStart w:id="287" w:name="OLE_LINK15"/>
      <w:r>
        <w:rPr>
          <w:rFonts w:hint="eastAsia" w:ascii="宋体" w:hAnsi="宋体" w:eastAsia="宋体" w:cs="宋体"/>
          <w:b/>
          <w:color w:val="auto"/>
          <w:sz w:val="24"/>
          <w:szCs w:val="24"/>
          <w:highlight w:val="none"/>
        </w:rPr>
        <w:t>关于对社会保险领域严重失信企业及其有关人员实施联合惩戒的合作备忘录</w:t>
      </w:r>
      <w:bookmarkEnd w:id="286"/>
      <w:bookmarkEnd w:id="287"/>
      <w:r>
        <w:rPr>
          <w:rFonts w:hint="eastAsia" w:ascii="宋体" w:hAnsi="宋体" w:eastAsia="宋体" w:cs="宋体"/>
          <w:b/>
          <w:color w:val="auto"/>
          <w:sz w:val="24"/>
          <w:szCs w:val="24"/>
          <w:highlight w:val="none"/>
        </w:rPr>
        <w:t>》（发改财金〔2018〕1704号）</w:t>
      </w:r>
    </w:p>
    <w:p w14:paraId="5F67F3B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78DA96D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3386D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0DED57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6E9443F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3672A5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1E57B8EB">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288" w:name="OLE_LINK18"/>
      <w:bookmarkStart w:id="289" w:name="OLE_LINK17"/>
      <w:r>
        <w:rPr>
          <w:rFonts w:hint="eastAsia" w:ascii="宋体" w:hAnsi="宋体" w:eastAsia="宋体" w:cs="宋体"/>
          <w:b/>
          <w:color w:val="auto"/>
          <w:sz w:val="24"/>
          <w:szCs w:val="24"/>
          <w:highlight w:val="none"/>
        </w:rPr>
        <w:t>建筑市场信用管理暂行办法</w:t>
      </w:r>
      <w:bookmarkEnd w:id="288"/>
      <w:bookmarkEnd w:id="289"/>
      <w:r>
        <w:rPr>
          <w:rFonts w:hint="eastAsia" w:ascii="宋体" w:hAnsi="宋体" w:eastAsia="宋体" w:cs="宋体"/>
          <w:b/>
          <w:color w:val="auto"/>
          <w:sz w:val="24"/>
          <w:szCs w:val="24"/>
          <w:highlight w:val="none"/>
        </w:rPr>
        <w:t>》（建市〔2017〕241号）</w:t>
      </w:r>
    </w:p>
    <w:p w14:paraId="578A70C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290" w:name="OLE_LINK19"/>
      <w:bookmarkStart w:id="291" w:name="OLE_LINK20"/>
      <w:r>
        <w:rPr>
          <w:rFonts w:hint="eastAsia" w:ascii="宋体" w:hAnsi="宋体" w:eastAsia="宋体" w:cs="宋体"/>
          <w:b/>
          <w:color w:val="auto"/>
          <w:sz w:val="24"/>
          <w:szCs w:val="24"/>
          <w:highlight w:val="none"/>
        </w:rPr>
        <w:t>政府采购严重失信行为</w:t>
      </w:r>
      <w:bookmarkEnd w:id="290"/>
      <w:bookmarkEnd w:id="291"/>
    </w:p>
    <w:p w14:paraId="548822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24A379F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1A494DE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6A6782D3">
      <w:pPr>
        <w:spacing w:line="360" w:lineRule="auto"/>
        <w:ind w:firstLine="435"/>
        <w:rPr>
          <w:rFonts w:hint="eastAsia" w:ascii="宋体" w:hAnsi="宋体" w:eastAsia="宋体" w:cs="宋体"/>
          <w:color w:val="auto"/>
          <w:sz w:val="24"/>
          <w:highlight w:val="none"/>
        </w:rPr>
      </w:pPr>
    </w:p>
    <w:p w14:paraId="35EEC514">
      <w:pPr>
        <w:spacing w:line="360" w:lineRule="auto"/>
        <w:ind w:firstLine="435"/>
        <w:rPr>
          <w:rFonts w:hint="eastAsia" w:ascii="宋体" w:hAnsi="宋体" w:eastAsia="宋体" w:cs="宋体"/>
          <w:color w:val="auto"/>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9916">
    <w:pPr>
      <w:pStyle w:val="22"/>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B971">
    <w:pPr>
      <w:pStyle w:val="2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0D6C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0D6C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1A5B">
    <w:pPr>
      <w:pStyle w:val="23"/>
      <w:pBdr>
        <w:bottom w:val="none" w:color="auto" w:sz="0" w:space="1"/>
      </w:pBdr>
      <w:jc w:val="left"/>
      <w:rPr>
        <w:rFonts w:hint="eastAsia"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0D05">
    <w:pPr>
      <w:pStyle w:val="23"/>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9817F"/>
    <w:multiLevelType w:val="singleLevel"/>
    <w:tmpl w:val="1CE9817F"/>
    <w:lvl w:ilvl="0" w:tentative="0">
      <w:start w:val="6"/>
      <w:numFmt w:val="chineseCounting"/>
      <w:suff w:val="space"/>
      <w:lvlText w:val="第%1章"/>
      <w:lvlJc w:val="left"/>
      <w:rPr>
        <w:rFonts w:hint="eastAsia"/>
      </w:rPr>
    </w:lvl>
  </w:abstractNum>
  <w:abstractNum w:abstractNumId="1">
    <w:nsid w:val="2312AC28"/>
    <w:multiLevelType w:val="singleLevel"/>
    <w:tmpl w:val="2312AC28"/>
    <w:lvl w:ilvl="0" w:tentative="0">
      <w:start w:val="5"/>
      <w:numFmt w:val="chineseCounting"/>
      <w:suff w:val="nothing"/>
      <w:lvlText w:val="%1、"/>
      <w:lvlJc w:val="left"/>
      <w:rPr>
        <w:rFonts w:hint="eastAsia"/>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abstractNum w:abstractNumId="3">
    <w:nsid w:val="3256FCC9"/>
    <w:multiLevelType w:val="singleLevel"/>
    <w:tmpl w:val="3256FCC9"/>
    <w:lvl w:ilvl="0" w:tentative="0">
      <w:start w:val="8"/>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F56"/>
    <w:rsid w:val="000049DA"/>
    <w:rsid w:val="00004F40"/>
    <w:rsid w:val="000056B7"/>
    <w:rsid w:val="00012A13"/>
    <w:rsid w:val="000131F7"/>
    <w:rsid w:val="00016B6C"/>
    <w:rsid w:val="00017D40"/>
    <w:rsid w:val="00017EC7"/>
    <w:rsid w:val="00020B57"/>
    <w:rsid w:val="00026768"/>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4943"/>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3042"/>
    <w:rsid w:val="00116A70"/>
    <w:rsid w:val="0012143A"/>
    <w:rsid w:val="001222C6"/>
    <w:rsid w:val="00126A7B"/>
    <w:rsid w:val="001303BB"/>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01E"/>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A7F45"/>
    <w:rsid w:val="001B21DF"/>
    <w:rsid w:val="001B2A54"/>
    <w:rsid w:val="001B5014"/>
    <w:rsid w:val="001B501E"/>
    <w:rsid w:val="001B7327"/>
    <w:rsid w:val="001C1409"/>
    <w:rsid w:val="001C67F2"/>
    <w:rsid w:val="001D457B"/>
    <w:rsid w:val="001D53B4"/>
    <w:rsid w:val="001D7FD1"/>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67521"/>
    <w:rsid w:val="00271245"/>
    <w:rsid w:val="00272CB9"/>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298D"/>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67834"/>
    <w:rsid w:val="00373A96"/>
    <w:rsid w:val="003826C2"/>
    <w:rsid w:val="00383728"/>
    <w:rsid w:val="00383B8D"/>
    <w:rsid w:val="00391586"/>
    <w:rsid w:val="00394128"/>
    <w:rsid w:val="003947A4"/>
    <w:rsid w:val="00395235"/>
    <w:rsid w:val="0039561A"/>
    <w:rsid w:val="00397C7D"/>
    <w:rsid w:val="003A004F"/>
    <w:rsid w:val="003B4130"/>
    <w:rsid w:val="003B65AB"/>
    <w:rsid w:val="003B67D3"/>
    <w:rsid w:val="003B6C76"/>
    <w:rsid w:val="003B715B"/>
    <w:rsid w:val="003C4630"/>
    <w:rsid w:val="003D1D14"/>
    <w:rsid w:val="003D6C7C"/>
    <w:rsid w:val="003D6EFB"/>
    <w:rsid w:val="003D7E52"/>
    <w:rsid w:val="003E1F34"/>
    <w:rsid w:val="003E25C6"/>
    <w:rsid w:val="003E6BEB"/>
    <w:rsid w:val="003F145B"/>
    <w:rsid w:val="003F2122"/>
    <w:rsid w:val="003F326A"/>
    <w:rsid w:val="004011AA"/>
    <w:rsid w:val="0040202C"/>
    <w:rsid w:val="00406508"/>
    <w:rsid w:val="0041456E"/>
    <w:rsid w:val="00414F7E"/>
    <w:rsid w:val="004164F8"/>
    <w:rsid w:val="00416830"/>
    <w:rsid w:val="00417FD0"/>
    <w:rsid w:val="00420B7F"/>
    <w:rsid w:val="004234BA"/>
    <w:rsid w:val="0042488B"/>
    <w:rsid w:val="00427732"/>
    <w:rsid w:val="004427B7"/>
    <w:rsid w:val="0044349F"/>
    <w:rsid w:val="00445F1F"/>
    <w:rsid w:val="00451F60"/>
    <w:rsid w:val="00452BB2"/>
    <w:rsid w:val="00453527"/>
    <w:rsid w:val="00455467"/>
    <w:rsid w:val="0045656D"/>
    <w:rsid w:val="004578E0"/>
    <w:rsid w:val="00462D98"/>
    <w:rsid w:val="00472A44"/>
    <w:rsid w:val="00473A89"/>
    <w:rsid w:val="004745C6"/>
    <w:rsid w:val="00474D3B"/>
    <w:rsid w:val="00475899"/>
    <w:rsid w:val="004802A8"/>
    <w:rsid w:val="00482C78"/>
    <w:rsid w:val="004874AE"/>
    <w:rsid w:val="00492E2B"/>
    <w:rsid w:val="00494D24"/>
    <w:rsid w:val="004951D1"/>
    <w:rsid w:val="004A27D0"/>
    <w:rsid w:val="004A4D67"/>
    <w:rsid w:val="004A6A90"/>
    <w:rsid w:val="004A6FD2"/>
    <w:rsid w:val="004B2D4C"/>
    <w:rsid w:val="004C7378"/>
    <w:rsid w:val="004D1030"/>
    <w:rsid w:val="004D3D4B"/>
    <w:rsid w:val="004D5498"/>
    <w:rsid w:val="004D66A5"/>
    <w:rsid w:val="004D6B00"/>
    <w:rsid w:val="004D7951"/>
    <w:rsid w:val="004E0AE0"/>
    <w:rsid w:val="004E1D50"/>
    <w:rsid w:val="004E502F"/>
    <w:rsid w:val="004E6C6A"/>
    <w:rsid w:val="004F0396"/>
    <w:rsid w:val="00501382"/>
    <w:rsid w:val="00501E26"/>
    <w:rsid w:val="00503E2F"/>
    <w:rsid w:val="005054B9"/>
    <w:rsid w:val="00506E4F"/>
    <w:rsid w:val="00510798"/>
    <w:rsid w:val="005146A9"/>
    <w:rsid w:val="00514ED8"/>
    <w:rsid w:val="00515F12"/>
    <w:rsid w:val="00522B2E"/>
    <w:rsid w:val="00524A11"/>
    <w:rsid w:val="00525BEE"/>
    <w:rsid w:val="00527768"/>
    <w:rsid w:val="005327FB"/>
    <w:rsid w:val="00533FCA"/>
    <w:rsid w:val="0053524C"/>
    <w:rsid w:val="00541C0B"/>
    <w:rsid w:val="0054317E"/>
    <w:rsid w:val="00544C2A"/>
    <w:rsid w:val="00546D49"/>
    <w:rsid w:val="005512EB"/>
    <w:rsid w:val="00556D4C"/>
    <w:rsid w:val="005614B4"/>
    <w:rsid w:val="005616B5"/>
    <w:rsid w:val="00571315"/>
    <w:rsid w:val="0057573B"/>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24B8"/>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F12"/>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1B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4AD"/>
    <w:rsid w:val="00702CF1"/>
    <w:rsid w:val="00703635"/>
    <w:rsid w:val="007054AA"/>
    <w:rsid w:val="00706D4B"/>
    <w:rsid w:val="00707B8C"/>
    <w:rsid w:val="00710804"/>
    <w:rsid w:val="0071110A"/>
    <w:rsid w:val="00711FC6"/>
    <w:rsid w:val="007130B1"/>
    <w:rsid w:val="00715071"/>
    <w:rsid w:val="0072140F"/>
    <w:rsid w:val="007231E9"/>
    <w:rsid w:val="00727C59"/>
    <w:rsid w:val="00734E5D"/>
    <w:rsid w:val="00735AF1"/>
    <w:rsid w:val="00736013"/>
    <w:rsid w:val="00737661"/>
    <w:rsid w:val="00753D83"/>
    <w:rsid w:val="00755D75"/>
    <w:rsid w:val="00756245"/>
    <w:rsid w:val="0076130F"/>
    <w:rsid w:val="00761662"/>
    <w:rsid w:val="00764043"/>
    <w:rsid w:val="007757CF"/>
    <w:rsid w:val="00776FFC"/>
    <w:rsid w:val="0078128F"/>
    <w:rsid w:val="0078683C"/>
    <w:rsid w:val="00790EDB"/>
    <w:rsid w:val="00791538"/>
    <w:rsid w:val="007918F0"/>
    <w:rsid w:val="00791CD5"/>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5E4A"/>
    <w:rsid w:val="007F5C72"/>
    <w:rsid w:val="00801028"/>
    <w:rsid w:val="00802CE2"/>
    <w:rsid w:val="00803793"/>
    <w:rsid w:val="008043CA"/>
    <w:rsid w:val="0080643F"/>
    <w:rsid w:val="00814052"/>
    <w:rsid w:val="008149FD"/>
    <w:rsid w:val="00817A01"/>
    <w:rsid w:val="0082083B"/>
    <w:rsid w:val="00824F21"/>
    <w:rsid w:val="0082500C"/>
    <w:rsid w:val="00825E35"/>
    <w:rsid w:val="0083320B"/>
    <w:rsid w:val="008334F8"/>
    <w:rsid w:val="008341AA"/>
    <w:rsid w:val="00835D8E"/>
    <w:rsid w:val="008372F6"/>
    <w:rsid w:val="008377CA"/>
    <w:rsid w:val="00844D03"/>
    <w:rsid w:val="00847B0F"/>
    <w:rsid w:val="00847DBC"/>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5AE0"/>
    <w:rsid w:val="008B7932"/>
    <w:rsid w:val="008C4704"/>
    <w:rsid w:val="008C67F2"/>
    <w:rsid w:val="008D064A"/>
    <w:rsid w:val="008D0FDB"/>
    <w:rsid w:val="008D2B0F"/>
    <w:rsid w:val="008D30BC"/>
    <w:rsid w:val="008D4BC4"/>
    <w:rsid w:val="008E449E"/>
    <w:rsid w:val="008E7062"/>
    <w:rsid w:val="008F187F"/>
    <w:rsid w:val="008F402F"/>
    <w:rsid w:val="008F55FA"/>
    <w:rsid w:val="008F5CEE"/>
    <w:rsid w:val="008F613F"/>
    <w:rsid w:val="008F76E8"/>
    <w:rsid w:val="008F7CD0"/>
    <w:rsid w:val="00902902"/>
    <w:rsid w:val="00902A4B"/>
    <w:rsid w:val="009078A1"/>
    <w:rsid w:val="00911E9C"/>
    <w:rsid w:val="00915083"/>
    <w:rsid w:val="00917405"/>
    <w:rsid w:val="00920035"/>
    <w:rsid w:val="00920F7C"/>
    <w:rsid w:val="00922958"/>
    <w:rsid w:val="00934CAE"/>
    <w:rsid w:val="0094257D"/>
    <w:rsid w:val="00942F60"/>
    <w:rsid w:val="0095211B"/>
    <w:rsid w:val="0095467C"/>
    <w:rsid w:val="00954A61"/>
    <w:rsid w:val="00955C6F"/>
    <w:rsid w:val="00966C7B"/>
    <w:rsid w:val="009701DC"/>
    <w:rsid w:val="009715D8"/>
    <w:rsid w:val="00976F32"/>
    <w:rsid w:val="00980D0D"/>
    <w:rsid w:val="00985C4B"/>
    <w:rsid w:val="00994568"/>
    <w:rsid w:val="00995BF9"/>
    <w:rsid w:val="00997C3C"/>
    <w:rsid w:val="009A0CAF"/>
    <w:rsid w:val="009A1474"/>
    <w:rsid w:val="009A2207"/>
    <w:rsid w:val="009A5147"/>
    <w:rsid w:val="009A74C4"/>
    <w:rsid w:val="009B02D2"/>
    <w:rsid w:val="009B6C42"/>
    <w:rsid w:val="009B6CC2"/>
    <w:rsid w:val="009D31F7"/>
    <w:rsid w:val="009D32C2"/>
    <w:rsid w:val="009D50DB"/>
    <w:rsid w:val="009D72A0"/>
    <w:rsid w:val="009D7989"/>
    <w:rsid w:val="009E3A0A"/>
    <w:rsid w:val="009F26D4"/>
    <w:rsid w:val="009F3E91"/>
    <w:rsid w:val="009F6CE7"/>
    <w:rsid w:val="009F7D7D"/>
    <w:rsid w:val="00A01670"/>
    <w:rsid w:val="00A1499B"/>
    <w:rsid w:val="00A20879"/>
    <w:rsid w:val="00A20AFC"/>
    <w:rsid w:val="00A23E47"/>
    <w:rsid w:val="00A314C2"/>
    <w:rsid w:val="00A43B9C"/>
    <w:rsid w:val="00A53155"/>
    <w:rsid w:val="00A546B5"/>
    <w:rsid w:val="00A56FFA"/>
    <w:rsid w:val="00A577AE"/>
    <w:rsid w:val="00A63E86"/>
    <w:rsid w:val="00A65A1C"/>
    <w:rsid w:val="00A757C3"/>
    <w:rsid w:val="00A75E5B"/>
    <w:rsid w:val="00A7684A"/>
    <w:rsid w:val="00A80B42"/>
    <w:rsid w:val="00A82AED"/>
    <w:rsid w:val="00A83B69"/>
    <w:rsid w:val="00A86533"/>
    <w:rsid w:val="00A9176A"/>
    <w:rsid w:val="00A91CA2"/>
    <w:rsid w:val="00A92FB8"/>
    <w:rsid w:val="00A93B2F"/>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2A45"/>
    <w:rsid w:val="00B039E3"/>
    <w:rsid w:val="00B043C1"/>
    <w:rsid w:val="00B122AC"/>
    <w:rsid w:val="00B22838"/>
    <w:rsid w:val="00B27D52"/>
    <w:rsid w:val="00B32BC1"/>
    <w:rsid w:val="00B33E95"/>
    <w:rsid w:val="00B34EE1"/>
    <w:rsid w:val="00B35B5E"/>
    <w:rsid w:val="00B3720B"/>
    <w:rsid w:val="00B40EE3"/>
    <w:rsid w:val="00B4535A"/>
    <w:rsid w:val="00B55271"/>
    <w:rsid w:val="00B5558A"/>
    <w:rsid w:val="00B56513"/>
    <w:rsid w:val="00B56B2E"/>
    <w:rsid w:val="00B63031"/>
    <w:rsid w:val="00B64376"/>
    <w:rsid w:val="00B71533"/>
    <w:rsid w:val="00B7157A"/>
    <w:rsid w:val="00B73B2A"/>
    <w:rsid w:val="00B7401F"/>
    <w:rsid w:val="00B806A7"/>
    <w:rsid w:val="00B806C3"/>
    <w:rsid w:val="00B838F5"/>
    <w:rsid w:val="00B84FCA"/>
    <w:rsid w:val="00B9089F"/>
    <w:rsid w:val="00B91AEE"/>
    <w:rsid w:val="00B931D5"/>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6D98"/>
    <w:rsid w:val="00BF376F"/>
    <w:rsid w:val="00BF46A6"/>
    <w:rsid w:val="00BF5AE0"/>
    <w:rsid w:val="00BF62CF"/>
    <w:rsid w:val="00BF6B98"/>
    <w:rsid w:val="00BF73D6"/>
    <w:rsid w:val="00C06545"/>
    <w:rsid w:val="00C1161C"/>
    <w:rsid w:val="00C17F66"/>
    <w:rsid w:val="00C220FC"/>
    <w:rsid w:val="00C23C86"/>
    <w:rsid w:val="00C24DFA"/>
    <w:rsid w:val="00C314B9"/>
    <w:rsid w:val="00C35561"/>
    <w:rsid w:val="00C4202A"/>
    <w:rsid w:val="00C4211F"/>
    <w:rsid w:val="00C445D3"/>
    <w:rsid w:val="00C46A36"/>
    <w:rsid w:val="00C47037"/>
    <w:rsid w:val="00C53625"/>
    <w:rsid w:val="00C602C1"/>
    <w:rsid w:val="00C60C6D"/>
    <w:rsid w:val="00C61C98"/>
    <w:rsid w:val="00C63FC0"/>
    <w:rsid w:val="00C66392"/>
    <w:rsid w:val="00C74C5E"/>
    <w:rsid w:val="00C77487"/>
    <w:rsid w:val="00C77C9A"/>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0EF6"/>
    <w:rsid w:val="00CE2486"/>
    <w:rsid w:val="00CE4913"/>
    <w:rsid w:val="00CE66BD"/>
    <w:rsid w:val="00CF0671"/>
    <w:rsid w:val="00CF44AD"/>
    <w:rsid w:val="00CF4FC0"/>
    <w:rsid w:val="00CF7642"/>
    <w:rsid w:val="00D00717"/>
    <w:rsid w:val="00D03909"/>
    <w:rsid w:val="00D1072F"/>
    <w:rsid w:val="00D108A5"/>
    <w:rsid w:val="00D131F9"/>
    <w:rsid w:val="00D14585"/>
    <w:rsid w:val="00D20EFF"/>
    <w:rsid w:val="00D30F1B"/>
    <w:rsid w:val="00D30FC0"/>
    <w:rsid w:val="00D34F0D"/>
    <w:rsid w:val="00D3516E"/>
    <w:rsid w:val="00D36FE8"/>
    <w:rsid w:val="00D4064C"/>
    <w:rsid w:val="00D47F9F"/>
    <w:rsid w:val="00D50E65"/>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ADD"/>
    <w:rsid w:val="00D853B5"/>
    <w:rsid w:val="00D86779"/>
    <w:rsid w:val="00D86EE1"/>
    <w:rsid w:val="00D9120E"/>
    <w:rsid w:val="00D913B1"/>
    <w:rsid w:val="00D93793"/>
    <w:rsid w:val="00D96126"/>
    <w:rsid w:val="00DB0C4C"/>
    <w:rsid w:val="00DB3F2F"/>
    <w:rsid w:val="00DB4B1C"/>
    <w:rsid w:val="00DB5085"/>
    <w:rsid w:val="00DB7706"/>
    <w:rsid w:val="00DC1062"/>
    <w:rsid w:val="00DC132C"/>
    <w:rsid w:val="00DC774B"/>
    <w:rsid w:val="00DD0DA9"/>
    <w:rsid w:val="00DD43F0"/>
    <w:rsid w:val="00DD44DE"/>
    <w:rsid w:val="00DD4C46"/>
    <w:rsid w:val="00DE09AB"/>
    <w:rsid w:val="00DE168E"/>
    <w:rsid w:val="00DE4A3F"/>
    <w:rsid w:val="00DE4E53"/>
    <w:rsid w:val="00DE7AE9"/>
    <w:rsid w:val="00DF4367"/>
    <w:rsid w:val="00E0574A"/>
    <w:rsid w:val="00E113BD"/>
    <w:rsid w:val="00E1243D"/>
    <w:rsid w:val="00E12588"/>
    <w:rsid w:val="00E12742"/>
    <w:rsid w:val="00E12E4A"/>
    <w:rsid w:val="00E146D4"/>
    <w:rsid w:val="00E20976"/>
    <w:rsid w:val="00E22079"/>
    <w:rsid w:val="00E22B44"/>
    <w:rsid w:val="00E236D8"/>
    <w:rsid w:val="00E30ACD"/>
    <w:rsid w:val="00E3184B"/>
    <w:rsid w:val="00E32735"/>
    <w:rsid w:val="00E5391D"/>
    <w:rsid w:val="00E544E5"/>
    <w:rsid w:val="00E6033F"/>
    <w:rsid w:val="00E61364"/>
    <w:rsid w:val="00E66E36"/>
    <w:rsid w:val="00E6781E"/>
    <w:rsid w:val="00E702ED"/>
    <w:rsid w:val="00E705CC"/>
    <w:rsid w:val="00E709A4"/>
    <w:rsid w:val="00E72C29"/>
    <w:rsid w:val="00E73822"/>
    <w:rsid w:val="00E772DB"/>
    <w:rsid w:val="00E8418F"/>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2771"/>
    <w:rsid w:val="00F06F68"/>
    <w:rsid w:val="00F10B01"/>
    <w:rsid w:val="00F1332D"/>
    <w:rsid w:val="00F1534B"/>
    <w:rsid w:val="00F1713B"/>
    <w:rsid w:val="00F212CB"/>
    <w:rsid w:val="00F23C7D"/>
    <w:rsid w:val="00F243DB"/>
    <w:rsid w:val="00F24C2D"/>
    <w:rsid w:val="00F24F1B"/>
    <w:rsid w:val="00F253D4"/>
    <w:rsid w:val="00F27356"/>
    <w:rsid w:val="00F31A2C"/>
    <w:rsid w:val="00F32A81"/>
    <w:rsid w:val="00F46998"/>
    <w:rsid w:val="00F47100"/>
    <w:rsid w:val="00F5382D"/>
    <w:rsid w:val="00F53D9C"/>
    <w:rsid w:val="00F5462B"/>
    <w:rsid w:val="00F56073"/>
    <w:rsid w:val="00F634AD"/>
    <w:rsid w:val="00F63677"/>
    <w:rsid w:val="00F63ABE"/>
    <w:rsid w:val="00F72EE6"/>
    <w:rsid w:val="00F75B81"/>
    <w:rsid w:val="00F804C4"/>
    <w:rsid w:val="00F805CC"/>
    <w:rsid w:val="00F82F83"/>
    <w:rsid w:val="00F832E5"/>
    <w:rsid w:val="00F90F40"/>
    <w:rsid w:val="00F9187D"/>
    <w:rsid w:val="00F92B30"/>
    <w:rsid w:val="00F933B9"/>
    <w:rsid w:val="00F94674"/>
    <w:rsid w:val="00F94919"/>
    <w:rsid w:val="00F94A59"/>
    <w:rsid w:val="00FA25B6"/>
    <w:rsid w:val="00FA2FAF"/>
    <w:rsid w:val="00FA5CCF"/>
    <w:rsid w:val="00FA64B1"/>
    <w:rsid w:val="00FA70F3"/>
    <w:rsid w:val="00FA71CD"/>
    <w:rsid w:val="00FA7FC5"/>
    <w:rsid w:val="00FB0453"/>
    <w:rsid w:val="00FB0C07"/>
    <w:rsid w:val="00FB298D"/>
    <w:rsid w:val="00FC1439"/>
    <w:rsid w:val="00FC3706"/>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2105DD0"/>
    <w:rsid w:val="0214602E"/>
    <w:rsid w:val="03466855"/>
    <w:rsid w:val="03486B27"/>
    <w:rsid w:val="03580FD9"/>
    <w:rsid w:val="038F541B"/>
    <w:rsid w:val="03937984"/>
    <w:rsid w:val="03FB6A30"/>
    <w:rsid w:val="040A094E"/>
    <w:rsid w:val="047D26D2"/>
    <w:rsid w:val="04B771C9"/>
    <w:rsid w:val="04DD2F90"/>
    <w:rsid w:val="04E36C96"/>
    <w:rsid w:val="05006DAE"/>
    <w:rsid w:val="056800F4"/>
    <w:rsid w:val="056F201D"/>
    <w:rsid w:val="05B664D4"/>
    <w:rsid w:val="07076C01"/>
    <w:rsid w:val="071C12AC"/>
    <w:rsid w:val="074C09BA"/>
    <w:rsid w:val="074E231E"/>
    <w:rsid w:val="0768045D"/>
    <w:rsid w:val="07A934B3"/>
    <w:rsid w:val="080A5070"/>
    <w:rsid w:val="08B15E54"/>
    <w:rsid w:val="0980799C"/>
    <w:rsid w:val="09F61D50"/>
    <w:rsid w:val="0A0F6376"/>
    <w:rsid w:val="0A353CEA"/>
    <w:rsid w:val="0A5922DF"/>
    <w:rsid w:val="0A6A18DB"/>
    <w:rsid w:val="0A96708F"/>
    <w:rsid w:val="0AEF3828"/>
    <w:rsid w:val="0AF77D07"/>
    <w:rsid w:val="0B057AEF"/>
    <w:rsid w:val="0B487B78"/>
    <w:rsid w:val="0BBB665B"/>
    <w:rsid w:val="0BFF2A12"/>
    <w:rsid w:val="0C3D65CA"/>
    <w:rsid w:val="0CB7664E"/>
    <w:rsid w:val="0D4234FE"/>
    <w:rsid w:val="0E55371B"/>
    <w:rsid w:val="0E816EC5"/>
    <w:rsid w:val="0E864017"/>
    <w:rsid w:val="0EEA6FC1"/>
    <w:rsid w:val="0EF23960"/>
    <w:rsid w:val="0F6E6D3D"/>
    <w:rsid w:val="0F7D25CB"/>
    <w:rsid w:val="0F954485"/>
    <w:rsid w:val="0FB87DF5"/>
    <w:rsid w:val="0FBF344F"/>
    <w:rsid w:val="0FC30926"/>
    <w:rsid w:val="102617AA"/>
    <w:rsid w:val="10505F32"/>
    <w:rsid w:val="105A27E6"/>
    <w:rsid w:val="10725EA8"/>
    <w:rsid w:val="10EC17B7"/>
    <w:rsid w:val="119B0711"/>
    <w:rsid w:val="12197477"/>
    <w:rsid w:val="1238653B"/>
    <w:rsid w:val="12521AED"/>
    <w:rsid w:val="129A7DEF"/>
    <w:rsid w:val="12BE27B4"/>
    <w:rsid w:val="131C5AEC"/>
    <w:rsid w:val="135463C6"/>
    <w:rsid w:val="13587E2C"/>
    <w:rsid w:val="135B2C24"/>
    <w:rsid w:val="13CC58CF"/>
    <w:rsid w:val="1413346E"/>
    <w:rsid w:val="1437543F"/>
    <w:rsid w:val="1466407E"/>
    <w:rsid w:val="146D70F1"/>
    <w:rsid w:val="147E16A4"/>
    <w:rsid w:val="14834E28"/>
    <w:rsid w:val="148E7D65"/>
    <w:rsid w:val="151D4243"/>
    <w:rsid w:val="15231BF9"/>
    <w:rsid w:val="15417840"/>
    <w:rsid w:val="156A53A0"/>
    <w:rsid w:val="15D54F0F"/>
    <w:rsid w:val="15E750C7"/>
    <w:rsid w:val="161269AA"/>
    <w:rsid w:val="163A529F"/>
    <w:rsid w:val="166D2F25"/>
    <w:rsid w:val="16A34589"/>
    <w:rsid w:val="17823384"/>
    <w:rsid w:val="179F5278"/>
    <w:rsid w:val="18A1093B"/>
    <w:rsid w:val="18A64941"/>
    <w:rsid w:val="18B23848"/>
    <w:rsid w:val="18ED08AB"/>
    <w:rsid w:val="190B50EC"/>
    <w:rsid w:val="1A3B68AA"/>
    <w:rsid w:val="1A3E1C1E"/>
    <w:rsid w:val="1C053469"/>
    <w:rsid w:val="1C141836"/>
    <w:rsid w:val="1C1B6368"/>
    <w:rsid w:val="1DDD3AAF"/>
    <w:rsid w:val="1E477B85"/>
    <w:rsid w:val="1E6B6A14"/>
    <w:rsid w:val="1EBA6164"/>
    <w:rsid w:val="1EC16D0B"/>
    <w:rsid w:val="1F1840BF"/>
    <w:rsid w:val="1FDC3F9E"/>
    <w:rsid w:val="201425DF"/>
    <w:rsid w:val="20550D9A"/>
    <w:rsid w:val="21584C46"/>
    <w:rsid w:val="21714B53"/>
    <w:rsid w:val="218E2416"/>
    <w:rsid w:val="224E718C"/>
    <w:rsid w:val="226915FE"/>
    <w:rsid w:val="22E14C32"/>
    <w:rsid w:val="22F03260"/>
    <w:rsid w:val="23843AD1"/>
    <w:rsid w:val="238719D6"/>
    <w:rsid w:val="23A423C5"/>
    <w:rsid w:val="23AE2087"/>
    <w:rsid w:val="23F4639F"/>
    <w:rsid w:val="24B97929"/>
    <w:rsid w:val="2520252D"/>
    <w:rsid w:val="25A74283"/>
    <w:rsid w:val="26163BC1"/>
    <w:rsid w:val="267E57F4"/>
    <w:rsid w:val="26ED7BDF"/>
    <w:rsid w:val="27900AD3"/>
    <w:rsid w:val="285F40CA"/>
    <w:rsid w:val="28C01ECB"/>
    <w:rsid w:val="28EC3ECC"/>
    <w:rsid w:val="29BF71E3"/>
    <w:rsid w:val="2A127B63"/>
    <w:rsid w:val="2AAA4765"/>
    <w:rsid w:val="2AC21606"/>
    <w:rsid w:val="2AF63C5E"/>
    <w:rsid w:val="2B7E7608"/>
    <w:rsid w:val="2B7F04E9"/>
    <w:rsid w:val="2C305555"/>
    <w:rsid w:val="2C907580"/>
    <w:rsid w:val="2C9A21B9"/>
    <w:rsid w:val="2CE20523"/>
    <w:rsid w:val="2D496D68"/>
    <w:rsid w:val="2D863D27"/>
    <w:rsid w:val="2DF940F0"/>
    <w:rsid w:val="2E552C39"/>
    <w:rsid w:val="2E6672CB"/>
    <w:rsid w:val="2E7A48DE"/>
    <w:rsid w:val="2EDC3ED8"/>
    <w:rsid w:val="2EDF69A7"/>
    <w:rsid w:val="2F2D046C"/>
    <w:rsid w:val="2F6351B4"/>
    <w:rsid w:val="2F7B1AD6"/>
    <w:rsid w:val="2FCF199E"/>
    <w:rsid w:val="30183F1E"/>
    <w:rsid w:val="30483E83"/>
    <w:rsid w:val="30AA0E97"/>
    <w:rsid w:val="332B2C6A"/>
    <w:rsid w:val="334E4CD8"/>
    <w:rsid w:val="33A83169"/>
    <w:rsid w:val="343C0775"/>
    <w:rsid w:val="34762628"/>
    <w:rsid w:val="34AA76A9"/>
    <w:rsid w:val="34B67009"/>
    <w:rsid w:val="356C50EC"/>
    <w:rsid w:val="361108CD"/>
    <w:rsid w:val="36701E43"/>
    <w:rsid w:val="36A94A04"/>
    <w:rsid w:val="3700166C"/>
    <w:rsid w:val="3727617F"/>
    <w:rsid w:val="37346F04"/>
    <w:rsid w:val="375969FE"/>
    <w:rsid w:val="37B11884"/>
    <w:rsid w:val="38694EE9"/>
    <w:rsid w:val="388A5A92"/>
    <w:rsid w:val="38A327F3"/>
    <w:rsid w:val="39552058"/>
    <w:rsid w:val="3B365CC9"/>
    <w:rsid w:val="3B9A7B88"/>
    <w:rsid w:val="3BC114FF"/>
    <w:rsid w:val="3C14387D"/>
    <w:rsid w:val="3C2660C6"/>
    <w:rsid w:val="3D2C7AC8"/>
    <w:rsid w:val="3D855D12"/>
    <w:rsid w:val="3D8B42FF"/>
    <w:rsid w:val="3D8C02DD"/>
    <w:rsid w:val="3DA231E3"/>
    <w:rsid w:val="3DC20089"/>
    <w:rsid w:val="3DF36A6E"/>
    <w:rsid w:val="3F1138E1"/>
    <w:rsid w:val="3F792F1E"/>
    <w:rsid w:val="3F903A5F"/>
    <w:rsid w:val="3FFC7117"/>
    <w:rsid w:val="4024421A"/>
    <w:rsid w:val="402B1A4C"/>
    <w:rsid w:val="40824826"/>
    <w:rsid w:val="40BE01CA"/>
    <w:rsid w:val="40E63923"/>
    <w:rsid w:val="42B443F4"/>
    <w:rsid w:val="42D13930"/>
    <w:rsid w:val="42F43FD4"/>
    <w:rsid w:val="43204A8B"/>
    <w:rsid w:val="43911BC6"/>
    <w:rsid w:val="43A91E5B"/>
    <w:rsid w:val="440A59C8"/>
    <w:rsid w:val="44AD6ED3"/>
    <w:rsid w:val="44BC3308"/>
    <w:rsid w:val="45B150B1"/>
    <w:rsid w:val="45BA48DB"/>
    <w:rsid w:val="463A3650"/>
    <w:rsid w:val="469F0116"/>
    <w:rsid w:val="46F67293"/>
    <w:rsid w:val="475259B7"/>
    <w:rsid w:val="48831CF9"/>
    <w:rsid w:val="49A165B8"/>
    <w:rsid w:val="49B1408D"/>
    <w:rsid w:val="4A7D4FD2"/>
    <w:rsid w:val="4A913C9A"/>
    <w:rsid w:val="4AA46683"/>
    <w:rsid w:val="4AE22D2F"/>
    <w:rsid w:val="4B1F70AC"/>
    <w:rsid w:val="4B240F94"/>
    <w:rsid w:val="4B386AE5"/>
    <w:rsid w:val="4B774E60"/>
    <w:rsid w:val="4B9A1834"/>
    <w:rsid w:val="4BA75287"/>
    <w:rsid w:val="4BD10964"/>
    <w:rsid w:val="4BED70D6"/>
    <w:rsid w:val="4C3B3017"/>
    <w:rsid w:val="4C3C565C"/>
    <w:rsid w:val="4C4A5008"/>
    <w:rsid w:val="4CCC79C7"/>
    <w:rsid w:val="4D7555C7"/>
    <w:rsid w:val="4D875DE8"/>
    <w:rsid w:val="4E025E2A"/>
    <w:rsid w:val="4E7E62F6"/>
    <w:rsid w:val="4EAE37F8"/>
    <w:rsid w:val="4EAE6DA0"/>
    <w:rsid w:val="4EFB4CDF"/>
    <w:rsid w:val="4FD037EF"/>
    <w:rsid w:val="5016514B"/>
    <w:rsid w:val="502857C7"/>
    <w:rsid w:val="50476D3D"/>
    <w:rsid w:val="507408A5"/>
    <w:rsid w:val="511659A4"/>
    <w:rsid w:val="517B6524"/>
    <w:rsid w:val="51CB1C78"/>
    <w:rsid w:val="51FD6A51"/>
    <w:rsid w:val="526B680A"/>
    <w:rsid w:val="53065A01"/>
    <w:rsid w:val="53150D15"/>
    <w:rsid w:val="5352083E"/>
    <w:rsid w:val="537D4124"/>
    <w:rsid w:val="53CC15A0"/>
    <w:rsid w:val="541A5D30"/>
    <w:rsid w:val="542C1497"/>
    <w:rsid w:val="553E632F"/>
    <w:rsid w:val="557C43E2"/>
    <w:rsid w:val="55F068CD"/>
    <w:rsid w:val="56442F77"/>
    <w:rsid w:val="566C3136"/>
    <w:rsid w:val="568D04F2"/>
    <w:rsid w:val="57D42C12"/>
    <w:rsid w:val="588D6DD7"/>
    <w:rsid w:val="5919249F"/>
    <w:rsid w:val="5923464B"/>
    <w:rsid w:val="594E61F3"/>
    <w:rsid w:val="59871F22"/>
    <w:rsid w:val="59971F55"/>
    <w:rsid w:val="59C52A6E"/>
    <w:rsid w:val="5A526582"/>
    <w:rsid w:val="5A5F5C77"/>
    <w:rsid w:val="5A9102A6"/>
    <w:rsid w:val="5BBE39CD"/>
    <w:rsid w:val="5BC11A60"/>
    <w:rsid w:val="5C603AE6"/>
    <w:rsid w:val="5C7A4D54"/>
    <w:rsid w:val="5C7F5660"/>
    <w:rsid w:val="5CD23B73"/>
    <w:rsid w:val="5DB56D8D"/>
    <w:rsid w:val="5DCD7847"/>
    <w:rsid w:val="5E532442"/>
    <w:rsid w:val="5F127819"/>
    <w:rsid w:val="5F3D27AA"/>
    <w:rsid w:val="5F63752A"/>
    <w:rsid w:val="5FBC3C39"/>
    <w:rsid w:val="5FF466EA"/>
    <w:rsid w:val="60F1503F"/>
    <w:rsid w:val="61025188"/>
    <w:rsid w:val="61057D5F"/>
    <w:rsid w:val="614D4977"/>
    <w:rsid w:val="623F3C58"/>
    <w:rsid w:val="6300421A"/>
    <w:rsid w:val="63294AF4"/>
    <w:rsid w:val="63BC45E5"/>
    <w:rsid w:val="63C60FC0"/>
    <w:rsid w:val="64117FAB"/>
    <w:rsid w:val="6465251D"/>
    <w:rsid w:val="64A93AC2"/>
    <w:rsid w:val="64BA3D7A"/>
    <w:rsid w:val="64D34C7C"/>
    <w:rsid w:val="64F179BC"/>
    <w:rsid w:val="650C6EA7"/>
    <w:rsid w:val="65C94C55"/>
    <w:rsid w:val="665704D3"/>
    <w:rsid w:val="6686712D"/>
    <w:rsid w:val="66C0263F"/>
    <w:rsid w:val="670B14F0"/>
    <w:rsid w:val="673148E2"/>
    <w:rsid w:val="675445CD"/>
    <w:rsid w:val="67C065A4"/>
    <w:rsid w:val="67D359C9"/>
    <w:rsid w:val="67D85766"/>
    <w:rsid w:val="6865349E"/>
    <w:rsid w:val="68D325EF"/>
    <w:rsid w:val="68ED5241"/>
    <w:rsid w:val="68FE36DD"/>
    <w:rsid w:val="694E60FC"/>
    <w:rsid w:val="69CB6547"/>
    <w:rsid w:val="69EF4042"/>
    <w:rsid w:val="6A1A0F4D"/>
    <w:rsid w:val="6ADF0EEB"/>
    <w:rsid w:val="6BDF3567"/>
    <w:rsid w:val="6C0C59DE"/>
    <w:rsid w:val="6C410A63"/>
    <w:rsid w:val="6C671521"/>
    <w:rsid w:val="6C675CE6"/>
    <w:rsid w:val="6CEF35AF"/>
    <w:rsid w:val="6CFA2A47"/>
    <w:rsid w:val="6D3C22F3"/>
    <w:rsid w:val="6D4F4321"/>
    <w:rsid w:val="6DE95E22"/>
    <w:rsid w:val="6DFF7360"/>
    <w:rsid w:val="6E001573"/>
    <w:rsid w:val="6E3D4575"/>
    <w:rsid w:val="6E7A5F73"/>
    <w:rsid w:val="6EAE7221"/>
    <w:rsid w:val="6EF410D7"/>
    <w:rsid w:val="6F2E3798"/>
    <w:rsid w:val="6FBC638C"/>
    <w:rsid w:val="6FD74228"/>
    <w:rsid w:val="6FE25CA9"/>
    <w:rsid w:val="706032E0"/>
    <w:rsid w:val="70FE5EDF"/>
    <w:rsid w:val="71633091"/>
    <w:rsid w:val="71AC18C9"/>
    <w:rsid w:val="725E7BFA"/>
    <w:rsid w:val="72693B8A"/>
    <w:rsid w:val="72F45481"/>
    <w:rsid w:val="730218E9"/>
    <w:rsid w:val="73081CA5"/>
    <w:rsid w:val="731735E6"/>
    <w:rsid w:val="73F2195D"/>
    <w:rsid w:val="73F41B79"/>
    <w:rsid w:val="74545B7C"/>
    <w:rsid w:val="747D56CB"/>
    <w:rsid w:val="7487762D"/>
    <w:rsid w:val="749F2380"/>
    <w:rsid w:val="75385498"/>
    <w:rsid w:val="753E7806"/>
    <w:rsid w:val="7588189A"/>
    <w:rsid w:val="75BE5F9B"/>
    <w:rsid w:val="75E54D4E"/>
    <w:rsid w:val="766F5B43"/>
    <w:rsid w:val="7696299F"/>
    <w:rsid w:val="769962BD"/>
    <w:rsid w:val="76BC207F"/>
    <w:rsid w:val="76EB4904"/>
    <w:rsid w:val="771D13E7"/>
    <w:rsid w:val="777378F5"/>
    <w:rsid w:val="777A2D3C"/>
    <w:rsid w:val="78537BEA"/>
    <w:rsid w:val="788F3C1F"/>
    <w:rsid w:val="78D43D28"/>
    <w:rsid w:val="79074B81"/>
    <w:rsid w:val="794F0939"/>
    <w:rsid w:val="79AF0FCA"/>
    <w:rsid w:val="79EF2560"/>
    <w:rsid w:val="7A9B6C5F"/>
    <w:rsid w:val="7AF9279C"/>
    <w:rsid w:val="7B713AB0"/>
    <w:rsid w:val="7C02295A"/>
    <w:rsid w:val="7C333FF5"/>
    <w:rsid w:val="7C3805F4"/>
    <w:rsid w:val="7CBB3234"/>
    <w:rsid w:val="7CC51958"/>
    <w:rsid w:val="7CEC40B6"/>
    <w:rsid w:val="7D284642"/>
    <w:rsid w:val="7E156974"/>
    <w:rsid w:val="7E2936C3"/>
    <w:rsid w:val="7E2E365C"/>
    <w:rsid w:val="7E6411B9"/>
    <w:rsid w:val="7E775881"/>
    <w:rsid w:val="7F271055"/>
    <w:rsid w:val="7F58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7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0"/>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5"/>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0"/>
    <w:autoRedefine/>
    <w:qFormat/>
    <w:uiPriority w:val="0"/>
    <w:pPr>
      <w:keepNext/>
      <w:keepLines/>
      <w:spacing w:before="280" w:after="290" w:line="376" w:lineRule="auto"/>
      <w:outlineLvl w:val="3"/>
    </w:pPr>
    <w:rPr>
      <w:b/>
      <w:bCs/>
      <w:sz w:val="28"/>
      <w:szCs w:val="28"/>
    </w:rPr>
  </w:style>
  <w:style w:type="paragraph" w:styleId="7">
    <w:name w:val="heading 9"/>
    <w:basedOn w:val="1"/>
    <w:next w:val="1"/>
    <w:qFormat/>
    <w:uiPriority w:val="0"/>
    <w:pPr>
      <w:keepNext/>
      <w:keepLines/>
      <w:widowControl/>
      <w:tabs>
        <w:tab w:val="left" w:pos="1584"/>
      </w:tabs>
      <w:spacing w:before="240" w:after="64" w:line="316" w:lineRule="auto"/>
      <w:ind w:left="1584" w:hanging="1584"/>
      <w:jc w:val="left"/>
      <w:outlineLvl w:val="8"/>
    </w:pPr>
    <w:rPr>
      <w:rFonts w:ascii="Arial" w:hAnsi="Arial" w:eastAsia="黑体"/>
      <w:sz w:val="21"/>
      <w:szCs w:val="21"/>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8">
    <w:name w:val="toc 7"/>
    <w:basedOn w:val="1"/>
    <w:next w:val="1"/>
    <w:autoRedefine/>
    <w:qFormat/>
    <w:uiPriority w:val="39"/>
    <w:pPr>
      <w:ind w:left="1260"/>
      <w:jc w:val="left"/>
    </w:pPr>
    <w:rPr>
      <w:sz w:val="18"/>
      <w:szCs w:val="18"/>
    </w:rPr>
  </w:style>
  <w:style w:type="paragraph" w:styleId="9">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Document Map"/>
    <w:basedOn w:val="1"/>
    <w:next w:val="1"/>
    <w:autoRedefine/>
    <w:qFormat/>
    <w:uiPriority w:val="0"/>
    <w:rPr>
      <w:rFonts w:ascii="宋体" w:hAnsi="Times New Roman" w:eastAsia="宋体" w:cs="Times New Roman"/>
      <w:sz w:val="18"/>
      <w:szCs w:val="18"/>
    </w:rPr>
  </w:style>
  <w:style w:type="paragraph" w:styleId="11">
    <w:name w:val="annotation text"/>
    <w:basedOn w:val="1"/>
    <w:link w:val="62"/>
    <w:autoRedefine/>
    <w:qFormat/>
    <w:uiPriority w:val="0"/>
    <w:pPr>
      <w:jc w:val="left"/>
    </w:pPr>
    <w:rPr>
      <w:rFonts w:ascii="Arial" w:hAnsi="Arial" w:eastAsia="黑体" w:cs="Arial"/>
    </w:rPr>
  </w:style>
  <w:style w:type="paragraph" w:styleId="12">
    <w:name w:val="Body Text"/>
    <w:basedOn w:val="1"/>
    <w:next w:val="13"/>
    <w:autoRedefine/>
    <w:qFormat/>
    <w:uiPriority w:val="0"/>
    <w:pPr>
      <w:spacing w:after="120"/>
    </w:pPr>
    <w:rPr>
      <w:rFonts w:ascii="@微软简标宋" w:hAnsi="@微软简标宋" w:eastAsia="@微软简标宋" w:cs="@微软简标宋"/>
      <w:szCs w:val="24"/>
      <w:lang w:val="zh-CN"/>
    </w:rPr>
  </w:style>
  <w:style w:type="paragraph" w:styleId="13">
    <w:name w:val="Body Text First Indent"/>
    <w:basedOn w:val="12"/>
    <w:next w:val="14"/>
    <w:autoRedefine/>
    <w:unhideWhenUsed/>
    <w:qFormat/>
    <w:uiPriority w:val="99"/>
    <w:pPr>
      <w:ind w:firstLine="420" w:firstLineChars="100"/>
    </w:pPr>
  </w:style>
  <w:style w:type="paragraph" w:styleId="14">
    <w:name w:val="Body Text First Indent 2"/>
    <w:basedOn w:val="15"/>
    <w:next w:val="1"/>
    <w:autoRedefine/>
    <w:qFormat/>
    <w:uiPriority w:val="0"/>
    <w:pPr>
      <w:ind w:left="0" w:leftChars="0" w:firstLine="420" w:firstLineChars="200"/>
    </w:pPr>
  </w:style>
  <w:style w:type="paragraph" w:styleId="15">
    <w:name w:val="Body Text Indent"/>
    <w:basedOn w:val="1"/>
    <w:next w:val="16"/>
    <w:autoRedefine/>
    <w:qFormat/>
    <w:uiPriority w:val="0"/>
    <w:pPr>
      <w:spacing w:after="120"/>
      <w:ind w:left="200" w:leftChars="200"/>
    </w:pPr>
  </w:style>
  <w:style w:type="paragraph" w:styleId="16">
    <w:name w:val="envelope return"/>
    <w:basedOn w:val="1"/>
    <w:autoRedefine/>
    <w:qFormat/>
    <w:uiPriority w:val="0"/>
    <w:pPr>
      <w:snapToGrid w:val="0"/>
    </w:pPr>
    <w:rPr>
      <w:rFonts w:ascii="Arial" w:hAnsi="Arial"/>
    </w:rPr>
  </w:style>
  <w:style w:type="paragraph" w:styleId="17">
    <w:name w:val="Block Text"/>
    <w:basedOn w:val="1"/>
    <w:qFormat/>
    <w:uiPriority w:val="0"/>
    <w:rPr>
      <w:rFonts w:eastAsia="宋体"/>
    </w:rPr>
  </w:style>
  <w:style w:type="paragraph" w:styleId="1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9">
    <w:name w:val="Plain Text"/>
    <w:basedOn w:val="1"/>
    <w:link w:val="52"/>
    <w:autoRedefine/>
    <w:qFormat/>
    <w:uiPriority w:val="99"/>
    <w:rPr>
      <w:rFonts w:ascii="宋体" w:hAnsi="Courier New" w:eastAsiaTheme="minorEastAsia" w:cstheme="minorBidi"/>
      <w:szCs w:val="22"/>
    </w:rPr>
  </w:style>
  <w:style w:type="paragraph" w:styleId="20">
    <w:name w:val="Date"/>
    <w:basedOn w:val="1"/>
    <w:next w:val="1"/>
    <w:link w:val="59"/>
    <w:autoRedefine/>
    <w:qFormat/>
    <w:uiPriority w:val="0"/>
    <w:rPr>
      <w:rFonts w:ascii="Arial" w:hAnsi="Arial" w:eastAsia="宋体" w:cs="Arial"/>
      <w:b/>
      <w:sz w:val="28"/>
    </w:rPr>
  </w:style>
  <w:style w:type="paragraph" w:styleId="21">
    <w:name w:val="Balloon Text"/>
    <w:basedOn w:val="1"/>
    <w:link w:val="46"/>
    <w:autoRedefine/>
    <w:semiHidden/>
    <w:unhideWhenUsed/>
    <w:qFormat/>
    <w:uiPriority w:val="99"/>
    <w:rPr>
      <w:sz w:val="18"/>
      <w:szCs w:val="18"/>
    </w:rPr>
  </w:style>
  <w:style w:type="paragraph" w:styleId="22">
    <w:name w:val="footer"/>
    <w:basedOn w:val="1"/>
    <w:link w:val="51"/>
    <w:autoRedefine/>
    <w:unhideWhenUsed/>
    <w:qFormat/>
    <w:uiPriority w:val="99"/>
    <w:pPr>
      <w:tabs>
        <w:tab w:val="center" w:pos="4153"/>
        <w:tab w:val="right" w:pos="8306"/>
      </w:tabs>
      <w:snapToGrid w:val="0"/>
      <w:jc w:val="left"/>
    </w:pPr>
    <w:rPr>
      <w:sz w:val="18"/>
      <w:szCs w:val="18"/>
    </w:rPr>
  </w:style>
  <w:style w:type="paragraph" w:styleId="23">
    <w:name w:val="header"/>
    <w:basedOn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Body Text 2"/>
    <w:basedOn w:val="1"/>
    <w:autoRedefine/>
    <w:unhideWhenUsed/>
    <w:qFormat/>
    <w:uiPriority w:val="99"/>
    <w:pPr>
      <w:spacing w:after="120" w:line="480" w:lineRule="auto"/>
    </w:pPr>
  </w:style>
  <w:style w:type="paragraph" w:styleId="26">
    <w:name w:val="Normal (Web)"/>
    <w:basedOn w:val="1"/>
    <w:autoRedefine/>
    <w:qFormat/>
    <w:uiPriority w:val="0"/>
    <w:pPr>
      <w:spacing w:before="100" w:beforeAutospacing="1" w:after="100" w:afterAutospacing="1"/>
      <w:jc w:val="left"/>
    </w:pPr>
    <w:rPr>
      <w:rFonts w:cs="Times New Roman"/>
      <w:kern w:val="0"/>
      <w:sz w:val="24"/>
    </w:rPr>
  </w:style>
  <w:style w:type="paragraph" w:styleId="27">
    <w:name w:val="index 1"/>
    <w:basedOn w:val="1"/>
    <w:next w:val="1"/>
    <w:autoRedefine/>
    <w:qFormat/>
    <w:uiPriority w:val="0"/>
    <w:pPr>
      <w:jc w:val="center"/>
    </w:pPr>
    <w:rPr>
      <w:rFonts w:ascii="Arial" w:hAnsi="Arial" w:eastAsia="Arial" w:cs="Arial"/>
      <w:b/>
      <w:bCs/>
      <w:sz w:val="28"/>
    </w:rPr>
  </w:style>
  <w:style w:type="paragraph" w:styleId="28">
    <w:name w:val="annotation subject"/>
    <w:basedOn w:val="11"/>
    <w:next w:val="11"/>
    <w:link w:val="73"/>
    <w:autoRedefine/>
    <w:semiHidden/>
    <w:unhideWhenUsed/>
    <w:qFormat/>
    <w:uiPriority w:val="99"/>
    <w:rPr>
      <w:rFonts w:ascii="@仿宋_GB2312" w:hAnsi="@仿宋_GB2312" w:eastAsia="@仿宋_GB2312" w:cs="@仿宋_GB2312"/>
      <w:b/>
      <w:bCs/>
    </w:rPr>
  </w:style>
  <w:style w:type="table" w:styleId="30">
    <w:name w:val="Table Grid"/>
    <w:basedOn w:val="2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FollowedHyperlink"/>
    <w:basedOn w:val="31"/>
    <w:semiHidden/>
    <w:unhideWhenUsed/>
    <w:qFormat/>
    <w:uiPriority w:val="99"/>
    <w:rPr>
      <w:color w:val="5C5C5C"/>
      <w:u w:val="non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autoRedefine/>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annotation reference"/>
    <w:basedOn w:val="31"/>
    <w:autoRedefine/>
    <w:semiHidden/>
    <w:unhideWhenUsed/>
    <w:qFormat/>
    <w:uiPriority w:val="99"/>
    <w:rPr>
      <w:sz w:val="21"/>
      <w:szCs w:val="21"/>
    </w:rPr>
  </w:style>
  <w:style w:type="character" w:styleId="42">
    <w:name w:val="HTML Cite"/>
    <w:basedOn w:val="31"/>
    <w:semiHidden/>
    <w:unhideWhenUsed/>
    <w:qFormat/>
    <w:uiPriority w:val="99"/>
  </w:style>
  <w:style w:type="character" w:styleId="43">
    <w:name w:val="HTML Keyboard"/>
    <w:basedOn w:val="31"/>
    <w:semiHidden/>
    <w:unhideWhenUsed/>
    <w:qFormat/>
    <w:uiPriority w:val="99"/>
    <w:rPr>
      <w:rFonts w:ascii="monospace" w:hAnsi="monospace" w:eastAsia="monospace" w:cs="monospace"/>
      <w:sz w:val="20"/>
    </w:rPr>
  </w:style>
  <w:style w:type="character" w:styleId="44">
    <w:name w:val="HTML Sample"/>
    <w:basedOn w:val="31"/>
    <w:semiHidden/>
    <w:unhideWhenUsed/>
    <w:qFormat/>
    <w:uiPriority w:val="99"/>
    <w:rPr>
      <w:rFonts w:hint="default" w:ascii="monospace" w:hAnsi="monospace" w:eastAsia="monospace" w:cs="monospace"/>
    </w:rPr>
  </w:style>
  <w:style w:type="paragraph" w:customStyle="1" w:styleId="45">
    <w:name w:val="正文文字 8"/>
    <w:basedOn w:val="1"/>
    <w:next w:val="1"/>
    <w:autoRedefine/>
    <w:qFormat/>
    <w:uiPriority w:val="0"/>
    <w:pPr>
      <w:ind w:left="240"/>
    </w:pPr>
    <w:rPr>
      <w:sz w:val="16"/>
    </w:rPr>
  </w:style>
  <w:style w:type="character" w:customStyle="1" w:styleId="46">
    <w:name w:val="批注框文本 字符"/>
    <w:basedOn w:val="31"/>
    <w:link w:val="21"/>
    <w:autoRedefine/>
    <w:semiHidden/>
    <w:qFormat/>
    <w:uiPriority w:val="99"/>
    <w:rPr>
      <w:rFonts w:ascii="@仿宋_GB2312" w:hAnsi="@仿宋_GB2312" w:eastAsia="@仿宋_GB2312" w:cs="@仿宋_GB2312"/>
      <w:sz w:val="18"/>
      <w:szCs w:val="18"/>
    </w:rPr>
  </w:style>
  <w:style w:type="paragraph" w:customStyle="1" w:styleId="47">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9">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0">
    <w:name w:val="页眉 字符"/>
    <w:basedOn w:val="31"/>
    <w:link w:val="23"/>
    <w:autoRedefine/>
    <w:qFormat/>
    <w:uiPriority w:val="99"/>
    <w:rPr>
      <w:rFonts w:ascii="@仿宋_GB2312" w:hAnsi="@仿宋_GB2312" w:eastAsia="@仿宋_GB2312" w:cs="@仿宋_GB2312"/>
      <w:sz w:val="18"/>
      <w:szCs w:val="18"/>
    </w:rPr>
  </w:style>
  <w:style w:type="character" w:customStyle="1" w:styleId="51">
    <w:name w:val="页脚 字符"/>
    <w:basedOn w:val="31"/>
    <w:link w:val="22"/>
    <w:autoRedefine/>
    <w:qFormat/>
    <w:uiPriority w:val="99"/>
    <w:rPr>
      <w:rFonts w:ascii="@仿宋_GB2312" w:hAnsi="@仿宋_GB2312" w:eastAsia="@仿宋_GB2312" w:cs="@仿宋_GB2312"/>
      <w:sz w:val="18"/>
      <w:szCs w:val="18"/>
    </w:rPr>
  </w:style>
  <w:style w:type="character" w:customStyle="1" w:styleId="52">
    <w:name w:val="纯文本 字符"/>
    <w:link w:val="19"/>
    <w:autoRedefine/>
    <w:qFormat/>
    <w:uiPriority w:val="0"/>
    <w:rPr>
      <w:rFonts w:ascii="宋体" w:hAnsi="Courier New"/>
    </w:rPr>
  </w:style>
  <w:style w:type="character" w:customStyle="1" w:styleId="53">
    <w:name w:val="纯文本 字符1"/>
    <w:basedOn w:val="31"/>
    <w:autoRedefine/>
    <w:semiHidden/>
    <w:qFormat/>
    <w:uiPriority w:val="99"/>
    <w:rPr>
      <w:rFonts w:hAnsi="Courier New" w:cs="Courier New" w:asciiTheme="minorEastAsia"/>
      <w:szCs w:val="20"/>
    </w:rPr>
  </w:style>
  <w:style w:type="character" w:customStyle="1" w:styleId="54">
    <w:name w:val="未处理的提及1"/>
    <w:basedOn w:val="31"/>
    <w:autoRedefine/>
    <w:semiHidden/>
    <w:unhideWhenUsed/>
    <w:qFormat/>
    <w:uiPriority w:val="99"/>
    <w:rPr>
      <w:color w:val="605E5C"/>
      <w:shd w:val="clear" w:color="auto" w:fill="E1DFDD"/>
    </w:rPr>
  </w:style>
  <w:style w:type="paragraph" w:styleId="55">
    <w:name w:val="List Paragraph"/>
    <w:basedOn w:val="1"/>
    <w:autoRedefine/>
    <w:qFormat/>
    <w:uiPriority w:val="34"/>
    <w:pPr>
      <w:ind w:firstLine="420" w:firstLineChars="200"/>
    </w:pPr>
  </w:style>
  <w:style w:type="paragraph" w:customStyle="1" w:styleId="56">
    <w:name w:val="Char Char Char Char Char Char Char1 Char"/>
    <w:basedOn w:val="1"/>
    <w:autoRedefine/>
    <w:qFormat/>
    <w:uiPriority w:val="0"/>
    <w:rPr>
      <w:rFonts w:ascii="Arial" w:hAnsi="Arial" w:eastAsia="宋体" w:cs="Arial"/>
      <w:sz w:val="24"/>
    </w:rPr>
  </w:style>
  <w:style w:type="table" w:customStyle="1" w:styleId="57">
    <w:name w:val="网格表 1 浅色1"/>
    <w:basedOn w:val="2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8">
    <w:name w:val="日期 字符"/>
    <w:basedOn w:val="31"/>
    <w:autoRedefine/>
    <w:semiHidden/>
    <w:qFormat/>
    <w:uiPriority w:val="99"/>
    <w:rPr>
      <w:rFonts w:ascii="@仿宋_GB2312" w:hAnsi="@仿宋_GB2312" w:eastAsia="@仿宋_GB2312" w:cs="@仿宋_GB2312"/>
      <w:szCs w:val="20"/>
    </w:rPr>
  </w:style>
  <w:style w:type="character" w:customStyle="1" w:styleId="59">
    <w:name w:val="日期 字符1"/>
    <w:link w:val="20"/>
    <w:autoRedefine/>
    <w:qFormat/>
    <w:uiPriority w:val="0"/>
    <w:rPr>
      <w:rFonts w:ascii="Arial" w:hAnsi="Arial" w:eastAsia="宋体" w:cs="Arial"/>
      <w:b/>
      <w:sz w:val="28"/>
      <w:szCs w:val="20"/>
    </w:rPr>
  </w:style>
  <w:style w:type="character" w:customStyle="1" w:styleId="60">
    <w:name w:val="纯文本 Char1"/>
    <w:autoRedefine/>
    <w:qFormat/>
    <w:locked/>
    <w:uiPriority w:val="99"/>
    <w:rPr>
      <w:rFonts w:ascii="Arial" w:hAnsi="Arial" w:eastAsia="Arial"/>
      <w:kern w:val="2"/>
      <w:sz w:val="21"/>
      <w:lang w:val="en-US" w:eastAsia="zh-CN" w:bidi="ar-SA"/>
    </w:rPr>
  </w:style>
  <w:style w:type="character" w:customStyle="1" w:styleId="61">
    <w:name w:val="批注文字 Char"/>
    <w:basedOn w:val="31"/>
    <w:autoRedefine/>
    <w:semiHidden/>
    <w:qFormat/>
    <w:uiPriority w:val="99"/>
    <w:rPr>
      <w:rFonts w:ascii="@仿宋_GB2312" w:hAnsi="@仿宋_GB2312" w:eastAsia="@仿宋_GB2312" w:cs="@仿宋_GB2312"/>
      <w:szCs w:val="20"/>
    </w:rPr>
  </w:style>
  <w:style w:type="character" w:customStyle="1" w:styleId="62">
    <w:name w:val="批注文字 字符"/>
    <w:link w:val="11"/>
    <w:autoRedefine/>
    <w:qFormat/>
    <w:uiPriority w:val="0"/>
    <w:rPr>
      <w:rFonts w:ascii="Arial" w:hAnsi="Arial" w:eastAsia="黑体" w:cs="Arial"/>
      <w:szCs w:val="20"/>
    </w:rPr>
  </w:style>
  <w:style w:type="character" w:customStyle="1" w:styleId="63">
    <w:name w:val="标题 1 Char"/>
    <w:basedOn w:val="31"/>
    <w:autoRedefine/>
    <w:qFormat/>
    <w:uiPriority w:val="9"/>
    <w:rPr>
      <w:rFonts w:ascii="@仿宋_GB2312" w:hAnsi="@仿宋_GB2312" w:eastAsia="@仿宋_GB2312" w:cs="@仿宋_GB2312"/>
      <w:b/>
      <w:bCs/>
      <w:kern w:val="44"/>
      <w:sz w:val="44"/>
      <w:szCs w:val="44"/>
    </w:rPr>
  </w:style>
  <w:style w:type="paragraph" w:customStyle="1" w:styleId="64">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标题 3 字符"/>
    <w:basedOn w:val="31"/>
    <w:link w:val="5"/>
    <w:autoRedefine/>
    <w:semiHidden/>
    <w:qFormat/>
    <w:uiPriority w:val="9"/>
    <w:rPr>
      <w:rFonts w:ascii="@仿宋_GB2312" w:hAnsi="@仿宋_GB2312" w:eastAsia="@仿宋_GB2312" w:cs="@仿宋_GB2312"/>
      <w:b/>
      <w:bCs/>
      <w:sz w:val="32"/>
      <w:szCs w:val="32"/>
    </w:rPr>
  </w:style>
  <w:style w:type="character" w:customStyle="1" w:styleId="66">
    <w:name w:val="fontstyle01"/>
    <w:basedOn w:val="31"/>
    <w:autoRedefine/>
    <w:qFormat/>
    <w:uiPriority w:val="0"/>
    <w:rPr>
      <w:rFonts w:hint="eastAsia" w:ascii="宋体" w:hAnsi="宋体" w:eastAsia="宋体"/>
      <w:color w:val="000000"/>
      <w:sz w:val="22"/>
      <w:szCs w:val="22"/>
    </w:rPr>
  </w:style>
  <w:style w:type="character" w:customStyle="1" w:styleId="67">
    <w:name w:val="fontstyle21"/>
    <w:basedOn w:val="31"/>
    <w:autoRedefine/>
    <w:qFormat/>
    <w:uiPriority w:val="0"/>
    <w:rPr>
      <w:rFonts w:hint="default" w:ascii="TimesNewRomanPSMT" w:hAnsi="TimesNewRomanPSMT"/>
      <w:color w:val="000000"/>
      <w:sz w:val="22"/>
      <w:szCs w:val="22"/>
    </w:rPr>
  </w:style>
  <w:style w:type="character" w:customStyle="1" w:styleId="68">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9">
    <w:name w:val="标题 4 字符"/>
    <w:basedOn w:val="31"/>
    <w:autoRedefine/>
    <w:semiHidden/>
    <w:qFormat/>
    <w:uiPriority w:val="9"/>
    <w:rPr>
      <w:rFonts w:asciiTheme="majorHAnsi" w:hAnsiTheme="majorHAnsi" w:eastAsiaTheme="majorEastAsia" w:cstheme="majorBidi"/>
      <w:b/>
      <w:bCs/>
      <w:sz w:val="28"/>
      <w:szCs w:val="28"/>
    </w:rPr>
  </w:style>
  <w:style w:type="character" w:customStyle="1" w:styleId="70">
    <w:name w:val="标题 4 字符1"/>
    <w:link w:val="6"/>
    <w:autoRedefine/>
    <w:qFormat/>
    <w:uiPriority w:val="0"/>
    <w:rPr>
      <w:rFonts w:ascii="@仿宋_GB2312" w:hAnsi="@仿宋_GB2312" w:eastAsia="@仿宋_GB2312" w:cs="@仿宋_GB2312"/>
      <w:b/>
      <w:bCs/>
      <w:sz w:val="28"/>
      <w:szCs w:val="28"/>
    </w:rPr>
  </w:style>
  <w:style w:type="character" w:customStyle="1" w:styleId="71">
    <w:name w:val="标题 4 Char"/>
    <w:autoRedefine/>
    <w:qFormat/>
    <w:uiPriority w:val="0"/>
    <w:rPr>
      <w:rFonts w:ascii="Arial" w:hAnsi="Arial" w:eastAsia="Arial"/>
      <w:b/>
      <w:bCs/>
      <w:kern w:val="2"/>
      <w:sz w:val="28"/>
      <w:szCs w:val="28"/>
      <w:lang w:val="en-US" w:eastAsia="zh-CN" w:bidi="ar-SA"/>
    </w:rPr>
  </w:style>
  <w:style w:type="table" w:customStyle="1" w:styleId="72">
    <w:name w:val="网格型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批注主题 字符"/>
    <w:basedOn w:val="62"/>
    <w:link w:val="28"/>
    <w:autoRedefine/>
    <w:semiHidden/>
    <w:qFormat/>
    <w:uiPriority w:val="99"/>
    <w:rPr>
      <w:rFonts w:ascii="@仿宋_GB2312" w:hAnsi="@仿宋_GB2312" w:eastAsia="@仿宋_GB2312" w:cs="@仿宋_GB2312"/>
      <w:b/>
      <w:bCs/>
      <w:szCs w:val="20"/>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Table Text"/>
    <w:basedOn w:val="1"/>
    <w:autoRedefine/>
    <w:semiHidden/>
    <w:qFormat/>
    <w:uiPriority w:val="0"/>
    <w:rPr>
      <w:rFonts w:ascii="Arial" w:hAnsi="Arial" w:eastAsia="Arial" w:cs="Arial"/>
      <w:szCs w:val="21"/>
      <w:lang w:eastAsia="en-US"/>
    </w:rPr>
  </w:style>
  <w:style w:type="paragraph" w:customStyle="1" w:styleId="76">
    <w:name w:val="Table Paragraph"/>
    <w:basedOn w:val="1"/>
    <w:qFormat/>
    <w:uiPriority w:val="0"/>
    <w:rPr>
      <w:rFonts w:ascii="宋体" w:hAnsi="宋体" w:eastAsia="宋体" w:cs="宋体"/>
      <w:lang w:val="zh-CN" w:bidi="zh-CN"/>
    </w:rPr>
  </w:style>
  <w:style w:type="character" w:customStyle="1" w:styleId="77">
    <w:name w:val="font31"/>
    <w:basedOn w:val="31"/>
    <w:qFormat/>
    <w:uiPriority w:val="0"/>
    <w:rPr>
      <w:rFonts w:ascii="微软雅黑" w:hAnsi="微软雅黑" w:eastAsia="微软雅黑" w:cs="微软雅黑"/>
      <w:color w:val="000000"/>
      <w:sz w:val="24"/>
      <w:szCs w:val="24"/>
      <w:u w:val="none"/>
    </w:rPr>
  </w:style>
  <w:style w:type="character" w:customStyle="1" w:styleId="78">
    <w:name w:val="font41"/>
    <w:basedOn w:val="31"/>
    <w:qFormat/>
    <w:uiPriority w:val="0"/>
    <w:rPr>
      <w:rFonts w:ascii="Calibri" w:hAnsi="Calibri" w:cs="Calibri"/>
      <w:color w:val="000000"/>
      <w:sz w:val="24"/>
      <w:szCs w:val="24"/>
      <w:u w:val="none"/>
    </w:rPr>
  </w:style>
  <w:style w:type="character" w:customStyle="1" w:styleId="79">
    <w:name w:val="标题 1 字符"/>
    <w:link w:val="3"/>
    <w:qFormat/>
    <w:uiPriority w:val="9"/>
    <w:rPr>
      <w:b/>
      <w:bCs/>
      <w:kern w:val="44"/>
      <w:sz w:val="44"/>
      <w:szCs w:val="44"/>
    </w:rPr>
  </w:style>
  <w:style w:type="paragraph" w:customStyle="1" w:styleId="80">
    <w:name w:val="Other|1"/>
    <w:basedOn w:val="1"/>
    <w:qFormat/>
    <w:uiPriority w:val="0"/>
    <w:rPr>
      <w:rFonts w:ascii="宋体" w:hAnsi="宋体" w:eastAsia="宋体" w:cs="宋体"/>
      <w:sz w:val="19"/>
      <w:szCs w:val="19"/>
      <w:lang w:val="zh-TW" w:eastAsia="zh-TW" w:bidi="zh-TW"/>
    </w:rPr>
  </w:style>
  <w:style w:type="paragraph" w:customStyle="1" w:styleId="81">
    <w:name w:val="纯文本1"/>
    <w:basedOn w:val="1"/>
    <w:qFormat/>
    <w:uiPriority w:val="0"/>
    <w:pPr>
      <w:adjustRightInd w:val="0"/>
    </w:pPr>
    <w:rPr>
      <w:rFonts w:ascii="宋体" w:hAnsi="Courier New" w:eastAsia="楷体_GB2312"/>
      <w:sz w:val="26"/>
    </w:rPr>
  </w:style>
  <w:style w:type="paragraph" w:customStyle="1" w:styleId="82">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83">
    <w:name w:val="正文缩进1"/>
    <w:basedOn w:val="1"/>
    <w:next w:val="10"/>
    <w:autoRedefine/>
    <w:qFormat/>
    <w:uiPriority w:val="0"/>
    <w:pPr>
      <w:spacing w:line="360" w:lineRule="atLeast"/>
      <w:ind w:firstLine="482"/>
    </w:pPr>
    <w:rPr>
      <w:rFonts w:ascii="Times New Roman" w:eastAsia="宋体"/>
      <w:sz w:val="24"/>
    </w:rPr>
  </w:style>
  <w:style w:type="paragraph" w:customStyle="1" w:styleId="84">
    <w:name w:val="_Style 3"/>
    <w:basedOn w:val="1"/>
    <w:autoRedefine/>
    <w:qFormat/>
    <w:uiPriority w:val="0"/>
    <w:pPr>
      <w:ind w:firstLine="420" w:firstLineChars="200"/>
    </w:pPr>
    <w:rPr>
      <w:sz w:val="20"/>
    </w:rPr>
  </w:style>
  <w:style w:type="paragraph" w:customStyle="1" w:styleId="85">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character" w:customStyle="1" w:styleId="86">
    <w:name w:val="hover"/>
    <w:basedOn w:val="31"/>
    <w:qFormat/>
    <w:uiPriority w:val="0"/>
    <w:rPr>
      <w:color w:val="2590EB"/>
      <w:shd w:val="clear" w:color="auto" w:fill="E9F4FD"/>
    </w:rPr>
  </w:style>
  <w:style w:type="character" w:customStyle="1" w:styleId="87">
    <w:name w:val="hover1"/>
    <w:basedOn w:val="31"/>
    <w:qFormat/>
    <w:uiPriority w:val="0"/>
    <w:rPr>
      <w:color w:val="2590EB"/>
    </w:rPr>
  </w:style>
  <w:style w:type="character" w:customStyle="1" w:styleId="88">
    <w:name w:val="hover2"/>
    <w:basedOn w:val="31"/>
    <w:qFormat/>
    <w:uiPriority w:val="0"/>
    <w:rPr>
      <w:color w:val="2590EB"/>
    </w:rPr>
  </w:style>
  <w:style w:type="character" w:customStyle="1" w:styleId="89">
    <w:name w:val="hover3"/>
    <w:basedOn w:val="31"/>
    <w:qFormat/>
    <w:uiPriority w:val="0"/>
  </w:style>
  <w:style w:type="character" w:customStyle="1" w:styleId="90">
    <w:name w:val="标题 2 字符"/>
    <w:basedOn w:val="31"/>
    <w:link w:val="4"/>
    <w:qFormat/>
    <w:uiPriority w:val="0"/>
    <w:rPr>
      <w:rFonts w:ascii="等线 Light" w:hAnsi="等线 Light" w:eastAsia="等线 Light" w:cs="Times New Roman"/>
      <w:b/>
      <w:bCs/>
      <w:kern w:val="2"/>
      <w:sz w:val="32"/>
      <w:szCs w:val="32"/>
    </w:rPr>
  </w:style>
  <w:style w:type="paragraph" w:customStyle="1" w:styleId="91">
    <w:name w:val="Body text|1"/>
    <w:basedOn w:val="1"/>
    <w:qFormat/>
    <w:uiPriority w:val="0"/>
    <w:pPr>
      <w:widowControl w:val="0"/>
      <w:shd w:val="clear" w:color="auto" w:fill="auto"/>
      <w:spacing w:line="480"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81</Pages>
  <Words>5795</Words>
  <Characters>6347</Characters>
  <Lines>306</Lines>
  <Paragraphs>86</Paragraphs>
  <TotalTime>411</TotalTime>
  <ScaleCrop>false</ScaleCrop>
  <LinksUpToDate>false</LinksUpToDate>
  <CharactersWithSpaces>6416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Pim Pom丶</cp:lastModifiedBy>
  <cp:lastPrinted>2019-12-07T15:18:00Z</cp:lastPrinted>
  <dcterms:modified xsi:type="dcterms:W3CDTF">2025-08-07T08:37:26Z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48E24A3274344AF093B51ADFEB0C17FF_13</vt:lpwstr>
  </property>
  <property fmtid="{D5CDD505-2E9C-101B-9397-08002B2CF9AE}" pid="4" name="KSOTemplateDocerSaveRecord">
    <vt:lpwstr>eyJoZGlkIjoiOTk1OGJkZDZlMmJiZjgxZThhZWQ4YzE0YWIxYTUyMmQiLCJ1c2VySWQiOiI0MDkyMjI1MTkifQ==</vt:lpwstr>
  </property>
</Properties>
</file>