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93AFC">
      <w:pPr>
        <w:tabs>
          <w:tab w:val="left" w:pos="315"/>
          <w:tab w:val="left" w:pos="8820"/>
        </w:tabs>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937FAF">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6FF6803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4BF90E0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5969AB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21EDACE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C28EB5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8CFEF9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1AB102B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9ACDC71">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E4F8CC3">
      <w:pPr>
        <w:pStyle w:val="44"/>
        <w:rPr>
          <w:color w:val="auto"/>
          <w:highlight w:val="none"/>
        </w:rPr>
      </w:pPr>
    </w:p>
    <w:p w14:paraId="5F92F91C">
      <w:pPr>
        <w:tabs>
          <w:tab w:val="left" w:pos="2410"/>
        </w:tabs>
        <w:autoSpaceDE w:val="0"/>
        <w:autoSpaceDN w:val="0"/>
        <w:adjustRightInd w:val="0"/>
        <w:snapToGrid w:val="0"/>
        <w:spacing w:line="360" w:lineRule="auto"/>
        <w:ind w:left="2444" w:leftChars="304" w:hanging="1806" w:hangingChars="5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cs="宋体"/>
          <w:b/>
          <w:color w:val="auto"/>
          <w:spacing w:val="20"/>
          <w:kern w:val="0"/>
          <w:sz w:val="32"/>
          <w:szCs w:val="32"/>
          <w:highlight w:val="none"/>
          <w:u w:val="single"/>
          <w:lang w:val="en-US" w:eastAsia="zh-CN"/>
        </w:rPr>
        <w:t>滁州市物业专项维修资金管理信息系统整合迁移项目</w:t>
      </w:r>
    </w:p>
    <w:p w14:paraId="034B9917">
      <w:pPr>
        <w:tabs>
          <w:tab w:val="left" w:pos="2410"/>
        </w:tabs>
        <w:autoSpaceDE w:val="0"/>
        <w:autoSpaceDN w:val="0"/>
        <w:adjustRightInd w:val="0"/>
        <w:snapToGrid w:val="0"/>
        <w:spacing w:line="360" w:lineRule="auto"/>
        <w:ind w:firstLine="723" w:firstLineChars="200"/>
        <w:rPr>
          <w:rFonts w:hint="default" w:ascii="宋体" w:hAnsi="宋体" w:eastAsia="宋体" w:cs="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项目编号：</w:t>
      </w:r>
      <w:r>
        <w:rPr>
          <w:rFonts w:hint="default" w:ascii="宋体" w:hAnsi="宋体" w:eastAsia="宋体" w:cs="宋体"/>
          <w:b/>
          <w:color w:val="auto"/>
          <w:spacing w:val="20"/>
          <w:kern w:val="0"/>
          <w:sz w:val="32"/>
          <w:szCs w:val="32"/>
          <w:highlight w:val="none"/>
          <w:u w:val="single"/>
          <w:lang w:val="en-US" w:eastAsia="zh-CN"/>
        </w:rPr>
        <w:t>czsjcg202610-014</w:t>
      </w:r>
    </w:p>
    <w:p w14:paraId="62C48B53">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cs="宋体"/>
          <w:b/>
          <w:color w:val="auto"/>
          <w:spacing w:val="20"/>
          <w:kern w:val="0"/>
          <w:sz w:val="32"/>
          <w:szCs w:val="32"/>
          <w:highlight w:val="none"/>
          <w:u w:val="single"/>
          <w:lang w:val="en-US" w:eastAsia="zh-CN"/>
        </w:rPr>
        <w:t>滁州市物业专项维修资金管理中心</w:t>
      </w:r>
    </w:p>
    <w:p w14:paraId="4A45399D">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spacing w:val="20"/>
          <w:kern w:val="0"/>
          <w:sz w:val="32"/>
          <w:szCs w:val="32"/>
          <w:highlight w:val="none"/>
          <w:u w:val="single"/>
          <w:lang w:eastAsia="zh-CN"/>
        </w:rPr>
        <w:t>滁州市政府采购中心</w:t>
      </w:r>
      <w:r>
        <w:rPr>
          <w:rFonts w:hint="eastAsia" w:ascii="宋体" w:hAnsi="宋体" w:eastAsia="宋体"/>
          <w:b/>
          <w:color w:val="auto"/>
          <w:spacing w:val="20"/>
          <w:kern w:val="0"/>
          <w:sz w:val="32"/>
          <w:szCs w:val="32"/>
          <w:highlight w:val="none"/>
          <w:u w:val="single"/>
          <w:lang w:val="en-US" w:eastAsia="zh-CN"/>
        </w:rPr>
        <w:t xml:space="preserve"> </w:t>
      </w:r>
    </w:p>
    <w:p w14:paraId="1FAFBC53">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7EAE4B4D">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5ED829E8">
      <w:pPr>
        <w:pStyle w:val="21"/>
        <w:tabs>
          <w:tab w:val="right" w:leader="dot" w:pos="8306"/>
        </w:tabs>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投标邀请</w:t>
      </w:r>
      <w:r>
        <w:rPr>
          <w:color w:val="auto"/>
          <w:highlight w:val="none"/>
        </w:rPr>
        <w:tab/>
      </w:r>
      <w:r>
        <w:rPr>
          <w:rFonts w:hint="eastAsia"/>
          <w:color w:val="auto"/>
          <w:highlight w:val="none"/>
          <w:lang w:val="en-US" w:eastAsia="zh-CN"/>
        </w:rPr>
        <w:t>1</w:t>
      </w:r>
      <w:r>
        <w:rPr>
          <w:rFonts w:asciiTheme="minorEastAsia" w:hAnsiTheme="minorEastAsia" w:eastAsiaTheme="minorEastAsia"/>
          <w:color w:val="auto"/>
          <w:szCs w:val="24"/>
          <w:highlight w:val="none"/>
        </w:rPr>
        <w:fldChar w:fldCharType="end"/>
      </w:r>
    </w:p>
    <w:p w14:paraId="48955D73">
      <w:pPr>
        <w:pStyle w:val="21"/>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投标人须知</w:t>
      </w:r>
      <w:r>
        <w:rPr>
          <w:color w:val="auto"/>
          <w:highlight w:val="none"/>
        </w:rPr>
        <w:tab/>
      </w:r>
      <w:r>
        <w:rPr>
          <w:rFonts w:hint="eastAsia"/>
          <w:color w:val="auto"/>
          <w:highlight w:val="none"/>
          <w:lang w:val="en-US" w:eastAsia="zh-CN"/>
        </w:rPr>
        <w:t>6</w:t>
      </w:r>
      <w:r>
        <w:rPr>
          <w:rFonts w:asciiTheme="minorEastAsia" w:hAnsiTheme="minorEastAsia" w:eastAsiaTheme="minorEastAsia"/>
          <w:color w:val="auto"/>
          <w:szCs w:val="24"/>
          <w:highlight w:val="none"/>
        </w:rPr>
        <w:fldChar w:fldCharType="end"/>
      </w:r>
    </w:p>
    <w:p w14:paraId="17B04AD7">
      <w:pPr>
        <w:pStyle w:val="21"/>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 xml:space="preserve">第三章 </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w:t>
      </w:r>
      <w:r>
        <w:rPr>
          <w:rFonts w:hint="eastAsia"/>
          <w:color w:val="auto"/>
          <w:highlight w:val="none"/>
          <w:lang w:val="en-US" w:eastAsia="zh-CN"/>
        </w:rPr>
        <w:t>7</w:t>
      </w:r>
      <w:r>
        <w:rPr>
          <w:color w:val="auto"/>
          <w:highlight w:val="none"/>
        </w:rPr>
        <w:fldChar w:fldCharType="end"/>
      </w:r>
      <w:r>
        <w:rPr>
          <w:rFonts w:asciiTheme="minorEastAsia" w:hAnsiTheme="minorEastAsia" w:eastAsiaTheme="minorEastAsia"/>
          <w:color w:val="auto"/>
          <w:szCs w:val="24"/>
          <w:highlight w:val="none"/>
        </w:rPr>
        <w:fldChar w:fldCharType="end"/>
      </w:r>
    </w:p>
    <w:p w14:paraId="4DFBCC95">
      <w:pPr>
        <w:pStyle w:val="21"/>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  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rFonts w:hint="eastAsia"/>
          <w:color w:val="auto"/>
          <w:highlight w:val="none"/>
          <w:lang w:val="en-US" w:eastAsia="zh-CN"/>
        </w:rPr>
        <w:t>66</w:t>
      </w:r>
      <w:r>
        <w:rPr>
          <w:color w:val="auto"/>
          <w:highlight w:val="none"/>
        </w:rPr>
        <w:fldChar w:fldCharType="end"/>
      </w:r>
      <w:r>
        <w:rPr>
          <w:rFonts w:asciiTheme="minorEastAsia" w:hAnsiTheme="minorEastAsia" w:eastAsiaTheme="minorEastAsia"/>
          <w:color w:val="auto"/>
          <w:szCs w:val="24"/>
          <w:highlight w:val="none"/>
        </w:rPr>
        <w:fldChar w:fldCharType="end"/>
      </w:r>
    </w:p>
    <w:p w14:paraId="05E1657B">
      <w:pPr>
        <w:pStyle w:val="21"/>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rFonts w:hint="eastAsia"/>
          <w:color w:val="auto"/>
          <w:highlight w:val="none"/>
          <w:lang w:val="en-US" w:eastAsia="zh-CN"/>
        </w:rPr>
        <w:t>8</w:t>
      </w:r>
      <w:r>
        <w:rPr>
          <w:rFonts w:asciiTheme="minorEastAsia" w:hAnsiTheme="minorEastAsia" w:eastAsiaTheme="minorEastAsia"/>
          <w:color w:val="auto"/>
          <w:szCs w:val="24"/>
          <w:highlight w:val="none"/>
        </w:rPr>
        <w:fldChar w:fldCharType="end"/>
      </w:r>
      <w:r>
        <w:rPr>
          <w:rFonts w:hint="eastAsia"/>
          <w:color w:val="auto"/>
          <w:highlight w:val="none"/>
          <w:lang w:val="en-US" w:eastAsia="zh-CN"/>
        </w:rPr>
        <w:t>8</w:t>
      </w:r>
    </w:p>
    <w:p w14:paraId="6081B811">
      <w:pPr>
        <w:pStyle w:val="21"/>
        <w:tabs>
          <w:tab w:val="right" w:leader="dot" w:pos="8306"/>
        </w:tabs>
        <w:rPr>
          <w:rFonts w:hint="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  投标文件格式</w:t>
      </w:r>
      <w:r>
        <w:rPr>
          <w:color w:val="auto"/>
          <w:highlight w:val="none"/>
        </w:rPr>
        <w:tab/>
      </w:r>
      <w:r>
        <w:rPr>
          <w:rFonts w:hint="eastAsia"/>
          <w:color w:val="auto"/>
          <w:highlight w:val="none"/>
          <w:lang w:val="en-US" w:eastAsia="zh-CN"/>
        </w:rPr>
        <w:t>9</w:t>
      </w:r>
      <w:r>
        <w:rPr>
          <w:rFonts w:asciiTheme="minorEastAsia" w:hAnsiTheme="minorEastAsia" w:eastAsiaTheme="minorEastAsia"/>
          <w:color w:val="auto"/>
          <w:szCs w:val="24"/>
          <w:highlight w:val="none"/>
        </w:rPr>
        <w:fldChar w:fldCharType="end"/>
      </w:r>
      <w:r>
        <w:rPr>
          <w:rFonts w:hint="eastAsia"/>
          <w:color w:val="auto"/>
          <w:highlight w:val="none"/>
          <w:lang w:val="en-US" w:eastAsia="zh-CN"/>
        </w:rPr>
        <w:t>9</w:t>
      </w:r>
    </w:p>
    <w:p w14:paraId="5DFB1993">
      <w:pPr>
        <w:pStyle w:val="21"/>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宋体" w:hAnsi="宋体" w:eastAsia="宋体"/>
          <w:bCs/>
          <w:color w:val="auto"/>
          <w:highlight w:val="none"/>
        </w:rPr>
        <w:t xml:space="preserve">  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rFonts w:hint="eastAsia"/>
          <w:color w:val="auto"/>
          <w:highlight w:val="none"/>
          <w:lang w:val="en-US" w:eastAsia="zh-CN"/>
        </w:rPr>
        <w:t>113</w:t>
      </w:r>
      <w:r>
        <w:rPr>
          <w:color w:val="auto"/>
          <w:highlight w:val="none"/>
        </w:rPr>
        <w:fldChar w:fldCharType="end"/>
      </w:r>
      <w:r>
        <w:rPr>
          <w:rFonts w:asciiTheme="minorEastAsia" w:hAnsiTheme="minorEastAsia" w:eastAsiaTheme="minorEastAsia"/>
          <w:color w:val="auto"/>
          <w:szCs w:val="24"/>
          <w:highlight w:val="none"/>
        </w:rPr>
        <w:fldChar w:fldCharType="end"/>
      </w:r>
    </w:p>
    <w:p w14:paraId="58ADA382">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549253DA">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486" w:bottom="1440" w:left="1800" w:header="851" w:footer="992" w:gutter="0"/>
          <w:cols w:space="425" w:num="1"/>
          <w:docGrid w:type="lines" w:linePitch="312" w:charSpace="0"/>
        </w:sectPr>
      </w:pPr>
    </w:p>
    <w:p w14:paraId="0D06E3E5">
      <w:pPr>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5BC9E0BF">
      <w:pPr>
        <w:keepNext/>
        <w:keepLines/>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6900660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lang w:val="en-US" w:eastAsia="zh-CN"/>
        </w:rPr>
        <w:t>滁州市物业专项维修资金管理信息系统整合迁移项目</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11月5日8点30分</w:t>
      </w:r>
      <w:r>
        <w:rPr>
          <w:rFonts w:hint="eastAsia" w:ascii="宋体" w:hAnsi="宋体" w:eastAsia="宋体" w:cs="宋体"/>
          <w:color w:val="auto"/>
          <w:sz w:val="28"/>
          <w:szCs w:val="28"/>
          <w:highlight w:val="none"/>
        </w:rPr>
        <w:t>（北京时间）前递交投标文件。</w:t>
      </w:r>
    </w:p>
    <w:bookmarkEnd w:id="2"/>
    <w:p w14:paraId="1FDA081F">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075451EC">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bookmarkStart w:id="4" w:name="_Toc58430306"/>
      <w:bookmarkEnd w:id="4"/>
      <w:bookmarkStart w:id="5" w:name="_Toc35393791"/>
      <w:bookmarkEnd w:id="5"/>
      <w:bookmarkStart w:id="6" w:name="_Toc35393622"/>
      <w:bookmarkEnd w:id="6"/>
      <w:bookmarkStart w:id="7" w:name="_Toc28359003"/>
      <w:bookmarkEnd w:id="7"/>
      <w:bookmarkStart w:id="8" w:name="_Toc28359080"/>
      <w:r>
        <w:rPr>
          <w:rFonts w:hint="eastAsia" w:ascii="宋体" w:hAnsi="宋体" w:eastAsia="宋体" w:cs="宋体"/>
          <w:color w:val="auto"/>
          <w:sz w:val="28"/>
          <w:szCs w:val="28"/>
          <w:highlight w:val="none"/>
          <w:lang w:eastAsia="zh-CN"/>
        </w:rPr>
        <w:t>项目编号：</w:t>
      </w:r>
      <w:r>
        <w:rPr>
          <w:rFonts w:hint="default" w:ascii="宋体" w:hAnsi="宋体" w:eastAsia="宋体" w:cs="宋体"/>
          <w:color w:val="auto"/>
          <w:sz w:val="28"/>
          <w:szCs w:val="28"/>
          <w:highlight w:val="none"/>
          <w:lang w:eastAsia="zh-CN"/>
        </w:rPr>
        <w:t>czsjcg202610-014</w:t>
      </w:r>
      <w:r>
        <w:rPr>
          <w:rFonts w:hint="eastAsia" w:ascii="宋体" w:hAnsi="宋体" w:eastAsia="宋体" w:cs="宋体"/>
          <w:color w:val="auto"/>
          <w:sz w:val="28"/>
          <w:szCs w:val="28"/>
          <w:highlight w:val="none"/>
          <w:lang w:val="en-US" w:eastAsia="zh-CN"/>
        </w:rPr>
        <w:t xml:space="preserve"> </w:t>
      </w:r>
    </w:p>
    <w:p w14:paraId="0C6D9291">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项目名称：滁州市物业专项维修资金管理信息系统整合迁移项目</w:t>
      </w:r>
    </w:p>
    <w:p w14:paraId="70F760C7">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预算金额：192.37万元，其中第1包185.86万元，第2包2.79万元，第3包3.72万元</w:t>
      </w:r>
    </w:p>
    <w:p w14:paraId="51E57C86">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最高限价：</w:t>
      </w:r>
      <w:r>
        <w:rPr>
          <w:rFonts w:hint="eastAsia" w:ascii="宋体" w:hAnsi="宋体" w:eastAsia="宋体" w:cs="宋体"/>
          <w:color w:val="auto"/>
          <w:sz w:val="28"/>
          <w:szCs w:val="28"/>
          <w:highlight w:val="none"/>
          <w:lang w:val="en-US" w:eastAsia="zh-CN"/>
        </w:rPr>
        <w:t>第1包185.86万元，第2包2.79万元，第3包3.72万元，投标报价不得高于最高限价，否则按无效投标处理</w:t>
      </w:r>
    </w:p>
    <w:p w14:paraId="43681972">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采购需求：滁州市物业专项维修资金管理信息系统整合迁移，第1包系统整合迁移服务，第2包信息化监理服务，第3包软件测评服务。</w:t>
      </w:r>
    </w:p>
    <w:p w14:paraId="6CF8211F">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合同履行期限：第1包：合同签订生效后12个月内完成本包项目建设。第2包：合同签订生效之日起，至监理的滁州市物业专项维修资金管理信息系统整合迁移项目竣工验收合格为止。第3包：合同签订生效之日起，至测评服务的滁州市物业专项维修资金管理信息系统整合迁移项目竣工验收合格为止。 </w:t>
      </w:r>
    </w:p>
    <w:p w14:paraId="63F1EEB8">
      <w:pPr>
        <w:pageBreakBefore w:val="0"/>
        <w:widowControl w:val="0"/>
        <w:kinsoku/>
        <w:overflowPunct/>
        <w:topLinePunct w:val="0"/>
        <w:autoSpaceDE/>
        <w:autoSpaceDN/>
        <w:bidi w:val="0"/>
        <w:adjustRightInd/>
        <w:snapToGrid/>
        <w:spacing w:line="360" w:lineRule="auto"/>
        <w:ind w:firstLine="560" w:firstLineChars="200"/>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65B0FE0C">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AF29560">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792"/>
      <w:bookmarkEnd w:id="9"/>
      <w:bookmarkStart w:id="10" w:name="_Toc35393623"/>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4484635A">
      <w:pPr>
        <w:pStyle w:val="23"/>
        <w:keepNext w:val="0"/>
        <w:keepLines w:val="0"/>
        <w:widowControl/>
        <w:suppressLineNumbers w:val="0"/>
        <w:spacing w:before="0" w:beforeAutospacing="0" w:after="0" w:afterAutospacing="0" w:line="450" w:lineRule="atLeast"/>
        <w:ind w:left="0" w:right="0" w:firstLine="560"/>
        <w:jc w:val="both"/>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2.落实政府采</w:t>
      </w:r>
      <w:r>
        <w:rPr>
          <w:rFonts w:hint="eastAsia" w:ascii="宋体" w:hAnsi="宋体" w:eastAsia="宋体" w:cs="宋体"/>
          <w:color w:val="auto"/>
          <w:kern w:val="2"/>
          <w:sz w:val="28"/>
          <w:szCs w:val="28"/>
          <w:highlight w:val="none"/>
          <w:lang w:val="en-US" w:eastAsia="zh-CN" w:bidi="ar-SA"/>
        </w:rPr>
        <w:t>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1B5B0967">
      <w:pPr>
        <w:keepNext w:val="0"/>
        <w:keepLines w:val="0"/>
        <w:widowControl/>
        <w:suppressLineNumbers w:val="0"/>
        <w:ind w:firstLine="560" w:firstLineChars="20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3.本项目的特定资格要求：无。</w:t>
      </w:r>
    </w:p>
    <w:bookmarkEnd w:id="11"/>
    <w:p w14:paraId="14472F30">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5D3E8A39">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28359005"/>
      <w:bookmarkEnd w:id="12"/>
      <w:bookmarkStart w:id="13" w:name="_Toc28359082"/>
      <w:bookmarkEnd w:id="13"/>
      <w:bookmarkStart w:id="14" w:name="_Toc35393793"/>
      <w:bookmarkEnd w:id="14"/>
      <w:bookmarkStart w:id="15" w:name="_Toc35393624"/>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15</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11月5日</w:t>
      </w:r>
    </w:p>
    <w:p w14:paraId="32BFB6DA">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2B7FC178">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4812E283">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9733EC1">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40C5F009">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11月5日8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7FAB2632">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5023B301">
      <w:pPr>
        <w:keepNext/>
        <w:keepLines/>
        <w:pageBreakBefore w:val="0"/>
        <w:widowControl w:val="0"/>
        <w:kinsoku/>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35393625"/>
      <w:bookmarkEnd w:id="17"/>
      <w:bookmarkStart w:id="18" w:name="_Toc35393794"/>
      <w:bookmarkEnd w:id="18"/>
      <w:bookmarkStart w:id="19" w:name="_Toc28359007"/>
      <w:bookmarkEnd w:id="19"/>
      <w:bookmarkStart w:id="20" w:name="_Toc58430309"/>
      <w:bookmarkEnd w:id="20"/>
      <w:r>
        <w:rPr>
          <w:rFonts w:hint="eastAsia" w:ascii="宋体" w:hAnsi="宋体" w:eastAsia="宋体" w:cs="宋体"/>
          <w:color w:val="auto"/>
          <w:sz w:val="28"/>
          <w:szCs w:val="28"/>
          <w:highlight w:val="none"/>
        </w:rPr>
        <w:t>五、公告期限</w:t>
      </w:r>
    </w:p>
    <w:p w14:paraId="1DA5AE72">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68DC7A0B">
      <w:pPr>
        <w:keepNext/>
        <w:keepLines/>
        <w:pageBreakBefore w:val="0"/>
        <w:widowControl w:val="0"/>
        <w:kinsoku/>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795"/>
      <w:bookmarkStart w:id="24" w:name="_Toc35393626"/>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A2DD38D">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076B0E15">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42343BF3">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CA数字证书有关问题：安徽CA客服</w:t>
      </w:r>
      <w:r>
        <w:rPr>
          <w:rFonts w:hint="eastAsia" w:ascii="宋体" w:hAnsi="宋体" w:eastAsia="宋体" w:cs="宋体"/>
          <w:color w:val="auto"/>
          <w:sz w:val="28"/>
          <w:szCs w:val="28"/>
          <w:highlight w:val="none"/>
          <w:lang w:eastAsia="zh-CN"/>
        </w:rPr>
        <w:t>400-615-8899</w:t>
      </w:r>
      <w:r>
        <w:rPr>
          <w:rFonts w:hint="eastAsia" w:ascii="宋体" w:hAnsi="宋体" w:eastAsia="宋体" w:cs="宋体"/>
          <w:color w:val="auto"/>
          <w:sz w:val="28"/>
          <w:szCs w:val="28"/>
          <w:highlight w:val="none"/>
        </w:rPr>
        <w:t>、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17266CC4">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1660CFDB">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645DA882">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0698B0A2">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3854"/>
      <w:bookmarkStart w:id="26" w:name="_Toc7265"/>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31826A31">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4553EBC1">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u w:val="none"/>
          <w:lang w:val="en-US" w:eastAsia="zh-CN"/>
        </w:rPr>
        <w:t>名称：</w:t>
      </w:r>
      <w:r>
        <w:rPr>
          <w:rFonts w:hint="eastAsia" w:ascii="宋体" w:hAnsi="宋体" w:eastAsia="宋体" w:cs="宋体"/>
          <w:color w:val="auto"/>
          <w:sz w:val="28"/>
          <w:szCs w:val="28"/>
          <w:highlight w:val="none"/>
          <w:u w:val="single"/>
          <w:lang w:val="en-US" w:eastAsia="zh-CN"/>
        </w:rPr>
        <w:t>滁州市物业专项维修资金管理中心</w:t>
      </w:r>
    </w:p>
    <w:p w14:paraId="268CCC19">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u w:val="none"/>
          <w:lang w:val="en-US" w:eastAsia="zh-CN"/>
        </w:rPr>
        <w:t>地址：</w:t>
      </w:r>
      <w:r>
        <w:rPr>
          <w:rFonts w:hint="eastAsia" w:ascii="宋体" w:hAnsi="宋体" w:eastAsia="宋体" w:cs="宋体"/>
          <w:color w:val="auto"/>
          <w:sz w:val="28"/>
          <w:szCs w:val="28"/>
          <w:highlight w:val="none"/>
          <w:u w:val="single"/>
          <w:lang w:val="en-US" w:eastAsia="zh-CN"/>
        </w:rPr>
        <w:t>滁州市琅琊西路81号建设大厦14楼</w:t>
      </w:r>
    </w:p>
    <w:p w14:paraId="14B760A9">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叶主任</w:t>
      </w:r>
    </w:p>
    <w:p w14:paraId="210E3E6E">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u w:val="none"/>
          <w:lang w:val="en-US" w:eastAsia="zh-CN"/>
        </w:rPr>
        <w:t>联系方式：</w:t>
      </w:r>
      <w:r>
        <w:rPr>
          <w:rFonts w:hint="eastAsia" w:ascii="宋体" w:hAnsi="宋体" w:eastAsia="宋体" w:cs="宋体"/>
          <w:color w:val="auto"/>
          <w:sz w:val="28"/>
          <w:szCs w:val="28"/>
          <w:highlight w:val="none"/>
          <w:u w:val="single"/>
          <w:lang w:val="en-US" w:eastAsia="zh-CN"/>
        </w:rPr>
        <w:t>0550-3066162</w:t>
      </w:r>
    </w:p>
    <w:p w14:paraId="2D596BDB">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717718FE">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滁州市政府采购中心</w:t>
      </w:r>
      <w:r>
        <w:rPr>
          <w:rFonts w:hint="eastAsia" w:ascii="宋体" w:hAnsi="宋体" w:eastAsia="宋体" w:cs="宋体"/>
          <w:color w:val="auto"/>
          <w:sz w:val="28"/>
          <w:szCs w:val="28"/>
          <w:highlight w:val="none"/>
        </w:rPr>
        <w:t>　</w:t>
      </w:r>
    </w:p>
    <w:p w14:paraId="3CAC36FA">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滁州市龙蟠大道109号房产商务大厦二楼</w:t>
      </w:r>
    </w:p>
    <w:p w14:paraId="3821C4AA">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周蓓蕾</w:t>
      </w:r>
    </w:p>
    <w:p w14:paraId="0F661868">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19、18005505728</w:t>
      </w:r>
    </w:p>
    <w:p w14:paraId="5B1F84AA">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2056A964">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5B89BEE9">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滁州市龙蟠大道109号房产大厦三楼</w:t>
      </w:r>
    </w:p>
    <w:p w14:paraId="089C16A7">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7EE6B2DC">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180770D3">
      <w:pPr>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27"/>
    </w:p>
    <w:p w14:paraId="1A5CBCE2">
      <w:pPr>
        <w:spacing w:line="360" w:lineRule="auto"/>
        <w:jc w:val="center"/>
        <w:outlineLvl w:val="1"/>
        <w:rPr>
          <w:rFonts w:asciiTheme="minorEastAsia" w:hAnsiTheme="minorEastAsia" w:eastAsiaTheme="minorEastAsia"/>
          <w:b/>
          <w:color w:val="auto"/>
          <w:sz w:val="24"/>
          <w:highlight w:val="none"/>
        </w:rPr>
      </w:pPr>
      <w:bookmarkStart w:id="28" w:name="_Toc7178"/>
      <w:bookmarkStart w:id="29" w:name="_Toc13589"/>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65C70D64">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36F6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12D98D9">
            <w:pPr>
              <w:pStyle w:val="47"/>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6BF1A4AF">
            <w:pPr>
              <w:pStyle w:val="47"/>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6306C604">
            <w:pPr>
              <w:pStyle w:val="47"/>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E02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04FD73">
            <w:pPr>
              <w:pStyle w:val="48"/>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FD066E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0EA4D7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0017189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0EDA576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1381115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7AE6FEF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147A4B7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24E3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8D7E980">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47FAD98">
            <w:pPr>
              <w:pStyle w:val="47"/>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2B68BA39">
            <w:pPr>
              <w:pStyle w:val="47"/>
              <w:widowControl w:val="0"/>
              <w:spacing w:before="0" w:beforeAutospacing="0" w:after="0" w:afterAutospacing="0"/>
              <w:jc w:val="both"/>
              <w:rPr>
                <w:rFonts w:ascii="宋体" w:hAnsi="宋体" w:eastAsia="宋体"/>
                <w:b w:val="0"/>
                <w:color w:val="auto"/>
                <w:sz w:val="24"/>
                <w:highlight w:val="none"/>
              </w:rPr>
            </w:pP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u w:val="single"/>
              </w:rPr>
              <w:t xml:space="preserve"> </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22 </w:t>
            </w:r>
            <w:r>
              <w:rPr>
                <w:rFonts w:ascii="宋体" w:hAnsi="宋体" w:eastAsia="宋体"/>
                <w:b w:val="0"/>
                <w:color w:val="auto"/>
                <w:sz w:val="24"/>
                <w:highlight w:val="none"/>
              </w:rPr>
              <w:t>日</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u w:val="single"/>
              </w:rPr>
              <w:t xml:space="preserve"> </w:t>
            </w:r>
            <w:r>
              <w:rPr>
                <w:rFonts w:ascii="宋体" w:hAnsi="宋体" w:eastAsia="宋体"/>
                <w:b w:val="0"/>
                <w:color w:val="auto"/>
                <w:sz w:val="24"/>
                <w:highlight w:val="none"/>
              </w:rPr>
              <w:t>时</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30</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rPr>
              <w:t>分</w:t>
            </w:r>
          </w:p>
        </w:tc>
      </w:tr>
      <w:tr w14:paraId="6CC0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E74F79D">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1F30F044">
            <w:pPr>
              <w:pStyle w:val="47"/>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1953056C">
            <w:pPr>
              <w:pStyle w:val="47"/>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 xml:space="preserve">不分包     </w:t>
            </w: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分为</w:t>
            </w:r>
            <w:r>
              <w:rPr>
                <w:rFonts w:hint="eastAsia" w:ascii="宋体" w:hAnsi="宋体" w:eastAsia="宋体"/>
                <w:b w:val="0"/>
                <w:color w:val="auto"/>
                <w:sz w:val="24"/>
                <w:highlight w:val="none"/>
                <w:lang w:val="en-US" w:eastAsia="zh-CN"/>
              </w:rPr>
              <w:t>3</w:t>
            </w:r>
            <w:r>
              <w:rPr>
                <w:rFonts w:hint="eastAsia" w:ascii="宋体" w:hAnsi="宋体" w:eastAsia="宋体"/>
                <w:b w:val="0"/>
                <w:color w:val="auto"/>
                <w:sz w:val="24"/>
                <w:highlight w:val="none"/>
              </w:rPr>
              <w:t>个包</w:t>
            </w: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lang w:val="en-US" w:eastAsia="zh-CN"/>
              </w:rPr>
              <w:t xml:space="preserve">本次采购第1-3包 </w:t>
            </w:r>
          </w:p>
          <w:p w14:paraId="4C34D5F3">
            <w:pPr>
              <w:pStyle w:val="47"/>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投标人对多个包进行投标的中标包数规定：</w:t>
            </w:r>
            <w:r>
              <w:rPr>
                <w:rFonts w:hint="eastAsia" w:ascii="宋体" w:hAnsi="宋体" w:eastAsia="宋体"/>
                <w:b w:val="0"/>
                <w:color w:val="auto"/>
                <w:sz w:val="24"/>
                <w:highlight w:val="none"/>
                <w:lang w:val="en-US" w:eastAsia="zh-CN"/>
              </w:rPr>
              <w:t>本项目第1-3包采用多投单中方式确定各包中标人。投标人可以同时参与任意一个或多个包别的投标，但只能中一个包。约定如下：评审时按“第1包→第2包→第3 包”的顺序评审。如某投标人在某个包中取得中标人资格，则在后续包中通过资格审查和符合性审查后，不参与有效投标人数量计算，不再具有中标资格且不参与候选排名。如某包因中标人放弃中标资格、质疑或投诉等原因导致评审结果变更的，不影响其他包评审结果，如某包别涉及中标人递补的，按评审排序依次递补该包别。</w:t>
            </w:r>
          </w:p>
        </w:tc>
      </w:tr>
      <w:tr w14:paraId="1663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FEAB9FA">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5BE82A5F">
            <w:pPr>
              <w:pStyle w:val="47"/>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465396D2">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714E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B6250B">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8569000">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39CB9793">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90 </w:t>
            </w:r>
            <w:r>
              <w:rPr>
                <w:rFonts w:hint="eastAsia" w:ascii="宋体" w:hAnsi="宋体" w:eastAsia="宋体"/>
                <w:b w:val="0"/>
                <w:color w:val="auto"/>
                <w:sz w:val="24"/>
                <w:highlight w:val="none"/>
              </w:rPr>
              <w:t>日历日</w:t>
            </w:r>
          </w:p>
        </w:tc>
      </w:tr>
      <w:tr w14:paraId="085B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vAlign w:val="center"/>
          </w:tcPr>
          <w:p w14:paraId="04FBD00B">
            <w:pPr>
              <w:pStyle w:val="48"/>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579464C">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5DFA7C38">
            <w:pPr>
              <w:pStyle w:val="47"/>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 xml:space="preserve">  60  </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18F3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1A4C22E">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75BE4193">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16D7E660">
            <w:pPr>
              <w:pStyle w:val="47"/>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57352B4E">
            <w:pPr>
              <w:pStyle w:val="47"/>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3844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C5A3674">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47808C02">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20DF0127">
            <w:pPr>
              <w:pStyle w:val="47"/>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7F68349C">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4DE0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6C9FC6F">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74" w:type="pct"/>
            <w:vAlign w:val="center"/>
          </w:tcPr>
          <w:p w14:paraId="07DE19FC">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5C2F37BA">
            <w:pPr>
              <w:pStyle w:val="47"/>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val="0"/>
                <w:iCs/>
                <w:color w:val="auto"/>
                <w:sz w:val="24"/>
                <w:highlight w:val="none"/>
              </w:rPr>
              <w:t>（非专门面向中小企业采购项目适用）</w:t>
            </w:r>
          </w:p>
        </w:tc>
        <w:tc>
          <w:tcPr>
            <w:tcW w:w="3244" w:type="pct"/>
            <w:vAlign w:val="center"/>
          </w:tcPr>
          <w:p w14:paraId="6814AA38">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对小型和微型企业产品的价格给予10%的扣除后参与评审；其评审价=最后报价*90%</w:t>
            </w:r>
            <w:r>
              <w:rPr>
                <w:rFonts w:hint="eastAsia" w:ascii="宋体" w:hAnsi="宋体" w:eastAsia="宋体"/>
                <w:b w:val="0"/>
                <w:color w:val="auto"/>
                <w:sz w:val="24"/>
                <w:highlight w:val="none"/>
              </w:rPr>
              <w:t>。</w:t>
            </w:r>
          </w:p>
          <w:p w14:paraId="4EC525E9">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16D3ABB">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49FCD0E6">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联合体参加的，小型、微型企业的协议合同金额占联合体协议合同总金额30%以上的，价格给予联合体4%的扣除后参与评审；其评审价=最后报价*96%；联合体各方均为小型、微型企业的，联合体视同为小型、微型企业，其评审价按（1）款执行</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w:t>
            </w:r>
            <w:r>
              <w:rPr>
                <w:rFonts w:hint="eastAsia" w:ascii="宋体" w:hAnsi="宋体" w:eastAsia="宋体"/>
                <w:b w:val="0"/>
                <w:i/>
                <w:color w:val="auto"/>
                <w:sz w:val="24"/>
                <w:highlight w:val="none"/>
                <w:lang w:val="en-US" w:eastAsia="zh-CN"/>
              </w:rPr>
              <w:t>联合体</w:t>
            </w:r>
            <w:r>
              <w:rPr>
                <w:rFonts w:hint="eastAsia" w:ascii="宋体" w:hAnsi="宋体" w:eastAsia="宋体"/>
                <w:b w:val="0"/>
                <w:i/>
                <w:color w:val="auto"/>
                <w:sz w:val="24"/>
                <w:highlight w:val="none"/>
              </w:rPr>
              <w:t>项目适用）</w:t>
            </w:r>
          </w:p>
          <w:p w14:paraId="75494A10">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允许大中型企业向一家或者多家小微企业分包的，对于分包意向协议约定小微企业的合同份额占到合同总金额30%以上的，给予大中型企业的响应报价按照4%标准扣除后的价格参与评审；其评审价=最后报价*96%</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58DE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280A95E">
            <w:pPr>
              <w:pStyle w:val="4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1174" w:type="pct"/>
            <w:vAlign w:val="center"/>
          </w:tcPr>
          <w:p w14:paraId="37EB33F4">
            <w:pPr>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p>
        </w:tc>
        <w:tc>
          <w:tcPr>
            <w:tcW w:w="3244" w:type="pct"/>
            <w:vAlign w:val="center"/>
          </w:tcPr>
          <w:p w14:paraId="7252BFC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6C02D56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38BA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A6D3E3">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452C30EC">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2F835BBA">
            <w:pPr>
              <w:pStyle w:val="47"/>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lang w:val="en-US" w:eastAsia="zh-CN"/>
              </w:rPr>
              <w:t>每包</w:t>
            </w:r>
            <w:r>
              <w:rPr>
                <w:rFonts w:hint="eastAsia" w:ascii="宋体" w:hAnsi="宋体" w:eastAsia="宋体" w:cs="宋体"/>
                <w:b w:val="0"/>
                <w:color w:val="auto"/>
                <w:sz w:val="24"/>
                <w:szCs w:val="24"/>
                <w:highlight w:val="none"/>
              </w:rPr>
              <w:t>评标委员会推荐3名中标候选人</w:t>
            </w:r>
          </w:p>
        </w:tc>
      </w:tr>
      <w:tr w14:paraId="1EB4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31AA2E1">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2E9F1A2F">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065EFAEF">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71B8B88D">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4AA4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C9EF7E5">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1353E31A">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7A4775B1">
            <w:pPr>
              <w:pStyle w:val="47"/>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val="0"/>
                <w:iCs w:val="0"/>
                <w:color w:val="auto"/>
                <w:sz w:val="24"/>
                <w:highlight w:val="none"/>
                <w:u w:val="none"/>
              </w:rPr>
              <w:t>（如有）</w:t>
            </w:r>
          </w:p>
          <w:p w14:paraId="2207A3EB">
            <w:pPr>
              <w:pStyle w:val="47"/>
              <w:widowControl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20ED29C8">
            <w:pPr>
              <w:pStyle w:val="47"/>
              <w:widowControl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r>
              <w:rPr>
                <w:rFonts w:hint="eastAsia" w:ascii="宋体" w:hAnsi="宋体" w:eastAsia="宋体"/>
                <w:b w:val="0"/>
                <w:color w:val="auto"/>
                <w:sz w:val="24"/>
                <w:highlight w:val="none"/>
                <w:u w:val="none"/>
                <w:lang w:eastAsia="zh-CN"/>
              </w:rPr>
              <w:t>；</w:t>
            </w:r>
          </w:p>
          <w:p w14:paraId="115BAA46">
            <w:pPr>
              <w:pStyle w:val="47"/>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1A8B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80D2629">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7EE28B20">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4DF45210">
            <w:pPr>
              <w:pStyle w:val="47"/>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31DA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D41A838">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39D7F59E">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2C622C5A">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652F2F7A">
            <w:pPr>
              <w:pStyle w:val="47"/>
              <w:widowControl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261C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5ED28D1D">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03938041">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26AFCF76">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687D1139">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3CB462C3">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29AF4944">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4C8A522E">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62F64C6B">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59A07522">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52415826">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p>
          <w:p w14:paraId="25B28D88">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p>
          <w:p w14:paraId="33B3BCEA">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65A4DFD1">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49F05DDB">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CFE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4E22DCB6">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19C38593">
            <w:pPr>
              <w:pStyle w:val="47"/>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EE5627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54100CC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64F6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1540821">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042A9572">
            <w:pPr>
              <w:pStyle w:val="47"/>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shd w:val="clear" w:color="auto" w:fill="auto"/>
            <w:vAlign w:val="center"/>
          </w:tcPr>
          <w:p w14:paraId="25DF8838">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中标人</w:t>
            </w:r>
          </w:p>
          <w:p w14:paraId="5346611F">
            <w:pPr>
              <w:spacing w:before="24"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w:t>
            </w:r>
            <w:bookmarkStart w:id="406" w:name="_GoBack"/>
            <w:bookmarkEnd w:id="406"/>
          </w:p>
          <w:p w14:paraId="292D9C88">
            <w:pPr>
              <w:pStyle w:val="47"/>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参考</w:t>
            </w:r>
            <w:r>
              <w:rPr>
                <w:rFonts w:hint="eastAsia" w:ascii="宋体" w:hAnsi="宋体" w:eastAsia="宋体" w:cs="宋体"/>
                <w:b w:val="0"/>
                <w:bCs w:val="0"/>
                <w:color w:val="auto"/>
                <w:kern w:val="2"/>
                <w:sz w:val="24"/>
                <w:szCs w:val="24"/>
                <w:highlight w:val="none"/>
                <w:u w:val="single"/>
              </w:rPr>
              <w:t>《滁州市公共资源交易代理机构及从业人员管理办法》(滁公管〔2025〕1 号)执行</w:t>
            </w:r>
            <w:r>
              <w:rPr>
                <w:rFonts w:hint="eastAsia" w:ascii="宋体" w:hAnsi="宋体" w:eastAsia="宋体" w:cs="宋体"/>
                <w:b w:val="0"/>
                <w:bCs w:val="0"/>
                <w:color w:val="auto"/>
                <w:kern w:val="2"/>
                <w:sz w:val="24"/>
                <w:szCs w:val="24"/>
                <w:highlight w:val="none"/>
                <w:u w:val="single"/>
                <w:lang w:eastAsia="zh-CN"/>
              </w:rPr>
              <w:t>。</w:t>
            </w:r>
          </w:p>
        </w:tc>
      </w:tr>
      <w:tr w14:paraId="59C1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4A140E">
            <w:pPr>
              <w:pStyle w:val="48"/>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619F073C">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58BB4B53">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bCs/>
                <w:color w:val="auto"/>
                <w:kern w:val="0"/>
                <w:sz w:val="24"/>
                <w:szCs w:val="28"/>
                <w:highlight w:val="none"/>
                <w:u w:val="single"/>
              </w:rPr>
              <w:t xml:space="preserve"> </w:t>
            </w:r>
          </w:p>
          <w:p w14:paraId="2DD3198A">
            <w:pPr>
              <w:pStyle w:val="47"/>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eastAsia="zh-CN"/>
              </w:rPr>
              <w:t>滁州市物业专项维修资金管理中心、滁州市政府采购中心</w:t>
            </w:r>
            <w:r>
              <w:rPr>
                <w:rFonts w:hint="eastAsia" w:ascii="宋体" w:hAnsi="宋体" w:eastAsia="宋体" w:cs="宋体"/>
                <w:color w:val="auto"/>
                <w:sz w:val="24"/>
                <w:highlight w:val="none"/>
                <w:u w:val="single"/>
              </w:rPr>
              <w:t>；</w:t>
            </w:r>
          </w:p>
          <w:p w14:paraId="5C79B1CE">
            <w:pPr>
              <w:pStyle w:val="47"/>
              <w:widowControl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b/>
                <w:bCs w:val="0"/>
                <w:color w:val="auto"/>
                <w:sz w:val="24"/>
                <w:highlight w:val="none"/>
                <w:u w:val="single"/>
                <w:lang w:val="en-US" w:eastAsia="zh-CN"/>
              </w:rPr>
              <w:t>0550-3066162</w:t>
            </w:r>
            <w:r>
              <w:rPr>
                <w:rFonts w:hint="eastAsia" w:ascii="宋体" w:hAnsi="宋体" w:eastAsia="宋体" w:cs="宋体"/>
                <w:b/>
                <w:bCs w:val="0"/>
                <w:color w:val="auto"/>
                <w:sz w:val="24"/>
                <w:highlight w:val="none"/>
                <w:u w:val="single"/>
              </w:rPr>
              <w:t>、</w:t>
            </w:r>
            <w:r>
              <w:rPr>
                <w:rFonts w:hint="eastAsia" w:ascii="宋体" w:hAnsi="宋体" w:eastAsia="宋体" w:cs="宋体"/>
                <w:color w:val="auto"/>
                <w:sz w:val="24"/>
                <w:highlight w:val="none"/>
                <w:u w:val="single"/>
                <w:lang w:eastAsia="zh-CN"/>
              </w:rPr>
              <w:t>0550-3519519</w:t>
            </w:r>
            <w:r>
              <w:rPr>
                <w:rFonts w:hint="eastAsia" w:ascii="宋体" w:hAnsi="宋体" w:eastAsia="宋体" w:cs="宋体"/>
                <w:color w:val="auto"/>
                <w:sz w:val="24"/>
                <w:highlight w:val="none"/>
                <w:u w:val="single"/>
              </w:rPr>
              <w:t>；</w:t>
            </w:r>
          </w:p>
          <w:p w14:paraId="393EB899">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color w:val="auto"/>
                <w:sz w:val="24"/>
                <w:highlight w:val="none"/>
                <w:u w:val="single"/>
                <w:lang w:val="en-US" w:eastAsia="zh-CN"/>
              </w:rPr>
              <w:t>滁州市琅琊西路81号建设大厦14楼</w:t>
            </w:r>
            <w:r>
              <w:rPr>
                <w:rFonts w:hint="eastAsia" w:ascii="宋体" w:hAnsi="宋体" w:eastAsia="宋体" w:cs="宋体"/>
                <w:color w:val="auto"/>
                <w:sz w:val="24"/>
                <w:highlight w:val="none"/>
                <w:u w:val="single"/>
                <w:lang w:eastAsia="zh-CN"/>
              </w:rPr>
              <w:t>、滁州市龙蟠大道109号房产商务大厦二楼</w:t>
            </w:r>
            <w:r>
              <w:rPr>
                <w:rFonts w:hint="eastAsia" w:ascii="宋体" w:hAnsi="宋体" w:eastAsia="宋体" w:cs="宋体"/>
                <w:color w:val="auto"/>
                <w:sz w:val="24"/>
                <w:highlight w:val="none"/>
                <w:u w:val="single"/>
              </w:rPr>
              <w:t>。</w:t>
            </w:r>
          </w:p>
        </w:tc>
      </w:tr>
      <w:tr w14:paraId="4D63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7E118A">
            <w:pPr>
              <w:pStyle w:val="48"/>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E54E710">
            <w:pPr>
              <w:pStyle w:val="47"/>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22902C2A">
            <w:pPr>
              <w:pStyle w:val="47"/>
              <w:widowControl w:val="0"/>
              <w:numPr>
                <w:ilvl w:val="0"/>
                <w:numId w:val="0"/>
              </w:numPr>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61361C2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427E2B43">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D9CB0C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30957C84">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4A02DA8A">
            <w:pPr>
              <w:pStyle w:val="47"/>
              <w:widowControl w:val="0"/>
              <w:numPr>
                <w:ilvl w:val="0"/>
                <w:numId w:val="0"/>
              </w:numPr>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18B7711B">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7857515D">
            <w:pPr>
              <w:pStyle w:val="47"/>
              <w:widowControl w:val="0"/>
              <w:numPr>
                <w:ilvl w:val="0"/>
                <w:numId w:val="0"/>
              </w:numPr>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1A54B1E9">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1B19EF4E">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2E4B77F4">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F90305D">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19F6429">
            <w:pPr>
              <w:pStyle w:val="47"/>
              <w:widowControl w:val="0"/>
              <w:spacing w:before="0" w:beforeAutospacing="0" w:after="0" w:afterAutospacing="0" w:line="500" w:lineRule="exact"/>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俞冉：18256950224</w:t>
            </w:r>
          </w:p>
          <w:p w14:paraId="78546F85">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73E92BC9">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400C7EA9">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26B00D43">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eastAsia="zh-CN"/>
              </w:rPr>
              <w:t>0512-58188516</w:t>
            </w:r>
            <w:r>
              <w:rPr>
                <w:rFonts w:hint="eastAsia" w:ascii="宋体" w:hAnsi="宋体" w:eastAsia="宋体" w:cs="宋体"/>
                <w:b w:val="0"/>
                <w:color w:val="auto"/>
                <w:kern w:val="2"/>
                <w:sz w:val="24"/>
                <w:szCs w:val="24"/>
                <w:highlight w:val="none"/>
              </w:rPr>
              <w:t>。</w:t>
            </w:r>
          </w:p>
          <w:p w14:paraId="73F18CC7">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B489126">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60AA47F9">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11F27086">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7D30FCDF">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63CC1994">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366EB24C">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2F4F15B">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74AB0E90">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4EF3605">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51DBAE5F">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47CB0635">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29FC5997">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招标文件第六章投标文件格式等章节中“招标人”、“供应商”，等同于“采购人”、“投标人”。</w:t>
            </w:r>
          </w:p>
          <w:p w14:paraId="5150D960">
            <w:pPr>
              <w:pStyle w:val="47"/>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469034B9">
            <w:pPr>
              <w:pStyle w:val="47"/>
              <w:widowControl w:val="0"/>
              <w:spacing w:before="0" w:beforeAutospacing="0" w:after="0" w:afterAutospacing="0" w:line="500" w:lineRule="exact"/>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034DD074">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9427"/>
      <w:bookmarkStart w:id="31"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364FA3F4">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29C2E5A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243312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005ACBC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0A4BB3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6D02A95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20BF3A4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6C818BC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7786E23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77C5CF8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0A40F6D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28CF80A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994033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22F3BE0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6374E9A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6323EC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2D52950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8A0672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01DD716D">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15273A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0F3EBE69">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26065AC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758FCCD">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0228984A">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4E0FA2A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33992A1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5BFF797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21DAA30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48CD830A">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16716E2C">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7DD23CF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440C5DB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7E061A2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782665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40A0AA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28A00F2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0ED1FE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7CB36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1D4E73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4BFF78F9">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3C81ECB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53749B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7BC62A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1731B5B">
      <w:pPr>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5810BC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134FA1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35F132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64F76C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33F69436">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35025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7B1E568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5092A9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622C60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3D3E15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163269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8AE79F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7B1092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02AFC5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07EDA1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8EDD0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4A4E3B7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95EFD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558CC7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95AFB9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70FA26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8F500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65BD58F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310E18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087529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083DAC01">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66B9DA1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964A7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6226E548">
      <w:pPr>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2732551D">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45ABDA1F">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3D9C980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763E394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76DD4B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0CD8FD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E36309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5D04959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877F1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B3CA90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0833DFF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06B0B582">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530AF3C8">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7C5DD6DD">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355ACE5C">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71515D40">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9EB945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0C30266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7BC841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29DB68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7B95E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F067A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350FE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4F4472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F242B6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11C4BE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4F00E301">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594381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069417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4A996CB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1E70305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4F3CEE0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7EC013B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0985440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6DDAD7C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7DB002A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7470213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24B6F70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B86B1D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21410A9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57ABE3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5CA14AA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41D5D19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0E207A3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411C69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56DC64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1E386E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1A4AA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674ADD0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5EA2E0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65F3ECB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051AE09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742D84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5B8542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4E09E7DB">
      <w:pPr>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6345C6F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1E502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030230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77A24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7286C1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6C2531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9F1CAF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3118528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7E55ED0">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2B9176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宋体" w:hAnsi="宋体" w:eastAsia="宋体" w:cs="宋体"/>
          <w:color w:val="auto"/>
          <w:sz w:val="24"/>
          <w:highlight w:val="none"/>
        </w:rPr>
        <w:t>服务范围</w:t>
      </w:r>
      <w:r>
        <w:rPr>
          <w:rFonts w:asciiTheme="minorEastAsia" w:hAnsiTheme="minorEastAsia" w:eastAsiaTheme="minorEastAsia"/>
          <w:color w:val="auto"/>
          <w:sz w:val="24"/>
          <w:highlight w:val="none"/>
        </w:rPr>
        <w:t>、服务要求</w:t>
      </w:r>
      <w:r>
        <w:rPr>
          <w:rFonts w:hint="eastAsia" w:asciiTheme="minorEastAsia" w:hAnsiTheme="minorEastAsia" w:eastAsiaTheme="minorEastAsia"/>
          <w:color w:val="auto"/>
          <w:sz w:val="24"/>
          <w:highlight w:val="none"/>
          <w:lang w:eastAsia="zh-CN"/>
        </w:rPr>
        <w:t>、</w:t>
      </w:r>
      <w:r>
        <w:rPr>
          <w:rFonts w:hint="eastAsia" w:ascii="宋体" w:hAnsi="宋体" w:eastAsia="宋体" w:cs="宋体"/>
          <w:color w:val="auto"/>
          <w:sz w:val="24"/>
          <w:highlight w:val="none"/>
        </w:rPr>
        <w:t>服务时间、服务标准</w:t>
      </w:r>
      <w:r>
        <w:rPr>
          <w:rFonts w:asciiTheme="minorEastAsia" w:hAnsiTheme="minorEastAsia" w:eastAsiaTheme="minorEastAsia"/>
          <w:color w:val="auto"/>
          <w:sz w:val="24"/>
          <w:highlight w:val="none"/>
        </w:rPr>
        <w:t>，中标公告期限、评审专家名单</w:t>
      </w:r>
      <w:r>
        <w:rPr>
          <w:rFonts w:hint="eastAsia" w:asciiTheme="minorEastAsia" w:hAnsiTheme="minorEastAsia" w:eastAsiaTheme="minorEastAsia"/>
          <w:color w:val="auto"/>
          <w:sz w:val="24"/>
          <w:highlight w:val="none"/>
          <w:lang w:val="en-US" w:eastAsia="zh-CN"/>
        </w:rPr>
        <w:t>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19531C1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6CD82BC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54C75A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01C9978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7C0D7D5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5AFFEA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2FDD490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4746D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4ED41A9C">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00C1EFE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55669BE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0C86BB9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28BB8B4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0E24451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468C9CD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40C2587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70217CD4">
      <w:pPr>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14872AD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00256F6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42029F36">
      <w:pPr>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5F4316D9">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3DAA5D1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7E6F952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725B7C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5220A2B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3A9964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09801AB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32.投诉</w:t>
      </w:r>
    </w:p>
    <w:p w14:paraId="26F0B1E4">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6BAB9FFE">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144AAD9D">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32.3政府采购监督管理部门在处理投诉事项期间，可以视具体情况书面通知采购人暂停采购活动，但暂停时间最长不得超过30日。</w:t>
      </w:r>
    </w:p>
    <w:p w14:paraId="791D14D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33.需要补充的其他内容</w:t>
      </w:r>
    </w:p>
    <w:p w14:paraId="34D744E1">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需要补充的其他内容，见投标人须知前附表。</w:t>
      </w:r>
    </w:p>
    <w:p w14:paraId="0F2FC669">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11CFB285">
      <w:pPr>
        <w:numPr>
          <w:ilvl w:val="0"/>
          <w:numId w:val="2"/>
        </w:num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 xml:space="preserve"> </w:t>
      </w:r>
      <w:bookmarkStart w:id="39" w:name="_Toc22605"/>
      <w:r>
        <w:rPr>
          <w:rFonts w:hint="eastAsia" w:asciiTheme="minorEastAsia" w:hAnsiTheme="minorEastAsia" w:eastAsiaTheme="minorEastAsia"/>
          <w:b/>
          <w:color w:val="auto"/>
          <w:sz w:val="28"/>
          <w:highlight w:val="none"/>
        </w:rPr>
        <w:t>采购需求</w:t>
      </w:r>
      <w:bookmarkEnd w:id="39"/>
    </w:p>
    <w:p w14:paraId="55436052">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3EB889FF">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可以进行优化，提供满足采购人实际需要的更优（或者性能实质上不低于的）服务方案，且此方案须经评标委员会评审认可。</w:t>
      </w:r>
    </w:p>
    <w:p w14:paraId="2D1EF0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6C5747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566271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3195B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2DA894B">
      <w:pPr>
        <w:spacing w:line="360" w:lineRule="auto"/>
        <w:ind w:firstLine="437"/>
        <w:jc w:val="left"/>
        <w:outlineLvl w:val="1"/>
        <w:rPr>
          <w:rFonts w:hint="default" w:ascii="宋体" w:hAnsi="宋体" w:eastAsia="宋体"/>
          <w:b/>
          <w:color w:val="auto"/>
          <w:sz w:val="24"/>
          <w:szCs w:val="18"/>
          <w:highlight w:val="none"/>
          <w:lang w:val="en-US" w:eastAsia="zh-CN"/>
        </w:rPr>
      </w:pPr>
      <w:bookmarkStart w:id="40" w:name="_Toc4148"/>
      <w:bookmarkStart w:id="41" w:name="_Toc21798"/>
      <w:bookmarkStart w:id="42" w:name="_Hlk23621890"/>
      <w:r>
        <w:rPr>
          <w:rFonts w:hint="eastAsia" w:ascii="宋体" w:hAnsi="宋体" w:eastAsia="宋体"/>
          <w:b/>
          <w:color w:val="auto"/>
          <w:sz w:val="24"/>
          <w:szCs w:val="18"/>
          <w:highlight w:val="none"/>
          <w:lang w:val="en-US" w:eastAsia="zh-CN"/>
        </w:rPr>
        <w:t>一、</w:t>
      </w:r>
      <w:r>
        <w:rPr>
          <w:rFonts w:hint="eastAsia" w:ascii="宋体" w:hAnsi="宋体" w:eastAsia="宋体"/>
          <w:b/>
          <w:color w:val="auto"/>
          <w:sz w:val="24"/>
          <w:szCs w:val="18"/>
          <w:highlight w:val="none"/>
        </w:rPr>
        <w:t>采购需求前附表</w:t>
      </w:r>
      <w:bookmarkEnd w:id="40"/>
      <w:bookmarkEnd w:id="41"/>
      <w:r>
        <w:rPr>
          <w:rFonts w:hint="eastAsia" w:ascii="宋体" w:hAnsi="宋体" w:eastAsia="宋体"/>
          <w:b/>
          <w:color w:val="auto"/>
          <w:sz w:val="24"/>
          <w:szCs w:val="18"/>
          <w:highlight w:val="none"/>
          <w:lang w:eastAsia="zh-CN"/>
        </w:rPr>
        <w:t>（</w:t>
      </w:r>
      <w:r>
        <w:rPr>
          <w:rFonts w:hint="eastAsia" w:ascii="宋体" w:hAnsi="宋体" w:eastAsia="宋体"/>
          <w:b/>
          <w:color w:val="auto"/>
          <w:sz w:val="24"/>
          <w:szCs w:val="18"/>
          <w:highlight w:val="none"/>
          <w:lang w:val="en-US" w:eastAsia="zh-CN"/>
        </w:rPr>
        <w:t>第1-3包）</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B5F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9EC241D">
            <w:pPr>
              <w:pStyle w:val="48"/>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4209D4B6">
            <w:pPr>
              <w:pStyle w:val="47"/>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2C18AB4A">
            <w:pPr>
              <w:pStyle w:val="47"/>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45E1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70F879C">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40BCE1C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53938D1E">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第1包：本项目为预采购项目，2026年12月底前支付人民币44万元作为预付款；待初步验收通过后付清合同剩余价款。</w:t>
            </w:r>
          </w:p>
          <w:p w14:paraId="51CB67F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第2包：本项目为预采购项目，信息化监理服务的项目初步验收通过后一次性付清合同剩余价款。</w:t>
            </w:r>
          </w:p>
          <w:p w14:paraId="31ADDA3E">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第3包：本项目为预采购项目，软件测评服务的项目初步验收通过后一次性付清合同剩余价款。</w:t>
            </w:r>
          </w:p>
        </w:tc>
      </w:tr>
      <w:tr w14:paraId="3DFA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5131182">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36F529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79E161C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滁州市内，采购人指定地点</w:t>
            </w:r>
          </w:p>
        </w:tc>
      </w:tr>
      <w:tr w14:paraId="095C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68ACD6">
            <w:pPr>
              <w:pStyle w:val="48"/>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3D3F53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服务期限</w:t>
            </w:r>
          </w:p>
        </w:tc>
        <w:tc>
          <w:tcPr>
            <w:tcW w:w="3217" w:type="pct"/>
            <w:vAlign w:val="center"/>
          </w:tcPr>
          <w:p w14:paraId="7E73093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第1包：合同签订生效后12个月内完成本包项目建设。</w:t>
            </w:r>
          </w:p>
          <w:p w14:paraId="22DEB2E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第2包：合同签订生效之日起，至监理的滁州市物业专项维修资金管理信息系统整合迁移项目竣工验收合格为止。</w:t>
            </w:r>
          </w:p>
          <w:p w14:paraId="6469E6E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第3包：合同签订生效之日起，至测评服务的滁州市物业专项维修资金管理信息系统整合迁移项目竣工验收合格为止。</w:t>
            </w:r>
          </w:p>
        </w:tc>
      </w:tr>
      <w:tr w14:paraId="7520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35B3A9A">
            <w:pPr>
              <w:pStyle w:val="48"/>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D2D417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本项目采购标的名称及所属行业</w:t>
            </w:r>
          </w:p>
        </w:tc>
        <w:tc>
          <w:tcPr>
            <w:tcW w:w="3217" w:type="pct"/>
            <w:vAlign w:val="center"/>
          </w:tcPr>
          <w:p w14:paraId="5898C84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第1包：</w:t>
            </w:r>
          </w:p>
          <w:p w14:paraId="4FEEB40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 xml:space="preserve">标的名称：滁州市物业专项维修资金管理信息系统整合迁移项目第1包 </w:t>
            </w:r>
          </w:p>
          <w:p w14:paraId="162D49D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所属行业：软件和信息技术服务业</w:t>
            </w:r>
          </w:p>
          <w:p w14:paraId="26A0728B">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第2包：</w:t>
            </w:r>
          </w:p>
          <w:p w14:paraId="1C04D16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 xml:space="preserve">标的名称：滁州市物业专项维修资金管理信息系统整合迁移项目第2包 </w:t>
            </w:r>
          </w:p>
          <w:p w14:paraId="48463E1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所属行业：软件和信息技术服务业</w:t>
            </w:r>
          </w:p>
          <w:p w14:paraId="0327585B">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第3包：</w:t>
            </w:r>
          </w:p>
          <w:p w14:paraId="115AC5F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 xml:space="preserve">标的名称：滁州市物业专项维修资金管理信息系统整合迁移项目第3包 </w:t>
            </w:r>
          </w:p>
          <w:p w14:paraId="765D93D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所属行业：软件和信息技术服务业</w:t>
            </w:r>
          </w:p>
        </w:tc>
      </w:tr>
    </w:tbl>
    <w:p w14:paraId="4DA8AEDF">
      <w:pPr>
        <w:spacing w:line="360" w:lineRule="auto"/>
        <w:ind w:firstLine="437"/>
        <w:jc w:val="left"/>
        <w:outlineLvl w:val="1"/>
        <w:rPr>
          <w:rFonts w:hint="eastAsia" w:ascii="宋体" w:hAnsi="宋体" w:eastAsia="宋体"/>
          <w:b/>
          <w:color w:val="auto"/>
          <w:sz w:val="24"/>
          <w:szCs w:val="18"/>
          <w:highlight w:val="none"/>
          <w:lang w:val="en-US" w:eastAsia="zh-CN"/>
        </w:rPr>
      </w:pPr>
      <w:bookmarkStart w:id="43" w:name="_Toc16543"/>
      <w:bookmarkStart w:id="44" w:name="_Hlk16461016"/>
      <w:r>
        <w:rPr>
          <w:rFonts w:hint="eastAsia" w:ascii="宋体" w:hAnsi="宋体" w:eastAsia="宋体"/>
          <w:b/>
          <w:color w:val="auto"/>
          <w:sz w:val="24"/>
          <w:szCs w:val="18"/>
          <w:highlight w:val="none"/>
          <w:lang w:val="en-US" w:eastAsia="zh-CN"/>
        </w:rPr>
        <w:t>二、项目概况</w:t>
      </w:r>
    </w:p>
    <w:p w14:paraId="46223F6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滁州市物业专项维修资金管理信息系统自2020年10月上线使用至今，支撑市本级维修资金的信息化管理功能。但该系统仅覆盖市本级部分区域，其他区县使用独立系统，业务规则、字段定义和接口标准不一致，市级主管部门难以及时掌握全市维修资金归集、使用、结息和风险情况。同时，原系统技术和数据库国产化适配不足，跨系统共享、移动服务和风险预警能力有待提升。</w:t>
      </w:r>
    </w:p>
    <w:p w14:paraId="117A6923">
      <w:pPr>
        <w:spacing w:line="360" w:lineRule="auto"/>
        <w:ind w:firstLine="437"/>
        <w:jc w:val="left"/>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三、项目建设内容</w:t>
      </w:r>
    </w:p>
    <w:p w14:paraId="73644B5C">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依托全省一体化数据基础平台，建设内容包括基础数据管理、资金交存管理、资金使用管理、资金增值收益管理、资金核算、统计分析与报表、资金预警、电子档案、系统管理、公众服务、移动端服务、电子投票和市区两级统一监管等功能；对接安徽政务服务网、皖事通、皖政通、皖企通、专户银行、房屋交易、不动产登记和电子票据等平台；完成7个区县历史数据治理迁移。</w:t>
      </w:r>
    </w:p>
    <w:p w14:paraId="76CF2288">
      <w:pPr>
        <w:spacing w:line="360" w:lineRule="auto"/>
        <w:ind w:firstLine="437"/>
        <w:jc w:val="left"/>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四、项目功能需求</w:t>
      </w:r>
    </w:p>
    <w:p w14:paraId="7AB0C281">
      <w:pPr>
        <w:spacing w:line="360" w:lineRule="auto"/>
        <w:ind w:firstLine="437"/>
        <w:jc w:val="left"/>
        <w:outlineLvl w:val="1"/>
        <w:rPr>
          <w:rFonts w:hint="eastAsia" w:ascii="宋体" w:hAnsi="宋体" w:eastAsia="宋体"/>
          <w:b/>
          <w:color w:val="auto"/>
          <w:sz w:val="24"/>
          <w:szCs w:val="18"/>
          <w:highlight w:val="none"/>
          <w:lang w:val="en-US" w:eastAsia="zh-CN"/>
        </w:rPr>
      </w:pPr>
      <w:bookmarkStart w:id="45" w:name="_Toc1760949866"/>
      <w:bookmarkStart w:id="46" w:name="_Toc26443"/>
      <w:bookmarkStart w:id="47" w:name="_Toc1570349102"/>
      <w:bookmarkStart w:id="48" w:name="_Toc11015"/>
      <w:bookmarkStart w:id="49" w:name="_Toc206"/>
      <w:bookmarkStart w:id="50" w:name="_Toc138615914"/>
      <w:bookmarkStart w:id="51" w:name="_Toc658225649"/>
      <w:bookmarkStart w:id="52" w:name="_Toc19118"/>
      <w:bookmarkStart w:id="53" w:name="_Toc26416"/>
      <w:bookmarkStart w:id="54" w:name="_Toc960347035"/>
      <w:bookmarkStart w:id="55" w:name="_Toc17128"/>
      <w:bookmarkStart w:id="56" w:name="_Toc15579"/>
      <w:bookmarkStart w:id="57" w:name="_Toc5152"/>
      <w:bookmarkStart w:id="58" w:name="_Toc148980147"/>
      <w:bookmarkStart w:id="59" w:name="_Toc11280"/>
      <w:bookmarkStart w:id="60" w:name="_Toc18655"/>
      <w:r>
        <w:rPr>
          <w:rFonts w:hint="eastAsia" w:ascii="宋体" w:hAnsi="宋体" w:eastAsia="宋体"/>
          <w:b/>
          <w:color w:val="auto"/>
          <w:sz w:val="24"/>
          <w:szCs w:val="18"/>
          <w:highlight w:val="none"/>
          <w:lang w:val="en-US" w:eastAsia="zh-CN"/>
        </w:rPr>
        <w:t>4.1业务需求</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4C4E08C7">
      <w:pPr>
        <w:spacing w:line="360" w:lineRule="auto"/>
        <w:ind w:firstLine="480" w:firstLineChars="200"/>
        <w:outlineLvl w:val="2"/>
        <w:rPr>
          <w:rFonts w:hint="eastAsia" w:ascii="宋体" w:hAnsi="宋体" w:eastAsia="宋体"/>
          <w:bCs/>
          <w:sz w:val="24"/>
          <w:szCs w:val="18"/>
          <w:highlight w:val="none"/>
          <w:lang w:val="en-US" w:eastAsia="zh-CN"/>
        </w:rPr>
      </w:pPr>
      <w:bookmarkStart w:id="61" w:name="_Toc7526"/>
      <w:bookmarkStart w:id="62" w:name="_Toc19920"/>
      <w:bookmarkStart w:id="63" w:name="_Toc24865"/>
      <w:r>
        <w:rPr>
          <w:rFonts w:hint="eastAsia" w:ascii="宋体" w:hAnsi="宋体" w:eastAsia="宋体"/>
          <w:bCs/>
          <w:sz w:val="24"/>
          <w:szCs w:val="18"/>
          <w:highlight w:val="none"/>
          <w:lang w:val="en-US" w:eastAsia="zh-CN"/>
        </w:rPr>
        <w:t>4.1.1维修资金业务需求</w:t>
      </w:r>
      <w:bookmarkEnd w:id="61"/>
      <w:bookmarkEnd w:id="62"/>
      <w:bookmarkEnd w:id="63"/>
    </w:p>
    <w:p w14:paraId="74FD2A5E">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1.建设维修资金基础数据库</w:t>
      </w:r>
    </w:p>
    <w:p w14:paraId="450190FC">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将维修资金管理参与机构、业主委员会、物业服务区域、幢、单元、分户、共有部分及共用设施设备等基础数据进行集中管理。</w:t>
      </w:r>
    </w:p>
    <w:p w14:paraId="5C1426EC">
      <w:pPr>
        <w:spacing w:line="360" w:lineRule="auto"/>
        <w:ind w:firstLine="480" w:firstLineChars="200"/>
        <w:outlineLvl w:val="2"/>
        <w:rPr>
          <w:rFonts w:hint="eastAsia"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2.资金交存业务</w:t>
      </w:r>
    </w:p>
    <w:p w14:paraId="54D58227">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支持多种资金类型交存，如电梯专项资金、日常维修金等，可灵活适应</w:t>
      </w:r>
      <w:r>
        <w:rPr>
          <w:rFonts w:hint="eastAsia" w:ascii="宋体" w:hAnsi="宋体" w:eastAsia="宋体"/>
          <w:bCs/>
          <w:sz w:val="24"/>
          <w:szCs w:val="18"/>
          <w:highlight w:val="none"/>
          <w:lang w:val="en-US" w:eastAsia="zh-CN"/>
        </w:rPr>
        <w:t>我</w:t>
      </w:r>
      <w:r>
        <w:rPr>
          <w:rFonts w:hint="default" w:ascii="宋体" w:hAnsi="宋体" w:eastAsia="宋体"/>
          <w:bCs/>
          <w:sz w:val="24"/>
          <w:szCs w:val="18"/>
          <w:highlight w:val="none"/>
          <w:lang w:val="en-US" w:eastAsia="zh-CN"/>
        </w:rPr>
        <w:t>市的业务发展需求</w:t>
      </w:r>
      <w:r>
        <w:rPr>
          <w:rFonts w:hint="eastAsia" w:ascii="宋体" w:hAnsi="宋体" w:eastAsia="宋体"/>
          <w:bCs/>
          <w:sz w:val="24"/>
          <w:szCs w:val="18"/>
          <w:highlight w:val="none"/>
          <w:lang w:val="en-US" w:eastAsia="zh-CN"/>
        </w:rPr>
        <w:t>。</w:t>
      </w:r>
    </w:p>
    <w:p w14:paraId="1C13600D">
      <w:pPr>
        <w:spacing w:line="360" w:lineRule="auto"/>
        <w:ind w:firstLine="480" w:firstLineChars="200"/>
        <w:outlineLvl w:val="2"/>
        <w:rPr>
          <w:rFonts w:hint="eastAsia"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3.资金使用业务</w:t>
      </w:r>
    </w:p>
    <w:p w14:paraId="7B4046E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支持自定义使用流程各节点的操作角色，开发使用流程可视化界面，实时展示项目当前所处阶段、前置节点完成时间、历史流转记录等关键信息，做到全流程可视化，确保资金使用流转全程留痕、风险可控、效率可溯。</w:t>
      </w:r>
    </w:p>
    <w:p w14:paraId="45158EE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4.资金核算业务</w:t>
      </w:r>
    </w:p>
    <w:p w14:paraId="73C49A22">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满足财政部颁发的《住宅专项维修资金会计核算办法》的各项要求，纳入三方对账机制（三方：业务部门、财务部门、银行），实现自动获取业务单、银行流水，实现自动对账、自动生成凭证、自动生成报表等功能。</w:t>
      </w:r>
    </w:p>
    <w:p w14:paraId="22761B66">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5.资金预警管理</w:t>
      </w:r>
    </w:p>
    <w:p w14:paraId="415403AE">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构建智能化的预警管理系统，实现与各业务子系统的无缝衔接。通过设立多维度、可配置的预警指标，如物业管理区域低于30%、增值到期、设备重复维修等。在维修资金归集、使用等关键业务环节设置智能监测点，当业务操作触发预警阈值时，系统自动在相关子系统界面推送实时预警提示，确保资金业务的安全性与合规性。</w:t>
      </w:r>
    </w:p>
    <w:p w14:paraId="1473FC38">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6.高性能的统计报表模块</w:t>
      </w:r>
    </w:p>
    <w:p w14:paraId="776AE45E">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对各业务环节的业务数据和资源数据进行统计分析、制定符合业务要求的数据报表，部分报表应按照月度、季度、年度生成周期性报表；统计报表应能够按照自定义条件进行准确、快速的统计，统计结果应用多种图表方式展示和导出功能。</w:t>
      </w:r>
    </w:p>
    <w:p w14:paraId="560F9FC3">
      <w:pPr>
        <w:spacing w:line="360" w:lineRule="auto"/>
        <w:ind w:firstLine="480" w:firstLineChars="200"/>
        <w:outlineLvl w:val="2"/>
        <w:rPr>
          <w:rFonts w:hint="eastAsia" w:ascii="宋体" w:hAnsi="宋体" w:eastAsia="宋体"/>
          <w:bCs/>
          <w:sz w:val="24"/>
          <w:szCs w:val="18"/>
          <w:highlight w:val="none"/>
          <w:lang w:val="en-US" w:eastAsia="zh-CN"/>
        </w:rPr>
      </w:pPr>
      <w:bookmarkStart w:id="64" w:name="_Toc454"/>
      <w:bookmarkStart w:id="65" w:name="_Toc32479"/>
      <w:bookmarkStart w:id="66" w:name="_Toc11858"/>
      <w:r>
        <w:rPr>
          <w:rFonts w:hint="eastAsia" w:ascii="宋体" w:hAnsi="宋体" w:eastAsia="宋体"/>
          <w:bCs/>
          <w:sz w:val="24"/>
          <w:szCs w:val="18"/>
          <w:highlight w:val="none"/>
          <w:lang w:val="en-US" w:eastAsia="zh-CN"/>
        </w:rPr>
        <w:t>4.1.2维修资金行业监管需求</w:t>
      </w:r>
      <w:bookmarkEnd w:id="64"/>
      <w:bookmarkEnd w:id="65"/>
      <w:bookmarkEnd w:id="66"/>
    </w:p>
    <w:p w14:paraId="5F16917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需建设具备市区两级统一的维修资金系统，依托市区两级管理体系，对全市维修资金数据、业务资金实施统一监管。同时，需支持对业务关键点设置预警，建立自动告警机制，有效提升资金风险预防能力与管理效率。</w:t>
      </w:r>
    </w:p>
    <w:p w14:paraId="06BC8016">
      <w:pPr>
        <w:spacing w:line="360" w:lineRule="auto"/>
        <w:ind w:firstLine="480" w:firstLineChars="200"/>
        <w:outlineLvl w:val="2"/>
        <w:rPr>
          <w:rFonts w:hint="eastAsia" w:ascii="宋体" w:hAnsi="宋体" w:eastAsia="宋体"/>
          <w:bCs/>
          <w:sz w:val="24"/>
          <w:szCs w:val="18"/>
          <w:highlight w:val="none"/>
          <w:lang w:val="en-US" w:eastAsia="zh-CN"/>
        </w:rPr>
      </w:pPr>
      <w:bookmarkStart w:id="67" w:name="_Toc30355"/>
      <w:bookmarkStart w:id="68" w:name="_Toc16910"/>
      <w:bookmarkStart w:id="69" w:name="_Toc29129"/>
      <w:r>
        <w:rPr>
          <w:rFonts w:hint="eastAsia" w:ascii="宋体" w:hAnsi="宋体" w:eastAsia="宋体"/>
          <w:bCs/>
          <w:sz w:val="24"/>
          <w:szCs w:val="18"/>
          <w:highlight w:val="none"/>
          <w:lang w:val="en-US" w:eastAsia="zh-CN"/>
        </w:rPr>
        <w:t>4.1.3用户角色</w:t>
      </w:r>
      <w:bookmarkEnd w:id="67"/>
      <w:bookmarkEnd w:id="68"/>
      <w:bookmarkEnd w:id="69"/>
    </w:p>
    <w:p w14:paraId="425DDC19">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本项目面向的用户群体主要包括：</w:t>
      </w:r>
    </w:p>
    <w:p w14:paraId="5355E49D">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市主管部门、区县主管部门、镇政府、街道办事处、房地产开发建设单位、物业服务单位、业委会、物管会、业主。</w:t>
      </w:r>
      <w:r>
        <w:rPr>
          <w:rFonts w:hint="eastAsia" w:ascii="宋体" w:hAnsi="宋体" w:eastAsia="宋体"/>
          <w:bCs/>
          <w:sz w:val="24"/>
          <w:szCs w:val="18"/>
          <w:highlight w:val="none"/>
          <w:lang w:val="en-US" w:eastAsia="zh-CN"/>
        </w:rPr>
        <w:t>所有用户角色在原系统的权限保留，权限包括但不限于以下描述。</w:t>
      </w:r>
    </w:p>
    <w:p w14:paraId="1B7EF8FB">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1.市级主管部门</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包括市主管领导、行政管理部门领导等，负责维修资金整个行业的指导、监督管理等工作；对系统业务工作进行全过程监督。</w:t>
      </w:r>
    </w:p>
    <w:p w14:paraId="5DD33F95">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2.区（县）局行政管理部门</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包括区局领导、区行政管理部门领导、区行政工作人员等，负责对外部用户单位所提交的申请资料进行受理和处理，包括受理并处理物业管理区域备案、维修资金使用审批、资金拨付、资金增值等业务工作。</w:t>
      </w:r>
    </w:p>
    <w:p w14:paraId="2FAF81D9">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3.乡、镇人民政府/街道办事处</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指乡、镇人民政府/街道办事处工作人员，主要受理并处理使用电子投票系统、业主委员会备案、勘查现场等工作。</w:t>
      </w:r>
    </w:p>
    <w:p w14:paraId="57F89BD0">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4.物业服务企业</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物业服务企业，是指依法设立、具有独立法人资格，从事物业管理服务活动的企业，主要是进行网上业务申请，包括物业管理区域备案、维修项目发起申请、使用电子投票系统、发布公示公告等。</w:t>
      </w:r>
    </w:p>
    <w:p w14:paraId="529525BB">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5.建设单位</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建设单位是房地产开发经营的生产经营者，一般也是房地产开发工程项目建设的发起者、组织者和管理者，在系统中主要是进行网上业务申请工作，包括物业管理区域备案、开发商代交款、代打通知单等。</w:t>
      </w:r>
    </w:p>
    <w:p w14:paraId="45924C16">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6.物业管理委员会</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在成立业主大会、业主委员会之前，需成立物业管理委员会，物业管理委员会由业主代表、街道办事处、建设单位（包括公有住房出售单位）组成。</w:t>
      </w:r>
    </w:p>
    <w:p w14:paraId="76ACD886">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7.业主委员会</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业主委员会，是指由物业管理区域内业主代表组成，代表业主的利益，向社会各方反映业主意愿和要求，并监督物业管理公司管理运作的一个民间性组织。在本系统中主要是投票发起、决策结果公示、签订合同、申请验收等。</w:t>
      </w:r>
    </w:p>
    <w:p w14:paraId="10AAE9AF">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8.居民委员会</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居民委员会按照居民的居住状况和便于居民自治的原则设立，由主任、副主任和委员组成。在本系统中主要通过业主决策电子投票平台进行公共事项的发起。</w:t>
      </w:r>
    </w:p>
    <w:p w14:paraId="7C895E5D">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9.业主</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是指房屋的所有权人，在本系统中主要是参与小区物业管理活动中的业主共同决定事项投票表决。</w:t>
      </w:r>
    </w:p>
    <w:p w14:paraId="05FBC066">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10.其他参与机构</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其他参与机构包括审价单位、施工监理单位、村民委员会、首次业主大会筹备组等。</w:t>
      </w:r>
    </w:p>
    <w:p w14:paraId="11E2F1E9">
      <w:pPr>
        <w:spacing w:line="360" w:lineRule="auto"/>
        <w:ind w:firstLine="480" w:firstLineChars="200"/>
        <w:outlineLvl w:val="2"/>
        <w:rPr>
          <w:rFonts w:hint="eastAsia" w:ascii="宋体" w:hAnsi="宋体" w:eastAsia="宋体"/>
          <w:bCs/>
          <w:sz w:val="24"/>
          <w:szCs w:val="18"/>
          <w:highlight w:val="none"/>
          <w:lang w:val="en-US" w:eastAsia="zh-CN"/>
        </w:rPr>
      </w:pPr>
      <w:bookmarkStart w:id="70" w:name="_Toc29606"/>
      <w:bookmarkStart w:id="71" w:name="_Toc11003"/>
      <w:r>
        <w:rPr>
          <w:rFonts w:hint="eastAsia" w:ascii="宋体" w:hAnsi="宋体" w:eastAsia="宋体"/>
          <w:bCs/>
          <w:sz w:val="24"/>
          <w:szCs w:val="18"/>
          <w:highlight w:val="none"/>
          <w:lang w:val="en-US" w:eastAsia="zh-CN"/>
        </w:rPr>
        <w:t>4.1.4资金账户需求</w:t>
      </w:r>
      <w:bookmarkEnd w:id="70"/>
      <w:bookmarkEnd w:id="71"/>
    </w:p>
    <w:p w14:paraId="274D29DB">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维修资金账户基于代管和自管两种模式，账户分为实账户以及虚账户。</w:t>
      </w:r>
    </w:p>
    <w:p w14:paraId="543C58EF">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实账户：在银行实际开设的账户。</w:t>
      </w:r>
    </w:p>
    <w:p w14:paraId="6565956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虚账户：只在系统中开设而不需要在银行开设的实际账户（在物业管理区域采集的时候，系统将对应的虚账户全部建立完成）。</w:t>
      </w:r>
    </w:p>
    <w:p w14:paraId="6DDE47D5">
      <w:pPr>
        <w:spacing w:line="360" w:lineRule="auto"/>
        <w:ind w:firstLine="480" w:firstLineChars="200"/>
        <w:outlineLvl w:val="2"/>
        <w:rPr>
          <w:rFonts w:hint="eastAsia"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资金账户包含：本金户、利息户、增值户。</w:t>
      </w:r>
    </w:p>
    <w:p w14:paraId="48E55CD2">
      <w:pPr>
        <w:spacing w:line="360" w:lineRule="auto"/>
        <w:ind w:firstLine="480" w:firstLineChars="200"/>
        <w:outlineLvl w:val="2"/>
        <w:rPr>
          <w:rFonts w:hint="eastAsia" w:ascii="宋体" w:hAnsi="宋体" w:eastAsia="宋体"/>
          <w:bCs/>
          <w:sz w:val="24"/>
          <w:szCs w:val="18"/>
          <w:highlight w:val="none"/>
          <w:lang w:val="en-US" w:eastAsia="zh-CN"/>
        </w:rPr>
      </w:pPr>
      <w:bookmarkStart w:id="72" w:name="_Toc453"/>
      <w:bookmarkStart w:id="73" w:name="_Toc28139"/>
      <w:bookmarkStart w:id="74" w:name="_Toc10379"/>
      <w:r>
        <w:rPr>
          <w:rFonts w:hint="eastAsia" w:ascii="宋体" w:hAnsi="宋体" w:eastAsia="宋体"/>
          <w:bCs/>
          <w:sz w:val="24"/>
          <w:szCs w:val="18"/>
          <w:highlight w:val="none"/>
          <w:lang w:val="en-US" w:eastAsia="zh-CN"/>
        </w:rPr>
        <w:t>4.1.5业务逻辑安全需求分析</w:t>
      </w:r>
      <w:bookmarkEnd w:id="72"/>
      <w:bookmarkEnd w:id="73"/>
      <w:bookmarkEnd w:id="74"/>
    </w:p>
    <w:p w14:paraId="0EEFD507">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系统的权限验证分为三种机制：功能菜单和功能点权限分配、角色权限预分配、流程权限分配。</w:t>
      </w:r>
    </w:p>
    <w:p w14:paraId="6A8CA441">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1.功能菜单和功能点权限分配</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控制用户对页面及页面上操作的权限。</w:t>
      </w:r>
    </w:p>
    <w:p w14:paraId="1DE0833F">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2.角色权限预分配</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根据项目授予的不同角色拥有不同的权限，权限根据用户需求在程序中预先定义，不同的模块有所不同，比如：项目相关信息模块里项目查询者不能上传文件，只能下载文件。</w:t>
      </w:r>
    </w:p>
    <w:p w14:paraId="75BB62FB">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3.流程权限分配</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利用工作流节点的配置属性来分配权限。</w:t>
      </w:r>
    </w:p>
    <w:p w14:paraId="75AB54AD">
      <w:pPr>
        <w:spacing w:line="360" w:lineRule="auto"/>
        <w:ind w:firstLine="437"/>
        <w:jc w:val="left"/>
        <w:outlineLvl w:val="1"/>
        <w:rPr>
          <w:rFonts w:hint="eastAsia" w:ascii="宋体" w:hAnsi="宋体" w:eastAsia="宋体"/>
          <w:b/>
          <w:color w:val="auto"/>
          <w:sz w:val="24"/>
          <w:szCs w:val="18"/>
          <w:highlight w:val="none"/>
          <w:lang w:val="en-US" w:eastAsia="zh-CN"/>
        </w:rPr>
      </w:pPr>
      <w:bookmarkStart w:id="75" w:name="_Toc138615915"/>
      <w:bookmarkStart w:id="76" w:name="_Toc14442"/>
      <w:bookmarkStart w:id="77" w:name="_Toc630639661"/>
      <w:bookmarkStart w:id="78" w:name="_Toc525308319"/>
      <w:bookmarkStart w:id="79" w:name="_Toc8914"/>
      <w:bookmarkStart w:id="80" w:name="_Toc1868745742"/>
      <w:bookmarkStart w:id="81" w:name="_Toc819"/>
      <w:bookmarkStart w:id="82" w:name="_Toc1811092749"/>
      <w:bookmarkStart w:id="83" w:name="_Toc12827"/>
      <w:bookmarkStart w:id="84" w:name="_Toc148980148"/>
      <w:bookmarkStart w:id="85" w:name="_Toc30424"/>
      <w:bookmarkStart w:id="86" w:name="_Toc1392"/>
      <w:bookmarkStart w:id="87" w:name="_Toc6129"/>
      <w:bookmarkStart w:id="88" w:name="_Toc23946"/>
      <w:bookmarkStart w:id="89" w:name="_Toc3512"/>
      <w:bookmarkStart w:id="90" w:name="_Toc21141"/>
      <w:r>
        <w:rPr>
          <w:rFonts w:hint="eastAsia" w:ascii="宋体" w:hAnsi="宋体" w:eastAsia="宋体"/>
          <w:b/>
          <w:color w:val="auto"/>
          <w:sz w:val="24"/>
          <w:szCs w:val="18"/>
          <w:highlight w:val="none"/>
          <w:lang w:val="en-US" w:eastAsia="zh-CN"/>
        </w:rPr>
        <w:t>4.2功能需求</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63962EC2">
      <w:pPr>
        <w:spacing w:line="360" w:lineRule="auto"/>
        <w:ind w:firstLine="480" w:firstLineChars="200"/>
        <w:outlineLvl w:val="2"/>
        <w:rPr>
          <w:rFonts w:hint="eastAsia" w:ascii="宋体" w:hAnsi="宋体" w:eastAsia="宋体"/>
          <w:bCs/>
          <w:sz w:val="24"/>
          <w:szCs w:val="18"/>
          <w:highlight w:val="none"/>
          <w:lang w:val="en-US" w:eastAsia="zh-CN"/>
        </w:rPr>
      </w:pPr>
      <w:bookmarkStart w:id="91" w:name="_Toc17970"/>
      <w:bookmarkStart w:id="92" w:name="_Toc12952"/>
      <w:bookmarkStart w:id="93" w:name="_Toc15417"/>
      <w:r>
        <w:rPr>
          <w:rFonts w:hint="eastAsia" w:ascii="宋体" w:hAnsi="宋体" w:eastAsia="宋体"/>
          <w:bCs/>
          <w:sz w:val="24"/>
          <w:szCs w:val="18"/>
          <w:highlight w:val="none"/>
          <w:lang w:val="en-US" w:eastAsia="zh-CN"/>
        </w:rPr>
        <w:t>4.2.1基础数据管理功能</w:t>
      </w:r>
      <w:bookmarkEnd w:id="91"/>
      <w:bookmarkEnd w:id="92"/>
      <w:bookmarkEnd w:id="93"/>
    </w:p>
    <w:p w14:paraId="303A8B2A">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现对物业管理区域数据和相关机构信息的采集和基本维护功能，应包括物业管理区域及行政区域、楼幢、单元、分户等房屋信息；共用设施设备信息管理；建设单位、业委会、物业服务企业、银行等参与者相关数据和信息。具有注册、审核、变更、数据采集、拆分合并、销户、灭失及要件打印等操作功能。</w:t>
      </w:r>
    </w:p>
    <w:p w14:paraId="6013F699">
      <w:pPr>
        <w:spacing w:line="360" w:lineRule="auto"/>
        <w:ind w:firstLine="480" w:firstLineChars="200"/>
        <w:outlineLvl w:val="2"/>
        <w:rPr>
          <w:rFonts w:hint="eastAsia" w:ascii="宋体" w:hAnsi="宋体" w:eastAsia="宋体"/>
          <w:bCs/>
          <w:sz w:val="24"/>
          <w:szCs w:val="18"/>
          <w:highlight w:val="none"/>
          <w:lang w:val="en-US" w:eastAsia="zh-CN"/>
        </w:rPr>
      </w:pPr>
      <w:bookmarkStart w:id="94" w:name="_Toc12003"/>
      <w:bookmarkStart w:id="95" w:name="_Toc15551"/>
      <w:bookmarkStart w:id="96" w:name="_Toc19959"/>
      <w:r>
        <w:rPr>
          <w:rFonts w:hint="eastAsia" w:ascii="宋体" w:hAnsi="宋体" w:eastAsia="宋体"/>
          <w:bCs/>
          <w:sz w:val="24"/>
          <w:szCs w:val="18"/>
          <w:highlight w:val="none"/>
          <w:lang w:val="en-US" w:eastAsia="zh-CN"/>
        </w:rPr>
        <w:t>4.2.2资金交存管理功能</w:t>
      </w:r>
      <w:bookmarkEnd w:id="94"/>
      <w:bookmarkEnd w:id="95"/>
      <w:bookmarkEnd w:id="96"/>
    </w:p>
    <w:p w14:paraId="3228C9A2">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现政府代管和划转业主大会管理两种模式中，业主或建设单位交存维修资金的功能，应包括按照交存标准自动核定应交金额、出具交存通知单、开发建设单位交款、业主交款、补交与续筹、退款、交款凭证打印、业委会自管等功能。</w:t>
      </w:r>
    </w:p>
    <w:p w14:paraId="43BCC6B8">
      <w:pPr>
        <w:spacing w:line="360" w:lineRule="auto"/>
        <w:ind w:firstLine="480" w:firstLineChars="200"/>
        <w:outlineLvl w:val="2"/>
        <w:rPr>
          <w:rFonts w:hint="eastAsia" w:ascii="宋体" w:hAnsi="宋体" w:eastAsia="宋体"/>
          <w:bCs/>
          <w:sz w:val="24"/>
          <w:szCs w:val="18"/>
          <w:highlight w:val="none"/>
          <w:lang w:val="en-US" w:eastAsia="zh-CN"/>
        </w:rPr>
      </w:pPr>
      <w:bookmarkStart w:id="97" w:name="_Toc31524"/>
      <w:bookmarkStart w:id="98" w:name="_Toc21382"/>
      <w:bookmarkStart w:id="99" w:name="_Toc30881"/>
      <w:r>
        <w:rPr>
          <w:rFonts w:hint="eastAsia" w:ascii="宋体" w:hAnsi="宋体" w:eastAsia="宋体"/>
          <w:bCs/>
          <w:sz w:val="24"/>
          <w:szCs w:val="18"/>
          <w:highlight w:val="none"/>
          <w:lang w:val="en-US" w:eastAsia="zh-CN"/>
        </w:rPr>
        <w:t>4.2.3资金使用管理功能</w:t>
      </w:r>
      <w:bookmarkEnd w:id="97"/>
      <w:bookmarkEnd w:id="98"/>
      <w:bookmarkEnd w:id="99"/>
    </w:p>
    <w:p w14:paraId="1A159FA2">
      <w:pPr>
        <w:spacing w:line="360" w:lineRule="auto"/>
        <w:ind w:firstLine="480" w:firstLineChars="200"/>
        <w:outlineLvl w:val="2"/>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具备一般</w:t>
      </w:r>
      <w:r>
        <w:rPr>
          <w:rFonts w:hint="default" w:ascii="宋体" w:hAnsi="宋体" w:eastAsia="宋体"/>
          <w:bCs/>
          <w:sz w:val="24"/>
          <w:szCs w:val="18"/>
          <w:highlight w:val="none"/>
          <w:lang w:val="en-US" w:eastAsia="zh-CN"/>
        </w:rPr>
        <w:t>维修、</w:t>
      </w:r>
      <w:r>
        <w:rPr>
          <w:rFonts w:hint="eastAsia" w:ascii="宋体" w:hAnsi="宋体" w:eastAsia="宋体"/>
          <w:bCs/>
          <w:sz w:val="24"/>
          <w:szCs w:val="18"/>
          <w:highlight w:val="none"/>
          <w:lang w:val="en-US" w:eastAsia="zh-CN"/>
        </w:rPr>
        <w:t>应</w:t>
      </w:r>
      <w:r>
        <w:rPr>
          <w:rFonts w:hint="default" w:ascii="宋体" w:hAnsi="宋体" w:eastAsia="宋体"/>
          <w:bCs/>
          <w:sz w:val="24"/>
          <w:szCs w:val="18"/>
          <w:highlight w:val="none"/>
          <w:lang w:val="en-US" w:eastAsia="zh-CN"/>
        </w:rPr>
        <w:t>急维修等各模式下的使用备案申请（项目申报）、使用分摊、公示、业主表决、资金拨付申请与拨付、资金退回等业务操作功能。</w:t>
      </w:r>
    </w:p>
    <w:p w14:paraId="53843763">
      <w:pPr>
        <w:spacing w:line="360" w:lineRule="auto"/>
        <w:ind w:firstLine="480" w:firstLineChars="200"/>
        <w:outlineLvl w:val="2"/>
        <w:rPr>
          <w:rFonts w:hint="eastAsia" w:ascii="宋体" w:hAnsi="宋体" w:eastAsia="宋体"/>
          <w:bCs/>
          <w:sz w:val="24"/>
          <w:szCs w:val="18"/>
          <w:highlight w:val="none"/>
          <w:lang w:val="en-US" w:eastAsia="zh-CN"/>
        </w:rPr>
      </w:pPr>
      <w:bookmarkStart w:id="100" w:name="_Toc2148"/>
      <w:bookmarkStart w:id="101" w:name="_Toc27304"/>
      <w:bookmarkStart w:id="102" w:name="_Toc5085"/>
      <w:r>
        <w:rPr>
          <w:rFonts w:hint="eastAsia" w:ascii="宋体" w:hAnsi="宋体" w:eastAsia="宋体"/>
          <w:bCs/>
          <w:sz w:val="24"/>
          <w:szCs w:val="18"/>
          <w:highlight w:val="none"/>
          <w:lang w:val="en-US" w:eastAsia="zh-CN"/>
        </w:rPr>
        <w:t>4.2.4资金增值收益管理功能</w:t>
      </w:r>
      <w:bookmarkEnd w:id="100"/>
      <w:bookmarkEnd w:id="101"/>
      <w:bookmarkEnd w:id="102"/>
    </w:p>
    <w:p w14:paraId="6EA772CF">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收益管理需提供对收益的相关管理功能，对维修资金进行增值管理，对不同来源的收益进行管理和分配的功能。对代管资金，每年定期按确定的利率和计息规则，自动生成分户计息清单，经审核后自动记入各分户账，同时提供业主大会申请办理个性化增值方案的操作功能。在维修资金相关业务中，提供对批量交存的资金、使用的资金、利息及收益等向相关分户进行分摊。系统提供按照面积、分户数、分户积数及指定方式等对资金进行分摊。</w:t>
      </w:r>
    </w:p>
    <w:p w14:paraId="5657A157">
      <w:pPr>
        <w:spacing w:line="360" w:lineRule="auto"/>
        <w:ind w:firstLine="480" w:firstLineChars="200"/>
        <w:outlineLvl w:val="2"/>
        <w:rPr>
          <w:rFonts w:hint="eastAsia" w:ascii="宋体" w:hAnsi="宋体" w:eastAsia="宋体"/>
          <w:bCs/>
          <w:sz w:val="24"/>
          <w:szCs w:val="18"/>
          <w:highlight w:val="none"/>
          <w:lang w:val="en-US" w:eastAsia="zh-CN"/>
        </w:rPr>
      </w:pPr>
      <w:bookmarkStart w:id="103" w:name="_Toc20137"/>
      <w:bookmarkStart w:id="104" w:name="_Toc25940"/>
      <w:bookmarkStart w:id="105" w:name="_Toc26819"/>
      <w:r>
        <w:rPr>
          <w:rFonts w:hint="eastAsia" w:ascii="宋体" w:hAnsi="宋体" w:eastAsia="宋体"/>
          <w:bCs/>
          <w:sz w:val="24"/>
          <w:szCs w:val="18"/>
          <w:highlight w:val="none"/>
          <w:lang w:val="en-US" w:eastAsia="zh-CN"/>
        </w:rPr>
        <w:t>4.2.5统计分析与报表管理功能</w:t>
      </w:r>
      <w:bookmarkEnd w:id="103"/>
      <w:bookmarkEnd w:id="104"/>
      <w:bookmarkEnd w:id="105"/>
    </w:p>
    <w:p w14:paraId="09FB9A78">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统计分析子系统应实现综合查询、统计报表功能，满足信息公开、业主查询和管理决策支持的需要。</w:t>
      </w:r>
    </w:p>
    <w:p w14:paraId="216C62EB">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综合查询实现动态取数，查询能满足更多分类的查询需求，能根据输入的查询条件智能查询出所需内容，主要包含物业管理区域查询、业务单查询、房屋信息查询、账户信息查询、机构信息查询、银行流水查询、设施设备查询、维修项目查询等。</w:t>
      </w:r>
    </w:p>
    <w:p w14:paraId="6FA25726">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统计报表结果采用数据表的方式展示，包含物业管理区域资金情况汇总表、维修资金交存汇总表、维修资金使用汇总表、维修资金增值汇总表等。</w:t>
      </w:r>
    </w:p>
    <w:p w14:paraId="057476A8">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需要支持数据的权限管理，区（县）级主管部门可以看当地数据，市级主管部门可以查看全市的维修资金数据。</w:t>
      </w:r>
    </w:p>
    <w:p w14:paraId="3B25E0CE">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需对各县（市、区）业务收件/审核占比、业务办结平均时效、业务超期率和业务退件率进行统计，支持对数据进行排名。</w:t>
      </w:r>
    </w:p>
    <w:p w14:paraId="2AFA9F97">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使用统计报表调整报表时需抓取所有已拨付的项目</w:t>
      </w:r>
    </w:p>
    <w:p w14:paraId="251380AE">
      <w:pPr>
        <w:spacing w:line="360" w:lineRule="auto"/>
        <w:ind w:firstLine="480" w:firstLineChars="200"/>
        <w:outlineLvl w:val="2"/>
        <w:rPr>
          <w:rFonts w:hint="eastAsia" w:ascii="宋体" w:hAnsi="宋体" w:eastAsia="宋体"/>
          <w:bCs/>
          <w:sz w:val="24"/>
          <w:szCs w:val="18"/>
          <w:highlight w:val="none"/>
          <w:lang w:val="en-US" w:eastAsia="zh-CN"/>
        </w:rPr>
      </w:pPr>
      <w:bookmarkStart w:id="106" w:name="_Toc1929"/>
      <w:bookmarkStart w:id="107" w:name="_Toc15429"/>
      <w:bookmarkStart w:id="108" w:name="_Toc19793"/>
      <w:r>
        <w:rPr>
          <w:rFonts w:hint="eastAsia" w:ascii="宋体" w:hAnsi="宋体" w:eastAsia="宋体"/>
          <w:bCs/>
          <w:sz w:val="24"/>
          <w:szCs w:val="18"/>
          <w:highlight w:val="none"/>
          <w:lang w:val="en-US" w:eastAsia="zh-CN"/>
        </w:rPr>
        <w:t>4.2.6资金核算管理功能</w:t>
      </w:r>
      <w:bookmarkEnd w:id="106"/>
      <w:bookmarkEnd w:id="107"/>
      <w:bookmarkEnd w:id="108"/>
    </w:p>
    <w:p w14:paraId="17BC96BA">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资金核算管理应包括建账、核算、对账、统计分析等功能，设账层级为：物业管理区域→楼幢→单元→分户，实现自动生成业务凭证和导出，分物业管理区域统计相关数据。应遵循收付实现制原则，满足《住宅专项维修资金财务核算办法》。</w:t>
      </w:r>
    </w:p>
    <w:p w14:paraId="18720985">
      <w:pPr>
        <w:spacing w:line="360" w:lineRule="auto"/>
        <w:ind w:firstLine="480" w:firstLineChars="200"/>
        <w:outlineLvl w:val="2"/>
        <w:rPr>
          <w:rFonts w:hint="eastAsia" w:ascii="宋体" w:hAnsi="宋体" w:eastAsia="宋体"/>
          <w:bCs/>
          <w:sz w:val="24"/>
          <w:szCs w:val="18"/>
          <w:highlight w:val="none"/>
          <w:lang w:val="en-US" w:eastAsia="zh-CN"/>
        </w:rPr>
      </w:pPr>
      <w:bookmarkStart w:id="109" w:name="_Toc19045"/>
      <w:bookmarkStart w:id="110" w:name="_Toc19085"/>
      <w:bookmarkStart w:id="111" w:name="_Toc13036"/>
      <w:r>
        <w:rPr>
          <w:rFonts w:hint="eastAsia" w:ascii="宋体" w:hAnsi="宋体" w:eastAsia="宋体"/>
          <w:bCs/>
          <w:sz w:val="24"/>
          <w:szCs w:val="18"/>
          <w:highlight w:val="none"/>
          <w:lang w:val="en-US" w:eastAsia="zh-CN"/>
        </w:rPr>
        <w:t>4.2.7资金预警管理功能</w:t>
      </w:r>
      <w:bookmarkEnd w:id="109"/>
      <w:bookmarkEnd w:id="110"/>
      <w:bookmarkEnd w:id="111"/>
    </w:p>
    <w:p w14:paraId="6D822659">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资金预警管理子系统应实现按管理要求从“业务过程”“资金安全”“资金利用率”“业务效率”等方面进行风险预警，对即将发生的问题事前提示，各项重要指标均可逐层追溯，最终达到差异化管理。预警指标需包括：</w:t>
      </w:r>
    </w:p>
    <w:p w14:paraId="2D702D0B">
      <w:pPr>
        <w:spacing w:line="360" w:lineRule="auto"/>
        <w:ind w:firstLine="480" w:firstLineChars="200"/>
        <w:outlineLvl w:val="2"/>
        <w:rPr>
          <w:rFonts w:hint="eastAsia"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对资金未分解的、无对应业务的明细的资金自动预警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对区县资金异常转存、无业务对应自动预警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对区县资金账户久未结息自动预警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对账户不足30%的自动预警及处理</w:t>
      </w:r>
      <w:r>
        <w:rPr>
          <w:rFonts w:hint="eastAsia" w:ascii="宋体" w:hAnsi="宋体" w:eastAsia="宋体"/>
          <w:bCs/>
          <w:sz w:val="24"/>
          <w:szCs w:val="18"/>
          <w:highlight w:val="none"/>
          <w:lang w:val="en-US" w:eastAsia="zh-CN"/>
        </w:rPr>
        <w:t>（合理处置新旧系统预警衔接）；</w:t>
      </w:r>
      <w:r>
        <w:rPr>
          <w:rFonts w:hint="default" w:ascii="宋体" w:hAnsi="宋体" w:eastAsia="宋体"/>
          <w:bCs/>
          <w:sz w:val="24"/>
          <w:szCs w:val="18"/>
          <w:highlight w:val="none"/>
          <w:lang w:val="en-US" w:eastAsia="zh-CN"/>
        </w:rPr>
        <w:t>对区县大额（超50万元）维修项目的自动预警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单设备高频维修的自动预警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使用项目到期未结算的自动预警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使用项目质保金到期未拨付的自动预警</w:t>
      </w:r>
      <w:r>
        <w:rPr>
          <w:rFonts w:hint="eastAsia" w:ascii="宋体" w:hAnsi="宋体" w:eastAsia="宋体"/>
          <w:bCs/>
          <w:sz w:val="24"/>
          <w:szCs w:val="18"/>
          <w:highlight w:val="none"/>
          <w:lang w:val="en-US" w:eastAsia="zh-CN"/>
        </w:rPr>
        <w:t>；</w:t>
      </w:r>
      <w:r>
        <w:rPr>
          <w:rFonts w:hint="default" w:ascii="宋体" w:hAnsi="宋体" w:eastAsia="宋体"/>
          <w:bCs/>
          <w:sz w:val="24"/>
          <w:szCs w:val="18"/>
          <w:highlight w:val="none"/>
          <w:lang w:val="en-US" w:eastAsia="zh-CN"/>
        </w:rPr>
        <w:t>使用项目审减率过高的自动预警</w:t>
      </w:r>
      <w:r>
        <w:rPr>
          <w:rFonts w:hint="eastAsia" w:ascii="宋体" w:hAnsi="宋体" w:eastAsia="宋体"/>
          <w:bCs/>
          <w:sz w:val="24"/>
          <w:szCs w:val="18"/>
          <w:highlight w:val="none"/>
          <w:lang w:val="en-US" w:eastAsia="zh-CN"/>
        </w:rPr>
        <w:t>；重复房屋信息预警；</w:t>
      </w:r>
      <w:r>
        <w:rPr>
          <w:rFonts w:hint="default" w:ascii="宋体" w:hAnsi="宋体" w:eastAsia="宋体"/>
          <w:bCs/>
          <w:sz w:val="24"/>
          <w:szCs w:val="18"/>
          <w:highlight w:val="none"/>
          <w:lang w:val="en-US" w:eastAsia="zh-CN"/>
        </w:rPr>
        <w:t>长期两个账号在同一台电脑上登录系统的自动预警</w:t>
      </w:r>
      <w:r>
        <w:rPr>
          <w:rFonts w:hint="eastAsia" w:ascii="宋体" w:hAnsi="宋体" w:eastAsia="宋体"/>
          <w:bCs/>
          <w:sz w:val="24"/>
          <w:szCs w:val="18"/>
          <w:highlight w:val="none"/>
          <w:lang w:val="en-US" w:eastAsia="zh-CN"/>
        </w:rPr>
        <w:t>。</w:t>
      </w:r>
    </w:p>
    <w:p w14:paraId="74061A2B">
      <w:pPr>
        <w:spacing w:line="360" w:lineRule="auto"/>
        <w:ind w:firstLine="480" w:firstLineChars="200"/>
        <w:outlineLvl w:val="2"/>
        <w:rPr>
          <w:rFonts w:hint="eastAsia" w:ascii="宋体" w:hAnsi="宋体" w:eastAsia="宋体"/>
          <w:bCs/>
          <w:sz w:val="24"/>
          <w:szCs w:val="18"/>
          <w:highlight w:val="none"/>
          <w:lang w:val="en-US" w:eastAsia="zh-CN"/>
        </w:rPr>
      </w:pPr>
      <w:bookmarkStart w:id="112" w:name="_Toc15184"/>
      <w:bookmarkStart w:id="113" w:name="_Toc24753"/>
      <w:bookmarkStart w:id="114" w:name="_Toc5491"/>
      <w:r>
        <w:rPr>
          <w:rFonts w:hint="eastAsia" w:ascii="宋体" w:hAnsi="宋体" w:eastAsia="宋体"/>
          <w:bCs/>
          <w:sz w:val="24"/>
          <w:szCs w:val="18"/>
          <w:highlight w:val="none"/>
          <w:lang w:val="en-US" w:eastAsia="zh-CN"/>
        </w:rPr>
        <w:t>4.2.8电子档案管理功能</w:t>
      </w:r>
      <w:bookmarkEnd w:id="112"/>
      <w:bookmarkEnd w:id="113"/>
      <w:bookmarkEnd w:id="114"/>
    </w:p>
    <w:p w14:paraId="38EC5005">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基于维修资金电子档案管理的特点及其现状，实现维修资金电子档案规范化的收集、整理、保管；实现电子档案的数字化，使维修资金档案更具有可利用性。实现电子档案管理与查询。</w:t>
      </w:r>
    </w:p>
    <w:p w14:paraId="07977877">
      <w:pPr>
        <w:spacing w:line="360" w:lineRule="auto"/>
        <w:ind w:firstLine="480" w:firstLineChars="200"/>
        <w:outlineLvl w:val="2"/>
        <w:rPr>
          <w:rFonts w:hint="eastAsia" w:ascii="宋体" w:hAnsi="宋体" w:eastAsia="宋体"/>
          <w:bCs/>
          <w:sz w:val="24"/>
          <w:szCs w:val="18"/>
          <w:highlight w:val="none"/>
          <w:lang w:val="en-US" w:eastAsia="zh-CN"/>
        </w:rPr>
      </w:pPr>
      <w:bookmarkStart w:id="115" w:name="_Toc9497"/>
      <w:bookmarkStart w:id="116" w:name="_Toc21959"/>
      <w:bookmarkStart w:id="117" w:name="_Toc6245"/>
      <w:r>
        <w:rPr>
          <w:rFonts w:hint="eastAsia" w:ascii="宋体" w:hAnsi="宋体" w:eastAsia="宋体"/>
          <w:bCs/>
          <w:sz w:val="24"/>
          <w:szCs w:val="18"/>
          <w:highlight w:val="none"/>
          <w:lang w:val="en-US" w:eastAsia="zh-CN"/>
        </w:rPr>
        <w:t>4.2.9系统管理功能</w:t>
      </w:r>
      <w:bookmarkEnd w:id="115"/>
      <w:bookmarkEnd w:id="116"/>
      <w:bookmarkEnd w:id="117"/>
    </w:p>
    <w:p w14:paraId="7D794BD5">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实现行政区域管理、专户银行信息管理、用户管理、部门管理、角色管理、账套管理、工作首页管理、后台内容管理、登录管理等系统维护相关功能。</w:t>
      </w:r>
    </w:p>
    <w:p w14:paraId="2E0EB0D9">
      <w:pPr>
        <w:spacing w:line="360" w:lineRule="auto"/>
        <w:ind w:firstLine="480" w:firstLineChars="200"/>
        <w:outlineLvl w:val="2"/>
        <w:rPr>
          <w:rFonts w:hint="eastAsia" w:ascii="宋体" w:hAnsi="宋体" w:eastAsia="宋体"/>
          <w:bCs/>
          <w:sz w:val="24"/>
          <w:szCs w:val="18"/>
          <w:highlight w:val="none"/>
          <w:lang w:val="en-US" w:eastAsia="zh-CN"/>
        </w:rPr>
      </w:pPr>
      <w:bookmarkStart w:id="118" w:name="_Toc15524"/>
      <w:bookmarkStart w:id="119" w:name="_Toc11385"/>
      <w:bookmarkStart w:id="120" w:name="_Toc4291"/>
      <w:r>
        <w:rPr>
          <w:rFonts w:hint="eastAsia" w:ascii="宋体" w:hAnsi="宋体" w:eastAsia="宋体"/>
          <w:bCs/>
          <w:sz w:val="24"/>
          <w:szCs w:val="18"/>
          <w:highlight w:val="none"/>
          <w:lang w:val="en-US" w:eastAsia="zh-CN"/>
        </w:rPr>
        <w:t>4.2.10公众服务功能</w:t>
      </w:r>
      <w:bookmarkEnd w:id="118"/>
      <w:bookmarkEnd w:id="119"/>
      <w:bookmarkEnd w:id="120"/>
    </w:p>
    <w:p w14:paraId="173167F7">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公众服务应实现按照公开、准确的原则实时发布维修资金政策法规、行业动态、业务指南、公示公告等信息，同时提供业务案件查询、机构登录入口功能。在移动端，提供包括查询、交款、认证等功能。</w:t>
      </w:r>
    </w:p>
    <w:p w14:paraId="06E2FA07">
      <w:pPr>
        <w:spacing w:line="360" w:lineRule="auto"/>
        <w:ind w:firstLine="480" w:firstLineChars="200"/>
        <w:outlineLvl w:val="2"/>
        <w:rPr>
          <w:rFonts w:hint="eastAsia" w:ascii="宋体" w:hAnsi="宋体" w:eastAsia="宋体"/>
          <w:bCs/>
          <w:sz w:val="24"/>
          <w:szCs w:val="18"/>
          <w:highlight w:val="none"/>
          <w:lang w:val="en-US" w:eastAsia="zh-CN"/>
        </w:rPr>
      </w:pPr>
      <w:bookmarkStart w:id="121" w:name="_Toc4297"/>
      <w:bookmarkStart w:id="122" w:name="_Toc6080"/>
      <w:bookmarkStart w:id="123" w:name="_Toc505"/>
      <w:r>
        <w:rPr>
          <w:rFonts w:hint="eastAsia" w:ascii="宋体" w:hAnsi="宋体" w:eastAsia="宋体"/>
          <w:bCs/>
          <w:sz w:val="24"/>
          <w:szCs w:val="18"/>
          <w:highlight w:val="none"/>
          <w:lang w:val="en-US" w:eastAsia="zh-CN"/>
        </w:rPr>
        <w:t>4.2.11电子投票功能</w:t>
      </w:r>
      <w:bookmarkEnd w:id="121"/>
      <w:bookmarkEnd w:id="122"/>
      <w:bookmarkEnd w:id="123"/>
    </w:p>
    <w:p w14:paraId="12F4303B">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电子投票系统应实现多渠道投票功能，此外应包括投票发起、业主身份验证、房屋绑定、投票议题申请及审核、业主投票、投票信息公示、投票结果统计等功能。</w:t>
      </w:r>
    </w:p>
    <w:p w14:paraId="30F19A5F">
      <w:pPr>
        <w:spacing w:line="360" w:lineRule="auto"/>
        <w:ind w:firstLine="437"/>
        <w:jc w:val="left"/>
        <w:outlineLvl w:val="1"/>
        <w:rPr>
          <w:rFonts w:hint="eastAsia" w:ascii="宋体" w:hAnsi="宋体" w:eastAsia="宋体"/>
          <w:b/>
          <w:color w:val="auto"/>
          <w:sz w:val="24"/>
          <w:szCs w:val="18"/>
          <w:highlight w:val="none"/>
          <w:lang w:val="en-US" w:eastAsia="zh-CN"/>
        </w:rPr>
      </w:pPr>
      <w:bookmarkStart w:id="124" w:name="_Toc16054"/>
      <w:bookmarkStart w:id="125" w:name="_Toc6918"/>
      <w:bookmarkStart w:id="126" w:name="_Toc421"/>
      <w:bookmarkStart w:id="127" w:name="_Toc20786"/>
      <w:bookmarkStart w:id="128" w:name="_Toc1768098827"/>
      <w:bookmarkStart w:id="129" w:name="_Toc1399534507"/>
      <w:bookmarkStart w:id="130" w:name="_Toc148980149"/>
      <w:bookmarkStart w:id="131" w:name="_Toc305955750"/>
      <w:bookmarkStart w:id="132" w:name="_Toc927932960"/>
      <w:r>
        <w:rPr>
          <w:rFonts w:hint="eastAsia" w:ascii="宋体" w:hAnsi="宋体" w:eastAsia="宋体"/>
          <w:b/>
          <w:color w:val="auto"/>
          <w:sz w:val="24"/>
          <w:szCs w:val="18"/>
          <w:highlight w:val="none"/>
          <w:lang w:val="en-US" w:eastAsia="zh-CN"/>
        </w:rPr>
        <w:t>4.3数据需求</w:t>
      </w:r>
      <w:bookmarkEnd w:id="124"/>
      <w:bookmarkEnd w:id="125"/>
      <w:bookmarkEnd w:id="126"/>
      <w:bookmarkEnd w:id="127"/>
      <w:bookmarkEnd w:id="128"/>
      <w:bookmarkEnd w:id="129"/>
      <w:bookmarkEnd w:id="130"/>
      <w:bookmarkEnd w:id="131"/>
      <w:bookmarkEnd w:id="132"/>
    </w:p>
    <w:p w14:paraId="522C6057">
      <w:pPr>
        <w:spacing w:line="360" w:lineRule="auto"/>
        <w:ind w:firstLine="480" w:firstLineChars="200"/>
        <w:outlineLvl w:val="2"/>
        <w:rPr>
          <w:rFonts w:hint="eastAsia" w:ascii="宋体" w:hAnsi="宋体" w:eastAsia="宋体"/>
          <w:bCs/>
          <w:sz w:val="24"/>
          <w:szCs w:val="18"/>
          <w:highlight w:val="none"/>
          <w:lang w:val="en-US" w:eastAsia="zh-CN"/>
        </w:rPr>
      </w:pPr>
      <w:bookmarkStart w:id="133" w:name="_Toc9609"/>
      <w:bookmarkStart w:id="134" w:name="_Toc28926"/>
      <w:bookmarkStart w:id="135" w:name="_Toc10277"/>
      <w:r>
        <w:rPr>
          <w:rFonts w:hint="eastAsia" w:ascii="宋体" w:hAnsi="宋体" w:eastAsia="宋体"/>
          <w:bCs/>
          <w:sz w:val="24"/>
          <w:szCs w:val="18"/>
          <w:highlight w:val="none"/>
          <w:lang w:val="en-US" w:eastAsia="zh-CN"/>
        </w:rPr>
        <w:t>4.3.1安徽政务服务网</w:t>
      </w:r>
      <w:bookmarkEnd w:id="133"/>
      <w:bookmarkEnd w:id="134"/>
      <w:bookmarkEnd w:id="135"/>
    </w:p>
    <w:p w14:paraId="2DEB8E08">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对接安徽政务服务网，实现业主通过政务平台查询维修资金信息。</w:t>
      </w:r>
    </w:p>
    <w:p w14:paraId="4433C6D4">
      <w:pPr>
        <w:spacing w:line="360" w:lineRule="auto"/>
        <w:ind w:firstLine="480" w:firstLineChars="200"/>
        <w:outlineLvl w:val="2"/>
        <w:rPr>
          <w:rFonts w:hint="eastAsia" w:ascii="宋体" w:hAnsi="宋体" w:eastAsia="宋体"/>
          <w:bCs/>
          <w:sz w:val="24"/>
          <w:szCs w:val="18"/>
          <w:highlight w:val="none"/>
          <w:lang w:val="en-US" w:eastAsia="zh-CN"/>
        </w:rPr>
      </w:pPr>
      <w:bookmarkStart w:id="136" w:name="_Toc32712"/>
      <w:bookmarkStart w:id="137" w:name="_Toc23201"/>
      <w:bookmarkStart w:id="138" w:name="_Toc3826"/>
      <w:r>
        <w:rPr>
          <w:rFonts w:hint="eastAsia" w:ascii="宋体" w:hAnsi="宋体" w:eastAsia="宋体"/>
          <w:bCs/>
          <w:sz w:val="24"/>
          <w:szCs w:val="18"/>
          <w:highlight w:val="none"/>
          <w:lang w:val="en-US" w:eastAsia="zh-CN"/>
        </w:rPr>
        <w:t>4.3.2皖事通APP</w:t>
      </w:r>
      <w:bookmarkEnd w:id="136"/>
      <w:bookmarkEnd w:id="137"/>
      <w:bookmarkEnd w:id="138"/>
    </w:p>
    <w:p w14:paraId="1A329137">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实现业主登录皖事通APP后，可直接在皖事通办理维修资金交存、维修公示公告查询、业务房屋信息查询、电子投票功能。</w:t>
      </w:r>
    </w:p>
    <w:p w14:paraId="279D7C53">
      <w:pPr>
        <w:spacing w:line="360" w:lineRule="auto"/>
        <w:ind w:firstLine="480" w:firstLineChars="200"/>
        <w:outlineLvl w:val="2"/>
        <w:rPr>
          <w:rFonts w:hint="eastAsia" w:ascii="宋体" w:hAnsi="宋体" w:eastAsia="宋体"/>
          <w:bCs/>
          <w:sz w:val="24"/>
          <w:szCs w:val="18"/>
          <w:highlight w:val="none"/>
          <w:lang w:val="en-US" w:eastAsia="zh-CN"/>
        </w:rPr>
      </w:pPr>
      <w:bookmarkStart w:id="139" w:name="_Toc20757"/>
      <w:bookmarkStart w:id="140" w:name="_Toc23936"/>
      <w:bookmarkStart w:id="141" w:name="_Toc23065"/>
      <w:r>
        <w:rPr>
          <w:rFonts w:hint="eastAsia" w:ascii="宋体" w:hAnsi="宋体" w:eastAsia="宋体"/>
          <w:bCs/>
          <w:sz w:val="24"/>
          <w:szCs w:val="18"/>
          <w:highlight w:val="none"/>
          <w:lang w:val="en-US" w:eastAsia="zh-CN"/>
        </w:rPr>
        <w:t>4.3.3皖政通APP</w:t>
      </w:r>
      <w:bookmarkEnd w:id="139"/>
      <w:bookmarkEnd w:id="140"/>
      <w:bookmarkEnd w:id="141"/>
    </w:p>
    <w:p w14:paraId="3A356E5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实现后台管理人员使用皖政通扫码登录。</w:t>
      </w:r>
    </w:p>
    <w:p w14:paraId="03FD5C60">
      <w:pPr>
        <w:spacing w:line="360" w:lineRule="auto"/>
        <w:ind w:firstLine="480" w:firstLineChars="200"/>
        <w:outlineLvl w:val="2"/>
        <w:rPr>
          <w:rFonts w:hint="eastAsia" w:ascii="宋体" w:hAnsi="宋体" w:eastAsia="宋体"/>
          <w:bCs/>
          <w:sz w:val="24"/>
          <w:szCs w:val="18"/>
          <w:highlight w:val="none"/>
          <w:lang w:val="en-US" w:eastAsia="zh-CN"/>
        </w:rPr>
      </w:pPr>
      <w:bookmarkStart w:id="142" w:name="_Toc4571"/>
      <w:bookmarkStart w:id="143" w:name="_Toc29292"/>
      <w:bookmarkStart w:id="144" w:name="_Toc26528"/>
      <w:r>
        <w:rPr>
          <w:rFonts w:hint="eastAsia" w:ascii="宋体" w:hAnsi="宋体" w:eastAsia="宋体"/>
          <w:bCs/>
          <w:sz w:val="24"/>
          <w:szCs w:val="18"/>
          <w:highlight w:val="none"/>
          <w:lang w:val="en-US" w:eastAsia="zh-CN"/>
        </w:rPr>
        <w:t>4.3.4皖企通APP</w:t>
      </w:r>
      <w:bookmarkEnd w:id="142"/>
      <w:bookmarkEnd w:id="143"/>
      <w:bookmarkEnd w:id="144"/>
    </w:p>
    <w:p w14:paraId="61A59FFC">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实现企业使用皖企通扫码登录。</w:t>
      </w:r>
    </w:p>
    <w:p w14:paraId="273F39C7">
      <w:pPr>
        <w:spacing w:line="360" w:lineRule="auto"/>
        <w:ind w:firstLine="480" w:firstLineChars="200"/>
        <w:outlineLvl w:val="2"/>
        <w:rPr>
          <w:rFonts w:hint="eastAsia" w:ascii="宋体" w:hAnsi="宋体" w:eastAsia="宋体"/>
          <w:bCs/>
          <w:sz w:val="24"/>
          <w:szCs w:val="18"/>
          <w:highlight w:val="none"/>
          <w:lang w:val="en-US" w:eastAsia="zh-CN"/>
        </w:rPr>
      </w:pPr>
      <w:bookmarkStart w:id="145" w:name="_Toc19535"/>
      <w:bookmarkStart w:id="146" w:name="_Toc14937"/>
      <w:bookmarkStart w:id="147" w:name="_Toc23055"/>
      <w:r>
        <w:rPr>
          <w:rFonts w:hint="eastAsia" w:ascii="宋体" w:hAnsi="宋体" w:eastAsia="宋体"/>
          <w:bCs/>
          <w:sz w:val="24"/>
          <w:szCs w:val="18"/>
          <w:highlight w:val="none"/>
          <w:lang w:val="en-US" w:eastAsia="zh-CN"/>
        </w:rPr>
        <w:t>4.3.5专户管理银行</w:t>
      </w:r>
      <w:bookmarkEnd w:id="145"/>
      <w:bookmarkEnd w:id="146"/>
      <w:bookmarkEnd w:id="147"/>
    </w:p>
    <w:p w14:paraId="042D37B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通过统一的标准接口对接全市专户管理银行，实现维修资金系统与银行系统之间的通信、数据交互。</w:t>
      </w:r>
    </w:p>
    <w:p w14:paraId="14B0CC0E">
      <w:pPr>
        <w:spacing w:line="360" w:lineRule="auto"/>
        <w:ind w:firstLine="480" w:firstLineChars="200"/>
        <w:outlineLvl w:val="2"/>
        <w:rPr>
          <w:rFonts w:hint="eastAsia" w:ascii="宋体" w:hAnsi="宋体" w:eastAsia="宋体"/>
          <w:bCs/>
          <w:sz w:val="24"/>
          <w:szCs w:val="18"/>
          <w:highlight w:val="none"/>
          <w:lang w:val="en-US" w:eastAsia="zh-CN"/>
        </w:rPr>
      </w:pPr>
      <w:bookmarkStart w:id="148" w:name="_Toc25984"/>
      <w:bookmarkStart w:id="149" w:name="_Toc15640"/>
      <w:bookmarkStart w:id="150" w:name="_Toc7695"/>
      <w:r>
        <w:rPr>
          <w:rFonts w:hint="eastAsia" w:ascii="宋体" w:hAnsi="宋体" w:eastAsia="宋体"/>
          <w:bCs/>
          <w:sz w:val="24"/>
          <w:szCs w:val="18"/>
          <w:highlight w:val="none"/>
          <w:lang w:val="en-US" w:eastAsia="zh-CN"/>
        </w:rPr>
        <w:t>4.3.6房屋交易系统</w:t>
      </w:r>
      <w:bookmarkEnd w:id="148"/>
      <w:bookmarkEnd w:id="149"/>
      <w:bookmarkEnd w:id="150"/>
    </w:p>
    <w:p w14:paraId="732CFEA1">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对接房屋交易系统，获取幢数据、房屋数据、业主数据。</w:t>
      </w:r>
    </w:p>
    <w:p w14:paraId="1F7F4135">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4.3.7不动产登记系统</w:t>
      </w:r>
    </w:p>
    <w:p w14:paraId="79F3A27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对接不动产登记系统，获取房屋产权变更信息。</w:t>
      </w:r>
    </w:p>
    <w:p w14:paraId="01C67DA8">
      <w:pPr>
        <w:spacing w:line="360" w:lineRule="auto"/>
        <w:ind w:firstLine="437"/>
        <w:jc w:val="left"/>
        <w:outlineLvl w:val="1"/>
        <w:rPr>
          <w:rFonts w:hint="eastAsia" w:ascii="宋体" w:hAnsi="宋体" w:eastAsia="宋体"/>
          <w:b/>
          <w:color w:val="auto"/>
          <w:sz w:val="24"/>
          <w:szCs w:val="18"/>
          <w:highlight w:val="none"/>
          <w:lang w:val="en-US" w:eastAsia="zh-CN"/>
        </w:rPr>
      </w:pPr>
      <w:bookmarkStart w:id="151" w:name="_Toc138615916"/>
      <w:bookmarkStart w:id="152" w:name="_Toc148980150"/>
      <w:bookmarkStart w:id="153" w:name="_Toc17788"/>
      <w:bookmarkStart w:id="154" w:name="_Toc18452"/>
      <w:bookmarkStart w:id="155" w:name="_Toc26080"/>
      <w:bookmarkStart w:id="156" w:name="_Toc14099"/>
      <w:bookmarkStart w:id="157" w:name="_Toc2144044224"/>
      <w:bookmarkStart w:id="158" w:name="_Toc9557"/>
      <w:bookmarkStart w:id="159" w:name="_Toc6673"/>
      <w:bookmarkStart w:id="160" w:name="_Toc27162"/>
      <w:bookmarkStart w:id="161" w:name="_Toc678359514"/>
      <w:bookmarkStart w:id="162" w:name="_Toc2108551913"/>
      <w:bookmarkStart w:id="163" w:name="_Toc218603110"/>
      <w:bookmarkStart w:id="164" w:name="_Toc24257"/>
      <w:bookmarkStart w:id="165" w:name="_Toc17024"/>
      <w:bookmarkStart w:id="166" w:name="_Toc25807"/>
      <w:r>
        <w:rPr>
          <w:rFonts w:hint="eastAsia" w:ascii="宋体" w:hAnsi="宋体" w:eastAsia="宋体"/>
          <w:b/>
          <w:color w:val="auto"/>
          <w:sz w:val="24"/>
          <w:szCs w:val="18"/>
          <w:highlight w:val="none"/>
          <w:lang w:val="en-US" w:eastAsia="zh-CN"/>
        </w:rPr>
        <w:t>4.4性能需求</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7DD28B3F">
      <w:pPr>
        <w:spacing w:line="360" w:lineRule="auto"/>
        <w:ind w:firstLine="480" w:firstLineChars="200"/>
        <w:outlineLvl w:val="2"/>
        <w:rPr>
          <w:rFonts w:hint="default" w:ascii="宋体" w:hAnsi="宋体" w:eastAsia="宋体"/>
          <w:bCs/>
          <w:sz w:val="24"/>
          <w:szCs w:val="18"/>
          <w:highlight w:val="none"/>
          <w:lang w:val="en-US" w:eastAsia="zh-CN"/>
        </w:rPr>
      </w:pPr>
      <w:bookmarkStart w:id="167" w:name="_Toc15553"/>
      <w:bookmarkStart w:id="168" w:name="_Toc20380"/>
      <w:bookmarkStart w:id="169" w:name="_Toc2193"/>
      <w:bookmarkStart w:id="170" w:name="_Toc7692"/>
      <w:bookmarkStart w:id="171" w:name="_Toc32586"/>
      <w:bookmarkStart w:id="172" w:name="_Toc138615917"/>
      <w:bookmarkStart w:id="173" w:name="_Toc1036"/>
      <w:r>
        <w:rPr>
          <w:rFonts w:hint="default" w:ascii="宋体" w:hAnsi="宋体" w:eastAsia="宋体"/>
          <w:bCs/>
          <w:sz w:val="24"/>
          <w:szCs w:val="18"/>
          <w:highlight w:val="none"/>
          <w:lang w:val="en-US" w:eastAsia="zh-CN"/>
        </w:rPr>
        <w:t>面向全市业主、企业、市区两级管理部门提供7×24小时服务，需满足资金交存、使用审批、电子投票、数据查询、财务核算等高并发、高可靠、高安全要求。</w:t>
      </w:r>
    </w:p>
    <w:p w14:paraId="3A4C8307">
      <w:pPr>
        <w:spacing w:line="360" w:lineRule="auto"/>
        <w:ind w:firstLine="480" w:firstLineChars="200"/>
        <w:outlineLvl w:val="2"/>
        <w:rPr>
          <w:rFonts w:hint="eastAsia" w:ascii="宋体" w:hAnsi="宋体" w:eastAsia="宋体"/>
          <w:bCs/>
          <w:sz w:val="24"/>
          <w:szCs w:val="18"/>
          <w:highlight w:val="none"/>
          <w:lang w:val="en-US" w:eastAsia="zh-CN"/>
        </w:rPr>
      </w:pPr>
      <w:bookmarkStart w:id="174" w:name="_Toc24681"/>
      <w:bookmarkStart w:id="175" w:name="_Toc30166"/>
      <w:bookmarkStart w:id="176" w:name="_Toc31970"/>
      <w:r>
        <w:rPr>
          <w:rFonts w:hint="eastAsia" w:ascii="宋体" w:hAnsi="宋体" w:eastAsia="宋体"/>
          <w:bCs/>
          <w:sz w:val="24"/>
          <w:szCs w:val="18"/>
          <w:highlight w:val="none"/>
          <w:lang w:val="en-US" w:eastAsia="zh-CN"/>
        </w:rPr>
        <w:t>4.4.1Web服务性能</w:t>
      </w:r>
      <w:bookmarkEnd w:id="174"/>
      <w:bookmarkEnd w:id="175"/>
      <w:bookmarkEnd w:id="176"/>
    </w:p>
    <w:tbl>
      <w:tblPr>
        <w:tblStyle w:val="28"/>
        <w:tblW w:w="5000" w:type="pct"/>
        <w:tblInd w:w="0" w:type="dxa"/>
        <w:tblLayout w:type="autofit"/>
        <w:tblCellMar>
          <w:top w:w="15" w:type="dxa"/>
          <w:left w:w="15" w:type="dxa"/>
          <w:bottom w:w="15" w:type="dxa"/>
          <w:right w:w="15" w:type="dxa"/>
        </w:tblCellMar>
      </w:tblPr>
      <w:tblGrid>
        <w:gridCol w:w="1914"/>
        <w:gridCol w:w="1395"/>
        <w:gridCol w:w="2632"/>
        <w:gridCol w:w="2605"/>
      </w:tblGrid>
      <w:tr w14:paraId="6AA89E68">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35179E2">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性能指标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FC612F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指标值</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E35742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9D322E">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备注</w:t>
            </w:r>
          </w:p>
        </w:tc>
      </w:tr>
      <w:tr w14:paraId="02F841B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711214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每秒请求数（RPS）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D46F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500–1000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338716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档位二（核心业务/交易类）</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C548DE6">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典型页面大小500KB–1MB</w:t>
            </w:r>
          </w:p>
        </w:tc>
      </w:tr>
      <w:tr w14:paraId="365E38C5">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44E0CC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平均响应时间</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E300DF2">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100–200ms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816007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2C3B232">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请求发起到首字节返回时间</w:t>
            </w:r>
          </w:p>
        </w:tc>
      </w:tr>
      <w:tr w14:paraId="2A7A5146">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8A16CE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吞吐量</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E04C60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50–150MB/s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9E0B2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8B7AE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受政务外网带宽约束</w:t>
            </w:r>
          </w:p>
        </w:tc>
      </w:tr>
      <w:tr w14:paraId="074C5F6F">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02FE09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并发用户数支持</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022D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500–1500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E4AEE">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52E9C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支持同时在线操作用户数</w:t>
            </w:r>
          </w:p>
        </w:tc>
      </w:tr>
    </w:tbl>
    <w:p w14:paraId="19CEE716">
      <w:pPr>
        <w:spacing w:line="360" w:lineRule="auto"/>
        <w:ind w:firstLine="480" w:firstLineChars="200"/>
        <w:outlineLvl w:val="2"/>
        <w:rPr>
          <w:rFonts w:hint="eastAsia" w:ascii="宋体" w:hAnsi="宋体" w:eastAsia="宋体"/>
          <w:bCs/>
          <w:sz w:val="24"/>
          <w:szCs w:val="18"/>
          <w:highlight w:val="none"/>
          <w:lang w:val="en-US" w:eastAsia="zh-CN"/>
        </w:rPr>
      </w:pPr>
      <w:bookmarkStart w:id="177" w:name="_Toc21318"/>
      <w:bookmarkStart w:id="178" w:name="_Toc15940"/>
      <w:bookmarkStart w:id="179" w:name="_Toc4797"/>
      <w:r>
        <w:rPr>
          <w:rFonts w:hint="eastAsia" w:ascii="宋体" w:hAnsi="宋体" w:eastAsia="宋体"/>
          <w:bCs/>
          <w:sz w:val="24"/>
          <w:szCs w:val="18"/>
          <w:highlight w:val="none"/>
          <w:lang w:val="en-US" w:eastAsia="zh-CN"/>
        </w:rPr>
        <w:t>4.4.2应用服务性能</w:t>
      </w:r>
      <w:bookmarkEnd w:id="177"/>
      <w:bookmarkEnd w:id="178"/>
      <w:bookmarkEnd w:id="179"/>
    </w:p>
    <w:tbl>
      <w:tblPr>
        <w:tblStyle w:val="28"/>
        <w:tblW w:w="5000" w:type="pct"/>
        <w:tblInd w:w="0" w:type="dxa"/>
        <w:tblLayout w:type="autofit"/>
        <w:tblCellMar>
          <w:top w:w="15" w:type="dxa"/>
          <w:left w:w="15" w:type="dxa"/>
          <w:bottom w:w="15" w:type="dxa"/>
          <w:right w:w="15" w:type="dxa"/>
        </w:tblCellMar>
      </w:tblPr>
      <w:tblGrid>
        <w:gridCol w:w="2383"/>
        <w:gridCol w:w="1332"/>
        <w:gridCol w:w="852"/>
        <w:gridCol w:w="3979"/>
      </w:tblGrid>
      <w:tr w14:paraId="21160AA2">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3ED82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性能指标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E2B44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指标值</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E69F20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CD3A5F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备注</w:t>
            </w:r>
          </w:p>
        </w:tc>
      </w:tr>
      <w:tr w14:paraId="53DD0BC1">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B5CC7C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每秒执行查询数（QPS）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B87A5E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300–800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9D2A71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41BCBD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中等复杂度SQL查询</w:t>
            </w:r>
          </w:p>
        </w:tc>
      </w:tr>
      <w:tr w14:paraId="67251949">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C74292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查询平均响应时间</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A86F40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0.2–0.5秒</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7FEB0A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345E03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含分页、统计、多表关联查询</w:t>
            </w:r>
          </w:p>
        </w:tc>
      </w:tr>
      <w:tr w14:paraId="6C85AA5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9C808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每秒执行事务数（TPS）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3D950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50–150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003C6E">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DA23F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资金交存、退款、拨付、审批等OLTP事务</w:t>
            </w:r>
          </w:p>
        </w:tc>
      </w:tr>
      <w:tr w14:paraId="42BFF3DC">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482D7C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事务平均响应时间</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3C14F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0.5–1秒</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12C32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8937FD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核心业务操作</w:t>
            </w:r>
          </w:p>
        </w:tc>
      </w:tr>
      <w:tr w14:paraId="6906600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5070D6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数据库并发连接数</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F237E6">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100–200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59ECF8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C501EF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应用到数据库连接池</w:t>
            </w:r>
          </w:p>
        </w:tc>
      </w:tr>
      <w:tr w14:paraId="27939CD0">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433C6A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事务成功率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1944D16">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≥99.9%</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35320B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4C620B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确保资金业务零异常</w:t>
            </w:r>
          </w:p>
        </w:tc>
      </w:tr>
      <w:tr w14:paraId="27175DC5">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F515C4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系统可用性</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A1439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≥99.9%</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95B4C1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D4E7C4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全年停机时间＜9小时</w:t>
            </w:r>
          </w:p>
        </w:tc>
      </w:tr>
    </w:tbl>
    <w:p w14:paraId="30CBF49F">
      <w:pPr>
        <w:spacing w:line="360" w:lineRule="auto"/>
        <w:ind w:firstLine="480" w:firstLineChars="200"/>
        <w:outlineLvl w:val="2"/>
        <w:rPr>
          <w:rFonts w:hint="eastAsia" w:ascii="宋体" w:hAnsi="宋体" w:eastAsia="宋体"/>
          <w:bCs/>
          <w:sz w:val="24"/>
          <w:szCs w:val="18"/>
          <w:highlight w:val="none"/>
          <w:lang w:val="en-US" w:eastAsia="zh-CN"/>
        </w:rPr>
      </w:pPr>
      <w:bookmarkStart w:id="180" w:name="_Toc2414"/>
      <w:bookmarkStart w:id="181" w:name="_Toc21579"/>
      <w:bookmarkStart w:id="182" w:name="_Toc14664"/>
      <w:r>
        <w:rPr>
          <w:rFonts w:hint="eastAsia" w:ascii="宋体" w:hAnsi="宋体" w:eastAsia="宋体"/>
          <w:bCs/>
          <w:sz w:val="24"/>
          <w:szCs w:val="18"/>
          <w:highlight w:val="none"/>
          <w:lang w:val="en-US" w:eastAsia="zh-CN"/>
        </w:rPr>
        <w:t>4.4.3数据库性能</w:t>
      </w:r>
      <w:bookmarkEnd w:id="180"/>
      <w:bookmarkEnd w:id="181"/>
      <w:bookmarkEnd w:id="182"/>
    </w:p>
    <w:tbl>
      <w:tblPr>
        <w:tblStyle w:val="28"/>
        <w:tblW w:w="5000" w:type="pct"/>
        <w:tblInd w:w="0" w:type="dxa"/>
        <w:tblLayout w:type="autofit"/>
        <w:tblCellMar>
          <w:top w:w="15" w:type="dxa"/>
          <w:left w:w="15" w:type="dxa"/>
          <w:bottom w:w="15" w:type="dxa"/>
          <w:right w:w="15" w:type="dxa"/>
        </w:tblCellMar>
      </w:tblPr>
      <w:tblGrid>
        <w:gridCol w:w="2987"/>
        <w:gridCol w:w="1704"/>
        <w:gridCol w:w="924"/>
        <w:gridCol w:w="2931"/>
      </w:tblGrid>
      <w:tr w14:paraId="093E1CC2">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1BAFA6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性能指标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29173A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指标值</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932265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1B6A19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备注</w:t>
            </w:r>
          </w:p>
        </w:tc>
      </w:tr>
      <w:tr w14:paraId="063F8CD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A28AFE">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推荐磁盘类型</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CE1EC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SATA/SASSSD</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16E1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CC42EF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政务云标准配置</w:t>
            </w:r>
          </w:p>
        </w:tc>
      </w:tr>
      <w:tr w14:paraId="213BD128">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4F6849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每秒读取操作数（读IOPS）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EC5983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5000–10000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2E2023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D28E064">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4K随机读</w:t>
            </w:r>
          </w:p>
        </w:tc>
      </w:tr>
      <w:tr w14:paraId="5AA0A28E">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5226AA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平均读取延迟</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1CF5C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1–3ms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F1AE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8C688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p>
        </w:tc>
      </w:tr>
      <w:tr w14:paraId="4CF236B3">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884B75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最大读取吞吐量</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18463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300–500MB/s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D7207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5E5A39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顺序读</w:t>
            </w:r>
          </w:p>
        </w:tc>
      </w:tr>
      <w:tr w14:paraId="3B5583B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56A764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每秒写入操作数（写IOPS）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94CFE2">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2000–8000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FF1CC66">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75EDA4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4K随机写</w:t>
            </w:r>
          </w:p>
        </w:tc>
      </w:tr>
      <w:tr w14:paraId="33301EA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0AB242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平均写入延迟</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3C9C3E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1–3ms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C6B312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84852">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p>
        </w:tc>
      </w:tr>
      <w:tr w14:paraId="559F7A90">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A01B4C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最大写入吞吐量</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252EF9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300–450MB/s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B91343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2AA504E">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顺序写</w:t>
            </w:r>
          </w:p>
        </w:tc>
      </w:tr>
      <w:tr w14:paraId="5056E0D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9EDE71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最大支持数据库容量</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CFAC245">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100GB–500GB</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37C151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7C0E95">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满足5年数据增长</w:t>
            </w:r>
          </w:p>
        </w:tc>
      </w:tr>
      <w:tr w14:paraId="7642D2F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99A8A6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单表最大记录数</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C50E7E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100万–300万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656296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4B45A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分户账、交易流水等核心表</w:t>
            </w:r>
          </w:p>
        </w:tc>
      </w:tr>
      <w:tr w14:paraId="2DE40205">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9F8630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索引存储空间</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153819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10GB–50GB</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E59FB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2B95F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按业务查询需求建立</w:t>
            </w:r>
          </w:p>
        </w:tc>
      </w:tr>
      <w:tr w14:paraId="526AB674">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E57BE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SQL协议版本</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5A92E5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标准SQL</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DD4C6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6CEB24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兼容国产数据库</w:t>
            </w:r>
          </w:p>
        </w:tc>
      </w:tr>
      <w:tr w14:paraId="72ADA92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FD7F94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插件相关指标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CF46C25">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无</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37C3FF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FB2975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本项目无GIS、时序等插件</w:t>
            </w:r>
          </w:p>
        </w:tc>
      </w:tr>
    </w:tbl>
    <w:p w14:paraId="2642021F">
      <w:pPr>
        <w:spacing w:line="360" w:lineRule="auto"/>
        <w:ind w:firstLine="480" w:firstLineChars="200"/>
        <w:outlineLvl w:val="2"/>
        <w:rPr>
          <w:rFonts w:hint="eastAsia" w:ascii="宋体" w:hAnsi="宋体" w:eastAsia="宋体"/>
          <w:bCs/>
          <w:sz w:val="24"/>
          <w:szCs w:val="18"/>
          <w:highlight w:val="none"/>
          <w:lang w:val="en-US" w:eastAsia="zh-CN"/>
        </w:rPr>
      </w:pPr>
      <w:bookmarkStart w:id="183" w:name="_Toc25600"/>
      <w:bookmarkStart w:id="184" w:name="_Toc19125"/>
      <w:bookmarkStart w:id="185" w:name="_Toc7471"/>
      <w:r>
        <w:rPr>
          <w:rFonts w:hint="eastAsia" w:ascii="宋体" w:hAnsi="宋体" w:eastAsia="宋体"/>
          <w:bCs/>
          <w:sz w:val="24"/>
          <w:szCs w:val="18"/>
          <w:highlight w:val="none"/>
          <w:lang w:val="en-US" w:eastAsia="zh-CN"/>
        </w:rPr>
        <w:t>4.4.4存储层性能</w:t>
      </w:r>
      <w:bookmarkEnd w:id="183"/>
      <w:bookmarkEnd w:id="184"/>
      <w:bookmarkEnd w:id="185"/>
    </w:p>
    <w:tbl>
      <w:tblPr>
        <w:tblStyle w:val="28"/>
        <w:tblW w:w="5000" w:type="pct"/>
        <w:tblInd w:w="0" w:type="dxa"/>
        <w:tblLayout w:type="autofit"/>
        <w:tblCellMar>
          <w:top w:w="15" w:type="dxa"/>
          <w:left w:w="15" w:type="dxa"/>
          <w:bottom w:w="15" w:type="dxa"/>
          <w:right w:w="15" w:type="dxa"/>
        </w:tblCellMar>
      </w:tblPr>
      <w:tblGrid>
        <w:gridCol w:w="2725"/>
        <w:gridCol w:w="2319"/>
        <w:gridCol w:w="1345"/>
        <w:gridCol w:w="2157"/>
      </w:tblGrid>
      <w:tr w14:paraId="0E5B48B8">
        <w:tblPrEx>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DB5B49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性能指标</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A50D2D5">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指标值</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E915EF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3E4E60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测试条件</w:t>
            </w:r>
          </w:p>
        </w:tc>
      </w:tr>
      <w:tr w14:paraId="7A6C598C">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54C60E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4K随机读IOPS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A52A8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5000–15000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2E8A4A5">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241814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4K块</w:t>
            </w:r>
          </w:p>
        </w:tc>
      </w:tr>
      <w:tr w14:paraId="3D39573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D3BDB2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4K随机写IOPS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0AFAF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2000–8000</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F830B3F">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2D3F2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4K块</w:t>
            </w:r>
          </w:p>
        </w:tc>
      </w:tr>
      <w:tr w14:paraId="3A12E40D">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B4165F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4K顺序读速度</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59F0D0E">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20–60MB/s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6FB0F96">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F003439">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由IOPS换算</w:t>
            </w:r>
          </w:p>
        </w:tc>
      </w:tr>
      <w:tr w14:paraId="088EF72A">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034C21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4K顺序写速度</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25D6F3">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10–30MB/s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F978A4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B93E8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由IOPS换算</w:t>
            </w:r>
          </w:p>
        </w:tc>
      </w:tr>
      <w:tr w14:paraId="2BADF033">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4B970E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128K顺序读速度</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646962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200–450MB/s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93E39F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1186FAA">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大块连续读</w:t>
            </w:r>
          </w:p>
        </w:tc>
      </w:tr>
      <w:tr w14:paraId="3A9A39EF">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94C636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128K顺序写速度</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D37A0EB">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200–400MB/s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3B5EA87">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B9FB9F8">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大块连续写</w:t>
            </w:r>
          </w:p>
        </w:tc>
      </w:tr>
      <w:tr w14:paraId="5DB61057">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30C93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128K随机读速度</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F5DA31">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100–300MB/s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B4FB5C">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4396C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大块随机读</w:t>
            </w:r>
          </w:p>
        </w:tc>
      </w:tr>
      <w:tr w14:paraId="1077B7BB">
        <w:tblPrEx>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C6594DD">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128K随机写速度</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4158D6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80–200MB/s</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C7D1AC0">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档位二</w:t>
            </w:r>
          </w:p>
        </w:tc>
        <w:tc>
          <w:tcPr>
            <w:tcW w:w="0" w:type="auto"/>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88F3026">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大块随机写</w:t>
            </w:r>
          </w:p>
        </w:tc>
      </w:tr>
    </w:tbl>
    <w:p w14:paraId="3DE8BFCF">
      <w:pPr>
        <w:spacing w:line="360" w:lineRule="auto"/>
        <w:ind w:firstLine="437"/>
        <w:jc w:val="left"/>
        <w:outlineLvl w:val="1"/>
        <w:rPr>
          <w:rFonts w:hint="eastAsia" w:ascii="宋体" w:hAnsi="宋体" w:eastAsia="宋体"/>
          <w:b/>
          <w:color w:val="auto"/>
          <w:sz w:val="24"/>
          <w:szCs w:val="18"/>
          <w:highlight w:val="none"/>
          <w:lang w:val="en-US" w:eastAsia="zh-CN"/>
        </w:rPr>
      </w:pPr>
      <w:bookmarkStart w:id="186" w:name="_Toc1249112835"/>
      <w:bookmarkStart w:id="187" w:name="_Toc148980151"/>
      <w:bookmarkStart w:id="188" w:name="_Toc5432"/>
      <w:bookmarkStart w:id="189" w:name="_Toc10283"/>
      <w:bookmarkStart w:id="190" w:name="_Toc694152438"/>
      <w:bookmarkStart w:id="191" w:name="_Toc1659"/>
      <w:bookmarkStart w:id="192" w:name="_Toc975627360"/>
      <w:bookmarkStart w:id="193" w:name="_Toc1385935895"/>
      <w:bookmarkStart w:id="194" w:name="_Toc22709"/>
      <w:r>
        <w:rPr>
          <w:rFonts w:hint="eastAsia" w:ascii="宋体" w:hAnsi="宋体" w:eastAsia="宋体"/>
          <w:b/>
          <w:color w:val="auto"/>
          <w:sz w:val="24"/>
          <w:szCs w:val="18"/>
          <w:highlight w:val="none"/>
          <w:lang w:val="en-US" w:eastAsia="zh-CN"/>
        </w:rPr>
        <w:t>4.5安全需求</w:t>
      </w:r>
      <w:bookmarkEnd w:id="167"/>
      <w:bookmarkEnd w:id="168"/>
      <w:bookmarkEnd w:id="169"/>
      <w:bookmarkEnd w:id="170"/>
      <w:bookmarkEnd w:id="171"/>
      <w:bookmarkEnd w:id="172"/>
      <w:bookmarkEnd w:id="173"/>
      <w:bookmarkEnd w:id="186"/>
      <w:bookmarkEnd w:id="187"/>
      <w:bookmarkEnd w:id="188"/>
      <w:bookmarkEnd w:id="189"/>
      <w:bookmarkEnd w:id="190"/>
      <w:bookmarkEnd w:id="191"/>
      <w:bookmarkEnd w:id="192"/>
      <w:bookmarkEnd w:id="193"/>
      <w:bookmarkEnd w:id="194"/>
    </w:p>
    <w:p w14:paraId="754CC313">
      <w:pPr>
        <w:rPr>
          <w:rFonts w:hint="default" w:ascii="宋体" w:hAnsi="宋体" w:eastAsia="宋体"/>
          <w:bCs/>
          <w:sz w:val="24"/>
          <w:szCs w:val="18"/>
          <w:highlight w:val="none"/>
          <w:lang w:val="en-US" w:eastAsia="zh-CN"/>
        </w:rPr>
      </w:pPr>
      <w:r>
        <w:rPr>
          <w:rFonts w:hint="eastAsia"/>
          <w:highlight w:val="none"/>
          <w:lang w:val="en-US" w:eastAsia="zh-CN"/>
        </w:rPr>
        <w:t xml:space="preserve">    </w:t>
      </w:r>
      <w:r>
        <w:rPr>
          <w:rFonts w:hint="eastAsia" w:ascii="宋体" w:hAnsi="宋体" w:eastAsia="宋体"/>
          <w:bCs/>
          <w:sz w:val="24"/>
          <w:szCs w:val="18"/>
          <w:highlight w:val="none"/>
          <w:lang w:val="en-US" w:eastAsia="zh-CN"/>
        </w:rPr>
        <w:t>三级网络安全等级保护。</w:t>
      </w:r>
    </w:p>
    <w:p w14:paraId="0AA2BF7C">
      <w:pPr>
        <w:spacing w:line="360" w:lineRule="auto"/>
        <w:ind w:firstLine="437"/>
        <w:jc w:val="left"/>
        <w:outlineLvl w:val="1"/>
        <w:rPr>
          <w:rFonts w:hint="eastAsia" w:ascii="宋体" w:hAnsi="宋体" w:eastAsia="宋体"/>
          <w:b/>
          <w:color w:val="auto"/>
          <w:sz w:val="24"/>
          <w:szCs w:val="18"/>
          <w:highlight w:val="none"/>
          <w:lang w:val="en-US" w:eastAsia="zh-CN"/>
        </w:rPr>
      </w:pPr>
      <w:bookmarkStart w:id="195" w:name="_Toc166874529"/>
      <w:bookmarkStart w:id="196" w:name="_Toc1243217750"/>
      <w:bookmarkStart w:id="197" w:name="_Toc1421426212"/>
      <w:bookmarkStart w:id="198" w:name="_Toc14298"/>
      <w:bookmarkStart w:id="199" w:name="_Toc723324846"/>
      <w:bookmarkStart w:id="200" w:name="_Toc13686"/>
      <w:bookmarkStart w:id="201" w:name="_Toc5462"/>
      <w:bookmarkStart w:id="202" w:name="_Toc11238"/>
      <w:bookmarkStart w:id="203" w:name="_Toc148980152"/>
      <w:r>
        <w:rPr>
          <w:rFonts w:hint="eastAsia" w:ascii="宋体" w:hAnsi="宋体" w:eastAsia="宋体"/>
          <w:b/>
          <w:color w:val="auto"/>
          <w:sz w:val="24"/>
          <w:szCs w:val="18"/>
          <w:highlight w:val="none"/>
          <w:lang w:val="en-US" w:eastAsia="zh-CN"/>
        </w:rPr>
        <w:t>4.6其他需求</w:t>
      </w:r>
      <w:bookmarkEnd w:id="195"/>
      <w:bookmarkEnd w:id="196"/>
      <w:bookmarkEnd w:id="197"/>
      <w:bookmarkEnd w:id="198"/>
      <w:bookmarkEnd w:id="199"/>
      <w:bookmarkEnd w:id="200"/>
      <w:bookmarkEnd w:id="201"/>
      <w:bookmarkEnd w:id="202"/>
      <w:bookmarkEnd w:id="203"/>
    </w:p>
    <w:p w14:paraId="2570D47B">
      <w:pPr>
        <w:spacing w:line="360" w:lineRule="auto"/>
        <w:ind w:firstLine="480" w:firstLineChars="200"/>
        <w:outlineLvl w:val="2"/>
        <w:rPr>
          <w:rFonts w:hint="eastAsia" w:ascii="宋体" w:hAnsi="宋体" w:eastAsia="宋体"/>
          <w:bCs/>
          <w:sz w:val="24"/>
          <w:szCs w:val="18"/>
          <w:highlight w:val="none"/>
          <w:lang w:val="en-US" w:eastAsia="zh-CN"/>
        </w:rPr>
      </w:pPr>
      <w:bookmarkStart w:id="204" w:name="_Toc4616"/>
      <w:bookmarkStart w:id="205" w:name="_Toc11092"/>
      <w:bookmarkStart w:id="206" w:name="_Toc22053"/>
      <w:r>
        <w:rPr>
          <w:rFonts w:hint="eastAsia" w:ascii="宋体" w:hAnsi="宋体" w:eastAsia="宋体"/>
          <w:bCs/>
          <w:sz w:val="24"/>
          <w:szCs w:val="18"/>
          <w:highlight w:val="none"/>
          <w:lang w:val="en-US" w:eastAsia="zh-CN"/>
        </w:rPr>
        <w:t>4.6.1可靠性</w:t>
      </w:r>
      <w:bookmarkEnd w:id="204"/>
      <w:bookmarkEnd w:id="205"/>
      <w:bookmarkEnd w:id="206"/>
    </w:p>
    <w:p w14:paraId="3FEC0B85">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系统具有较高的可靠性、可控性，能担当和适应不间断运行任务。</w:t>
      </w:r>
    </w:p>
    <w:p w14:paraId="67A29AE1">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（1）压力承载能力：使用负载均衡技术和分布式处理技术提高用户并发承载能力、数据处理承载能力以及数据传输承载能力；</w:t>
      </w:r>
    </w:p>
    <w:p w14:paraId="66DA43B2">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（2）灾难处理能力：数据级备份与灾难性恢复；</w:t>
      </w:r>
    </w:p>
    <w:p w14:paraId="6F611B3C">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（3）不间断服务：保障系统在进行例行维护或出现意外故障时不影响服务提供的持续性；利用内存及其他资源的管理和回收技术保障系统持续服务能力。</w:t>
      </w:r>
    </w:p>
    <w:p w14:paraId="42D6ADFC">
      <w:pPr>
        <w:spacing w:line="360" w:lineRule="auto"/>
        <w:ind w:firstLine="480" w:firstLineChars="200"/>
        <w:outlineLvl w:val="2"/>
        <w:rPr>
          <w:rFonts w:hint="eastAsia" w:ascii="宋体" w:hAnsi="宋体" w:eastAsia="宋体"/>
          <w:bCs/>
          <w:sz w:val="24"/>
          <w:szCs w:val="18"/>
          <w:highlight w:val="none"/>
          <w:lang w:val="en-US" w:eastAsia="zh-CN"/>
        </w:rPr>
      </w:pPr>
      <w:bookmarkStart w:id="207" w:name="_Toc9083"/>
      <w:bookmarkStart w:id="208" w:name="_Toc29016"/>
      <w:bookmarkStart w:id="209" w:name="_Toc24688"/>
      <w:r>
        <w:rPr>
          <w:rFonts w:hint="eastAsia" w:ascii="宋体" w:hAnsi="宋体" w:eastAsia="宋体"/>
          <w:bCs/>
          <w:sz w:val="24"/>
          <w:szCs w:val="18"/>
          <w:highlight w:val="none"/>
          <w:lang w:val="en-US" w:eastAsia="zh-CN"/>
        </w:rPr>
        <w:t>4.6.2可扩展性</w:t>
      </w:r>
      <w:bookmarkEnd w:id="207"/>
      <w:bookmarkEnd w:id="208"/>
      <w:bookmarkEnd w:id="209"/>
    </w:p>
    <w:p w14:paraId="4BFAF3A0">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满足对业务流程变化、采集数据变化的适应，能适应后续应用系统的集成以及数据库新的应用系统建设。</w:t>
      </w:r>
    </w:p>
    <w:p w14:paraId="4D095EC9">
      <w:pPr>
        <w:spacing w:line="360" w:lineRule="auto"/>
        <w:ind w:firstLine="480" w:firstLineChars="200"/>
        <w:outlineLvl w:val="2"/>
        <w:rPr>
          <w:rFonts w:hint="eastAsia" w:ascii="宋体" w:hAnsi="宋体" w:eastAsia="宋体"/>
          <w:bCs/>
          <w:sz w:val="24"/>
          <w:szCs w:val="18"/>
          <w:highlight w:val="none"/>
          <w:lang w:val="en-US" w:eastAsia="zh-CN"/>
        </w:rPr>
      </w:pPr>
      <w:bookmarkStart w:id="210" w:name="_Toc2294"/>
      <w:bookmarkStart w:id="211" w:name="_Toc22591"/>
      <w:bookmarkStart w:id="212" w:name="_Toc7192"/>
      <w:r>
        <w:rPr>
          <w:rFonts w:hint="eastAsia" w:ascii="宋体" w:hAnsi="宋体" w:eastAsia="宋体"/>
          <w:bCs/>
          <w:sz w:val="24"/>
          <w:szCs w:val="18"/>
          <w:highlight w:val="none"/>
          <w:lang w:val="en-US" w:eastAsia="zh-CN"/>
        </w:rPr>
        <w:t>4.6.3易用性需求</w:t>
      </w:r>
      <w:bookmarkEnd w:id="210"/>
      <w:bookmarkEnd w:id="211"/>
      <w:bookmarkEnd w:id="212"/>
    </w:p>
    <w:p w14:paraId="2D25DCA3">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（1）人机界面：符合日常办公习惯，页面简洁直观，各项功能清晰，减少操作层次；</w:t>
      </w:r>
    </w:p>
    <w:p w14:paraId="394975C8">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（2）安装易用性：尽可能降低系统安装和配置的技术门槛；</w:t>
      </w:r>
    </w:p>
    <w:p w14:paraId="770F9B6A">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（3）系统更新易用性：尽可能提高系统更新升级的方便易用性，提高对数据采集内容变化的适应性。</w:t>
      </w:r>
    </w:p>
    <w:p w14:paraId="58C15498">
      <w:pPr>
        <w:spacing w:line="360" w:lineRule="auto"/>
        <w:ind w:firstLine="437"/>
        <w:jc w:val="left"/>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五、项目建设要求</w:t>
      </w:r>
    </w:p>
    <w:p w14:paraId="358495BE">
      <w:pPr>
        <w:spacing w:line="360" w:lineRule="auto"/>
        <w:ind w:firstLine="437"/>
        <w:jc w:val="left"/>
        <w:outlineLvl w:val="1"/>
        <w:rPr>
          <w:rFonts w:hint="default"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5.1项目建设内容</w:t>
      </w:r>
    </w:p>
    <w:p w14:paraId="691C8429">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以“专户储存、专款专用、所有权人决策、政府监督”为指导思想，建设符合国家法律法规和国家行业标准《住宅专项维修资金管理信息系统技术规范》《住宅专项维修资金管理基础信息数据标准》《住宅专项维修资金会计核算办法》、全市统一的维修资金管理系统，完成国产化适配，并对历史数据进行迁移，建立统一的数据标准，实现对维修资金从开户、交存、使用、审批，到结算的全流程信息化管理，规范维修资金管理业务流程，明确职责分工，实现数据共享共用，提供方便快捷的移动化服务，具体建设内容包括：</w:t>
      </w:r>
    </w:p>
    <w:p w14:paraId="0485480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5.1.1市本级系统重构：按照国产化要求进行系统功能重构，包括个人工作中心、基础数据管理子系统、资金交存管理子系统、资金使用管理子系统、资金综合收益管理子系统、资金核算管理子系统、统计分析与报表子系统、公众服务子系统、系统管理子系统。</w:t>
      </w:r>
    </w:p>
    <w:p w14:paraId="2F775055">
      <w:pPr>
        <w:spacing w:line="360" w:lineRule="auto"/>
        <w:ind w:firstLine="480" w:firstLineChars="200"/>
        <w:outlineLvl w:val="2"/>
        <w:rPr>
          <w:rFonts w:hint="eastAsia" w:ascii="仿宋" w:hAnsi="仿宋" w:eastAsia="仿宋" w:cs="仿宋"/>
          <w:highlight w:val="none"/>
        </w:rPr>
      </w:pPr>
      <w:r>
        <w:rPr>
          <w:rFonts w:hint="eastAsia" w:ascii="宋体" w:hAnsi="宋体" w:eastAsia="宋体"/>
          <w:bCs/>
          <w:sz w:val="24"/>
          <w:szCs w:val="18"/>
          <w:highlight w:val="none"/>
          <w:lang w:val="en-US" w:eastAsia="zh-CN"/>
        </w:rPr>
        <w:t>各子系统的重构功能如下所示：</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3043"/>
        <w:gridCol w:w="4740"/>
      </w:tblGrid>
      <w:tr w14:paraId="61ED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9740B7C">
            <w:pPr>
              <w:spacing w:line="26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3043" w:type="dxa"/>
            <w:noWrap w:val="0"/>
            <w:vAlign w:val="center"/>
          </w:tcPr>
          <w:p w14:paraId="31D0052B">
            <w:pPr>
              <w:spacing w:line="26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模块</w:t>
            </w:r>
          </w:p>
        </w:tc>
        <w:tc>
          <w:tcPr>
            <w:tcW w:w="4740" w:type="dxa"/>
            <w:noWrap w:val="0"/>
            <w:vAlign w:val="center"/>
          </w:tcPr>
          <w:p w14:paraId="54D040F9">
            <w:pPr>
              <w:spacing w:line="26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功能</w:t>
            </w:r>
          </w:p>
        </w:tc>
      </w:tr>
      <w:tr w14:paraId="3F54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63A6E927">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3043" w:type="dxa"/>
            <w:noWrap w:val="0"/>
            <w:vAlign w:val="center"/>
          </w:tcPr>
          <w:p w14:paraId="24383EC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个人工作中心</w:t>
            </w:r>
          </w:p>
        </w:tc>
        <w:tc>
          <w:tcPr>
            <w:tcW w:w="4740" w:type="dxa"/>
            <w:noWrap w:val="0"/>
            <w:vAlign w:val="center"/>
          </w:tcPr>
          <w:p w14:paraId="7C1DE6B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待办事项、我的工作、消息管理、个人信息修改、修改密码、智能检索</w:t>
            </w:r>
          </w:p>
        </w:tc>
      </w:tr>
      <w:tr w14:paraId="5488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82451E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3043" w:type="dxa"/>
            <w:vMerge w:val="restart"/>
            <w:noWrap w:val="0"/>
            <w:vAlign w:val="center"/>
          </w:tcPr>
          <w:p w14:paraId="75F36E0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基础数据管理子系统</w:t>
            </w:r>
          </w:p>
        </w:tc>
        <w:tc>
          <w:tcPr>
            <w:tcW w:w="4740" w:type="dxa"/>
            <w:noWrap w:val="0"/>
            <w:vAlign w:val="center"/>
          </w:tcPr>
          <w:p w14:paraId="5AF4005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房屋数据管理</w:t>
            </w:r>
          </w:p>
        </w:tc>
      </w:tr>
      <w:tr w14:paraId="6378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39FE219">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3043" w:type="dxa"/>
            <w:vMerge w:val="continue"/>
            <w:noWrap w:val="0"/>
            <w:vAlign w:val="center"/>
          </w:tcPr>
          <w:p w14:paraId="55EFC4F8">
            <w:pPr>
              <w:spacing w:line="260" w:lineRule="exact"/>
              <w:jc w:val="center"/>
              <w:rPr>
                <w:rFonts w:hint="eastAsia" w:ascii="宋体" w:hAnsi="宋体" w:eastAsia="宋体" w:cs="宋体"/>
                <w:sz w:val="24"/>
                <w:szCs w:val="24"/>
                <w:highlight w:val="none"/>
              </w:rPr>
            </w:pPr>
          </w:p>
        </w:tc>
        <w:tc>
          <w:tcPr>
            <w:tcW w:w="4740" w:type="dxa"/>
            <w:noWrap w:val="0"/>
            <w:vAlign w:val="center"/>
          </w:tcPr>
          <w:p w14:paraId="46D719F5">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公用设施设备管理</w:t>
            </w:r>
          </w:p>
        </w:tc>
      </w:tr>
      <w:tr w14:paraId="4C5F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4A8BC9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3043" w:type="dxa"/>
            <w:vMerge w:val="continue"/>
            <w:noWrap w:val="0"/>
            <w:vAlign w:val="center"/>
          </w:tcPr>
          <w:p w14:paraId="748BC177">
            <w:pPr>
              <w:spacing w:line="260" w:lineRule="exact"/>
              <w:jc w:val="center"/>
              <w:rPr>
                <w:rFonts w:hint="eastAsia" w:ascii="宋体" w:hAnsi="宋体" w:eastAsia="宋体" w:cs="宋体"/>
                <w:sz w:val="24"/>
                <w:szCs w:val="24"/>
                <w:highlight w:val="none"/>
              </w:rPr>
            </w:pPr>
          </w:p>
        </w:tc>
        <w:tc>
          <w:tcPr>
            <w:tcW w:w="4740" w:type="dxa"/>
            <w:noWrap w:val="0"/>
            <w:vAlign w:val="center"/>
          </w:tcPr>
          <w:p w14:paraId="7E7ECC4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机构信息管理</w:t>
            </w:r>
          </w:p>
        </w:tc>
      </w:tr>
      <w:tr w14:paraId="2219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1BF66F1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3043" w:type="dxa"/>
            <w:vMerge w:val="restart"/>
            <w:noWrap w:val="0"/>
            <w:vAlign w:val="center"/>
          </w:tcPr>
          <w:p w14:paraId="4E0CDA9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资金交存管理子系统</w:t>
            </w:r>
          </w:p>
        </w:tc>
        <w:tc>
          <w:tcPr>
            <w:tcW w:w="4740" w:type="dxa"/>
            <w:noWrap w:val="0"/>
            <w:vAlign w:val="center"/>
          </w:tcPr>
          <w:p w14:paraId="392148C9">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资金核定</w:t>
            </w:r>
          </w:p>
        </w:tc>
      </w:tr>
      <w:tr w14:paraId="7EC6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188689B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3043" w:type="dxa"/>
            <w:vMerge w:val="continue"/>
            <w:noWrap w:val="0"/>
            <w:vAlign w:val="center"/>
          </w:tcPr>
          <w:p w14:paraId="194D37E6">
            <w:pPr>
              <w:spacing w:line="260" w:lineRule="exact"/>
              <w:jc w:val="center"/>
              <w:rPr>
                <w:rFonts w:hint="eastAsia" w:ascii="宋体" w:hAnsi="宋体" w:eastAsia="宋体" w:cs="宋体"/>
                <w:sz w:val="24"/>
                <w:szCs w:val="24"/>
                <w:highlight w:val="none"/>
              </w:rPr>
            </w:pPr>
          </w:p>
        </w:tc>
        <w:tc>
          <w:tcPr>
            <w:tcW w:w="4740" w:type="dxa"/>
            <w:noWrap w:val="0"/>
            <w:vAlign w:val="center"/>
          </w:tcPr>
          <w:p w14:paraId="427F690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开发商交款</w:t>
            </w:r>
          </w:p>
        </w:tc>
      </w:tr>
      <w:tr w14:paraId="0570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7A262DB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3043" w:type="dxa"/>
            <w:vMerge w:val="continue"/>
            <w:noWrap w:val="0"/>
            <w:vAlign w:val="center"/>
          </w:tcPr>
          <w:p w14:paraId="2A552E9B">
            <w:pPr>
              <w:spacing w:line="260" w:lineRule="exact"/>
              <w:jc w:val="center"/>
              <w:rPr>
                <w:rFonts w:hint="eastAsia" w:ascii="宋体" w:hAnsi="宋体" w:eastAsia="宋体" w:cs="宋体"/>
                <w:sz w:val="24"/>
                <w:szCs w:val="24"/>
                <w:highlight w:val="none"/>
              </w:rPr>
            </w:pPr>
          </w:p>
        </w:tc>
        <w:tc>
          <w:tcPr>
            <w:tcW w:w="4740" w:type="dxa"/>
            <w:noWrap w:val="0"/>
            <w:vAlign w:val="center"/>
          </w:tcPr>
          <w:p w14:paraId="7611F87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业主交款</w:t>
            </w:r>
          </w:p>
        </w:tc>
      </w:tr>
      <w:tr w14:paraId="7552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2A22FA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3043" w:type="dxa"/>
            <w:vMerge w:val="continue"/>
            <w:noWrap w:val="0"/>
            <w:vAlign w:val="center"/>
          </w:tcPr>
          <w:p w14:paraId="3177B50B">
            <w:pPr>
              <w:spacing w:line="260" w:lineRule="exact"/>
              <w:jc w:val="center"/>
              <w:rPr>
                <w:rFonts w:hint="eastAsia" w:ascii="宋体" w:hAnsi="宋体" w:eastAsia="宋体" w:cs="宋体"/>
                <w:sz w:val="24"/>
                <w:szCs w:val="24"/>
                <w:highlight w:val="none"/>
              </w:rPr>
            </w:pPr>
          </w:p>
        </w:tc>
        <w:tc>
          <w:tcPr>
            <w:tcW w:w="4740" w:type="dxa"/>
            <w:noWrap w:val="0"/>
            <w:vAlign w:val="center"/>
          </w:tcPr>
          <w:p w14:paraId="40F1C74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业主退款</w:t>
            </w:r>
          </w:p>
        </w:tc>
      </w:tr>
      <w:tr w14:paraId="6F34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 w:type="dxa"/>
            <w:noWrap w:val="0"/>
            <w:vAlign w:val="center"/>
          </w:tcPr>
          <w:p w14:paraId="6D7110AF">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3043" w:type="dxa"/>
            <w:vMerge w:val="continue"/>
            <w:noWrap w:val="0"/>
            <w:vAlign w:val="center"/>
          </w:tcPr>
          <w:p w14:paraId="013B8E7F">
            <w:pPr>
              <w:spacing w:line="260" w:lineRule="exact"/>
              <w:jc w:val="center"/>
              <w:rPr>
                <w:rFonts w:hint="eastAsia" w:ascii="宋体" w:hAnsi="宋体" w:eastAsia="宋体" w:cs="宋体"/>
                <w:sz w:val="24"/>
                <w:szCs w:val="24"/>
                <w:highlight w:val="none"/>
              </w:rPr>
            </w:pPr>
          </w:p>
        </w:tc>
        <w:tc>
          <w:tcPr>
            <w:tcW w:w="4740" w:type="dxa"/>
            <w:noWrap w:val="0"/>
            <w:vAlign w:val="center"/>
          </w:tcPr>
          <w:p w14:paraId="4D86B03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开发建设单位退款</w:t>
            </w:r>
          </w:p>
        </w:tc>
      </w:tr>
      <w:tr w14:paraId="4EA2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B8D246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3043" w:type="dxa"/>
            <w:vMerge w:val="continue"/>
            <w:noWrap w:val="0"/>
            <w:vAlign w:val="center"/>
          </w:tcPr>
          <w:p w14:paraId="26569831">
            <w:pPr>
              <w:spacing w:line="260" w:lineRule="exact"/>
              <w:jc w:val="center"/>
              <w:rPr>
                <w:rFonts w:hint="eastAsia" w:ascii="宋体" w:hAnsi="宋体" w:eastAsia="宋体" w:cs="宋体"/>
                <w:sz w:val="24"/>
                <w:szCs w:val="24"/>
                <w:highlight w:val="none"/>
              </w:rPr>
            </w:pPr>
          </w:p>
        </w:tc>
        <w:tc>
          <w:tcPr>
            <w:tcW w:w="4740" w:type="dxa"/>
            <w:noWrap w:val="0"/>
            <w:vAlign w:val="center"/>
          </w:tcPr>
          <w:p w14:paraId="18BE9E87">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公共收益分摊</w:t>
            </w:r>
          </w:p>
        </w:tc>
      </w:tr>
      <w:tr w14:paraId="27DF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FA04DF9">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3043" w:type="dxa"/>
            <w:vMerge w:val="continue"/>
            <w:noWrap w:val="0"/>
            <w:vAlign w:val="center"/>
          </w:tcPr>
          <w:p w14:paraId="61199283">
            <w:pPr>
              <w:spacing w:line="260" w:lineRule="exact"/>
              <w:jc w:val="center"/>
              <w:rPr>
                <w:rFonts w:hint="eastAsia" w:ascii="宋体" w:hAnsi="宋体" w:eastAsia="宋体" w:cs="宋体"/>
                <w:sz w:val="24"/>
                <w:szCs w:val="24"/>
                <w:highlight w:val="none"/>
              </w:rPr>
            </w:pPr>
          </w:p>
        </w:tc>
        <w:tc>
          <w:tcPr>
            <w:tcW w:w="4740" w:type="dxa"/>
            <w:noWrap w:val="0"/>
            <w:vAlign w:val="center"/>
          </w:tcPr>
          <w:p w14:paraId="0B697E77">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阶段转换</w:t>
            </w:r>
          </w:p>
        </w:tc>
      </w:tr>
      <w:tr w14:paraId="6EC6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A7FF18D">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3043" w:type="dxa"/>
            <w:vMerge w:val="restart"/>
            <w:noWrap w:val="0"/>
            <w:vAlign w:val="center"/>
          </w:tcPr>
          <w:p w14:paraId="70BDCD2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资金使用管理子系统</w:t>
            </w:r>
          </w:p>
        </w:tc>
        <w:tc>
          <w:tcPr>
            <w:tcW w:w="4740" w:type="dxa"/>
            <w:noWrap w:val="0"/>
            <w:vAlign w:val="center"/>
          </w:tcPr>
          <w:p w14:paraId="2271A70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项目信息填报</w:t>
            </w:r>
          </w:p>
        </w:tc>
      </w:tr>
      <w:tr w14:paraId="505B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7FC48725">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3043" w:type="dxa"/>
            <w:vMerge w:val="continue"/>
            <w:noWrap w:val="0"/>
            <w:vAlign w:val="center"/>
          </w:tcPr>
          <w:p w14:paraId="7C486E47">
            <w:pPr>
              <w:spacing w:line="260" w:lineRule="exact"/>
              <w:jc w:val="center"/>
              <w:rPr>
                <w:rFonts w:hint="eastAsia" w:ascii="宋体" w:hAnsi="宋体" w:eastAsia="宋体" w:cs="宋体"/>
                <w:sz w:val="24"/>
                <w:szCs w:val="24"/>
                <w:highlight w:val="none"/>
              </w:rPr>
            </w:pPr>
          </w:p>
        </w:tc>
        <w:tc>
          <w:tcPr>
            <w:tcW w:w="4740" w:type="dxa"/>
            <w:noWrap w:val="0"/>
            <w:vAlign w:val="center"/>
          </w:tcPr>
          <w:p w14:paraId="522BE50F">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使用分摊</w:t>
            </w:r>
          </w:p>
        </w:tc>
      </w:tr>
      <w:tr w14:paraId="25F7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E8AC79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3043" w:type="dxa"/>
            <w:vMerge w:val="continue"/>
            <w:noWrap w:val="0"/>
            <w:vAlign w:val="center"/>
          </w:tcPr>
          <w:p w14:paraId="63187087">
            <w:pPr>
              <w:spacing w:line="260" w:lineRule="exact"/>
              <w:jc w:val="center"/>
              <w:rPr>
                <w:rFonts w:hint="eastAsia" w:ascii="宋体" w:hAnsi="宋体" w:eastAsia="宋体" w:cs="宋体"/>
                <w:sz w:val="24"/>
                <w:szCs w:val="24"/>
                <w:highlight w:val="none"/>
              </w:rPr>
            </w:pPr>
          </w:p>
        </w:tc>
        <w:tc>
          <w:tcPr>
            <w:tcW w:w="4740" w:type="dxa"/>
            <w:noWrap w:val="0"/>
            <w:vAlign w:val="center"/>
          </w:tcPr>
          <w:p w14:paraId="67B5369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公示发布与打印</w:t>
            </w:r>
          </w:p>
        </w:tc>
      </w:tr>
      <w:tr w14:paraId="55B8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16DE7C6F">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3043" w:type="dxa"/>
            <w:vMerge w:val="continue"/>
            <w:noWrap w:val="0"/>
            <w:vAlign w:val="center"/>
          </w:tcPr>
          <w:p w14:paraId="19203603">
            <w:pPr>
              <w:spacing w:line="260" w:lineRule="exact"/>
              <w:jc w:val="center"/>
              <w:rPr>
                <w:rFonts w:hint="eastAsia" w:ascii="宋体" w:hAnsi="宋体" w:eastAsia="宋体" w:cs="宋体"/>
                <w:sz w:val="24"/>
                <w:szCs w:val="24"/>
                <w:highlight w:val="none"/>
              </w:rPr>
            </w:pPr>
          </w:p>
        </w:tc>
        <w:tc>
          <w:tcPr>
            <w:tcW w:w="4740" w:type="dxa"/>
            <w:noWrap w:val="0"/>
            <w:vAlign w:val="center"/>
          </w:tcPr>
          <w:p w14:paraId="491DB3D7">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表决结果填报</w:t>
            </w:r>
          </w:p>
        </w:tc>
      </w:tr>
      <w:tr w14:paraId="318A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6C49770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16</w:t>
            </w:r>
          </w:p>
        </w:tc>
        <w:tc>
          <w:tcPr>
            <w:tcW w:w="3043" w:type="dxa"/>
            <w:vMerge w:val="continue"/>
            <w:noWrap w:val="0"/>
            <w:vAlign w:val="center"/>
          </w:tcPr>
          <w:p w14:paraId="6DB4E14D">
            <w:pPr>
              <w:spacing w:line="260" w:lineRule="exact"/>
              <w:jc w:val="center"/>
              <w:rPr>
                <w:rFonts w:hint="eastAsia" w:ascii="宋体" w:hAnsi="宋体" w:eastAsia="宋体" w:cs="宋体"/>
                <w:sz w:val="24"/>
                <w:szCs w:val="24"/>
                <w:highlight w:val="none"/>
              </w:rPr>
            </w:pPr>
          </w:p>
        </w:tc>
        <w:tc>
          <w:tcPr>
            <w:tcW w:w="4740" w:type="dxa"/>
            <w:noWrap w:val="0"/>
            <w:vAlign w:val="center"/>
          </w:tcPr>
          <w:p w14:paraId="2CC8902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资金划拨</w:t>
            </w:r>
          </w:p>
        </w:tc>
      </w:tr>
      <w:tr w14:paraId="06D3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72F69D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17</w:t>
            </w:r>
          </w:p>
        </w:tc>
        <w:tc>
          <w:tcPr>
            <w:tcW w:w="3043" w:type="dxa"/>
            <w:vMerge w:val="continue"/>
            <w:noWrap w:val="0"/>
            <w:vAlign w:val="center"/>
          </w:tcPr>
          <w:p w14:paraId="5F502624">
            <w:pPr>
              <w:spacing w:line="260" w:lineRule="exact"/>
              <w:jc w:val="center"/>
              <w:rPr>
                <w:rFonts w:hint="eastAsia" w:ascii="宋体" w:hAnsi="宋体" w:eastAsia="宋体" w:cs="宋体"/>
                <w:sz w:val="24"/>
                <w:szCs w:val="24"/>
                <w:highlight w:val="none"/>
              </w:rPr>
            </w:pPr>
          </w:p>
        </w:tc>
        <w:tc>
          <w:tcPr>
            <w:tcW w:w="4740" w:type="dxa"/>
            <w:noWrap w:val="0"/>
            <w:vAlign w:val="center"/>
          </w:tcPr>
          <w:p w14:paraId="2EA2EFC7">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验收决算</w:t>
            </w:r>
          </w:p>
        </w:tc>
      </w:tr>
      <w:tr w14:paraId="5CF7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6A6EC07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18</w:t>
            </w:r>
          </w:p>
        </w:tc>
        <w:tc>
          <w:tcPr>
            <w:tcW w:w="3043" w:type="dxa"/>
            <w:vMerge w:val="continue"/>
            <w:noWrap w:val="0"/>
            <w:vAlign w:val="center"/>
          </w:tcPr>
          <w:p w14:paraId="7E6A995E">
            <w:pPr>
              <w:spacing w:line="260" w:lineRule="exact"/>
              <w:jc w:val="center"/>
              <w:rPr>
                <w:rFonts w:hint="eastAsia" w:ascii="宋体" w:hAnsi="宋体" w:eastAsia="宋体" w:cs="宋体"/>
                <w:sz w:val="24"/>
                <w:szCs w:val="24"/>
                <w:highlight w:val="none"/>
              </w:rPr>
            </w:pPr>
          </w:p>
        </w:tc>
        <w:tc>
          <w:tcPr>
            <w:tcW w:w="4740" w:type="dxa"/>
            <w:noWrap w:val="0"/>
            <w:vAlign w:val="center"/>
          </w:tcPr>
          <w:p w14:paraId="32D40EC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资金清退</w:t>
            </w:r>
          </w:p>
        </w:tc>
      </w:tr>
      <w:tr w14:paraId="09E2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152483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19</w:t>
            </w:r>
          </w:p>
        </w:tc>
        <w:tc>
          <w:tcPr>
            <w:tcW w:w="3043" w:type="dxa"/>
            <w:vMerge w:val="continue"/>
            <w:noWrap w:val="0"/>
            <w:vAlign w:val="center"/>
          </w:tcPr>
          <w:p w14:paraId="33FCB0D7">
            <w:pPr>
              <w:spacing w:line="260" w:lineRule="exact"/>
              <w:jc w:val="center"/>
              <w:rPr>
                <w:rFonts w:hint="eastAsia" w:ascii="宋体" w:hAnsi="宋体" w:eastAsia="宋体" w:cs="宋体"/>
                <w:sz w:val="24"/>
                <w:szCs w:val="24"/>
                <w:highlight w:val="none"/>
              </w:rPr>
            </w:pPr>
          </w:p>
        </w:tc>
        <w:tc>
          <w:tcPr>
            <w:tcW w:w="4740" w:type="dxa"/>
            <w:noWrap w:val="0"/>
            <w:vAlign w:val="center"/>
          </w:tcPr>
          <w:p w14:paraId="0F58EE0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撤销项目</w:t>
            </w:r>
          </w:p>
        </w:tc>
      </w:tr>
      <w:tr w14:paraId="6BEB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142267E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w:t>
            </w:r>
          </w:p>
        </w:tc>
        <w:tc>
          <w:tcPr>
            <w:tcW w:w="3043" w:type="dxa"/>
            <w:vMerge w:val="restart"/>
            <w:noWrap w:val="0"/>
            <w:vAlign w:val="center"/>
          </w:tcPr>
          <w:p w14:paraId="3692E03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资金综合收益管理子系统</w:t>
            </w:r>
          </w:p>
        </w:tc>
        <w:tc>
          <w:tcPr>
            <w:tcW w:w="4740" w:type="dxa"/>
            <w:noWrap w:val="0"/>
            <w:vAlign w:val="center"/>
          </w:tcPr>
          <w:p w14:paraId="5B0A63B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资金增值</w:t>
            </w:r>
          </w:p>
        </w:tc>
      </w:tr>
      <w:tr w14:paraId="0571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A11352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w:t>
            </w:r>
          </w:p>
        </w:tc>
        <w:tc>
          <w:tcPr>
            <w:tcW w:w="3043" w:type="dxa"/>
            <w:vMerge w:val="continue"/>
            <w:noWrap w:val="0"/>
            <w:vAlign w:val="center"/>
          </w:tcPr>
          <w:p w14:paraId="5592AAC4">
            <w:pPr>
              <w:spacing w:line="260" w:lineRule="exact"/>
              <w:jc w:val="center"/>
              <w:rPr>
                <w:rFonts w:hint="eastAsia" w:ascii="宋体" w:hAnsi="宋体" w:eastAsia="宋体" w:cs="宋体"/>
                <w:sz w:val="24"/>
                <w:szCs w:val="24"/>
                <w:highlight w:val="none"/>
              </w:rPr>
            </w:pPr>
          </w:p>
        </w:tc>
        <w:tc>
          <w:tcPr>
            <w:tcW w:w="4740" w:type="dxa"/>
            <w:noWrap w:val="0"/>
            <w:vAlign w:val="center"/>
          </w:tcPr>
          <w:p w14:paraId="07D3BFF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收益分摊</w:t>
            </w:r>
          </w:p>
        </w:tc>
      </w:tr>
      <w:tr w14:paraId="6EE1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6A68B7C0">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w:t>
            </w:r>
          </w:p>
        </w:tc>
        <w:tc>
          <w:tcPr>
            <w:tcW w:w="3043" w:type="dxa"/>
            <w:vMerge w:val="continue"/>
            <w:noWrap w:val="0"/>
            <w:vAlign w:val="center"/>
          </w:tcPr>
          <w:p w14:paraId="7D2447C7">
            <w:pPr>
              <w:spacing w:line="260" w:lineRule="exact"/>
              <w:jc w:val="center"/>
              <w:rPr>
                <w:rFonts w:hint="eastAsia" w:ascii="宋体" w:hAnsi="宋体" w:eastAsia="宋体" w:cs="宋体"/>
                <w:sz w:val="24"/>
                <w:szCs w:val="24"/>
                <w:highlight w:val="none"/>
              </w:rPr>
            </w:pPr>
          </w:p>
        </w:tc>
        <w:tc>
          <w:tcPr>
            <w:tcW w:w="4740" w:type="dxa"/>
            <w:noWrap w:val="0"/>
            <w:vAlign w:val="center"/>
          </w:tcPr>
          <w:p w14:paraId="45FBBDA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利息结算</w:t>
            </w:r>
          </w:p>
        </w:tc>
      </w:tr>
      <w:tr w14:paraId="73EE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09E26F4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23</w:t>
            </w:r>
          </w:p>
        </w:tc>
        <w:tc>
          <w:tcPr>
            <w:tcW w:w="3043" w:type="dxa"/>
            <w:vMerge w:val="continue"/>
            <w:noWrap w:val="0"/>
            <w:vAlign w:val="center"/>
          </w:tcPr>
          <w:p w14:paraId="183DFAA8">
            <w:pPr>
              <w:spacing w:line="260" w:lineRule="exact"/>
              <w:jc w:val="center"/>
              <w:rPr>
                <w:rFonts w:hint="eastAsia" w:ascii="宋体" w:hAnsi="宋体" w:eastAsia="宋体" w:cs="宋体"/>
                <w:sz w:val="24"/>
                <w:szCs w:val="24"/>
                <w:highlight w:val="none"/>
              </w:rPr>
            </w:pPr>
          </w:p>
        </w:tc>
        <w:tc>
          <w:tcPr>
            <w:tcW w:w="4740" w:type="dxa"/>
            <w:noWrap w:val="0"/>
            <w:vAlign w:val="center"/>
          </w:tcPr>
          <w:p w14:paraId="34C7225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增值返回</w:t>
            </w:r>
          </w:p>
        </w:tc>
      </w:tr>
      <w:tr w14:paraId="0D38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A218A2F">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24</w:t>
            </w:r>
          </w:p>
        </w:tc>
        <w:tc>
          <w:tcPr>
            <w:tcW w:w="3043" w:type="dxa"/>
            <w:vMerge w:val="continue"/>
            <w:noWrap w:val="0"/>
            <w:vAlign w:val="center"/>
          </w:tcPr>
          <w:p w14:paraId="2C831814">
            <w:pPr>
              <w:spacing w:line="260" w:lineRule="exact"/>
              <w:jc w:val="center"/>
              <w:rPr>
                <w:rFonts w:hint="eastAsia" w:ascii="宋体" w:hAnsi="宋体" w:eastAsia="宋体" w:cs="宋体"/>
                <w:sz w:val="24"/>
                <w:szCs w:val="24"/>
                <w:highlight w:val="none"/>
              </w:rPr>
            </w:pPr>
          </w:p>
        </w:tc>
        <w:tc>
          <w:tcPr>
            <w:tcW w:w="4740" w:type="dxa"/>
            <w:noWrap w:val="0"/>
            <w:vAlign w:val="center"/>
          </w:tcPr>
          <w:p w14:paraId="564A345F">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资金增值查询</w:t>
            </w:r>
          </w:p>
        </w:tc>
      </w:tr>
      <w:tr w14:paraId="4CE7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B8C50A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25</w:t>
            </w:r>
          </w:p>
        </w:tc>
        <w:tc>
          <w:tcPr>
            <w:tcW w:w="3043" w:type="dxa"/>
            <w:vMerge w:val="continue"/>
            <w:noWrap w:val="0"/>
            <w:vAlign w:val="center"/>
          </w:tcPr>
          <w:p w14:paraId="02F5DFF8">
            <w:pPr>
              <w:spacing w:line="260" w:lineRule="exact"/>
              <w:jc w:val="center"/>
              <w:rPr>
                <w:rFonts w:hint="eastAsia" w:ascii="宋体" w:hAnsi="宋体" w:eastAsia="宋体" w:cs="宋体"/>
                <w:sz w:val="24"/>
                <w:szCs w:val="24"/>
                <w:highlight w:val="none"/>
              </w:rPr>
            </w:pPr>
          </w:p>
        </w:tc>
        <w:tc>
          <w:tcPr>
            <w:tcW w:w="4740" w:type="dxa"/>
            <w:noWrap w:val="0"/>
            <w:vAlign w:val="center"/>
          </w:tcPr>
          <w:p w14:paraId="6F8F8EE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资金调配</w:t>
            </w:r>
          </w:p>
        </w:tc>
      </w:tr>
      <w:tr w14:paraId="4A22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76BB48C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26</w:t>
            </w:r>
          </w:p>
        </w:tc>
        <w:tc>
          <w:tcPr>
            <w:tcW w:w="3043" w:type="dxa"/>
            <w:vMerge w:val="restart"/>
            <w:noWrap w:val="0"/>
            <w:vAlign w:val="center"/>
          </w:tcPr>
          <w:p w14:paraId="3987132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资金核算管理子系统</w:t>
            </w:r>
          </w:p>
        </w:tc>
        <w:tc>
          <w:tcPr>
            <w:tcW w:w="4740" w:type="dxa"/>
            <w:noWrap w:val="0"/>
            <w:vAlign w:val="center"/>
          </w:tcPr>
          <w:p w14:paraId="5082638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对账</w:t>
            </w:r>
          </w:p>
        </w:tc>
      </w:tr>
      <w:tr w14:paraId="53BC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09A5A9D">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27</w:t>
            </w:r>
          </w:p>
        </w:tc>
        <w:tc>
          <w:tcPr>
            <w:tcW w:w="3043" w:type="dxa"/>
            <w:vMerge w:val="continue"/>
            <w:noWrap w:val="0"/>
            <w:vAlign w:val="center"/>
          </w:tcPr>
          <w:p w14:paraId="0E4B864D">
            <w:pPr>
              <w:spacing w:line="260" w:lineRule="exact"/>
              <w:jc w:val="center"/>
              <w:rPr>
                <w:rFonts w:hint="eastAsia" w:ascii="宋体" w:hAnsi="宋体" w:eastAsia="宋体" w:cs="宋体"/>
                <w:sz w:val="24"/>
                <w:szCs w:val="24"/>
                <w:highlight w:val="none"/>
              </w:rPr>
            </w:pPr>
          </w:p>
        </w:tc>
        <w:tc>
          <w:tcPr>
            <w:tcW w:w="4740" w:type="dxa"/>
            <w:noWrap w:val="0"/>
            <w:vAlign w:val="center"/>
          </w:tcPr>
          <w:p w14:paraId="6A77FEA5">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业务核算管理</w:t>
            </w:r>
          </w:p>
        </w:tc>
      </w:tr>
      <w:tr w14:paraId="07DB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323560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28</w:t>
            </w:r>
          </w:p>
        </w:tc>
        <w:tc>
          <w:tcPr>
            <w:tcW w:w="3043" w:type="dxa"/>
            <w:vMerge w:val="continue"/>
            <w:noWrap w:val="0"/>
            <w:vAlign w:val="center"/>
          </w:tcPr>
          <w:p w14:paraId="5D5DEA57">
            <w:pPr>
              <w:spacing w:line="260" w:lineRule="exact"/>
              <w:jc w:val="center"/>
              <w:rPr>
                <w:rFonts w:hint="eastAsia" w:ascii="宋体" w:hAnsi="宋体" w:eastAsia="宋体" w:cs="宋体"/>
                <w:sz w:val="24"/>
                <w:szCs w:val="24"/>
                <w:highlight w:val="none"/>
              </w:rPr>
            </w:pPr>
          </w:p>
        </w:tc>
        <w:tc>
          <w:tcPr>
            <w:tcW w:w="4740" w:type="dxa"/>
            <w:noWrap w:val="0"/>
            <w:vAlign w:val="center"/>
          </w:tcPr>
          <w:p w14:paraId="29ADE639">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账明细表、总账余额表、物业管理区域账目汇总表、物业管理区域账目明细表、物业管理区域账目发生额汇总表、分户账目汇总表、分户账目明细表、分户账目发生额汇总表、楼栋账目汇总表、楼栋账目发生额汇总表、楼栋账目明细表、单元账目汇总表、单元账目发生额汇总表、单元账目明细表、核算凭证管理。</w:t>
            </w:r>
          </w:p>
        </w:tc>
      </w:tr>
      <w:tr w14:paraId="7833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21EE39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29</w:t>
            </w:r>
          </w:p>
        </w:tc>
        <w:tc>
          <w:tcPr>
            <w:tcW w:w="3043" w:type="dxa"/>
            <w:vMerge w:val="restart"/>
            <w:noWrap w:val="0"/>
            <w:vAlign w:val="center"/>
          </w:tcPr>
          <w:p w14:paraId="4C7F866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统计分析与报表子系统</w:t>
            </w:r>
          </w:p>
        </w:tc>
        <w:tc>
          <w:tcPr>
            <w:tcW w:w="4740" w:type="dxa"/>
            <w:noWrap w:val="0"/>
            <w:vAlign w:val="center"/>
          </w:tcPr>
          <w:p w14:paraId="3046710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物业管理区域查询</w:t>
            </w:r>
          </w:p>
        </w:tc>
      </w:tr>
      <w:tr w14:paraId="1C4C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0DDCF3F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30</w:t>
            </w:r>
          </w:p>
        </w:tc>
        <w:tc>
          <w:tcPr>
            <w:tcW w:w="3043" w:type="dxa"/>
            <w:vMerge w:val="continue"/>
            <w:noWrap w:val="0"/>
            <w:vAlign w:val="center"/>
          </w:tcPr>
          <w:p w14:paraId="72A1F3DD">
            <w:pPr>
              <w:spacing w:line="260" w:lineRule="exact"/>
              <w:jc w:val="center"/>
              <w:rPr>
                <w:rFonts w:hint="eastAsia" w:ascii="宋体" w:hAnsi="宋体" w:eastAsia="宋体" w:cs="宋体"/>
                <w:sz w:val="24"/>
                <w:szCs w:val="24"/>
                <w:highlight w:val="none"/>
              </w:rPr>
            </w:pPr>
          </w:p>
        </w:tc>
        <w:tc>
          <w:tcPr>
            <w:tcW w:w="4740" w:type="dxa"/>
            <w:noWrap w:val="0"/>
            <w:vAlign w:val="center"/>
          </w:tcPr>
          <w:p w14:paraId="1368439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业务单查询</w:t>
            </w:r>
          </w:p>
        </w:tc>
      </w:tr>
      <w:tr w14:paraId="422F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03EBB1A">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31</w:t>
            </w:r>
          </w:p>
        </w:tc>
        <w:tc>
          <w:tcPr>
            <w:tcW w:w="3043" w:type="dxa"/>
            <w:vMerge w:val="continue"/>
            <w:noWrap w:val="0"/>
            <w:vAlign w:val="center"/>
          </w:tcPr>
          <w:p w14:paraId="3F5E5062">
            <w:pPr>
              <w:spacing w:line="260" w:lineRule="exact"/>
              <w:jc w:val="center"/>
              <w:rPr>
                <w:rFonts w:hint="eastAsia" w:ascii="宋体" w:hAnsi="宋体" w:eastAsia="宋体" w:cs="宋体"/>
                <w:sz w:val="24"/>
                <w:szCs w:val="24"/>
                <w:highlight w:val="none"/>
              </w:rPr>
            </w:pPr>
          </w:p>
        </w:tc>
        <w:tc>
          <w:tcPr>
            <w:tcW w:w="4740" w:type="dxa"/>
            <w:noWrap w:val="0"/>
            <w:vAlign w:val="center"/>
          </w:tcPr>
          <w:p w14:paraId="0F74BC7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房屋信息查询</w:t>
            </w:r>
          </w:p>
        </w:tc>
      </w:tr>
      <w:tr w14:paraId="1623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7A85A3C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32</w:t>
            </w:r>
          </w:p>
        </w:tc>
        <w:tc>
          <w:tcPr>
            <w:tcW w:w="3043" w:type="dxa"/>
            <w:vMerge w:val="continue"/>
            <w:noWrap w:val="0"/>
            <w:vAlign w:val="center"/>
          </w:tcPr>
          <w:p w14:paraId="60112DDB">
            <w:pPr>
              <w:spacing w:line="260" w:lineRule="exact"/>
              <w:jc w:val="center"/>
              <w:rPr>
                <w:rFonts w:hint="eastAsia" w:ascii="宋体" w:hAnsi="宋体" w:eastAsia="宋体" w:cs="宋体"/>
                <w:sz w:val="24"/>
                <w:szCs w:val="24"/>
                <w:highlight w:val="none"/>
              </w:rPr>
            </w:pPr>
          </w:p>
        </w:tc>
        <w:tc>
          <w:tcPr>
            <w:tcW w:w="4740" w:type="dxa"/>
            <w:noWrap w:val="0"/>
            <w:vAlign w:val="center"/>
          </w:tcPr>
          <w:p w14:paraId="31897255">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账户信息查询</w:t>
            </w:r>
          </w:p>
        </w:tc>
      </w:tr>
      <w:tr w14:paraId="3B66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E3E330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33</w:t>
            </w:r>
          </w:p>
        </w:tc>
        <w:tc>
          <w:tcPr>
            <w:tcW w:w="3043" w:type="dxa"/>
            <w:vMerge w:val="continue"/>
            <w:noWrap w:val="0"/>
            <w:vAlign w:val="center"/>
          </w:tcPr>
          <w:p w14:paraId="605E5DA0">
            <w:pPr>
              <w:spacing w:line="260" w:lineRule="exact"/>
              <w:jc w:val="center"/>
              <w:rPr>
                <w:rFonts w:hint="eastAsia" w:ascii="宋体" w:hAnsi="宋体" w:eastAsia="宋体" w:cs="宋体"/>
                <w:sz w:val="24"/>
                <w:szCs w:val="24"/>
                <w:highlight w:val="none"/>
              </w:rPr>
            </w:pPr>
          </w:p>
        </w:tc>
        <w:tc>
          <w:tcPr>
            <w:tcW w:w="4740" w:type="dxa"/>
            <w:noWrap w:val="0"/>
            <w:vAlign w:val="center"/>
          </w:tcPr>
          <w:p w14:paraId="0F00439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维修项目查询</w:t>
            </w:r>
          </w:p>
        </w:tc>
      </w:tr>
      <w:tr w14:paraId="2DF09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2BA888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34</w:t>
            </w:r>
          </w:p>
        </w:tc>
        <w:tc>
          <w:tcPr>
            <w:tcW w:w="3043" w:type="dxa"/>
            <w:vMerge w:val="continue"/>
            <w:noWrap w:val="0"/>
            <w:vAlign w:val="center"/>
          </w:tcPr>
          <w:p w14:paraId="789D32AE">
            <w:pPr>
              <w:spacing w:line="260" w:lineRule="exact"/>
              <w:jc w:val="center"/>
              <w:rPr>
                <w:rFonts w:hint="eastAsia" w:ascii="宋体" w:hAnsi="宋体" w:eastAsia="宋体" w:cs="宋体"/>
                <w:sz w:val="24"/>
                <w:szCs w:val="24"/>
                <w:highlight w:val="none"/>
              </w:rPr>
            </w:pPr>
          </w:p>
        </w:tc>
        <w:tc>
          <w:tcPr>
            <w:tcW w:w="4740" w:type="dxa"/>
            <w:noWrap w:val="0"/>
            <w:vAlign w:val="center"/>
          </w:tcPr>
          <w:p w14:paraId="638E383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银行存款汇总表</w:t>
            </w:r>
          </w:p>
        </w:tc>
      </w:tr>
      <w:tr w14:paraId="20C5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9FC855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35</w:t>
            </w:r>
          </w:p>
        </w:tc>
        <w:tc>
          <w:tcPr>
            <w:tcW w:w="3043" w:type="dxa"/>
            <w:vMerge w:val="continue"/>
            <w:noWrap w:val="0"/>
            <w:vAlign w:val="center"/>
          </w:tcPr>
          <w:p w14:paraId="35FF6844">
            <w:pPr>
              <w:spacing w:line="260" w:lineRule="exact"/>
              <w:jc w:val="center"/>
              <w:rPr>
                <w:rFonts w:hint="eastAsia" w:ascii="宋体" w:hAnsi="宋体" w:eastAsia="宋体" w:cs="宋体"/>
                <w:sz w:val="24"/>
                <w:szCs w:val="24"/>
                <w:highlight w:val="none"/>
              </w:rPr>
            </w:pPr>
          </w:p>
        </w:tc>
        <w:tc>
          <w:tcPr>
            <w:tcW w:w="4740" w:type="dxa"/>
            <w:noWrap w:val="0"/>
            <w:vAlign w:val="center"/>
          </w:tcPr>
          <w:p w14:paraId="3D0CD4A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物业管理区域资金汇总表</w:t>
            </w:r>
          </w:p>
        </w:tc>
      </w:tr>
      <w:tr w14:paraId="217F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D5CC3B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36</w:t>
            </w:r>
          </w:p>
        </w:tc>
        <w:tc>
          <w:tcPr>
            <w:tcW w:w="3043" w:type="dxa"/>
            <w:vMerge w:val="continue"/>
            <w:noWrap w:val="0"/>
            <w:vAlign w:val="center"/>
          </w:tcPr>
          <w:p w14:paraId="476F8EED">
            <w:pPr>
              <w:spacing w:line="260" w:lineRule="exact"/>
              <w:jc w:val="center"/>
              <w:rPr>
                <w:rFonts w:hint="eastAsia" w:ascii="宋体" w:hAnsi="宋体" w:eastAsia="宋体" w:cs="宋体"/>
                <w:sz w:val="24"/>
                <w:szCs w:val="24"/>
                <w:highlight w:val="none"/>
              </w:rPr>
            </w:pPr>
          </w:p>
        </w:tc>
        <w:tc>
          <w:tcPr>
            <w:tcW w:w="4740" w:type="dxa"/>
            <w:noWrap w:val="0"/>
            <w:vAlign w:val="center"/>
          </w:tcPr>
          <w:p w14:paraId="00231B9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增值收益汇总表</w:t>
            </w:r>
          </w:p>
        </w:tc>
      </w:tr>
      <w:tr w14:paraId="3D84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379AFC1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37</w:t>
            </w:r>
          </w:p>
        </w:tc>
        <w:tc>
          <w:tcPr>
            <w:tcW w:w="3043" w:type="dxa"/>
            <w:vMerge w:val="restart"/>
            <w:noWrap w:val="0"/>
            <w:vAlign w:val="center"/>
          </w:tcPr>
          <w:p w14:paraId="4715EDE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系统管理子系统</w:t>
            </w:r>
          </w:p>
        </w:tc>
        <w:tc>
          <w:tcPr>
            <w:tcW w:w="4740" w:type="dxa"/>
            <w:noWrap w:val="0"/>
            <w:vAlign w:val="center"/>
          </w:tcPr>
          <w:p w14:paraId="260ECD1C">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行政区域管理</w:t>
            </w:r>
          </w:p>
        </w:tc>
      </w:tr>
      <w:tr w14:paraId="4E2D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7BECBFD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38</w:t>
            </w:r>
          </w:p>
        </w:tc>
        <w:tc>
          <w:tcPr>
            <w:tcW w:w="3043" w:type="dxa"/>
            <w:vMerge w:val="continue"/>
            <w:noWrap w:val="0"/>
            <w:vAlign w:val="center"/>
          </w:tcPr>
          <w:p w14:paraId="6B5AF14F">
            <w:pPr>
              <w:spacing w:line="260" w:lineRule="exact"/>
              <w:jc w:val="center"/>
              <w:rPr>
                <w:rFonts w:hint="eastAsia" w:ascii="宋体" w:hAnsi="宋体" w:eastAsia="宋体" w:cs="宋体"/>
                <w:sz w:val="24"/>
                <w:szCs w:val="24"/>
                <w:highlight w:val="none"/>
              </w:rPr>
            </w:pPr>
          </w:p>
        </w:tc>
        <w:tc>
          <w:tcPr>
            <w:tcW w:w="4740" w:type="dxa"/>
            <w:noWrap w:val="0"/>
            <w:vAlign w:val="center"/>
          </w:tcPr>
          <w:p w14:paraId="6495622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专户银行信息管理</w:t>
            </w:r>
          </w:p>
        </w:tc>
      </w:tr>
      <w:tr w14:paraId="27A3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6907CCE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39</w:t>
            </w:r>
          </w:p>
        </w:tc>
        <w:tc>
          <w:tcPr>
            <w:tcW w:w="3043" w:type="dxa"/>
            <w:vMerge w:val="continue"/>
            <w:noWrap w:val="0"/>
            <w:vAlign w:val="center"/>
          </w:tcPr>
          <w:p w14:paraId="621E8137">
            <w:pPr>
              <w:spacing w:line="260" w:lineRule="exact"/>
              <w:jc w:val="center"/>
              <w:rPr>
                <w:rFonts w:hint="eastAsia" w:ascii="宋体" w:hAnsi="宋体" w:eastAsia="宋体" w:cs="宋体"/>
                <w:sz w:val="24"/>
                <w:szCs w:val="24"/>
                <w:highlight w:val="none"/>
              </w:rPr>
            </w:pPr>
          </w:p>
        </w:tc>
        <w:tc>
          <w:tcPr>
            <w:tcW w:w="4740" w:type="dxa"/>
            <w:noWrap w:val="0"/>
            <w:vAlign w:val="center"/>
          </w:tcPr>
          <w:p w14:paraId="2E4FFA2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操作日志查询</w:t>
            </w:r>
          </w:p>
        </w:tc>
      </w:tr>
      <w:tr w14:paraId="6BD3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1CD310A5">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40</w:t>
            </w:r>
          </w:p>
        </w:tc>
        <w:tc>
          <w:tcPr>
            <w:tcW w:w="3043" w:type="dxa"/>
            <w:vMerge w:val="continue"/>
            <w:noWrap w:val="0"/>
            <w:vAlign w:val="center"/>
          </w:tcPr>
          <w:p w14:paraId="62D7770A">
            <w:pPr>
              <w:spacing w:line="260" w:lineRule="exact"/>
              <w:jc w:val="center"/>
              <w:rPr>
                <w:rFonts w:hint="eastAsia" w:ascii="宋体" w:hAnsi="宋体" w:eastAsia="宋体" w:cs="宋体"/>
                <w:sz w:val="24"/>
                <w:szCs w:val="24"/>
                <w:highlight w:val="none"/>
              </w:rPr>
            </w:pPr>
          </w:p>
        </w:tc>
        <w:tc>
          <w:tcPr>
            <w:tcW w:w="4740" w:type="dxa"/>
            <w:noWrap w:val="0"/>
            <w:vAlign w:val="center"/>
          </w:tcPr>
          <w:p w14:paraId="164DFDA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用户管理</w:t>
            </w:r>
          </w:p>
        </w:tc>
      </w:tr>
      <w:tr w14:paraId="2F7A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3840F69">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41</w:t>
            </w:r>
          </w:p>
        </w:tc>
        <w:tc>
          <w:tcPr>
            <w:tcW w:w="3043" w:type="dxa"/>
            <w:vMerge w:val="continue"/>
            <w:noWrap w:val="0"/>
            <w:vAlign w:val="center"/>
          </w:tcPr>
          <w:p w14:paraId="4ED9F245">
            <w:pPr>
              <w:spacing w:line="260" w:lineRule="exact"/>
              <w:jc w:val="center"/>
              <w:rPr>
                <w:rFonts w:hint="eastAsia" w:ascii="宋体" w:hAnsi="宋体" w:eastAsia="宋体" w:cs="宋体"/>
                <w:sz w:val="24"/>
                <w:szCs w:val="24"/>
                <w:highlight w:val="none"/>
              </w:rPr>
            </w:pPr>
          </w:p>
        </w:tc>
        <w:tc>
          <w:tcPr>
            <w:tcW w:w="4740" w:type="dxa"/>
            <w:noWrap w:val="0"/>
            <w:vAlign w:val="center"/>
          </w:tcPr>
          <w:p w14:paraId="0CB3B2E9">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部门管理</w:t>
            </w:r>
          </w:p>
        </w:tc>
      </w:tr>
      <w:tr w14:paraId="3C51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B240AD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42</w:t>
            </w:r>
          </w:p>
        </w:tc>
        <w:tc>
          <w:tcPr>
            <w:tcW w:w="3043" w:type="dxa"/>
            <w:vMerge w:val="continue"/>
            <w:noWrap w:val="0"/>
            <w:vAlign w:val="center"/>
          </w:tcPr>
          <w:p w14:paraId="08F577DE">
            <w:pPr>
              <w:spacing w:line="260" w:lineRule="exact"/>
              <w:jc w:val="center"/>
              <w:rPr>
                <w:rFonts w:hint="eastAsia" w:ascii="宋体" w:hAnsi="宋体" w:eastAsia="宋体" w:cs="宋体"/>
                <w:sz w:val="24"/>
                <w:szCs w:val="24"/>
                <w:highlight w:val="none"/>
              </w:rPr>
            </w:pPr>
          </w:p>
        </w:tc>
        <w:tc>
          <w:tcPr>
            <w:tcW w:w="4740" w:type="dxa"/>
            <w:noWrap w:val="0"/>
            <w:vAlign w:val="center"/>
          </w:tcPr>
          <w:p w14:paraId="61EA75A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角色管理</w:t>
            </w:r>
          </w:p>
        </w:tc>
      </w:tr>
      <w:tr w14:paraId="433C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7BB02C5">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43</w:t>
            </w:r>
          </w:p>
        </w:tc>
        <w:tc>
          <w:tcPr>
            <w:tcW w:w="3043" w:type="dxa"/>
            <w:vMerge w:val="continue"/>
            <w:noWrap w:val="0"/>
            <w:vAlign w:val="center"/>
          </w:tcPr>
          <w:p w14:paraId="1A710BBA">
            <w:pPr>
              <w:spacing w:line="260" w:lineRule="exact"/>
              <w:jc w:val="center"/>
              <w:rPr>
                <w:rFonts w:hint="eastAsia" w:ascii="宋体" w:hAnsi="宋体" w:eastAsia="宋体" w:cs="宋体"/>
                <w:sz w:val="24"/>
                <w:szCs w:val="24"/>
                <w:highlight w:val="none"/>
              </w:rPr>
            </w:pPr>
          </w:p>
        </w:tc>
        <w:tc>
          <w:tcPr>
            <w:tcW w:w="4740" w:type="dxa"/>
            <w:noWrap w:val="0"/>
            <w:vAlign w:val="center"/>
          </w:tcPr>
          <w:p w14:paraId="14EB96B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权限管理</w:t>
            </w:r>
          </w:p>
        </w:tc>
      </w:tr>
      <w:tr w14:paraId="1EEA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5AB289E">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44</w:t>
            </w:r>
          </w:p>
        </w:tc>
        <w:tc>
          <w:tcPr>
            <w:tcW w:w="3043" w:type="dxa"/>
            <w:vMerge w:val="restart"/>
            <w:noWrap w:val="0"/>
            <w:vAlign w:val="center"/>
          </w:tcPr>
          <w:p w14:paraId="3E6E5951">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公众服务子系统</w:t>
            </w:r>
          </w:p>
        </w:tc>
        <w:tc>
          <w:tcPr>
            <w:tcW w:w="4740" w:type="dxa"/>
            <w:noWrap w:val="0"/>
            <w:vAlign w:val="center"/>
          </w:tcPr>
          <w:p w14:paraId="4B73361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信息发布</w:t>
            </w:r>
          </w:p>
        </w:tc>
      </w:tr>
      <w:tr w14:paraId="4993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1C98FD6">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45</w:t>
            </w:r>
          </w:p>
        </w:tc>
        <w:tc>
          <w:tcPr>
            <w:tcW w:w="3043" w:type="dxa"/>
            <w:vMerge w:val="continue"/>
            <w:noWrap w:val="0"/>
            <w:vAlign w:val="center"/>
          </w:tcPr>
          <w:p w14:paraId="2F3A1D00">
            <w:pPr>
              <w:spacing w:line="260" w:lineRule="exact"/>
              <w:jc w:val="center"/>
              <w:rPr>
                <w:rFonts w:hint="eastAsia" w:ascii="宋体" w:hAnsi="宋体" w:eastAsia="宋体" w:cs="宋体"/>
                <w:sz w:val="24"/>
                <w:szCs w:val="24"/>
                <w:highlight w:val="none"/>
              </w:rPr>
            </w:pPr>
          </w:p>
        </w:tc>
        <w:tc>
          <w:tcPr>
            <w:tcW w:w="4740" w:type="dxa"/>
            <w:noWrap w:val="0"/>
            <w:vAlign w:val="center"/>
          </w:tcPr>
          <w:p w14:paraId="533E1C1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公示公告</w:t>
            </w:r>
          </w:p>
        </w:tc>
      </w:tr>
      <w:tr w14:paraId="280B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5EF6B2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46</w:t>
            </w:r>
          </w:p>
        </w:tc>
        <w:tc>
          <w:tcPr>
            <w:tcW w:w="3043" w:type="dxa"/>
            <w:vMerge w:val="continue"/>
            <w:noWrap w:val="0"/>
            <w:vAlign w:val="center"/>
          </w:tcPr>
          <w:p w14:paraId="04BC2854">
            <w:pPr>
              <w:spacing w:line="260" w:lineRule="exact"/>
              <w:jc w:val="center"/>
              <w:rPr>
                <w:rFonts w:hint="eastAsia" w:ascii="宋体" w:hAnsi="宋体" w:eastAsia="宋体" w:cs="宋体"/>
                <w:sz w:val="24"/>
                <w:szCs w:val="24"/>
                <w:highlight w:val="none"/>
              </w:rPr>
            </w:pPr>
          </w:p>
        </w:tc>
        <w:tc>
          <w:tcPr>
            <w:tcW w:w="4740" w:type="dxa"/>
            <w:noWrap w:val="0"/>
            <w:vAlign w:val="center"/>
          </w:tcPr>
          <w:p w14:paraId="1B95870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账目公开</w:t>
            </w:r>
          </w:p>
        </w:tc>
      </w:tr>
      <w:tr w14:paraId="4B41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553D7554">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47</w:t>
            </w:r>
          </w:p>
        </w:tc>
        <w:tc>
          <w:tcPr>
            <w:tcW w:w="3043" w:type="dxa"/>
            <w:vMerge w:val="continue"/>
            <w:noWrap w:val="0"/>
            <w:vAlign w:val="center"/>
          </w:tcPr>
          <w:p w14:paraId="7B7E961D">
            <w:pPr>
              <w:spacing w:line="260" w:lineRule="exact"/>
              <w:jc w:val="center"/>
              <w:rPr>
                <w:rFonts w:hint="eastAsia" w:ascii="宋体" w:hAnsi="宋体" w:eastAsia="宋体" w:cs="宋体"/>
                <w:sz w:val="24"/>
                <w:szCs w:val="24"/>
                <w:highlight w:val="none"/>
              </w:rPr>
            </w:pPr>
          </w:p>
        </w:tc>
        <w:tc>
          <w:tcPr>
            <w:tcW w:w="4740" w:type="dxa"/>
            <w:noWrap w:val="0"/>
            <w:vAlign w:val="center"/>
          </w:tcPr>
          <w:p w14:paraId="4AD9EAE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投诉建议</w:t>
            </w:r>
          </w:p>
        </w:tc>
      </w:tr>
      <w:tr w14:paraId="790B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4E0C25A8">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48</w:t>
            </w:r>
          </w:p>
        </w:tc>
        <w:tc>
          <w:tcPr>
            <w:tcW w:w="3043" w:type="dxa"/>
            <w:vMerge w:val="continue"/>
            <w:noWrap w:val="0"/>
            <w:vAlign w:val="center"/>
          </w:tcPr>
          <w:p w14:paraId="2A5B7936">
            <w:pPr>
              <w:spacing w:line="260" w:lineRule="exact"/>
              <w:jc w:val="center"/>
              <w:rPr>
                <w:rFonts w:hint="eastAsia" w:ascii="宋体" w:hAnsi="宋体" w:eastAsia="宋体" w:cs="宋体"/>
                <w:sz w:val="24"/>
                <w:szCs w:val="24"/>
                <w:highlight w:val="none"/>
              </w:rPr>
            </w:pPr>
          </w:p>
        </w:tc>
        <w:tc>
          <w:tcPr>
            <w:tcW w:w="4740" w:type="dxa"/>
            <w:noWrap w:val="0"/>
            <w:vAlign w:val="center"/>
          </w:tcPr>
          <w:p w14:paraId="74218EE3">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企业名录</w:t>
            </w:r>
          </w:p>
        </w:tc>
      </w:tr>
      <w:tr w14:paraId="23D6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1CF28DBF">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49</w:t>
            </w:r>
          </w:p>
        </w:tc>
        <w:tc>
          <w:tcPr>
            <w:tcW w:w="3043" w:type="dxa"/>
            <w:vMerge w:val="continue"/>
            <w:noWrap w:val="0"/>
            <w:vAlign w:val="center"/>
          </w:tcPr>
          <w:p w14:paraId="7F8ACDD0">
            <w:pPr>
              <w:spacing w:line="260" w:lineRule="exact"/>
              <w:jc w:val="center"/>
              <w:rPr>
                <w:rFonts w:hint="eastAsia" w:ascii="宋体" w:hAnsi="宋体" w:eastAsia="宋体" w:cs="宋体"/>
                <w:sz w:val="24"/>
                <w:szCs w:val="24"/>
                <w:highlight w:val="none"/>
              </w:rPr>
            </w:pPr>
          </w:p>
        </w:tc>
        <w:tc>
          <w:tcPr>
            <w:tcW w:w="4740" w:type="dxa"/>
            <w:noWrap w:val="0"/>
            <w:vAlign w:val="center"/>
          </w:tcPr>
          <w:p w14:paraId="111761F0">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业务申报</w:t>
            </w:r>
          </w:p>
        </w:tc>
      </w:tr>
      <w:tr w14:paraId="545C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63028F20">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w:t>
            </w:r>
          </w:p>
        </w:tc>
        <w:tc>
          <w:tcPr>
            <w:tcW w:w="3043" w:type="dxa"/>
            <w:vMerge w:val="continue"/>
            <w:noWrap w:val="0"/>
            <w:vAlign w:val="center"/>
          </w:tcPr>
          <w:p w14:paraId="28C7F69A">
            <w:pPr>
              <w:spacing w:line="260" w:lineRule="exact"/>
              <w:jc w:val="center"/>
              <w:rPr>
                <w:rFonts w:hint="eastAsia" w:ascii="宋体" w:hAnsi="宋体" w:eastAsia="宋体" w:cs="宋体"/>
                <w:sz w:val="24"/>
                <w:szCs w:val="24"/>
                <w:highlight w:val="none"/>
              </w:rPr>
            </w:pPr>
          </w:p>
        </w:tc>
        <w:tc>
          <w:tcPr>
            <w:tcW w:w="4740" w:type="dxa"/>
            <w:noWrap w:val="0"/>
            <w:vAlign w:val="center"/>
          </w:tcPr>
          <w:p w14:paraId="186B6A9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业主查询</w:t>
            </w:r>
          </w:p>
        </w:tc>
      </w:tr>
      <w:tr w14:paraId="4947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noWrap w:val="0"/>
            <w:vAlign w:val="center"/>
          </w:tcPr>
          <w:p w14:paraId="263081B0">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51</w:t>
            </w:r>
          </w:p>
        </w:tc>
        <w:tc>
          <w:tcPr>
            <w:tcW w:w="3043" w:type="dxa"/>
            <w:vMerge w:val="continue"/>
            <w:noWrap w:val="0"/>
            <w:vAlign w:val="center"/>
          </w:tcPr>
          <w:p w14:paraId="13634789">
            <w:pPr>
              <w:spacing w:line="260" w:lineRule="exact"/>
              <w:jc w:val="center"/>
              <w:rPr>
                <w:rFonts w:hint="eastAsia" w:ascii="宋体" w:hAnsi="宋体" w:eastAsia="宋体" w:cs="宋体"/>
                <w:sz w:val="24"/>
                <w:szCs w:val="24"/>
                <w:highlight w:val="none"/>
              </w:rPr>
            </w:pPr>
          </w:p>
        </w:tc>
        <w:tc>
          <w:tcPr>
            <w:tcW w:w="4740" w:type="dxa"/>
            <w:noWrap w:val="0"/>
            <w:vAlign w:val="center"/>
          </w:tcPr>
          <w:p w14:paraId="234C798B">
            <w:pPr>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业务自助办理</w:t>
            </w:r>
          </w:p>
        </w:tc>
      </w:tr>
    </w:tbl>
    <w:p w14:paraId="5695DC4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bCs/>
          <w:sz w:val="24"/>
          <w:szCs w:val="18"/>
          <w:highlight w:val="none"/>
          <w:lang w:val="en-US" w:eastAsia="zh-CN"/>
        </w:rPr>
        <w:t>5.1.2</w:t>
      </w:r>
      <w:r>
        <w:rPr>
          <w:rFonts w:hint="eastAsia" w:ascii="宋体" w:hAnsi="宋体" w:eastAsia="宋体" w:cs="宋体"/>
          <w:bCs/>
          <w:sz w:val="24"/>
          <w:szCs w:val="24"/>
          <w:highlight w:val="none"/>
          <w:lang w:val="en-US" w:eastAsia="zh-CN"/>
        </w:rPr>
        <w:t>市本级系统功能升级：系统功能模块升级改造涵盖八大子系统，包括基础数据管理子系统、资金交存管理子系统、资金使用管理子系统、资金核算管理子系统、资金预警子系统、电子档案管理子系统、移动端服务子系统以及电子投票子系统，全面优化各子系统的功能内容。</w:t>
      </w:r>
    </w:p>
    <w:p w14:paraId="3904B9D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（1）基础数据管理子系统</w:t>
      </w:r>
    </w:p>
    <w:p w14:paraId="00EA97C3">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实现对物业管理区域数据和相关机构信息的采集和基本维护功能，具体功能包括物业管理区域及行政区域、楼幢、单元、分户、房屋性质等信息；共用设施设备信息；房屋开发建设单位、业主委员会、物业服务企业、公有售房单位、施工单位、审价单位等参与者相关数据和信息。</w:t>
      </w:r>
    </w:p>
    <w:p w14:paraId="7649C7A5">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升级改造的功能模块包括以下内容：</w:t>
      </w:r>
    </w:p>
    <w:tbl>
      <w:tblPr>
        <w:tblStyle w:val="28"/>
        <w:tblW w:w="5000" w:type="pct"/>
        <w:jc w:val="center"/>
        <w:tblLayout w:type="autofit"/>
        <w:tblCellMar>
          <w:top w:w="0" w:type="dxa"/>
          <w:left w:w="108" w:type="dxa"/>
          <w:bottom w:w="0" w:type="dxa"/>
          <w:right w:w="108" w:type="dxa"/>
        </w:tblCellMar>
      </w:tblPr>
      <w:tblGrid>
        <w:gridCol w:w="489"/>
        <w:gridCol w:w="854"/>
        <w:gridCol w:w="701"/>
        <w:gridCol w:w="1343"/>
        <w:gridCol w:w="5135"/>
      </w:tblGrid>
      <w:tr w14:paraId="75A4183D">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239C2">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50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BDD51">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子系统</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158FC">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模块</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B11D1">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子模块</w:t>
            </w:r>
          </w:p>
        </w:tc>
        <w:tc>
          <w:tcPr>
            <w:tcW w:w="30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BCE00">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功能描述</w:t>
            </w:r>
          </w:p>
        </w:tc>
      </w:tr>
      <w:tr w14:paraId="72D863A1">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noWrap w:val="0"/>
            <w:vAlign w:val="center"/>
          </w:tcPr>
          <w:p w14:paraId="70FEF55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501" w:type="pct"/>
            <w:vMerge w:val="restart"/>
            <w:tcBorders>
              <w:top w:val="single" w:color="000000" w:sz="4" w:space="0"/>
              <w:left w:val="single" w:color="000000" w:sz="4" w:space="0"/>
              <w:right w:val="single" w:color="000000" w:sz="4" w:space="0"/>
            </w:tcBorders>
            <w:noWrap w:val="0"/>
            <w:vAlign w:val="center"/>
          </w:tcPr>
          <w:p w14:paraId="408929D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基础数据管理子系统</w:t>
            </w:r>
          </w:p>
        </w:tc>
        <w:tc>
          <w:tcPr>
            <w:tcW w:w="411" w:type="pct"/>
            <w:vMerge w:val="restart"/>
            <w:tcBorders>
              <w:top w:val="single" w:color="000000" w:sz="4" w:space="0"/>
              <w:left w:val="single" w:color="000000" w:sz="4" w:space="0"/>
              <w:bottom w:val="single" w:color="000000" w:sz="4" w:space="0"/>
              <w:right w:val="single" w:color="000000" w:sz="4" w:space="0"/>
            </w:tcBorders>
            <w:noWrap w:val="0"/>
            <w:vAlign w:val="center"/>
          </w:tcPr>
          <w:p w14:paraId="2AB8C7B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物业管理区域管理</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61C30EA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物业管理区域拆分合并</w:t>
            </w:r>
          </w:p>
        </w:tc>
        <w:tc>
          <w:tcPr>
            <w:tcW w:w="3012" w:type="pct"/>
            <w:tcBorders>
              <w:top w:val="single" w:color="000000" w:sz="4" w:space="0"/>
              <w:left w:val="single" w:color="000000" w:sz="4" w:space="0"/>
              <w:bottom w:val="single" w:color="000000" w:sz="4" w:space="0"/>
              <w:right w:val="single" w:color="000000" w:sz="4" w:space="0"/>
            </w:tcBorders>
            <w:noWrap w:val="0"/>
            <w:vAlign w:val="center"/>
          </w:tcPr>
          <w:p w14:paraId="2175740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实现对现有物业管理区域、楼幢、单元数据分割和合并的功能。</w:t>
            </w:r>
          </w:p>
        </w:tc>
      </w:tr>
      <w:tr w14:paraId="5895E3D7">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noWrap w:val="0"/>
            <w:vAlign w:val="center"/>
          </w:tcPr>
          <w:p w14:paraId="3DE1E26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501" w:type="pct"/>
            <w:vMerge w:val="continue"/>
            <w:tcBorders>
              <w:left w:val="single" w:color="000000" w:sz="4" w:space="0"/>
              <w:right w:val="single" w:color="000000" w:sz="4" w:space="0"/>
            </w:tcBorders>
            <w:noWrap w:val="0"/>
            <w:vAlign w:val="center"/>
          </w:tcPr>
          <w:p w14:paraId="4DBDDA32">
            <w:pPr>
              <w:pStyle w:val="92"/>
              <w:spacing w:line="260" w:lineRule="exact"/>
              <w:rPr>
                <w:rFonts w:hint="eastAsia" w:ascii="宋体" w:hAnsi="宋体" w:eastAsia="宋体" w:cs="宋体"/>
                <w:sz w:val="24"/>
                <w:szCs w:val="24"/>
                <w:highlight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3C002E">
            <w:pPr>
              <w:pStyle w:val="92"/>
              <w:spacing w:line="260" w:lineRule="exact"/>
              <w:rPr>
                <w:rFonts w:hint="eastAsia" w:ascii="宋体" w:hAnsi="宋体" w:eastAsia="宋体" w:cs="宋体"/>
                <w:sz w:val="24"/>
                <w:szCs w:val="24"/>
                <w:highlight w:val="none"/>
              </w:rPr>
            </w:pP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546E4B7">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房屋补充</w:t>
            </w:r>
          </w:p>
        </w:tc>
        <w:tc>
          <w:tcPr>
            <w:tcW w:w="3012" w:type="pct"/>
            <w:tcBorders>
              <w:top w:val="single" w:color="000000" w:sz="4" w:space="0"/>
              <w:left w:val="single" w:color="000000" w:sz="4" w:space="0"/>
              <w:bottom w:val="single" w:color="000000" w:sz="4" w:space="0"/>
              <w:right w:val="single" w:color="000000" w:sz="4" w:space="0"/>
            </w:tcBorders>
            <w:noWrap w:val="0"/>
            <w:vAlign w:val="center"/>
          </w:tcPr>
          <w:p w14:paraId="33373A35">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实现对现有物业管理区域、楼幢、单元下的房屋数据补充的功能。</w:t>
            </w:r>
          </w:p>
        </w:tc>
      </w:tr>
      <w:tr w14:paraId="4AED33E4">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noWrap w:val="0"/>
            <w:vAlign w:val="center"/>
          </w:tcPr>
          <w:p w14:paraId="7A8E205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501" w:type="pct"/>
            <w:vMerge w:val="continue"/>
            <w:tcBorders>
              <w:left w:val="single" w:color="000000" w:sz="4" w:space="0"/>
              <w:right w:val="single" w:color="000000" w:sz="4" w:space="0"/>
            </w:tcBorders>
            <w:noWrap w:val="0"/>
            <w:vAlign w:val="center"/>
          </w:tcPr>
          <w:p w14:paraId="36536BF9">
            <w:pPr>
              <w:pStyle w:val="92"/>
              <w:spacing w:line="260" w:lineRule="exact"/>
              <w:rPr>
                <w:rFonts w:hint="eastAsia" w:ascii="宋体" w:hAnsi="宋体" w:eastAsia="宋体" w:cs="宋体"/>
                <w:sz w:val="24"/>
                <w:szCs w:val="24"/>
                <w:highlight w:val="none"/>
              </w:rPr>
            </w:pPr>
          </w:p>
        </w:tc>
        <w:tc>
          <w:tcPr>
            <w:tcW w:w="41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3D365">
            <w:pPr>
              <w:pStyle w:val="92"/>
              <w:spacing w:line="260" w:lineRule="exact"/>
              <w:rPr>
                <w:rFonts w:hint="eastAsia" w:ascii="宋体" w:hAnsi="宋体" w:eastAsia="宋体" w:cs="宋体"/>
                <w:sz w:val="24"/>
                <w:szCs w:val="24"/>
                <w:highlight w:val="none"/>
              </w:rPr>
            </w:pP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28426727">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房屋权属信息批量更新</w:t>
            </w:r>
          </w:p>
        </w:tc>
        <w:tc>
          <w:tcPr>
            <w:tcW w:w="3012" w:type="pct"/>
            <w:tcBorders>
              <w:top w:val="single" w:color="000000" w:sz="4" w:space="0"/>
              <w:left w:val="single" w:color="000000" w:sz="4" w:space="0"/>
              <w:bottom w:val="single" w:color="000000" w:sz="4" w:space="0"/>
              <w:right w:val="single" w:color="000000" w:sz="4" w:space="0"/>
            </w:tcBorders>
            <w:noWrap w:val="0"/>
            <w:vAlign w:val="center"/>
          </w:tcPr>
          <w:p w14:paraId="0987757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物业管理区域、楼幢、单元下房屋的业主信息进行批量更新的功能。</w:t>
            </w:r>
          </w:p>
        </w:tc>
      </w:tr>
      <w:tr w14:paraId="3FB51016">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19A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501" w:type="pct"/>
            <w:vMerge w:val="continue"/>
            <w:tcBorders>
              <w:left w:val="single" w:color="000000" w:sz="4" w:space="0"/>
              <w:bottom w:val="single" w:color="000000" w:sz="4" w:space="0"/>
              <w:right w:val="single" w:color="000000" w:sz="4" w:space="0"/>
            </w:tcBorders>
            <w:shd w:val="clear" w:color="auto" w:fill="auto"/>
            <w:noWrap w:val="0"/>
            <w:vAlign w:val="center"/>
          </w:tcPr>
          <w:p w14:paraId="4EE53CE2">
            <w:pPr>
              <w:pStyle w:val="92"/>
              <w:spacing w:line="260" w:lineRule="exact"/>
              <w:rPr>
                <w:rFonts w:hint="eastAsia" w:ascii="宋体" w:hAnsi="宋体" w:eastAsia="宋体" w:cs="宋体"/>
                <w:sz w:val="24"/>
                <w:szCs w:val="24"/>
                <w:highlight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A295E">
            <w:pPr>
              <w:pStyle w:val="92"/>
              <w:spacing w:line="260" w:lineRule="exact"/>
              <w:rPr>
                <w:rFonts w:hint="eastAsia" w:ascii="宋体" w:hAnsi="宋体" w:eastAsia="宋体" w:cs="宋体"/>
                <w:sz w:val="24"/>
                <w:szCs w:val="24"/>
                <w:highlight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7A26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关联物业服务企业</w:t>
            </w:r>
          </w:p>
        </w:tc>
        <w:tc>
          <w:tcPr>
            <w:tcW w:w="301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79C0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签订物业服务合同后，登记备案物业管理区域服务中标信息，备案通过后建立物业服务企业与物业管理区域的关联。</w:t>
            </w:r>
          </w:p>
        </w:tc>
      </w:tr>
    </w:tbl>
    <w:p w14:paraId="20E4D8D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（2）资金交存管理子系统</w:t>
      </w:r>
    </w:p>
    <w:p w14:paraId="4CF51689">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资金交存管理子系统提供各交存主体交存维修资金的功能，根据维修资金交存标准和房屋性质如商品房、集资建房、配套商品房等内置交存标准，实现系统自动核定应交金额、出具交存通知单、开发建设单位交款、业主交款、补交与续筹、退款、账户更名、交款凭证打印等功能。</w:t>
      </w:r>
    </w:p>
    <w:p w14:paraId="65F39574">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升级改造的功能模块包括以下内容：</w:t>
      </w:r>
    </w:p>
    <w:tbl>
      <w:tblPr>
        <w:tblStyle w:val="28"/>
        <w:tblW w:w="5000" w:type="pct"/>
        <w:jc w:val="center"/>
        <w:tblLayout w:type="autofit"/>
        <w:tblCellMar>
          <w:top w:w="0" w:type="dxa"/>
          <w:left w:w="108" w:type="dxa"/>
          <w:bottom w:w="0" w:type="dxa"/>
          <w:right w:w="108" w:type="dxa"/>
        </w:tblCellMar>
      </w:tblPr>
      <w:tblGrid>
        <w:gridCol w:w="488"/>
        <w:gridCol w:w="844"/>
        <w:gridCol w:w="714"/>
        <w:gridCol w:w="1326"/>
        <w:gridCol w:w="5150"/>
      </w:tblGrid>
      <w:tr w14:paraId="3545E949">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BDC24">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49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997BE">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子系统</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A8662">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模块</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413D9">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子模块</w:t>
            </w:r>
          </w:p>
        </w:tc>
        <w:tc>
          <w:tcPr>
            <w:tcW w:w="302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6BA19">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功能描述</w:t>
            </w:r>
          </w:p>
        </w:tc>
      </w:tr>
      <w:tr w14:paraId="6B88A1C6">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0A5B6F87">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495"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1AF0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资金交存管理子系统</w:t>
            </w:r>
          </w:p>
        </w:tc>
        <w:tc>
          <w:tcPr>
            <w:tcW w:w="419" w:type="pct"/>
            <w:vMerge w:val="restart"/>
            <w:tcBorders>
              <w:top w:val="single" w:color="000000" w:sz="4" w:space="0"/>
              <w:left w:val="single" w:color="000000" w:sz="4" w:space="0"/>
              <w:right w:val="single" w:color="000000" w:sz="4" w:space="0"/>
            </w:tcBorders>
            <w:noWrap w:val="0"/>
            <w:vAlign w:val="center"/>
          </w:tcPr>
          <w:p w14:paraId="1C37A87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交存管理</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7E923A9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开发商代交款</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3FE0411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实现开发商代业主交存维修资金，代打交款通知单的功能，支持打印房屋的交款清册。</w:t>
            </w:r>
          </w:p>
        </w:tc>
      </w:tr>
      <w:tr w14:paraId="1CD45791">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634FB364">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88D083">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7EC1F43C">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7B63549">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▲残值回充</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2010B89E">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实现维修资金残值回充到户。（投标文件中须提供功能页面截图）</w:t>
            </w:r>
          </w:p>
        </w:tc>
      </w:tr>
      <w:tr w14:paraId="3748CF4B">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6380A62A">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BAC7C">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3A684410">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315A8E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批量代打通知单</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09CA4C5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批量打印业主交款通知单。</w:t>
            </w:r>
          </w:p>
        </w:tc>
      </w:tr>
      <w:tr w14:paraId="78C2DC25">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3C7CBA88">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9792E2">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55CCBAED">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9067E78">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变更通知单确认时间</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5D179E15">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将通知单确认时间和对应的交易明细变更到指定的时间。</w:t>
            </w:r>
          </w:p>
        </w:tc>
      </w:tr>
      <w:tr w14:paraId="2885AD29">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3BA35912">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5</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1CB008">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2FF94DAA">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2A1983A7">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续筹交款</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710B493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当分户维修资金余额小于应交款的30%时，交存主体通过续筹交款功能完成续交。</w:t>
            </w:r>
          </w:p>
        </w:tc>
      </w:tr>
      <w:tr w14:paraId="2CB3A2DF">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1F999C3B">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E3602">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3DFC47F3">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67A598A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公有售房单位交款</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460FAF7A">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实现公有售房单位按照售房款比例交存维修资金的功能。</w:t>
            </w:r>
          </w:p>
        </w:tc>
      </w:tr>
      <w:tr w14:paraId="7F3CF158">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26AD211F">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7</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6576CE">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341AD1D6">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167B8E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打印交清证明</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5C2EB01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开发建设单位交款分解后、业主交款完成后，由银行打印交款凭证，系统实现符合票据管理要求的交款凭证打印功能。</w:t>
            </w:r>
          </w:p>
        </w:tc>
      </w:tr>
      <w:tr w14:paraId="69EE47FF">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5AB87C8B">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8</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AD1563">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082562E2">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467269ED">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交款查询</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0E91D72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查询房屋的维修资金应交款及维修资金交存情况。</w:t>
            </w:r>
          </w:p>
        </w:tc>
      </w:tr>
      <w:tr w14:paraId="5EDE4CAE">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14A60320">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9</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FCF6B0">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004571B5">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9CDA27C">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应交款调整</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4F50337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可调整房屋的应交款金额。</w:t>
            </w:r>
          </w:p>
        </w:tc>
      </w:tr>
      <w:tr w14:paraId="71305F27">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061CBFFA">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1EBFC0">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39524EA1">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AC8ED0D">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附件上传管理</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58B932C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提供给银行上传专户每日的收款流水凭证。</w:t>
            </w:r>
          </w:p>
        </w:tc>
      </w:tr>
      <w:tr w14:paraId="34F6C6C5">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285985A5">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1AE2E4">
            <w:pPr>
              <w:pStyle w:val="92"/>
              <w:spacing w:line="260" w:lineRule="exact"/>
              <w:jc w:val="left"/>
              <w:rPr>
                <w:rFonts w:hint="eastAsia" w:ascii="宋体" w:hAnsi="宋体" w:eastAsia="宋体" w:cs="宋体"/>
                <w:sz w:val="24"/>
                <w:szCs w:val="24"/>
                <w:highlight w:val="none"/>
              </w:rPr>
            </w:pPr>
          </w:p>
        </w:tc>
        <w:tc>
          <w:tcPr>
            <w:tcW w:w="419" w:type="pct"/>
            <w:vMerge w:val="restart"/>
            <w:tcBorders>
              <w:top w:val="single" w:color="000000" w:sz="4" w:space="0"/>
              <w:left w:val="single" w:color="000000" w:sz="4" w:space="0"/>
              <w:right w:val="single" w:color="000000" w:sz="4" w:space="0"/>
            </w:tcBorders>
            <w:noWrap w:val="0"/>
            <w:vAlign w:val="center"/>
          </w:tcPr>
          <w:p w14:paraId="36E98EFD">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票据管理</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243A3F4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票据管理</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7CCB137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实现对维修资金票据的登记、票据编号、票据状态更新、票据台账查询、票据查询功能。</w:t>
            </w:r>
          </w:p>
        </w:tc>
      </w:tr>
      <w:tr w14:paraId="1AF0544C">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3FBB5BDF">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7176C">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6764A69C">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EEF7EB4">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票据统计</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3D9A5ED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对维修资金票据的入库、领用、核销信息进行统计汇总。</w:t>
            </w:r>
          </w:p>
        </w:tc>
      </w:tr>
      <w:tr w14:paraId="2A086820">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77E76A14">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FAB112">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right w:val="single" w:color="000000" w:sz="4" w:space="0"/>
            </w:tcBorders>
            <w:noWrap w:val="0"/>
            <w:vAlign w:val="center"/>
          </w:tcPr>
          <w:p w14:paraId="26CA6123">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49491635">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票据查询</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397889F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支持按业务单号、开票日期、开票类型、开票状态等条件进行票据信息的综合查询功能。</w:t>
            </w:r>
          </w:p>
        </w:tc>
      </w:tr>
      <w:tr w14:paraId="51101139">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6666BFBC">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52145">
            <w:pPr>
              <w:pStyle w:val="92"/>
              <w:spacing w:line="260" w:lineRule="exact"/>
              <w:jc w:val="left"/>
              <w:rPr>
                <w:rFonts w:hint="eastAsia" w:ascii="宋体" w:hAnsi="宋体" w:eastAsia="宋体" w:cs="宋体"/>
                <w:sz w:val="24"/>
                <w:szCs w:val="24"/>
                <w:highlight w:val="none"/>
              </w:rPr>
            </w:pPr>
          </w:p>
        </w:tc>
        <w:tc>
          <w:tcPr>
            <w:tcW w:w="419" w:type="pct"/>
            <w:vMerge w:val="continue"/>
            <w:tcBorders>
              <w:left w:val="single" w:color="000000" w:sz="4" w:space="0"/>
              <w:bottom w:val="single" w:color="000000" w:sz="4" w:space="0"/>
              <w:right w:val="single" w:color="000000" w:sz="4" w:space="0"/>
            </w:tcBorders>
            <w:noWrap w:val="0"/>
            <w:vAlign w:val="center"/>
          </w:tcPr>
          <w:p w14:paraId="0068C7B5">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945B2F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纸质票据上传</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085F312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上传历史所有开具的纸质票据。</w:t>
            </w:r>
          </w:p>
        </w:tc>
      </w:tr>
      <w:tr w14:paraId="18E74F8C">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509195AC">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96B855">
            <w:pPr>
              <w:pStyle w:val="92"/>
              <w:spacing w:line="260" w:lineRule="exact"/>
              <w:jc w:val="left"/>
              <w:rPr>
                <w:rFonts w:hint="eastAsia" w:ascii="宋体" w:hAnsi="宋体" w:eastAsia="宋体" w:cs="宋体"/>
                <w:sz w:val="24"/>
                <w:szCs w:val="24"/>
                <w:highlight w:val="none"/>
              </w:rPr>
            </w:pPr>
          </w:p>
        </w:tc>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6794092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退款管理</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7B20F39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公有售房单位退款</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65984DC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实现对公有售房单位交存的维修资金退款的功能，退款同时记录退款的类型和原因。</w:t>
            </w:r>
          </w:p>
        </w:tc>
      </w:tr>
      <w:tr w14:paraId="2D45D76C">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7F9C936A">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16</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0215F7">
            <w:pPr>
              <w:pStyle w:val="92"/>
              <w:spacing w:line="260" w:lineRule="exact"/>
              <w:jc w:val="lef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A94F4E">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4405C7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房屋退款</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5E64C3B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因房屋拆迁或者其他原因造成房屋灭失的，支持将退款房屋账面余额及利息退还给业主，同时将对应的账户灭失。</w:t>
            </w:r>
          </w:p>
        </w:tc>
      </w:tr>
      <w:tr w14:paraId="2162B2F7">
        <w:tblPrEx>
          <w:tblCellMar>
            <w:top w:w="0" w:type="dxa"/>
            <w:left w:w="108" w:type="dxa"/>
            <w:bottom w:w="0" w:type="dxa"/>
            <w:right w:w="108" w:type="dxa"/>
          </w:tblCellMar>
        </w:tblPrEx>
        <w:trPr>
          <w:jc w:val="center"/>
        </w:trPr>
        <w:tc>
          <w:tcPr>
            <w:tcW w:w="286" w:type="pct"/>
            <w:tcBorders>
              <w:top w:val="single" w:color="000000" w:sz="4" w:space="0"/>
              <w:left w:val="single" w:color="000000" w:sz="4" w:space="0"/>
              <w:bottom w:val="single" w:color="000000" w:sz="4" w:space="0"/>
              <w:right w:val="single" w:color="000000" w:sz="4" w:space="0"/>
            </w:tcBorders>
            <w:noWrap w:val="0"/>
            <w:vAlign w:val="center"/>
          </w:tcPr>
          <w:p w14:paraId="4EF8E7BC">
            <w:pPr>
              <w:pStyle w:val="92"/>
              <w:spacing w:line="26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17</w:t>
            </w:r>
          </w:p>
        </w:tc>
        <w:tc>
          <w:tcPr>
            <w:tcW w:w="49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ADC4FD">
            <w:pPr>
              <w:pStyle w:val="92"/>
              <w:spacing w:line="260" w:lineRule="exact"/>
              <w:jc w:val="lef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FC1B4C">
            <w:pPr>
              <w:pStyle w:val="92"/>
              <w:spacing w:line="260" w:lineRule="exact"/>
              <w:jc w:val="lef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C0DBABA">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楼栋退款</w:t>
            </w:r>
          </w:p>
        </w:tc>
        <w:tc>
          <w:tcPr>
            <w:tcW w:w="3021" w:type="pct"/>
            <w:tcBorders>
              <w:top w:val="single" w:color="000000" w:sz="4" w:space="0"/>
              <w:left w:val="single" w:color="000000" w:sz="4" w:space="0"/>
              <w:bottom w:val="single" w:color="000000" w:sz="4" w:space="0"/>
              <w:right w:val="single" w:color="000000" w:sz="4" w:space="0"/>
            </w:tcBorders>
            <w:noWrap w:val="0"/>
            <w:vAlign w:val="center"/>
          </w:tcPr>
          <w:p w14:paraId="40F4523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实现按整个楼栋进行退款。</w:t>
            </w:r>
          </w:p>
        </w:tc>
      </w:tr>
    </w:tbl>
    <w:p w14:paraId="31F92650">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（3）资金使用管理子系统</w:t>
      </w:r>
    </w:p>
    <w:p w14:paraId="429CAEAB">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资金使用管理子系统提供普通维修、紧急维修各模式下的使用备案申请（项目申报）、使用分摊、公示</w:t>
      </w:r>
      <w:r>
        <w:rPr>
          <w:rFonts w:hint="eastAsia" w:ascii="宋体" w:hAnsi="宋体" w:eastAsia="宋体" w:cs="宋体"/>
          <w:bCs/>
          <w:sz w:val="24"/>
          <w:szCs w:val="24"/>
          <w:highlight w:val="none"/>
          <w:lang w:val="en-US" w:eastAsia="zh-CN"/>
        </w:rPr>
        <w:t>（使用和验收公示功能页面增加上传附件功能，该功能上传的附件只对市、区权限可见，所传附件同步到项目立项附件中）</w:t>
      </w:r>
      <w:r>
        <w:rPr>
          <w:rFonts w:hint="default" w:ascii="宋体" w:hAnsi="宋体" w:eastAsia="宋体" w:cs="宋体"/>
          <w:bCs/>
          <w:sz w:val="24"/>
          <w:szCs w:val="24"/>
          <w:highlight w:val="none"/>
          <w:lang w:val="en-US" w:eastAsia="zh-CN"/>
        </w:rPr>
        <w:t>、业主表决、资金拨付申请与拨付、资金退回、超期项目管理等业务操作功能。同时推出子项目功能，对使用项目信息展示进行了重新设计，以卡片式展现，方便申请单位更好地查看和发起下个节点的操作。</w:t>
      </w:r>
    </w:p>
    <w:p w14:paraId="650A54C8">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该系统下的模块需要增加按条件筛选查询功能，查询数据可以导出。如按照物业企业名称、施工单位名称、审计单位名称，时间段等查询项目列表。</w:t>
      </w:r>
    </w:p>
    <w:p w14:paraId="623E2D96">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升级改造的功能模块包括以下内容：</w:t>
      </w:r>
    </w:p>
    <w:tbl>
      <w:tblPr>
        <w:tblStyle w:val="28"/>
        <w:tblW w:w="5000" w:type="pct"/>
        <w:jc w:val="center"/>
        <w:tblLayout w:type="autofit"/>
        <w:tblCellMar>
          <w:top w:w="0" w:type="dxa"/>
          <w:left w:w="108" w:type="dxa"/>
          <w:bottom w:w="0" w:type="dxa"/>
          <w:right w:w="108" w:type="dxa"/>
        </w:tblCellMar>
      </w:tblPr>
      <w:tblGrid>
        <w:gridCol w:w="530"/>
        <w:gridCol w:w="813"/>
        <w:gridCol w:w="714"/>
        <w:gridCol w:w="1326"/>
        <w:gridCol w:w="5139"/>
      </w:tblGrid>
      <w:tr w14:paraId="7775AE9B">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DC997">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3EA38">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子系统</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4070A">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模块</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DC267">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子模块</w:t>
            </w:r>
          </w:p>
        </w:tc>
        <w:tc>
          <w:tcPr>
            <w:tcW w:w="30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A19BE">
            <w:pPr>
              <w:pStyle w:val="92"/>
              <w:spacing w:line="26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功能描述</w:t>
            </w:r>
          </w:p>
        </w:tc>
      </w:tr>
      <w:tr w14:paraId="09172204">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26F7208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477" w:type="pct"/>
            <w:vMerge w:val="restart"/>
            <w:tcBorders>
              <w:top w:val="single" w:color="000000" w:sz="4" w:space="0"/>
              <w:left w:val="single" w:color="000000" w:sz="4" w:space="0"/>
              <w:bottom w:val="single" w:color="000000" w:sz="4" w:space="0"/>
              <w:right w:val="single" w:color="000000" w:sz="4" w:space="0"/>
            </w:tcBorders>
            <w:noWrap w:val="0"/>
            <w:vAlign w:val="center"/>
          </w:tcPr>
          <w:p w14:paraId="7655716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资金使用管理子系统</w:t>
            </w:r>
          </w:p>
        </w:tc>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7C0F1C6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使用类型</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1A2249B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普通使用</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7A8361E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共有部分、共用设施设备在保修期外需要进行正常维修、改造或更新的项目，可以发起维修资金的普通使用。普通使用适用于常规的、计划内的维护和更新，确保设施设备的正常运行和安全性。</w:t>
            </w:r>
          </w:p>
        </w:tc>
      </w:tr>
      <w:tr w14:paraId="7EDD68B0">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4296F12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388E68">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57DA0">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5F6961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紧急使用</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446B104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共有部分、共用设施设备在保修期外遇到紧急情况，需要立即进行维修、改造或更新的项目，可以发起维修资金的紧急使用。紧急使用适用于突发的、不可预见的情况，以迅速恢复设施设备的正常运行，保障住户的安全和生活质量。</w:t>
            </w:r>
          </w:p>
        </w:tc>
      </w:tr>
      <w:tr w14:paraId="6A6A7521">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5E23C2A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A989E3">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C05FD5">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2FCAD8D">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▲自定义</w:t>
            </w:r>
            <w:r>
              <w:rPr>
                <w:rFonts w:hint="eastAsia" w:ascii="宋体" w:hAnsi="宋体" w:eastAsia="宋体" w:cs="宋体"/>
                <w:sz w:val="24"/>
                <w:szCs w:val="24"/>
                <w:highlight w:val="none"/>
              </w:rPr>
              <w:t>使用</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2F2BE15E">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对于</w:t>
            </w:r>
            <w:r>
              <w:rPr>
                <w:rFonts w:hint="eastAsia" w:ascii="宋体" w:hAnsi="宋体" w:eastAsia="宋体" w:cs="宋体"/>
                <w:sz w:val="24"/>
                <w:szCs w:val="24"/>
                <w:highlight w:val="none"/>
                <w:lang w:val="en-US" w:eastAsia="zh-CN"/>
              </w:rPr>
              <w:t>日常使用流程无法满足的</w:t>
            </w:r>
            <w:r>
              <w:rPr>
                <w:rFonts w:hint="eastAsia" w:ascii="宋体" w:hAnsi="宋体" w:eastAsia="宋体" w:cs="宋体"/>
                <w:sz w:val="24"/>
                <w:szCs w:val="24"/>
                <w:highlight w:val="none"/>
              </w:rPr>
              <w:t>物业管理区域内共有部位、共用设施设备</w:t>
            </w:r>
            <w:r>
              <w:rPr>
                <w:rFonts w:hint="eastAsia" w:ascii="宋体" w:hAnsi="宋体" w:eastAsia="宋体" w:cs="宋体"/>
                <w:sz w:val="24"/>
                <w:szCs w:val="24"/>
                <w:highlight w:val="none"/>
                <w:lang w:val="en-US" w:eastAsia="zh-CN"/>
              </w:rPr>
              <w:t>使用</w:t>
            </w:r>
            <w:r>
              <w:rPr>
                <w:rFonts w:hint="eastAsia" w:ascii="宋体" w:hAnsi="宋体" w:eastAsia="宋体" w:cs="宋体"/>
                <w:sz w:val="24"/>
                <w:szCs w:val="24"/>
                <w:highlight w:val="none"/>
              </w:rPr>
              <w:t>项目，可</w:t>
            </w:r>
            <w:r>
              <w:rPr>
                <w:rFonts w:hint="eastAsia" w:ascii="宋体" w:hAnsi="宋体" w:eastAsia="宋体" w:cs="宋体"/>
                <w:sz w:val="24"/>
                <w:szCs w:val="24"/>
                <w:highlight w:val="none"/>
                <w:lang w:val="en-US" w:eastAsia="zh-CN"/>
              </w:rPr>
              <w:t>根据需求发起自定义项目，如电梯保险等</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369AED2E">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279F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FFC7">
            <w:pPr>
              <w:pStyle w:val="92"/>
              <w:spacing w:line="260" w:lineRule="exact"/>
              <w:rPr>
                <w:rFonts w:hint="eastAsia" w:ascii="宋体" w:hAnsi="宋体" w:eastAsia="宋体" w:cs="宋体"/>
                <w:sz w:val="24"/>
                <w:szCs w:val="24"/>
                <w:highlight w:val="none"/>
              </w:rPr>
            </w:pPr>
          </w:p>
        </w:tc>
        <w:tc>
          <w:tcPr>
            <w:tcW w:w="4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8FD6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使用申报</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D1CF7">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现场勘查</w:t>
            </w:r>
          </w:p>
        </w:tc>
        <w:tc>
          <w:tcPr>
            <w:tcW w:w="30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55DC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实现工作人员通过微信公众号进行现场勘察工作，可在现场进行拍照取证，以确认维修项目的真实性。</w:t>
            </w:r>
          </w:p>
        </w:tc>
      </w:tr>
      <w:tr w14:paraId="18D5606F">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C96A5">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29C57">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290EB">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4DC8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打印项目资料</w:t>
            </w:r>
          </w:p>
        </w:tc>
        <w:tc>
          <w:tcPr>
            <w:tcW w:w="30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67EAA">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支持维修资金使用项目要件的在线打印。</w:t>
            </w:r>
          </w:p>
        </w:tc>
      </w:tr>
      <w:tr w14:paraId="05730745">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E714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AD842">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C1E52">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7BAF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项目审价</w:t>
            </w:r>
          </w:p>
        </w:tc>
        <w:tc>
          <w:tcPr>
            <w:tcW w:w="30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FD36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实现第三方审价公司将审价结果录入系统中。</w:t>
            </w:r>
          </w:p>
        </w:tc>
      </w:tr>
      <w:tr w14:paraId="44B75736">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4035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4AB62">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3EA8F">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2885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项目审核</w:t>
            </w:r>
          </w:p>
        </w:tc>
        <w:tc>
          <w:tcPr>
            <w:tcW w:w="30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4398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实现对项目申报信息的审核功能，支持多级审核，包括受理、初审、复审和终审。审核流程可自定义。</w:t>
            </w:r>
          </w:p>
        </w:tc>
      </w:tr>
      <w:tr w14:paraId="638C9FFE">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6329946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8DD58">
            <w:pPr>
              <w:pStyle w:val="92"/>
              <w:spacing w:line="260" w:lineRule="exact"/>
              <w:rPr>
                <w:rFonts w:hint="eastAsia" w:ascii="宋体" w:hAnsi="宋体" w:eastAsia="宋体" w:cs="宋体"/>
                <w:sz w:val="24"/>
                <w:szCs w:val="24"/>
                <w:highlight w:val="none"/>
              </w:rPr>
            </w:pPr>
          </w:p>
        </w:tc>
        <w:tc>
          <w:tcPr>
            <w:tcW w:w="419" w:type="pct"/>
            <w:vMerge w:val="restart"/>
            <w:tcBorders>
              <w:top w:val="single" w:color="000000" w:sz="4" w:space="0"/>
              <w:left w:val="single" w:color="000000" w:sz="4" w:space="0"/>
              <w:bottom w:val="single" w:color="000000" w:sz="4" w:space="0"/>
              <w:right w:val="single" w:color="000000" w:sz="4" w:space="0"/>
            </w:tcBorders>
            <w:noWrap w:val="0"/>
            <w:vAlign w:val="center"/>
          </w:tcPr>
          <w:p w14:paraId="4FBA5CE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资金拨付</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17B1A34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首期资金拨付申请</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652AAAE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线上填写首期拨付单。</w:t>
            </w:r>
          </w:p>
        </w:tc>
      </w:tr>
      <w:tr w14:paraId="7FF16421">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4119B5A5">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D40C18">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20D65E">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E1BB957">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首期拨付</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27B0C30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填写首期拨付内容及金额，打印拨付单。</w:t>
            </w:r>
          </w:p>
        </w:tc>
      </w:tr>
      <w:tr w14:paraId="41FA065B">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35A9138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F20EB">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A38C5">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7C50E3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中期拨付申请</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7D3BCDC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维修资金项目进行中，支持中期金额的拨付申请。</w:t>
            </w:r>
          </w:p>
        </w:tc>
      </w:tr>
      <w:tr w14:paraId="445CE539">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33ECB7F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789EC">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146C7B">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C19016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中期拨付</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347252C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填写中期拨付内容及金额，打印拨付单。</w:t>
            </w:r>
          </w:p>
        </w:tc>
      </w:tr>
      <w:tr w14:paraId="64DED0D0">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50D324A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DFE7B">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64CE6">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0FB841D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验收拨付申请</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459482C8">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维修资金项目验收完成后，支持验收拨付的拨付申请。</w:t>
            </w:r>
          </w:p>
        </w:tc>
      </w:tr>
      <w:tr w14:paraId="3578E462">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4B9509F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DF010C">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13C3EE">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FF8802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验收拨付</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005C0B17">
            <w:pPr>
              <w:pStyle w:val="92"/>
              <w:spacing w:line="260" w:lineRule="exact"/>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填写验收拨付内容及金额，打印拨付单。</w:t>
            </w:r>
            <w:r>
              <w:rPr>
                <w:rFonts w:hint="eastAsia" w:ascii="宋体" w:hAnsi="宋体" w:eastAsia="宋体" w:cs="宋体"/>
                <w:sz w:val="24"/>
                <w:szCs w:val="24"/>
                <w:highlight w:val="none"/>
                <w:lang w:val="en-US" w:eastAsia="zh-CN"/>
              </w:rPr>
              <w:t>施工单位是同一家的，支持多笔拨付业务单合并拨付，支持自动计算，扣除质保金。（投标文件中须提供功能页面截图）</w:t>
            </w:r>
          </w:p>
        </w:tc>
      </w:tr>
      <w:tr w14:paraId="2E7E8EC1">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7E622F8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F0B869">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E898CC">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1E85CAC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质保金拨付申请</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7259BBED">
            <w:pPr>
              <w:pStyle w:val="92"/>
              <w:spacing w:line="260" w:lineRule="exact"/>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保质期满后，线上填写质保金拨付申请单。</w:t>
            </w:r>
            <w:r>
              <w:rPr>
                <w:rFonts w:hint="eastAsia" w:ascii="宋体" w:hAnsi="宋体" w:eastAsia="宋体" w:cs="宋体"/>
                <w:sz w:val="24"/>
                <w:szCs w:val="24"/>
                <w:highlight w:val="none"/>
                <w:lang w:val="en-US" w:eastAsia="zh-CN"/>
              </w:rPr>
              <w:t>使用统计报表调整报表时需抓取所有已拨付的项目。（投标文件中须提供功能页面截图）</w:t>
            </w:r>
          </w:p>
        </w:tc>
      </w:tr>
      <w:tr w14:paraId="036C9BFC">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1A24E67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B8145D">
            <w:pPr>
              <w:pStyle w:val="92"/>
              <w:spacing w:line="260" w:lineRule="exact"/>
              <w:rPr>
                <w:rFonts w:hint="eastAsia" w:ascii="宋体" w:hAnsi="宋体" w:eastAsia="宋体" w:cs="宋体"/>
                <w:sz w:val="24"/>
                <w:szCs w:val="24"/>
                <w:highlight w:val="none"/>
              </w:rPr>
            </w:pPr>
          </w:p>
        </w:tc>
        <w:tc>
          <w:tcPr>
            <w:tcW w:w="4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FDF2CE">
            <w:pPr>
              <w:pStyle w:val="92"/>
              <w:spacing w:line="260" w:lineRule="exact"/>
              <w:rPr>
                <w:rFonts w:hint="eastAsia" w:ascii="宋体" w:hAnsi="宋体" w:eastAsia="宋体" w:cs="宋体"/>
                <w:sz w:val="24"/>
                <w:szCs w:val="24"/>
                <w:highlight w:val="none"/>
              </w:rPr>
            </w:pP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77BF78D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质保金拨付</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1E0F4F94">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填写质保金拨付金额及内容，打印拨付通知单。</w:t>
            </w:r>
          </w:p>
        </w:tc>
      </w:tr>
      <w:tr w14:paraId="2FAF514F">
        <w:tblPrEx>
          <w:tblCellMar>
            <w:top w:w="0" w:type="dxa"/>
            <w:left w:w="108" w:type="dxa"/>
            <w:bottom w:w="0" w:type="dxa"/>
            <w:right w:w="108" w:type="dxa"/>
          </w:tblCellMar>
        </w:tblPrEx>
        <w:trPr>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14:paraId="7CFC981D">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16</w:t>
            </w: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B747C">
            <w:pPr>
              <w:pStyle w:val="92"/>
              <w:spacing w:line="260" w:lineRule="exact"/>
              <w:rPr>
                <w:rFonts w:hint="eastAsia" w:ascii="宋体" w:hAnsi="宋体" w:eastAsia="宋体" w:cs="宋体"/>
                <w:sz w:val="24"/>
                <w:szCs w:val="24"/>
                <w:highlight w:val="none"/>
              </w:rPr>
            </w:pPr>
          </w:p>
        </w:tc>
        <w:tc>
          <w:tcPr>
            <w:tcW w:w="419" w:type="pct"/>
            <w:tcBorders>
              <w:top w:val="single" w:color="000000" w:sz="4" w:space="0"/>
              <w:left w:val="single" w:color="000000" w:sz="4" w:space="0"/>
              <w:bottom w:val="single" w:color="000000" w:sz="4" w:space="0"/>
              <w:right w:val="single" w:color="000000" w:sz="4" w:space="0"/>
            </w:tcBorders>
            <w:noWrap w:val="0"/>
            <w:vAlign w:val="center"/>
          </w:tcPr>
          <w:p w14:paraId="171995C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验收结算</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2F967AA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项目终止</w:t>
            </w:r>
          </w:p>
        </w:tc>
        <w:tc>
          <w:tcPr>
            <w:tcW w:w="3014" w:type="pct"/>
            <w:tcBorders>
              <w:top w:val="single" w:color="000000" w:sz="4" w:space="0"/>
              <w:left w:val="single" w:color="000000" w:sz="4" w:space="0"/>
              <w:bottom w:val="single" w:color="000000" w:sz="4" w:space="0"/>
              <w:right w:val="single" w:color="000000" w:sz="4" w:space="0"/>
            </w:tcBorders>
            <w:noWrap w:val="0"/>
            <w:vAlign w:val="center"/>
          </w:tcPr>
          <w:p w14:paraId="3DF7192C">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实现对不同阶段的项目进行项目终止功能，并支持相关账目的自动处理。</w:t>
            </w:r>
          </w:p>
        </w:tc>
      </w:tr>
    </w:tbl>
    <w:p w14:paraId="2795D86E">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（4）资金核算管理子系统</w:t>
      </w:r>
    </w:p>
    <w:p w14:paraId="5273CBED">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根据</w:t>
      </w:r>
      <w:r>
        <w:rPr>
          <w:rFonts w:hint="default" w:ascii="宋体" w:hAnsi="宋体" w:eastAsia="宋体" w:cs="宋体"/>
          <w:bCs/>
          <w:sz w:val="24"/>
          <w:szCs w:val="24"/>
          <w:highlight w:val="none"/>
          <w:lang w:val="en-US" w:eastAsia="zh-CN"/>
        </w:rPr>
        <w:t>《住宅专项维修资金会计核算办法》，基于办法的要求，设计了全新的专项针对维修资金核算的资金核算子系统，遵循收付实现制原则，包括建账、核算、对账、统计分析等功能。设账层级为：物业管理区域→楼幢→单元→分户，自动生成业务凭证和导出，分物业管理区域统计相关数据，便于与会计核算系统进行核对。子系统建立起业务、财务、银行三方严格的对账机制，提供对账管理功能，确保数据的高度准确。</w:t>
      </w:r>
      <w:r>
        <w:rPr>
          <w:rFonts w:hint="eastAsia" w:ascii="宋体" w:hAnsi="宋体" w:eastAsia="宋体" w:cs="宋体"/>
          <w:bCs/>
          <w:sz w:val="24"/>
          <w:szCs w:val="24"/>
          <w:highlight w:val="none"/>
          <w:lang w:val="en-US" w:eastAsia="zh-CN"/>
        </w:rPr>
        <w:t>同时，该系统下的每一个模块必须具备按照年、月、日查询交存、使用、利息分配等数据并生成报表的功能，报表可导出。新系统核算模块各类报表，均需支持从每套房屋的历史交存、使用明细数据中提取生成。例如部分房屋于2000年发生交存业务，通过调取该年度房屋交存明细数据，即可生成对应2000年度交存汇总表。</w:t>
      </w:r>
    </w:p>
    <w:p w14:paraId="0BAD6AE3">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升级改造的功能模块包括以下内容：</w:t>
      </w:r>
    </w:p>
    <w:tbl>
      <w:tblPr>
        <w:tblStyle w:val="28"/>
        <w:tblW w:w="5000" w:type="pct"/>
        <w:jc w:val="center"/>
        <w:tblLayout w:type="autofit"/>
        <w:tblCellMar>
          <w:top w:w="0" w:type="dxa"/>
          <w:left w:w="108" w:type="dxa"/>
          <w:bottom w:w="0" w:type="dxa"/>
          <w:right w:w="108" w:type="dxa"/>
        </w:tblCellMar>
      </w:tblPr>
      <w:tblGrid>
        <w:gridCol w:w="581"/>
        <w:gridCol w:w="805"/>
        <w:gridCol w:w="771"/>
        <w:gridCol w:w="1385"/>
        <w:gridCol w:w="4980"/>
      </w:tblGrid>
      <w:tr w14:paraId="20F259C1">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93A22">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66CB6">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子系统</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30B1E">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模块</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E6F7A">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子模块</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F2AF73">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功能描述</w:t>
            </w:r>
          </w:p>
        </w:tc>
      </w:tr>
      <w:tr w14:paraId="7049097B">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3AF5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E31C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资金核算管理子系统</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B83A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初始化建账</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C035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账套管理</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C5AEC">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系统支持多账套管理，可适应商品房、公房合并建账或单独建账的情况。</w:t>
            </w:r>
          </w:p>
        </w:tc>
      </w:tr>
      <w:tr w14:paraId="211D707E">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0463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97A11">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B8CB9">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58FE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会计期间管理</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B8935">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系统可自动为账套生成选择年度的12个会计期间，年底结账后可自动生成下一年度的会计期间。</w:t>
            </w:r>
          </w:p>
        </w:tc>
      </w:tr>
      <w:tr w14:paraId="022BE092">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A56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03BD4">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B380C">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5838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专户银行管理</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C4BE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系统可添加该账套的专户银行信息，设置后系统能通过接口自动获取专户银行流水数据。</w:t>
            </w:r>
          </w:p>
        </w:tc>
      </w:tr>
      <w:tr w14:paraId="41F6C7BA">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3AB4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01A5">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0BA28">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9F22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科目管理</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A4268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在科目管理中，可通过批量导入或手工录入方式对明细科目及辅助核算项进行管理，如新增子科目、设置末级科目辅助核算类型、设置凭证动态属性、是否启用科目。</w:t>
            </w:r>
          </w:p>
        </w:tc>
      </w:tr>
      <w:tr w14:paraId="2A331A75">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9FBA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577B0">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35D49">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4F50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历史数据管理</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7FBB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满足旧系统历史数据无损迁移至新系统，同时</w:t>
            </w:r>
            <w:r>
              <w:rPr>
                <w:rFonts w:hint="eastAsia" w:ascii="宋体" w:hAnsi="宋体" w:eastAsia="宋体" w:cs="宋体"/>
                <w:sz w:val="24"/>
                <w:szCs w:val="24"/>
                <w:highlight w:val="none"/>
              </w:rPr>
              <w:t>系统支持导入不同财务系统的历史凭证数据，具备按照年、月、日查询交存、使用、利息分配等数据并生成报表的功能，报表可导出。（</w:t>
            </w:r>
            <w:r>
              <w:rPr>
                <w:rFonts w:hint="eastAsia" w:ascii="宋体" w:hAnsi="宋体" w:eastAsia="宋体" w:cs="宋体"/>
                <w:sz w:val="24"/>
                <w:szCs w:val="24"/>
                <w:highlight w:val="none"/>
                <w:lang w:eastAsia="zh-CN"/>
              </w:rPr>
              <w:t>投标文件中须提供功能页面截图</w:t>
            </w:r>
            <w:r>
              <w:rPr>
                <w:rFonts w:hint="eastAsia" w:ascii="宋体" w:hAnsi="宋体" w:eastAsia="宋体" w:cs="宋体"/>
                <w:sz w:val="24"/>
                <w:szCs w:val="24"/>
                <w:highlight w:val="none"/>
              </w:rPr>
              <w:t>）</w:t>
            </w:r>
          </w:p>
        </w:tc>
      </w:tr>
      <w:tr w14:paraId="474D5DB9">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D62F4">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61C8D">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A1380">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A9D0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科目期初额</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D00B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可查看该账套下全部科目的期初余额。</w:t>
            </w:r>
          </w:p>
        </w:tc>
      </w:tr>
      <w:tr w14:paraId="1737CB62">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8F0E4">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593E7">
            <w:pPr>
              <w:pStyle w:val="92"/>
              <w:spacing w:line="260" w:lineRule="exact"/>
              <w:rPr>
                <w:rFonts w:hint="eastAsia" w:ascii="宋体" w:hAnsi="宋体" w:eastAsia="宋体" w:cs="宋体"/>
                <w:sz w:val="24"/>
                <w:szCs w:val="24"/>
                <w:highlight w:val="none"/>
              </w:rPr>
            </w:pP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6A87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业务核算</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B721F">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获取业务数据和银行流水</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B30C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系统支持通过“接口自动获取、手动新增、下载模板批量导入”三种方式获取维修资金业务数据和专户银行流水，支持按银行账号、时间、业务名称、是否包含已记账、关键字查询导入数据。</w:t>
            </w:r>
          </w:p>
        </w:tc>
      </w:tr>
      <w:tr w14:paraId="058437A9">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5771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8FDCB">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66BE1">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7E11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制单</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93CED">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系统会通过内置核算规则自动对账生成会计凭证，对于不能自动生成凭证的，支持手工勾选业务数据和银行流水进行制单。合并拨付的多笔业务需要和一笔银行流水生成财务凭证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1AE1C27F">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D261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B695B">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85078">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3C38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补充至现有凭证</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5BA75">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系统支持将业务数据、银行流水补充到已经存在的相同业务类型的会计凭证中。</w:t>
            </w:r>
          </w:p>
        </w:tc>
      </w:tr>
      <w:tr w14:paraId="2C0E4265">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35EA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9BF91">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BFD99">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C2D0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凭证查询</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3483A">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支持查询所有会计凭证信息，可按制单日期、凭证状态、关键字进行查询。</w:t>
            </w:r>
          </w:p>
        </w:tc>
      </w:tr>
      <w:tr w14:paraId="09258B11">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B3AA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97D45">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0CEB6">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1297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余额调节表</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8A36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系统支持查询、新增余额调节表。可通过银行账号、时间进行查询；新增余额调节表时系统可根据选择的银行账号、科目、会计期间信息，自动捕捉到银行余额、企业余额、未达账项信息填列在表中。</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5F029D8D">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B30F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6FFE4">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C7440">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C4495">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序时账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813A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在票账通系统中，序时账指的是凭证序时账，满足打印凭证列表的需要。</w:t>
            </w:r>
          </w:p>
        </w:tc>
      </w:tr>
      <w:tr w14:paraId="706A761B">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62B2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1CC0F">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EAAD0">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4441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已记账凭证</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4CE67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可查看所有已记账状态下的凭证信息，支持查询、打印相关操作。</w:t>
            </w:r>
          </w:p>
        </w:tc>
      </w:tr>
      <w:tr w14:paraId="553B13F0">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49AF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A65A0">
            <w:pPr>
              <w:pStyle w:val="92"/>
              <w:spacing w:line="260" w:lineRule="exact"/>
              <w:rPr>
                <w:rFonts w:hint="eastAsia" w:ascii="宋体" w:hAnsi="宋体" w:eastAsia="宋体" w:cs="宋体"/>
                <w:sz w:val="24"/>
                <w:szCs w:val="24"/>
                <w:highlight w:val="none"/>
              </w:rPr>
            </w:pP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99F0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凭证管理</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7B94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查询</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994BD">
            <w:pPr>
              <w:pStyle w:val="92"/>
              <w:spacing w:line="26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支持查询凭证信息，可按凭证日期、状态、金额、关键字、凭证类型、业务名称、自动/手工凭证进行查询。</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7F7FF6B5">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C32F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15</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C9A19">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C0722">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76E6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制单</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10C4F">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支持手工填制记账凭证。</w:t>
            </w:r>
          </w:p>
        </w:tc>
      </w:tr>
      <w:tr w14:paraId="209F77CF">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5D62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16</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1238">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EEED0">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1069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编辑</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07729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支持编辑草稿状态的凭证，手工填制的凭证可对所有内容进行编辑，自动生成的凭证仅支持编辑附件数和摘要。</w:t>
            </w:r>
          </w:p>
        </w:tc>
      </w:tr>
      <w:tr w14:paraId="25A4C159">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298F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17</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0FC84">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E36C1">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AE63D">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撤销</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9A7ED">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支持撤销草稿状态的错误凭证，自动生成的凭证撤销后将还原到业务核算界面的数据状态，手工填制的凭证撤销后将不留痕迹。</w:t>
            </w:r>
          </w:p>
        </w:tc>
      </w:tr>
      <w:tr w14:paraId="5B3277FF">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F66D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18</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E17F8">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A2E1B">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B578D">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提交审核</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D96237">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支持将草稿状态的凭证提交会计主管进行审核，提交审核以后凭证状态将由草稿状态更新为待审核状态。</w:t>
            </w:r>
          </w:p>
        </w:tc>
      </w:tr>
      <w:tr w14:paraId="3884EA56">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A105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19</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29855">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C2AD4">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C2D8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记账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C6F9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支持将已审核通过的待记账状态的凭证进行记账。</w:t>
            </w:r>
          </w:p>
        </w:tc>
      </w:tr>
      <w:tr w14:paraId="6ABE5170">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443C4">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20</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2745B">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3397D">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FFFD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反记账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49014">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支持对已记账凭证进行反记账，反记账操作会做留痕处理，在保留已记账凭证的基础上生成一张冲销凭证。</w:t>
            </w:r>
          </w:p>
        </w:tc>
      </w:tr>
      <w:tr w14:paraId="338DAAD8">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F86A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21</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09EEF">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5BC0E">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F03A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撤销记账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D100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支持对已记账凭证进行撤销记账，撤销记账后凭证状态会由已记账恢复到草稿状态，可对草稿状态的凭证进行修改。</w:t>
            </w:r>
          </w:p>
        </w:tc>
      </w:tr>
      <w:tr w14:paraId="48772298">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AA9F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22</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9F2A">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E708F">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18A5D">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合并凭证</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5DEF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支持将同一天相同业务类型的凭证合并为一张凭证。</w:t>
            </w:r>
          </w:p>
        </w:tc>
      </w:tr>
      <w:tr w14:paraId="20B13F32">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5AD7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23</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3AF09">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9AAEA">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1B6B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凭证整理</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732A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支持对记账凭证进行整理，按制单日期进行凭证号的排序。</w:t>
            </w:r>
          </w:p>
        </w:tc>
      </w:tr>
      <w:tr w14:paraId="0A8D3A69">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246F5">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24</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BD5C2">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F270A">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5231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打印</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BB0798">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支持选择凭证进行打印，可批量选择，也可以选中某张凭证进行打印。</w:t>
            </w:r>
          </w:p>
        </w:tc>
      </w:tr>
      <w:tr w14:paraId="0A0DCF93">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F6F2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25</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BB1F8">
            <w:pPr>
              <w:pStyle w:val="92"/>
              <w:spacing w:line="260" w:lineRule="exact"/>
              <w:rPr>
                <w:rFonts w:hint="eastAsia" w:ascii="宋体" w:hAnsi="宋体" w:eastAsia="宋体" w:cs="宋体"/>
                <w:sz w:val="24"/>
                <w:szCs w:val="24"/>
                <w:highlight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ED44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结转</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9FFA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期末结转</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D484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月末最后一天，点击期末结转，系统将自动生成结转凭证，若已结转的会计期间还需调整账务，可点击取消结转后进行处理，处理完以后再重新进行期末结转。每个年度的最末期结转后，系统会自动将当前年度的科目余额结转到下一年度。</w:t>
            </w:r>
          </w:p>
        </w:tc>
      </w:tr>
      <w:tr w14:paraId="110C06B6">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E6DD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26</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B12BA">
            <w:pPr>
              <w:pStyle w:val="92"/>
              <w:spacing w:line="260" w:lineRule="exact"/>
              <w:rPr>
                <w:rFonts w:hint="eastAsia" w:ascii="宋体" w:hAnsi="宋体" w:eastAsia="宋体" w:cs="宋体"/>
                <w:sz w:val="24"/>
                <w:szCs w:val="24"/>
                <w:highlight w:val="none"/>
              </w:rPr>
            </w:pP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FB1D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财务账表</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E4A2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科目总账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78DFD">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系统支持总分类账的查询，可按会计期间、科目、科目级次、是否包含未记账凭证进行查询，支持导出Excel、PDF及打印。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27871733">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0D075">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27</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D657E">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22851">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8CAD6">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科目日记账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168A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系统支持科目日记账的查询，可按会计期间、科目、科目级次、是否包含未记账凭证进行查询，支持导出Excel、PDF及打印。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6D558208">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742B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28</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893E3">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9388C">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FE3C2">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明细账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F4CD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系统支持明细分类账的查询，可按会计期间、科目、科目级次、是否包含未记账凭证进行查询，支持导出Excel、PDF及打印。</w:t>
            </w:r>
          </w:p>
        </w:tc>
      </w:tr>
      <w:tr w14:paraId="4E356C5C">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5C88D">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29</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9C936">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B5745">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5550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出纳日记账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B3855C">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系统支持出纳日记账的查询，可按银行账号、会计期间进行查询，支持导出Excel、PDF及打印。</w:t>
            </w:r>
          </w:p>
        </w:tc>
      </w:tr>
      <w:tr w14:paraId="0B6A5290">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34EEF">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30</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B7FA5">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0FA9B">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F8044">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科目余额</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ADBD4">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系统支持查询全部科目的期初余额、本期发生额、本年累计发生额和期末余额，可按会计期间、科目、科目级次、是否包含未记账凭证进行查询，支持导出Excel、PDF及打印。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20056B2A">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22F5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31</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29CB3">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9E2D2">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2B051">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辅助余额</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7324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系统支持查询辅助核算项的期初余额、本期发生额、本年累计发生额和期末余额，支持导出Excel、PDF及打印。</w:t>
            </w:r>
          </w:p>
        </w:tc>
      </w:tr>
      <w:tr w14:paraId="1664C3F7">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14828">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32</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99F7C">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EECC3">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FA00F">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辅助明细账</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8A81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系统支持辅助明细账的查询，可按会计期间、科目、辅助类型、是否包含未记账凭证、辅助核算进行查询，支持导出Excel、PDF及打印。</w:t>
            </w:r>
          </w:p>
        </w:tc>
      </w:tr>
      <w:tr w14:paraId="542EF6AD">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F624F">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33</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53545">
            <w:pPr>
              <w:pStyle w:val="92"/>
              <w:spacing w:line="260" w:lineRule="exact"/>
              <w:rPr>
                <w:rFonts w:hint="eastAsia" w:ascii="宋体" w:hAnsi="宋体" w:eastAsia="宋体" w:cs="宋体"/>
                <w:sz w:val="24"/>
                <w:szCs w:val="24"/>
                <w:highlight w:val="none"/>
              </w:rPr>
            </w:pP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3A00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财务报表</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5632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资产负债表</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3A9E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期末，选择期间范围，点击生成报表，系统会自动生成核算办法规定的资产负债表，可选择是否包含未记账凭证数据。支持提交审核、导出Excel、PDF和打印。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55F7FA2E">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1E0E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34</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F671B">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5AA68">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F0D7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收支表</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ADBB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期末，选择期间范围，点击生成报表，系统会自动生成核算办法规定的收支表，可选择是否包含未记账凭证数据。支持提交审核、导出Excel、PDF和打印。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56A1E5A7">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30E60">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35</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155B1">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E6484">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1B8DC">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净资产变动表</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5387D">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年末，选择期间范围，点击生成报表，系统会自动生成核算办法规定的净资产变动表，可选择是否包含未记账凭证数据。支持提交审核、导出Excel、PDF和打印。</w:t>
            </w:r>
          </w:p>
        </w:tc>
      </w:tr>
      <w:tr w14:paraId="2766B670">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D47DB">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36</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7877D">
            <w:pPr>
              <w:pStyle w:val="92"/>
              <w:spacing w:line="260" w:lineRule="exact"/>
              <w:rPr>
                <w:rFonts w:hint="eastAsia" w:ascii="宋体" w:hAnsi="宋体" w:eastAsia="宋体" w:cs="宋体"/>
                <w:sz w:val="24"/>
                <w:szCs w:val="24"/>
                <w:highlight w:val="none"/>
              </w:rPr>
            </w:pP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A6E0E">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报表管理</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51B84">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凭证打印</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F4DF9">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系统支持批量打印凭证，可按会计期间、凭证号选择打印，可选择A4纸或标准模板－专用凭证纸进行打印。</w:t>
            </w:r>
          </w:p>
        </w:tc>
      </w:tr>
      <w:tr w14:paraId="4E3F2C0B">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CC8E3">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37</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34C21">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4C603">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9D809">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账簿打印</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416D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系统支持账簿（总账、明细账、日记账、辅助明细账）打印。</w:t>
            </w:r>
          </w:p>
        </w:tc>
      </w:tr>
      <w:tr w14:paraId="28AE8658">
        <w:tblPrEx>
          <w:tblCellMar>
            <w:top w:w="0" w:type="dxa"/>
            <w:left w:w="108" w:type="dxa"/>
            <w:bottom w:w="0" w:type="dxa"/>
            <w:right w:w="108" w:type="dxa"/>
          </w:tblCellMar>
        </w:tblPrEx>
        <w:trPr>
          <w:jc w:val="center"/>
        </w:trPr>
        <w:tc>
          <w:tcPr>
            <w:tcW w:w="3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49FFA">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38</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2D2FD">
            <w:pPr>
              <w:pStyle w:val="92"/>
              <w:spacing w:line="260" w:lineRule="exact"/>
              <w:rPr>
                <w:rFonts w:hint="eastAsia" w:ascii="宋体" w:hAnsi="宋体" w:eastAsia="宋体" w:cs="宋体"/>
                <w:sz w:val="24"/>
                <w:szCs w:val="24"/>
                <w:highlight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19A30">
            <w:pPr>
              <w:pStyle w:val="92"/>
              <w:spacing w:line="260" w:lineRule="exact"/>
              <w:rPr>
                <w:rFonts w:hint="eastAsia" w:ascii="宋体" w:hAnsi="宋体" w:eastAsia="宋体" w:cs="宋体"/>
                <w:sz w:val="24"/>
                <w:szCs w:val="24"/>
                <w:highlight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0AA97">
            <w:pPr>
              <w:pStyle w:val="92"/>
              <w:spacing w:line="2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自定义报表</w:t>
            </w:r>
          </w:p>
        </w:tc>
        <w:tc>
          <w:tcPr>
            <w:tcW w:w="29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35E83">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支持查看系统中所有的自定义报表。</w:t>
            </w:r>
          </w:p>
        </w:tc>
      </w:tr>
    </w:tbl>
    <w:p w14:paraId="44CB3739">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（5）资金预警子系统</w:t>
      </w:r>
    </w:p>
    <w:p w14:paraId="57A60806">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 </w:t>
      </w:r>
      <w:r>
        <w:rPr>
          <w:rFonts w:hint="default" w:ascii="宋体" w:hAnsi="宋体" w:eastAsia="宋体" w:cs="宋体"/>
          <w:bCs/>
          <w:sz w:val="24"/>
          <w:szCs w:val="24"/>
          <w:highlight w:val="none"/>
          <w:lang w:val="en-US" w:eastAsia="zh-CN"/>
        </w:rPr>
        <w:t>实现按管理要求从“业务过程”“资金到位”“资金安全”“资金利用率”“业务效率”等方面进行风险预警，对即将发生的问题事前提示，各项重要指标均可逐层追溯，最终达到差异化管理。对众多业务指标进行预警，涉及基础数据、资金交存、资金使用、资金增值、资金核算、电子投票等方面。并与其他子系统的功能衔接，在其他子系统的业务操作中进行预警提示，同时实现对预警信息的处理功能。</w:t>
      </w:r>
    </w:p>
    <w:p w14:paraId="1788B9B0">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预警指标包括：</w:t>
      </w:r>
    </w:p>
    <w:p w14:paraId="37AE2618">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对资金未分解的、无对应业务的明细的资金自动预警</w:t>
      </w:r>
    </w:p>
    <w:p w14:paraId="55D4658F">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对区县资金异常转存、无业务对应自动预警</w:t>
      </w:r>
    </w:p>
    <w:p w14:paraId="1B20003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对区县资金账户久未结息自动预警</w:t>
      </w:r>
    </w:p>
    <w:p w14:paraId="08B090D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对账户不足30%的自动预警及处理</w:t>
      </w:r>
    </w:p>
    <w:p w14:paraId="4BC2C71A">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对区县大额（超50万元）维修项目的自动预警</w:t>
      </w:r>
    </w:p>
    <w:p w14:paraId="4695F84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单设备高频维修的自动预警</w:t>
      </w:r>
    </w:p>
    <w:p w14:paraId="4721604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使用项目到期未结算的自动预警</w:t>
      </w:r>
    </w:p>
    <w:p w14:paraId="14BFFC0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使用项目质保金到期未拨付的自动预警</w:t>
      </w:r>
    </w:p>
    <w:p w14:paraId="68EC74F8">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使用项目审减率过高的自动预警</w:t>
      </w:r>
    </w:p>
    <w:p w14:paraId="4D79238D">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长期两个账号在同一台电脑上登录系统的自动预警</w:t>
      </w:r>
    </w:p>
    <w:p w14:paraId="6D847F3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升级改造的功能模块包括以下内容：</w:t>
      </w:r>
    </w:p>
    <w:tbl>
      <w:tblPr>
        <w:tblStyle w:val="28"/>
        <w:tblW w:w="5000" w:type="pct"/>
        <w:jc w:val="center"/>
        <w:tblLayout w:type="autofit"/>
        <w:tblCellMar>
          <w:top w:w="0" w:type="dxa"/>
          <w:left w:w="108" w:type="dxa"/>
          <w:bottom w:w="0" w:type="dxa"/>
          <w:right w:w="108" w:type="dxa"/>
        </w:tblCellMar>
      </w:tblPr>
      <w:tblGrid>
        <w:gridCol w:w="592"/>
        <w:gridCol w:w="829"/>
        <w:gridCol w:w="813"/>
        <w:gridCol w:w="1245"/>
        <w:gridCol w:w="5043"/>
      </w:tblGrid>
      <w:tr w14:paraId="57CBB23F">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noWrap w:val="0"/>
            <w:vAlign w:val="center"/>
          </w:tcPr>
          <w:p w14:paraId="0D915565">
            <w:pP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14:paraId="7ADCC82B">
            <w:pPr>
              <w:rPr>
                <w:rFonts w:hint="eastAsia" w:ascii="宋体" w:hAnsi="宋体" w:eastAsia="宋体" w:cs="宋体"/>
                <w:sz w:val="24"/>
                <w:szCs w:val="24"/>
                <w:highlight w:val="none"/>
              </w:rPr>
            </w:pPr>
            <w:r>
              <w:rPr>
                <w:rFonts w:hint="eastAsia" w:ascii="宋体" w:hAnsi="宋体" w:eastAsia="宋体" w:cs="宋体"/>
                <w:sz w:val="24"/>
                <w:szCs w:val="24"/>
                <w:highlight w:val="none"/>
              </w:rPr>
              <w:t>子系统</w:t>
            </w:r>
          </w:p>
        </w:tc>
        <w:tc>
          <w:tcPr>
            <w:tcW w:w="477" w:type="pct"/>
            <w:tcBorders>
              <w:top w:val="single" w:color="000000" w:sz="4" w:space="0"/>
              <w:left w:val="single" w:color="000000" w:sz="4" w:space="0"/>
              <w:bottom w:val="single" w:color="000000" w:sz="4" w:space="0"/>
              <w:right w:val="single" w:color="000000" w:sz="4" w:space="0"/>
            </w:tcBorders>
            <w:noWrap w:val="0"/>
            <w:vAlign w:val="center"/>
          </w:tcPr>
          <w:p w14:paraId="2D607703">
            <w:pPr>
              <w:rPr>
                <w:rFonts w:hint="eastAsia" w:ascii="宋体" w:hAnsi="宋体" w:eastAsia="宋体" w:cs="宋体"/>
                <w:sz w:val="24"/>
                <w:szCs w:val="24"/>
                <w:highlight w:val="none"/>
              </w:rPr>
            </w:pPr>
            <w:r>
              <w:rPr>
                <w:rFonts w:hint="eastAsia" w:ascii="宋体" w:hAnsi="宋体" w:eastAsia="宋体" w:cs="宋体"/>
                <w:sz w:val="24"/>
                <w:szCs w:val="24"/>
                <w:highlight w:val="none"/>
              </w:rPr>
              <w:t>模块</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28124D90">
            <w:pPr>
              <w:rPr>
                <w:rFonts w:hint="eastAsia" w:ascii="宋体" w:hAnsi="宋体" w:eastAsia="宋体" w:cs="宋体"/>
                <w:sz w:val="24"/>
                <w:szCs w:val="24"/>
                <w:highlight w:val="none"/>
              </w:rPr>
            </w:pPr>
            <w:r>
              <w:rPr>
                <w:rFonts w:hint="eastAsia" w:ascii="宋体" w:hAnsi="宋体" w:eastAsia="宋体" w:cs="宋体"/>
                <w:sz w:val="24"/>
                <w:szCs w:val="24"/>
                <w:highlight w:val="none"/>
              </w:rPr>
              <w:t>子模块</w:t>
            </w:r>
          </w:p>
        </w:tc>
        <w:tc>
          <w:tcPr>
            <w:tcW w:w="2958" w:type="pct"/>
            <w:tcBorders>
              <w:top w:val="single" w:color="000000" w:sz="4" w:space="0"/>
              <w:left w:val="single" w:color="000000" w:sz="4" w:space="0"/>
              <w:bottom w:val="single" w:color="000000" w:sz="4" w:space="0"/>
              <w:right w:val="single" w:color="000000" w:sz="4" w:space="0"/>
            </w:tcBorders>
            <w:noWrap w:val="0"/>
            <w:vAlign w:val="center"/>
          </w:tcPr>
          <w:p w14:paraId="02248D4A">
            <w:pPr>
              <w:rPr>
                <w:rFonts w:hint="eastAsia" w:ascii="宋体" w:hAnsi="宋体" w:eastAsia="宋体" w:cs="宋体"/>
                <w:sz w:val="24"/>
                <w:szCs w:val="24"/>
                <w:highlight w:val="none"/>
              </w:rPr>
            </w:pPr>
            <w:r>
              <w:rPr>
                <w:rFonts w:hint="eastAsia" w:ascii="宋体" w:hAnsi="宋体" w:eastAsia="宋体" w:cs="宋体"/>
                <w:sz w:val="24"/>
                <w:szCs w:val="24"/>
                <w:highlight w:val="none"/>
              </w:rPr>
              <w:t>功能描述</w:t>
            </w:r>
          </w:p>
        </w:tc>
      </w:tr>
      <w:tr w14:paraId="66379E29">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noWrap w:val="0"/>
            <w:vAlign w:val="center"/>
          </w:tcPr>
          <w:p w14:paraId="0921C3C6">
            <w:pP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486" w:type="pct"/>
            <w:vMerge w:val="restart"/>
            <w:tcBorders>
              <w:top w:val="single" w:color="000000" w:sz="4" w:space="0"/>
              <w:left w:val="single" w:color="000000" w:sz="4" w:space="0"/>
              <w:bottom w:val="single" w:color="000000" w:sz="4" w:space="0"/>
              <w:right w:val="single" w:color="000000" w:sz="4" w:space="0"/>
            </w:tcBorders>
            <w:noWrap w:val="0"/>
            <w:vAlign w:val="center"/>
          </w:tcPr>
          <w:p w14:paraId="299CB215">
            <w:pPr>
              <w:rPr>
                <w:rFonts w:hint="eastAsia" w:ascii="宋体" w:hAnsi="宋体" w:eastAsia="宋体" w:cs="宋体"/>
                <w:sz w:val="24"/>
                <w:szCs w:val="24"/>
                <w:highlight w:val="none"/>
              </w:rPr>
            </w:pPr>
            <w:r>
              <w:rPr>
                <w:rFonts w:hint="eastAsia" w:ascii="宋体" w:hAnsi="宋体" w:eastAsia="宋体" w:cs="宋体"/>
                <w:sz w:val="24"/>
                <w:szCs w:val="24"/>
                <w:highlight w:val="none"/>
              </w:rPr>
              <w:t>资金预警子系统</w:t>
            </w:r>
          </w:p>
        </w:tc>
        <w:tc>
          <w:tcPr>
            <w:tcW w:w="477" w:type="pct"/>
            <w:vMerge w:val="restart"/>
            <w:tcBorders>
              <w:top w:val="single" w:color="000000" w:sz="4" w:space="0"/>
              <w:left w:val="single" w:color="000000" w:sz="4" w:space="0"/>
              <w:bottom w:val="single" w:color="000000" w:sz="4" w:space="0"/>
              <w:right w:val="single" w:color="000000" w:sz="4" w:space="0"/>
            </w:tcBorders>
            <w:noWrap w:val="0"/>
            <w:vAlign w:val="center"/>
          </w:tcPr>
          <w:p w14:paraId="7665E2F7">
            <w:pPr>
              <w:rPr>
                <w:rFonts w:hint="eastAsia" w:ascii="宋体" w:hAnsi="宋体" w:eastAsia="宋体" w:cs="宋体"/>
                <w:sz w:val="24"/>
                <w:szCs w:val="24"/>
                <w:highlight w:val="none"/>
              </w:rPr>
            </w:pPr>
            <w:r>
              <w:rPr>
                <w:rFonts w:hint="eastAsia" w:ascii="宋体" w:hAnsi="宋体" w:eastAsia="宋体" w:cs="宋体"/>
                <w:sz w:val="24"/>
                <w:szCs w:val="24"/>
                <w:highlight w:val="none"/>
              </w:rPr>
              <w:t>资金监测</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5D74F079">
            <w:pPr>
              <w:rPr>
                <w:rFonts w:hint="eastAsia" w:ascii="宋体" w:hAnsi="宋体" w:eastAsia="宋体" w:cs="宋体"/>
                <w:sz w:val="24"/>
                <w:szCs w:val="24"/>
                <w:highlight w:val="none"/>
              </w:rPr>
            </w:pPr>
            <w:r>
              <w:rPr>
                <w:rFonts w:hint="eastAsia" w:ascii="宋体" w:hAnsi="宋体" w:eastAsia="宋体" w:cs="宋体"/>
                <w:sz w:val="24"/>
                <w:szCs w:val="24"/>
                <w:highlight w:val="none"/>
              </w:rPr>
              <w:t>资金交存监测</w:t>
            </w:r>
          </w:p>
        </w:tc>
        <w:tc>
          <w:tcPr>
            <w:tcW w:w="2958" w:type="pct"/>
            <w:tcBorders>
              <w:top w:val="single" w:color="000000" w:sz="4" w:space="0"/>
              <w:left w:val="single" w:color="000000" w:sz="4" w:space="0"/>
              <w:bottom w:val="single" w:color="000000" w:sz="4" w:space="0"/>
              <w:right w:val="single" w:color="000000" w:sz="4" w:space="0"/>
            </w:tcBorders>
            <w:noWrap w:val="0"/>
            <w:vAlign w:val="center"/>
          </w:tcPr>
          <w:p w14:paraId="0FD5AFE2">
            <w:pPr>
              <w:rPr>
                <w:rFonts w:hint="eastAsia" w:ascii="宋体" w:hAnsi="宋体" w:eastAsia="宋体" w:cs="宋体"/>
                <w:sz w:val="24"/>
                <w:szCs w:val="24"/>
                <w:highlight w:val="none"/>
              </w:rPr>
            </w:pPr>
            <w:r>
              <w:rPr>
                <w:rFonts w:hint="eastAsia" w:ascii="宋体" w:hAnsi="宋体" w:eastAsia="宋体" w:cs="宋体"/>
                <w:sz w:val="24"/>
                <w:szCs w:val="24"/>
                <w:highlight w:val="none"/>
              </w:rPr>
              <w:t>对资金交存的情况进行监测。主要指标有交存率过低、分户维修资金余额小于应交款的30%。</w:t>
            </w:r>
          </w:p>
        </w:tc>
      </w:tr>
      <w:tr w14:paraId="1FF5DB8F">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noWrap w:val="0"/>
            <w:vAlign w:val="center"/>
          </w:tcPr>
          <w:p w14:paraId="617F0E81">
            <w:pP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4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94ECE4">
            <w:pPr>
              <w:rPr>
                <w:rFonts w:hint="eastAsia" w:ascii="宋体" w:hAnsi="宋体" w:eastAsia="宋体" w:cs="宋体"/>
                <w:sz w:val="24"/>
                <w:szCs w:val="24"/>
                <w:highlight w:val="none"/>
              </w:rPr>
            </w:pP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0BD07">
            <w:pPr>
              <w:rPr>
                <w:rFonts w:hint="eastAsia" w:ascii="宋体" w:hAnsi="宋体" w:eastAsia="宋体" w:cs="宋体"/>
                <w:sz w:val="24"/>
                <w:szCs w:val="24"/>
                <w:highlight w:val="none"/>
              </w:rPr>
            </w:pP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195EAFA4">
            <w:pP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资金使用监测</w:t>
            </w:r>
          </w:p>
        </w:tc>
        <w:tc>
          <w:tcPr>
            <w:tcW w:w="2958" w:type="pct"/>
            <w:tcBorders>
              <w:top w:val="single" w:color="000000" w:sz="4" w:space="0"/>
              <w:left w:val="single" w:color="000000" w:sz="4" w:space="0"/>
              <w:bottom w:val="single" w:color="000000" w:sz="4" w:space="0"/>
              <w:right w:val="single" w:color="000000" w:sz="4" w:space="0"/>
            </w:tcBorders>
            <w:noWrap w:val="0"/>
            <w:vAlign w:val="center"/>
          </w:tcPr>
          <w:p w14:paraId="22A6D1F8">
            <w:pPr>
              <w:rPr>
                <w:rFonts w:hint="eastAsia" w:ascii="宋体" w:hAnsi="宋体" w:eastAsia="宋体" w:cs="宋体"/>
                <w:sz w:val="24"/>
                <w:szCs w:val="24"/>
                <w:highlight w:val="none"/>
              </w:rPr>
            </w:pPr>
            <w:r>
              <w:rPr>
                <w:rFonts w:hint="eastAsia" w:ascii="宋体" w:hAnsi="宋体" w:eastAsia="宋体" w:cs="宋体"/>
                <w:sz w:val="24"/>
                <w:szCs w:val="24"/>
                <w:highlight w:val="none"/>
              </w:rPr>
              <w:t>对资金使用的情况进行监测。主要指标有使用金额过大、同一共用设施设备反复发起维修使用。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sz w:val="24"/>
                <w:szCs w:val="24"/>
                <w:highlight w:val="none"/>
                <w:lang w:eastAsia="zh-CN"/>
              </w:rPr>
              <w:t>）</w:t>
            </w:r>
          </w:p>
        </w:tc>
      </w:tr>
      <w:tr w14:paraId="0873C65E">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noWrap w:val="0"/>
            <w:vAlign w:val="center"/>
          </w:tcPr>
          <w:p w14:paraId="4BDCD751">
            <w:pP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4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C7B58">
            <w:pPr>
              <w:rPr>
                <w:rFonts w:hint="eastAsia" w:ascii="宋体" w:hAnsi="宋体" w:eastAsia="宋体" w:cs="宋体"/>
                <w:sz w:val="24"/>
                <w:szCs w:val="24"/>
                <w:highlight w:val="none"/>
              </w:rPr>
            </w:pP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2512AC">
            <w:pPr>
              <w:rPr>
                <w:rFonts w:hint="eastAsia" w:ascii="宋体" w:hAnsi="宋体" w:eastAsia="宋体" w:cs="宋体"/>
                <w:sz w:val="24"/>
                <w:szCs w:val="24"/>
                <w:highlight w:val="none"/>
              </w:rPr>
            </w:pP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6F437470">
            <w:pPr>
              <w:rPr>
                <w:rFonts w:hint="eastAsia" w:ascii="宋体" w:hAnsi="宋体" w:eastAsia="宋体" w:cs="宋体"/>
                <w:sz w:val="24"/>
                <w:szCs w:val="24"/>
                <w:highlight w:val="none"/>
              </w:rPr>
            </w:pPr>
            <w:r>
              <w:rPr>
                <w:rFonts w:hint="eastAsia" w:ascii="宋体" w:hAnsi="宋体" w:eastAsia="宋体" w:cs="宋体"/>
                <w:sz w:val="24"/>
                <w:szCs w:val="24"/>
                <w:highlight w:val="none"/>
              </w:rPr>
              <w:t>综合收益监测</w:t>
            </w:r>
          </w:p>
        </w:tc>
        <w:tc>
          <w:tcPr>
            <w:tcW w:w="2958" w:type="pct"/>
            <w:tcBorders>
              <w:top w:val="single" w:color="000000" w:sz="4" w:space="0"/>
              <w:left w:val="single" w:color="000000" w:sz="4" w:space="0"/>
              <w:bottom w:val="single" w:color="000000" w:sz="4" w:space="0"/>
              <w:right w:val="single" w:color="000000" w:sz="4" w:space="0"/>
            </w:tcBorders>
            <w:noWrap w:val="0"/>
            <w:vAlign w:val="center"/>
          </w:tcPr>
          <w:p w14:paraId="7BDC2A2D">
            <w:pPr>
              <w:rPr>
                <w:rFonts w:hint="eastAsia" w:ascii="宋体" w:hAnsi="宋体" w:eastAsia="宋体" w:cs="宋体"/>
                <w:sz w:val="24"/>
                <w:szCs w:val="24"/>
                <w:highlight w:val="none"/>
              </w:rPr>
            </w:pPr>
            <w:r>
              <w:rPr>
                <w:rFonts w:hint="eastAsia" w:ascii="宋体" w:hAnsi="宋体" w:eastAsia="宋体" w:cs="宋体"/>
                <w:sz w:val="24"/>
                <w:szCs w:val="24"/>
                <w:highlight w:val="none"/>
              </w:rPr>
              <w:t>对资金综合收益的情况进行监测。主要指标有增值率过低、增值到期未处理。</w:t>
            </w:r>
          </w:p>
        </w:tc>
      </w:tr>
      <w:tr w14:paraId="3B1CB06B">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noWrap w:val="0"/>
            <w:vAlign w:val="center"/>
          </w:tcPr>
          <w:p w14:paraId="58134A06">
            <w:pP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4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63762D">
            <w:pPr>
              <w:rPr>
                <w:rFonts w:hint="eastAsia" w:ascii="宋体" w:hAnsi="宋体" w:eastAsia="宋体" w:cs="宋体"/>
                <w:sz w:val="24"/>
                <w:szCs w:val="24"/>
                <w:highlight w:val="none"/>
              </w:rPr>
            </w:pP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DF267">
            <w:pPr>
              <w:rPr>
                <w:rFonts w:hint="eastAsia" w:ascii="宋体" w:hAnsi="宋体" w:eastAsia="宋体" w:cs="宋体"/>
                <w:sz w:val="24"/>
                <w:szCs w:val="24"/>
                <w:highlight w:val="none"/>
              </w:rPr>
            </w:pP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63463795">
            <w:pPr>
              <w:rPr>
                <w:rFonts w:hint="eastAsia" w:ascii="宋体" w:hAnsi="宋体" w:eastAsia="宋体" w:cs="宋体"/>
                <w:sz w:val="24"/>
                <w:szCs w:val="24"/>
                <w:highlight w:val="none"/>
              </w:rPr>
            </w:pPr>
            <w:r>
              <w:rPr>
                <w:rFonts w:hint="eastAsia" w:ascii="宋体" w:hAnsi="宋体" w:eastAsia="宋体" w:cs="宋体"/>
                <w:sz w:val="24"/>
                <w:szCs w:val="24"/>
                <w:highlight w:val="none"/>
              </w:rPr>
              <w:t>资金核算监测</w:t>
            </w:r>
          </w:p>
        </w:tc>
        <w:tc>
          <w:tcPr>
            <w:tcW w:w="2958" w:type="pct"/>
            <w:tcBorders>
              <w:top w:val="single" w:color="000000" w:sz="4" w:space="0"/>
              <w:left w:val="single" w:color="000000" w:sz="4" w:space="0"/>
              <w:bottom w:val="single" w:color="000000" w:sz="4" w:space="0"/>
              <w:right w:val="single" w:color="000000" w:sz="4" w:space="0"/>
            </w:tcBorders>
            <w:noWrap w:val="0"/>
            <w:vAlign w:val="center"/>
          </w:tcPr>
          <w:p w14:paraId="610B75C4">
            <w:pPr>
              <w:rPr>
                <w:rFonts w:hint="eastAsia" w:ascii="宋体" w:hAnsi="宋体" w:eastAsia="宋体" w:cs="宋体"/>
                <w:sz w:val="24"/>
                <w:szCs w:val="24"/>
                <w:highlight w:val="none"/>
              </w:rPr>
            </w:pPr>
            <w:r>
              <w:rPr>
                <w:rFonts w:hint="eastAsia" w:ascii="宋体" w:hAnsi="宋体" w:eastAsia="宋体" w:cs="宋体"/>
                <w:sz w:val="24"/>
                <w:szCs w:val="24"/>
                <w:highlight w:val="none"/>
              </w:rPr>
              <w:t>对资金核算的情况进行监测。主要指标有对账情况。</w:t>
            </w:r>
          </w:p>
        </w:tc>
      </w:tr>
      <w:tr w14:paraId="597A96B7">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087F0">
            <w:pP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A3C48">
            <w:pPr>
              <w:rPr>
                <w:rFonts w:hint="eastAsia" w:ascii="宋体" w:hAnsi="宋体" w:eastAsia="宋体" w:cs="宋体"/>
                <w:sz w:val="24"/>
                <w:szCs w:val="24"/>
                <w:highlight w:val="none"/>
              </w:rPr>
            </w:pP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F2AFF">
            <w:pPr>
              <w:rPr>
                <w:rFonts w:hint="eastAsia" w:ascii="宋体" w:hAnsi="宋体" w:eastAsia="宋体" w:cs="宋体"/>
                <w:sz w:val="24"/>
                <w:szCs w:val="24"/>
                <w:highlight w:val="none"/>
              </w:rPr>
            </w:pPr>
            <w:r>
              <w:rPr>
                <w:rFonts w:hint="eastAsia" w:ascii="宋体" w:hAnsi="宋体" w:eastAsia="宋体" w:cs="宋体"/>
                <w:sz w:val="24"/>
                <w:szCs w:val="24"/>
                <w:highlight w:val="none"/>
              </w:rPr>
              <w:t>预警管理</w:t>
            </w: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3654D">
            <w:pPr>
              <w:rPr>
                <w:rFonts w:hint="eastAsia" w:ascii="宋体" w:hAnsi="宋体" w:eastAsia="宋体" w:cs="宋体"/>
                <w:sz w:val="24"/>
                <w:szCs w:val="24"/>
                <w:highlight w:val="none"/>
              </w:rPr>
            </w:pPr>
            <w:r>
              <w:rPr>
                <w:rFonts w:hint="eastAsia" w:ascii="宋体" w:hAnsi="宋体" w:eastAsia="宋体" w:cs="宋体"/>
                <w:sz w:val="24"/>
                <w:szCs w:val="24"/>
                <w:highlight w:val="none"/>
              </w:rPr>
              <w:t>预警指标设置</w:t>
            </w:r>
          </w:p>
        </w:tc>
        <w:tc>
          <w:tcPr>
            <w:tcW w:w="295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FC514">
            <w:pPr>
              <w:rPr>
                <w:rFonts w:hint="eastAsia" w:ascii="宋体" w:hAnsi="宋体" w:eastAsia="宋体" w:cs="宋体"/>
                <w:sz w:val="24"/>
                <w:szCs w:val="24"/>
                <w:highlight w:val="none"/>
              </w:rPr>
            </w:pPr>
            <w:r>
              <w:rPr>
                <w:rFonts w:hint="eastAsia" w:ascii="宋体" w:hAnsi="宋体" w:eastAsia="宋体" w:cs="宋体"/>
                <w:sz w:val="24"/>
                <w:szCs w:val="24"/>
                <w:highlight w:val="none"/>
              </w:rPr>
              <w:t>实现对维修资金管理业务过程中需要进行预警的各项指标阈值以及触发条件进行设置。可根据实际需求调整各项预警指标及预警级别。</w:t>
            </w:r>
          </w:p>
        </w:tc>
      </w:tr>
      <w:tr w14:paraId="02319F25">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C90CE">
            <w:pP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42B49">
            <w:pPr>
              <w:rPr>
                <w:rFonts w:hint="eastAsia" w:ascii="宋体" w:hAnsi="宋体" w:eastAsia="宋体" w:cs="宋体"/>
                <w:sz w:val="24"/>
                <w:szCs w:val="24"/>
                <w:highlight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37D45">
            <w:pPr>
              <w:rPr>
                <w:rFonts w:hint="eastAsia" w:ascii="宋体" w:hAnsi="宋体" w:eastAsia="宋体" w:cs="宋体"/>
                <w:sz w:val="24"/>
                <w:szCs w:val="24"/>
                <w:highlight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7B659">
            <w:pPr>
              <w:rPr>
                <w:rFonts w:hint="eastAsia" w:ascii="宋体" w:hAnsi="宋体" w:eastAsia="宋体" w:cs="宋体"/>
                <w:sz w:val="24"/>
                <w:szCs w:val="24"/>
                <w:highlight w:val="none"/>
              </w:rPr>
            </w:pPr>
            <w:r>
              <w:rPr>
                <w:rFonts w:hint="eastAsia" w:ascii="宋体" w:hAnsi="宋体" w:eastAsia="宋体" w:cs="宋体"/>
                <w:sz w:val="24"/>
                <w:szCs w:val="24"/>
                <w:highlight w:val="none"/>
              </w:rPr>
              <w:t>预警规则设置</w:t>
            </w:r>
          </w:p>
        </w:tc>
        <w:tc>
          <w:tcPr>
            <w:tcW w:w="295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31387">
            <w:pPr>
              <w:rPr>
                <w:rFonts w:hint="eastAsia" w:ascii="宋体" w:hAnsi="宋体" w:eastAsia="宋体" w:cs="宋体"/>
                <w:sz w:val="24"/>
                <w:szCs w:val="24"/>
                <w:highlight w:val="none"/>
              </w:rPr>
            </w:pPr>
            <w:r>
              <w:rPr>
                <w:rFonts w:hint="eastAsia" w:ascii="宋体" w:hAnsi="宋体" w:eastAsia="宋体" w:cs="宋体"/>
                <w:sz w:val="24"/>
                <w:szCs w:val="24"/>
                <w:highlight w:val="none"/>
              </w:rPr>
              <w:t>实现根据政策法规的要求实时增加、修改、删除预警规则。实现任一指标触发预警条件时的即时预警功能。实现按时间周期性产生预警信息。</w:t>
            </w:r>
          </w:p>
        </w:tc>
      </w:tr>
      <w:tr w14:paraId="6ECBEB4B">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noWrap w:val="0"/>
            <w:vAlign w:val="center"/>
          </w:tcPr>
          <w:p w14:paraId="7409D81D">
            <w:pP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4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0E0AB">
            <w:pPr>
              <w:rPr>
                <w:rFonts w:hint="eastAsia" w:ascii="宋体" w:hAnsi="宋体" w:eastAsia="宋体" w:cs="宋体"/>
                <w:sz w:val="24"/>
                <w:szCs w:val="24"/>
                <w:highlight w:val="none"/>
              </w:rPr>
            </w:pPr>
          </w:p>
        </w:tc>
        <w:tc>
          <w:tcPr>
            <w:tcW w:w="47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5898CC">
            <w:pPr>
              <w:rPr>
                <w:rFonts w:hint="eastAsia" w:ascii="宋体" w:hAnsi="宋体" w:eastAsia="宋体" w:cs="宋体"/>
                <w:sz w:val="24"/>
                <w:szCs w:val="24"/>
                <w:highlight w:val="none"/>
              </w:rPr>
            </w:pPr>
          </w:p>
        </w:tc>
        <w:tc>
          <w:tcPr>
            <w:tcW w:w="730" w:type="pct"/>
            <w:tcBorders>
              <w:top w:val="single" w:color="000000" w:sz="4" w:space="0"/>
              <w:left w:val="single" w:color="000000" w:sz="4" w:space="0"/>
              <w:bottom w:val="single" w:color="000000" w:sz="4" w:space="0"/>
              <w:right w:val="single" w:color="000000" w:sz="4" w:space="0"/>
            </w:tcBorders>
            <w:noWrap w:val="0"/>
            <w:vAlign w:val="center"/>
          </w:tcPr>
          <w:p w14:paraId="4349CFC9">
            <w:pPr>
              <w:rPr>
                <w:rFonts w:hint="eastAsia" w:ascii="宋体" w:hAnsi="宋体" w:eastAsia="宋体" w:cs="宋体"/>
                <w:sz w:val="24"/>
                <w:szCs w:val="24"/>
                <w:highlight w:val="none"/>
              </w:rPr>
            </w:pPr>
            <w:r>
              <w:rPr>
                <w:rFonts w:hint="eastAsia" w:ascii="宋体" w:hAnsi="宋体" w:eastAsia="宋体" w:cs="宋体"/>
                <w:sz w:val="24"/>
                <w:szCs w:val="24"/>
                <w:highlight w:val="none"/>
              </w:rPr>
              <w:t>预警提示</w:t>
            </w:r>
          </w:p>
        </w:tc>
        <w:tc>
          <w:tcPr>
            <w:tcW w:w="2958" w:type="pct"/>
            <w:tcBorders>
              <w:top w:val="single" w:color="000000" w:sz="4" w:space="0"/>
              <w:left w:val="single" w:color="000000" w:sz="4" w:space="0"/>
              <w:bottom w:val="single" w:color="000000" w:sz="4" w:space="0"/>
              <w:right w:val="single" w:color="000000" w:sz="4" w:space="0"/>
            </w:tcBorders>
            <w:noWrap w:val="0"/>
            <w:vAlign w:val="center"/>
          </w:tcPr>
          <w:p w14:paraId="52DD3165">
            <w:pPr>
              <w:rPr>
                <w:rFonts w:hint="eastAsia" w:ascii="宋体" w:hAnsi="宋体" w:eastAsia="宋体" w:cs="宋体"/>
                <w:sz w:val="24"/>
                <w:szCs w:val="24"/>
                <w:highlight w:val="none"/>
              </w:rPr>
            </w:pPr>
            <w:r>
              <w:rPr>
                <w:rFonts w:hint="eastAsia" w:ascii="宋体" w:hAnsi="宋体" w:eastAsia="宋体" w:cs="宋体"/>
                <w:sz w:val="24"/>
                <w:szCs w:val="24"/>
                <w:highlight w:val="none"/>
              </w:rPr>
              <w:t>实现在工作首页上集中展示预警信息。</w:t>
            </w:r>
          </w:p>
        </w:tc>
      </w:tr>
      <w:tr w14:paraId="520E359C">
        <w:tblPrEx>
          <w:tblCellMar>
            <w:top w:w="0" w:type="dxa"/>
            <w:left w:w="108" w:type="dxa"/>
            <w:bottom w:w="0" w:type="dxa"/>
            <w:right w:w="108" w:type="dxa"/>
          </w:tblCellMar>
        </w:tblPrEx>
        <w:trPr>
          <w:jc w:val="center"/>
        </w:trPr>
        <w:tc>
          <w:tcPr>
            <w:tcW w:w="34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FCA59">
            <w:pP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6E224">
            <w:pPr>
              <w:rPr>
                <w:rFonts w:hint="eastAsia" w:ascii="宋体" w:hAnsi="宋体" w:eastAsia="宋体" w:cs="宋体"/>
                <w:sz w:val="24"/>
                <w:szCs w:val="24"/>
                <w:highlight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937CE">
            <w:pPr>
              <w:rPr>
                <w:rFonts w:hint="eastAsia" w:ascii="宋体" w:hAnsi="宋体" w:eastAsia="宋体" w:cs="宋体"/>
                <w:sz w:val="24"/>
                <w:szCs w:val="24"/>
                <w:highlight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E7D48">
            <w:pPr>
              <w:rPr>
                <w:rFonts w:hint="eastAsia" w:ascii="宋体" w:hAnsi="宋体" w:eastAsia="宋体" w:cs="宋体"/>
                <w:sz w:val="24"/>
                <w:szCs w:val="24"/>
                <w:highlight w:val="none"/>
              </w:rPr>
            </w:pPr>
            <w:r>
              <w:rPr>
                <w:rFonts w:hint="eastAsia" w:ascii="宋体" w:hAnsi="宋体" w:eastAsia="宋体" w:cs="宋体"/>
                <w:sz w:val="24"/>
                <w:szCs w:val="24"/>
                <w:highlight w:val="none"/>
              </w:rPr>
              <w:t>预警处理</w:t>
            </w:r>
          </w:p>
        </w:tc>
        <w:tc>
          <w:tcPr>
            <w:tcW w:w="295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36AFB">
            <w:pPr>
              <w:rPr>
                <w:rFonts w:hint="eastAsia" w:ascii="宋体" w:hAnsi="宋体" w:eastAsia="宋体" w:cs="宋体"/>
                <w:sz w:val="24"/>
                <w:szCs w:val="24"/>
                <w:highlight w:val="none"/>
              </w:rPr>
            </w:pPr>
            <w:r>
              <w:rPr>
                <w:rFonts w:hint="eastAsia" w:ascii="宋体" w:hAnsi="宋体" w:eastAsia="宋体" w:cs="宋体"/>
                <w:sz w:val="24"/>
                <w:szCs w:val="24"/>
                <w:highlight w:val="none"/>
              </w:rPr>
              <w:t>预警处理是指对通过预警规则和预警指标识别的风险进行处理的过程，主要包括任务分派、风险处理、处理结果记录。实现在工作首页以及业务操作过程中对预警信息的处理功能。</w:t>
            </w:r>
          </w:p>
        </w:tc>
      </w:tr>
    </w:tbl>
    <w:p w14:paraId="17C4F85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（6）电子档案管理子系统</w:t>
      </w:r>
    </w:p>
    <w:p w14:paraId="450462EB">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 </w:t>
      </w:r>
      <w:r>
        <w:rPr>
          <w:rFonts w:hint="default" w:ascii="宋体" w:hAnsi="宋体" w:eastAsia="宋体" w:cs="宋体"/>
          <w:bCs/>
          <w:sz w:val="24"/>
          <w:szCs w:val="24"/>
          <w:highlight w:val="none"/>
          <w:lang w:val="en-US" w:eastAsia="zh-CN"/>
        </w:rPr>
        <w:t>档案管理子系统实现对电子档案管理的各项功能，包括电子档案的采集、图像处理、分类、编码以及归档。</w:t>
      </w:r>
      <w:r>
        <w:rPr>
          <w:rFonts w:hint="eastAsia" w:ascii="宋体" w:hAnsi="宋体" w:eastAsia="宋体" w:cs="宋体"/>
          <w:bCs/>
          <w:sz w:val="24"/>
          <w:szCs w:val="24"/>
          <w:highlight w:val="none"/>
          <w:lang w:val="en-US" w:eastAsia="zh-CN"/>
        </w:rPr>
        <w:t>支持</w:t>
      </w:r>
      <w:r>
        <w:rPr>
          <w:rFonts w:hint="default" w:ascii="宋体" w:hAnsi="宋体" w:eastAsia="宋体" w:cs="宋体"/>
          <w:bCs/>
          <w:sz w:val="24"/>
          <w:szCs w:val="24"/>
          <w:highlight w:val="none"/>
          <w:lang w:val="en-US" w:eastAsia="zh-CN"/>
        </w:rPr>
        <w:t>将纸质文件扫描转换成电子格式。电子档案的查询，支持按业务分类、物业管理区域、楼幢及分户等条件进行精确查询，并具备模糊查询能力。系统还提供了与业务处理相关的关联查询功能，使得在业务处理过程中能够实时调阅相关的历史电子档案。</w:t>
      </w:r>
    </w:p>
    <w:p w14:paraId="2F8AF5AC">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升级改造的功能模块包括以下内容：</w:t>
      </w:r>
    </w:p>
    <w:tbl>
      <w:tblPr>
        <w:tblStyle w:val="28"/>
        <w:tblW w:w="4997" w:type="pct"/>
        <w:tblInd w:w="0" w:type="dxa"/>
        <w:tblLayout w:type="autofit"/>
        <w:tblCellMar>
          <w:top w:w="0" w:type="dxa"/>
          <w:left w:w="108" w:type="dxa"/>
          <w:bottom w:w="0" w:type="dxa"/>
          <w:right w:w="108" w:type="dxa"/>
        </w:tblCellMar>
      </w:tblPr>
      <w:tblGrid>
        <w:gridCol w:w="634"/>
        <w:gridCol w:w="891"/>
        <w:gridCol w:w="1313"/>
        <w:gridCol w:w="1330"/>
        <w:gridCol w:w="4349"/>
      </w:tblGrid>
      <w:tr w14:paraId="053CBB9E">
        <w:tblPrEx>
          <w:tblCellMar>
            <w:top w:w="0" w:type="dxa"/>
            <w:left w:w="108" w:type="dxa"/>
            <w:bottom w:w="0" w:type="dxa"/>
            <w:right w:w="108" w:type="dxa"/>
          </w:tblCellMar>
        </w:tblPrEx>
        <w:trPr>
          <w:trHeight w:val="525" w:hRule="atLeast"/>
        </w:trPr>
        <w:tc>
          <w:tcPr>
            <w:tcW w:w="6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FB919">
            <w:pPr>
              <w:pStyle w:val="92"/>
              <w:spacing w:line="280" w:lineRule="exact"/>
              <w:rPr>
                <w:rFonts w:hint="eastAsia" w:ascii="宋体" w:hAnsi="宋体" w:eastAsia="宋体" w:cs="宋体"/>
                <w:sz w:val="24"/>
                <w:szCs w:val="24"/>
                <w:highlight w:val="none"/>
              </w:rPr>
            </w:pPr>
            <w:r>
              <w:rPr>
                <w:rFonts w:hint="eastAsia" w:ascii="宋体" w:hAnsi="宋体" w:eastAsia="宋体" w:cs="宋体"/>
                <w:b/>
                <w:bCs/>
                <w:sz w:val="24"/>
                <w:szCs w:val="24"/>
                <w:highlight w:val="none"/>
              </w:rPr>
              <w:t>序号</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1101F">
            <w:pPr>
              <w:pStyle w:val="92"/>
              <w:spacing w:line="280" w:lineRule="exact"/>
              <w:rPr>
                <w:rFonts w:hint="eastAsia" w:ascii="宋体" w:hAnsi="宋体" w:eastAsia="宋体" w:cs="宋体"/>
                <w:sz w:val="24"/>
                <w:szCs w:val="24"/>
                <w:highlight w:val="none"/>
              </w:rPr>
            </w:pPr>
            <w:r>
              <w:rPr>
                <w:rFonts w:hint="eastAsia" w:ascii="宋体" w:hAnsi="宋体" w:eastAsia="宋体" w:cs="宋体"/>
                <w:b/>
                <w:bCs/>
                <w:sz w:val="24"/>
                <w:szCs w:val="24"/>
                <w:highlight w:val="none"/>
              </w:rPr>
              <w:t>子系统</w:t>
            </w: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0688D">
            <w:pPr>
              <w:pStyle w:val="92"/>
              <w:spacing w:line="280" w:lineRule="exact"/>
              <w:rPr>
                <w:rFonts w:hint="eastAsia" w:ascii="宋体" w:hAnsi="宋体" w:eastAsia="宋体" w:cs="宋体"/>
                <w:sz w:val="24"/>
                <w:szCs w:val="24"/>
                <w:highlight w:val="none"/>
              </w:rPr>
            </w:pPr>
            <w:r>
              <w:rPr>
                <w:rFonts w:hint="eastAsia" w:ascii="宋体" w:hAnsi="宋体" w:eastAsia="宋体" w:cs="宋体"/>
                <w:b/>
                <w:bCs/>
                <w:sz w:val="24"/>
                <w:szCs w:val="24"/>
                <w:highlight w:val="none"/>
              </w:rPr>
              <w:t>模块</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CD2F5">
            <w:pPr>
              <w:pStyle w:val="92"/>
              <w:spacing w:line="280" w:lineRule="exact"/>
              <w:rPr>
                <w:rFonts w:hint="eastAsia" w:ascii="宋体" w:hAnsi="宋体" w:eastAsia="宋体" w:cs="宋体"/>
                <w:sz w:val="24"/>
                <w:szCs w:val="24"/>
                <w:highlight w:val="none"/>
              </w:rPr>
            </w:pPr>
            <w:r>
              <w:rPr>
                <w:rFonts w:hint="eastAsia" w:ascii="宋体" w:hAnsi="宋体" w:eastAsia="宋体" w:cs="宋体"/>
                <w:b/>
                <w:bCs/>
                <w:sz w:val="24"/>
                <w:szCs w:val="24"/>
                <w:highlight w:val="none"/>
              </w:rPr>
              <w:t>子模块</w:t>
            </w:r>
          </w:p>
        </w:tc>
        <w:tc>
          <w:tcPr>
            <w:tcW w:w="44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45B34">
            <w:pPr>
              <w:pStyle w:val="92"/>
              <w:spacing w:line="280" w:lineRule="exact"/>
              <w:rPr>
                <w:rFonts w:hint="eastAsia" w:ascii="宋体" w:hAnsi="宋体" w:eastAsia="宋体" w:cs="宋体"/>
                <w:sz w:val="24"/>
                <w:szCs w:val="24"/>
                <w:highlight w:val="none"/>
              </w:rPr>
            </w:pPr>
            <w:r>
              <w:rPr>
                <w:rFonts w:hint="eastAsia" w:ascii="宋体" w:hAnsi="宋体" w:eastAsia="宋体" w:cs="宋体"/>
                <w:b/>
                <w:bCs/>
                <w:sz w:val="24"/>
                <w:szCs w:val="24"/>
                <w:highlight w:val="none"/>
              </w:rPr>
              <w:t>功能描述</w:t>
            </w:r>
          </w:p>
        </w:tc>
      </w:tr>
      <w:tr w14:paraId="04F5561C">
        <w:tblPrEx>
          <w:tblCellMar>
            <w:top w:w="0" w:type="dxa"/>
            <w:left w:w="108" w:type="dxa"/>
            <w:bottom w:w="0" w:type="dxa"/>
            <w:right w:w="108" w:type="dxa"/>
          </w:tblCellMar>
        </w:tblPrEx>
        <w:trPr>
          <w:trHeight w:val="840" w:hRule="atLeast"/>
        </w:trPr>
        <w:tc>
          <w:tcPr>
            <w:tcW w:w="6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F7BED">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05" w:type="dxa"/>
            <w:vMerge w:val="restart"/>
            <w:tcBorders>
              <w:top w:val="single" w:color="000000" w:sz="4" w:space="0"/>
              <w:left w:val="single" w:color="000000" w:sz="4" w:space="0"/>
              <w:right w:val="single" w:color="000000" w:sz="4" w:space="0"/>
            </w:tcBorders>
            <w:shd w:val="clear" w:color="auto" w:fill="auto"/>
            <w:noWrap w:val="0"/>
            <w:vAlign w:val="center"/>
          </w:tcPr>
          <w:p w14:paraId="7591EEBC">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电子档案管理子系统</w:t>
            </w:r>
          </w:p>
        </w:tc>
        <w:tc>
          <w:tcPr>
            <w:tcW w:w="134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5031C">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档案管理</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A80E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归档</w:t>
            </w:r>
          </w:p>
        </w:tc>
        <w:tc>
          <w:tcPr>
            <w:tcW w:w="44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7481C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实现档案管理人员对处理完毕的电子档案进行归档的功能。</w:t>
            </w:r>
          </w:p>
        </w:tc>
      </w:tr>
      <w:tr w14:paraId="26E0CE60">
        <w:tblPrEx>
          <w:tblCellMar>
            <w:top w:w="0" w:type="dxa"/>
            <w:left w:w="108" w:type="dxa"/>
            <w:bottom w:w="0" w:type="dxa"/>
            <w:right w:w="108" w:type="dxa"/>
          </w:tblCellMar>
        </w:tblPrEx>
        <w:trPr>
          <w:trHeight w:val="1030" w:hRule="atLeast"/>
        </w:trPr>
        <w:tc>
          <w:tcPr>
            <w:tcW w:w="6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FAEB8">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905" w:type="dxa"/>
            <w:vMerge w:val="continue"/>
            <w:tcBorders>
              <w:left w:val="single" w:color="000000" w:sz="4" w:space="0"/>
              <w:right w:val="single" w:color="000000" w:sz="4" w:space="0"/>
            </w:tcBorders>
            <w:shd w:val="clear" w:color="auto" w:fill="auto"/>
            <w:noWrap w:val="0"/>
            <w:vAlign w:val="center"/>
          </w:tcPr>
          <w:p w14:paraId="0BB90439">
            <w:pPr>
              <w:pStyle w:val="92"/>
              <w:spacing w:line="260" w:lineRule="exact"/>
              <w:jc w:val="left"/>
              <w:rPr>
                <w:rFonts w:hint="eastAsia" w:ascii="宋体" w:hAnsi="宋体" w:eastAsia="宋体" w:cs="宋体"/>
                <w:sz w:val="24"/>
                <w:szCs w:val="24"/>
                <w:highlight w:val="none"/>
              </w:rPr>
            </w:pPr>
          </w:p>
        </w:tc>
        <w:tc>
          <w:tcPr>
            <w:tcW w:w="134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2CFE7">
            <w:pPr>
              <w:pStyle w:val="92"/>
              <w:spacing w:line="260" w:lineRule="exact"/>
              <w:jc w:val="left"/>
              <w:rPr>
                <w:rFonts w:hint="eastAsia" w:ascii="宋体" w:hAnsi="宋体" w:eastAsia="宋体" w:cs="宋体"/>
                <w:sz w:val="24"/>
                <w:szCs w:val="24"/>
                <w:highlight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B99F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备份</w:t>
            </w:r>
          </w:p>
        </w:tc>
        <w:tc>
          <w:tcPr>
            <w:tcW w:w="44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49C8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为保证档案数据的完整性，将对电子档案数据进行备份操作，当发生意外情况造成档案数据丢失时，可通过备份文件对档案进行快速恢复。</w:t>
            </w:r>
          </w:p>
        </w:tc>
      </w:tr>
      <w:tr w14:paraId="0429BE52">
        <w:tblPrEx>
          <w:tblCellMar>
            <w:top w:w="0" w:type="dxa"/>
            <w:left w:w="108" w:type="dxa"/>
            <w:bottom w:w="0" w:type="dxa"/>
            <w:right w:w="108" w:type="dxa"/>
          </w:tblCellMar>
        </w:tblPrEx>
        <w:trPr>
          <w:trHeight w:val="700" w:hRule="atLeast"/>
        </w:trPr>
        <w:tc>
          <w:tcPr>
            <w:tcW w:w="6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433FC">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905" w:type="dxa"/>
            <w:vMerge w:val="continue"/>
            <w:tcBorders>
              <w:left w:val="single" w:color="000000" w:sz="4" w:space="0"/>
              <w:bottom w:val="single" w:color="000000" w:sz="4" w:space="0"/>
              <w:right w:val="single" w:color="000000" w:sz="4" w:space="0"/>
            </w:tcBorders>
            <w:shd w:val="clear" w:color="auto" w:fill="auto"/>
            <w:noWrap w:val="0"/>
            <w:vAlign w:val="center"/>
          </w:tcPr>
          <w:p w14:paraId="46441B11">
            <w:pPr>
              <w:pStyle w:val="92"/>
              <w:spacing w:line="260" w:lineRule="exact"/>
              <w:jc w:val="left"/>
              <w:rPr>
                <w:rFonts w:hint="eastAsia" w:ascii="宋体" w:hAnsi="宋体" w:eastAsia="宋体" w:cs="宋体"/>
                <w:sz w:val="24"/>
                <w:szCs w:val="24"/>
                <w:highlight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AFDC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档案查询</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B48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分类查询</w:t>
            </w:r>
          </w:p>
        </w:tc>
        <w:tc>
          <w:tcPr>
            <w:tcW w:w="44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DC04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档案管理人员对档案进行查询，可根据档案基本信息进行查询，也可根据档案所属的类别的自定义信息进行查询，如按业务分类、物业管理区域、幢和分户进行查询。</w:t>
            </w:r>
          </w:p>
        </w:tc>
      </w:tr>
    </w:tbl>
    <w:p w14:paraId="6EAAE6A5">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 （7）移动端服务子系统</w:t>
      </w:r>
    </w:p>
    <w:p w14:paraId="45B26948">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 </w:t>
      </w:r>
      <w:r>
        <w:rPr>
          <w:rFonts w:hint="default" w:ascii="宋体" w:hAnsi="宋体" w:eastAsia="宋体" w:cs="宋体"/>
          <w:bCs/>
          <w:sz w:val="24"/>
          <w:szCs w:val="24"/>
          <w:highlight w:val="none"/>
          <w:lang w:val="en-US" w:eastAsia="zh-CN"/>
        </w:rPr>
        <w:t>依托皖事通APP服务入口</w:t>
      </w:r>
      <w:r>
        <w:rPr>
          <w:rFonts w:hint="eastAsia" w:ascii="宋体" w:hAnsi="宋体" w:eastAsia="宋体" w:cs="宋体"/>
          <w:bCs/>
          <w:sz w:val="24"/>
          <w:szCs w:val="24"/>
          <w:highlight w:val="none"/>
          <w:lang w:val="en-US" w:eastAsia="zh-CN"/>
        </w:rPr>
        <w:t>和</w:t>
      </w:r>
      <w:r>
        <w:rPr>
          <w:rFonts w:hint="default" w:ascii="宋体" w:hAnsi="宋体" w:eastAsia="宋体" w:cs="宋体"/>
          <w:bCs/>
          <w:sz w:val="24"/>
          <w:szCs w:val="24"/>
          <w:highlight w:val="none"/>
          <w:lang w:val="en-US" w:eastAsia="zh-CN"/>
        </w:rPr>
        <w:t>皖事通原生能力(移动端能力平台)，开发移动端H5功能页面，向公众提供维修资金管理相关服务，实现在皖事通APP上自动发布维修资金管理的政策信息、相关公告、相关公示信息，通过业主认证与房屋绑定，为业主提供小区信息查询、维修资金查询、维修资金交款及业主投票功能。</w:t>
      </w:r>
    </w:p>
    <w:p w14:paraId="01F89146">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升级改造的功能模块包括以下内容：</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
        <w:gridCol w:w="858"/>
        <w:gridCol w:w="904"/>
        <w:gridCol w:w="1309"/>
        <w:gridCol w:w="4936"/>
      </w:tblGrid>
      <w:tr w14:paraId="22A2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3F42F909">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503" w:type="pct"/>
            <w:noWrap w:val="0"/>
            <w:vAlign w:val="center"/>
          </w:tcPr>
          <w:p w14:paraId="58B804EF">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子系统</w:t>
            </w:r>
          </w:p>
        </w:tc>
        <w:tc>
          <w:tcPr>
            <w:tcW w:w="530" w:type="pct"/>
            <w:noWrap w:val="0"/>
            <w:vAlign w:val="center"/>
          </w:tcPr>
          <w:p w14:paraId="2DAFF41E">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模块</w:t>
            </w:r>
          </w:p>
        </w:tc>
        <w:tc>
          <w:tcPr>
            <w:tcW w:w="768" w:type="pct"/>
            <w:noWrap w:val="0"/>
            <w:vAlign w:val="center"/>
          </w:tcPr>
          <w:p w14:paraId="746D1A1B">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子模块</w:t>
            </w:r>
          </w:p>
        </w:tc>
        <w:tc>
          <w:tcPr>
            <w:tcW w:w="2895" w:type="pct"/>
            <w:noWrap w:val="0"/>
            <w:vAlign w:val="center"/>
          </w:tcPr>
          <w:p w14:paraId="7B07C536">
            <w:pPr>
              <w:pStyle w:val="92"/>
              <w:spacing w:line="280" w:lineRule="exac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功能描述</w:t>
            </w:r>
          </w:p>
        </w:tc>
      </w:tr>
      <w:tr w14:paraId="0DB8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4F1BB6D3">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503" w:type="pct"/>
            <w:vMerge w:val="restart"/>
            <w:noWrap w:val="0"/>
            <w:vAlign w:val="center"/>
          </w:tcPr>
          <w:p w14:paraId="26F457C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移动端子系统</w:t>
            </w:r>
          </w:p>
        </w:tc>
        <w:tc>
          <w:tcPr>
            <w:tcW w:w="530" w:type="pct"/>
            <w:vMerge w:val="restart"/>
            <w:noWrap w:val="0"/>
            <w:vAlign w:val="center"/>
          </w:tcPr>
          <w:p w14:paraId="6ABBB8D5">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微信端</w:t>
            </w:r>
          </w:p>
        </w:tc>
        <w:tc>
          <w:tcPr>
            <w:tcW w:w="768" w:type="pct"/>
            <w:noWrap w:val="0"/>
            <w:vAlign w:val="center"/>
          </w:tcPr>
          <w:p w14:paraId="1FCDA9AE">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公示公告</w:t>
            </w:r>
          </w:p>
        </w:tc>
        <w:tc>
          <w:tcPr>
            <w:tcW w:w="2895" w:type="pct"/>
            <w:noWrap w:val="0"/>
            <w:vAlign w:val="center"/>
          </w:tcPr>
          <w:p w14:paraId="330D0388">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业主可通过皖事通APP进行查看系统发布的公示公告。</w:t>
            </w:r>
          </w:p>
        </w:tc>
      </w:tr>
      <w:tr w14:paraId="5F42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5B0C8AB6">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503" w:type="pct"/>
            <w:vMerge w:val="continue"/>
            <w:noWrap w:val="0"/>
            <w:vAlign w:val="center"/>
          </w:tcPr>
          <w:p w14:paraId="1C9DEF86">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37FFAE40">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306AA69B">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办事指南</w:t>
            </w:r>
          </w:p>
        </w:tc>
        <w:tc>
          <w:tcPr>
            <w:tcW w:w="2895" w:type="pct"/>
            <w:noWrap w:val="0"/>
            <w:vAlign w:val="center"/>
          </w:tcPr>
          <w:p w14:paraId="74140481">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在皖事通APP为公众提供业务办理指南，方便公众了解业务办理程序，提供相关模板的下载功能。</w:t>
            </w:r>
          </w:p>
        </w:tc>
      </w:tr>
      <w:tr w14:paraId="2D30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62494B47">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503" w:type="pct"/>
            <w:vMerge w:val="continue"/>
            <w:noWrap w:val="0"/>
            <w:vAlign w:val="center"/>
          </w:tcPr>
          <w:p w14:paraId="41707F97">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690FD954">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6277FD62">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政策法规</w:t>
            </w:r>
          </w:p>
        </w:tc>
        <w:tc>
          <w:tcPr>
            <w:tcW w:w="2895" w:type="pct"/>
            <w:noWrap w:val="0"/>
            <w:vAlign w:val="center"/>
          </w:tcPr>
          <w:p w14:paraId="414B0C57">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实现在皖事通APP查看相关政策法规的功能。</w:t>
            </w:r>
          </w:p>
        </w:tc>
      </w:tr>
      <w:tr w14:paraId="4481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385CB6C2">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503" w:type="pct"/>
            <w:vMerge w:val="continue"/>
            <w:noWrap w:val="0"/>
            <w:vAlign w:val="center"/>
          </w:tcPr>
          <w:p w14:paraId="2F5A0D68">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71FA83CE">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36103DD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业主认证</w:t>
            </w:r>
          </w:p>
        </w:tc>
        <w:tc>
          <w:tcPr>
            <w:tcW w:w="2895" w:type="pct"/>
            <w:noWrap w:val="0"/>
            <w:vAlign w:val="center"/>
          </w:tcPr>
          <w:p w14:paraId="41BCD09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实现业主通过手机号、身份证号、人脸识别进行认证。</w:t>
            </w:r>
          </w:p>
        </w:tc>
      </w:tr>
      <w:tr w14:paraId="4592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68141808">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503" w:type="pct"/>
            <w:vMerge w:val="continue"/>
            <w:noWrap w:val="0"/>
            <w:vAlign w:val="center"/>
          </w:tcPr>
          <w:p w14:paraId="343FB794">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54F49BF3">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3D263868">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房屋绑定</w:t>
            </w:r>
          </w:p>
        </w:tc>
        <w:tc>
          <w:tcPr>
            <w:tcW w:w="2895" w:type="pct"/>
            <w:noWrap w:val="0"/>
            <w:vAlign w:val="center"/>
          </w:tcPr>
          <w:p w14:paraId="6117E5C4">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业主在皖事通APP上可绑定房屋信息，通过房屋产权信息绑定业主名下的房屋，绑定成功后，可进行维修资金投票、小区物业事项投票、维修资金账户查询操作。</w:t>
            </w:r>
          </w:p>
        </w:tc>
      </w:tr>
      <w:tr w14:paraId="1435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3104FF1F">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503" w:type="pct"/>
            <w:vMerge w:val="continue"/>
            <w:noWrap w:val="0"/>
            <w:vAlign w:val="center"/>
          </w:tcPr>
          <w:p w14:paraId="4C9AF289">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5023CF0A">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6BFB2306">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维修资金查询</w:t>
            </w:r>
          </w:p>
        </w:tc>
        <w:tc>
          <w:tcPr>
            <w:tcW w:w="2895" w:type="pct"/>
            <w:noWrap w:val="0"/>
            <w:vAlign w:val="center"/>
          </w:tcPr>
          <w:p w14:paraId="4F774CEA">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业主进行身份认证后，可以进行自身小区维修资金信息的查询，包括总余额、支入支出明细账。</w:t>
            </w:r>
          </w:p>
        </w:tc>
      </w:tr>
      <w:tr w14:paraId="776A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54D4A10C">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503" w:type="pct"/>
            <w:vMerge w:val="continue"/>
            <w:noWrap w:val="0"/>
            <w:vAlign w:val="center"/>
          </w:tcPr>
          <w:p w14:paraId="0F2B874B">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6A703917">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0E4A99F4">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小区信息查询</w:t>
            </w:r>
          </w:p>
        </w:tc>
        <w:tc>
          <w:tcPr>
            <w:tcW w:w="2895" w:type="pct"/>
            <w:noWrap w:val="0"/>
            <w:vAlign w:val="center"/>
          </w:tcPr>
          <w:p w14:paraId="6BEF5B4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业主可以通过皖事通APP查看自己小区的相关信息。</w:t>
            </w:r>
          </w:p>
        </w:tc>
      </w:tr>
      <w:tr w14:paraId="4951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3EE34D09">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503" w:type="pct"/>
            <w:vMerge w:val="continue"/>
            <w:noWrap w:val="0"/>
            <w:vAlign w:val="center"/>
          </w:tcPr>
          <w:p w14:paraId="496E7660">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4A82214F">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64148FC8">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维修资金交款</w:t>
            </w:r>
          </w:p>
        </w:tc>
        <w:tc>
          <w:tcPr>
            <w:tcW w:w="2895" w:type="pct"/>
            <w:noWrap w:val="0"/>
            <w:vAlign w:val="center"/>
          </w:tcPr>
          <w:p w14:paraId="16858527">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实现业主绑定房屋后通过皖事通APP交存维修资金。</w:t>
            </w:r>
          </w:p>
        </w:tc>
      </w:tr>
      <w:tr w14:paraId="2B47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noWrap w:val="0"/>
            <w:vAlign w:val="center"/>
          </w:tcPr>
          <w:p w14:paraId="5292A481">
            <w:pPr>
              <w:pStyle w:val="92"/>
              <w:spacing w:line="2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503" w:type="pct"/>
            <w:vMerge w:val="continue"/>
            <w:noWrap w:val="0"/>
            <w:vAlign w:val="center"/>
          </w:tcPr>
          <w:p w14:paraId="3AA953DC">
            <w:pPr>
              <w:pStyle w:val="92"/>
              <w:spacing w:line="260" w:lineRule="exact"/>
              <w:jc w:val="left"/>
              <w:rPr>
                <w:rFonts w:hint="eastAsia" w:ascii="宋体" w:hAnsi="宋体" w:eastAsia="宋体" w:cs="宋体"/>
                <w:sz w:val="24"/>
                <w:szCs w:val="24"/>
                <w:highlight w:val="none"/>
              </w:rPr>
            </w:pPr>
          </w:p>
        </w:tc>
        <w:tc>
          <w:tcPr>
            <w:tcW w:w="530" w:type="pct"/>
            <w:vMerge w:val="continue"/>
            <w:noWrap w:val="0"/>
            <w:vAlign w:val="center"/>
          </w:tcPr>
          <w:p w14:paraId="5A83F53E">
            <w:pPr>
              <w:pStyle w:val="92"/>
              <w:spacing w:line="260" w:lineRule="exact"/>
              <w:jc w:val="left"/>
              <w:rPr>
                <w:rFonts w:hint="eastAsia" w:ascii="宋体" w:hAnsi="宋体" w:eastAsia="宋体" w:cs="宋体"/>
                <w:sz w:val="24"/>
                <w:szCs w:val="24"/>
                <w:highlight w:val="none"/>
              </w:rPr>
            </w:pPr>
          </w:p>
        </w:tc>
        <w:tc>
          <w:tcPr>
            <w:tcW w:w="768" w:type="pct"/>
            <w:noWrap w:val="0"/>
            <w:vAlign w:val="center"/>
          </w:tcPr>
          <w:p w14:paraId="540867BC">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业主投票</w:t>
            </w:r>
          </w:p>
        </w:tc>
        <w:tc>
          <w:tcPr>
            <w:tcW w:w="2895" w:type="pct"/>
            <w:noWrap w:val="0"/>
            <w:vAlign w:val="center"/>
          </w:tcPr>
          <w:p w14:paraId="6A9856C0">
            <w:pPr>
              <w:pStyle w:val="92"/>
              <w:spacing w:line="26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业主收到投票通知推送信息后，可进入皖事通APP进行投票。</w:t>
            </w:r>
          </w:p>
        </w:tc>
      </w:tr>
    </w:tbl>
    <w:p w14:paraId="42761B54">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（8）电子投票子系统</w:t>
      </w:r>
    </w:p>
    <w:p w14:paraId="37BD09DF">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 </w:t>
      </w:r>
      <w:r>
        <w:rPr>
          <w:rFonts w:hint="default" w:ascii="宋体" w:hAnsi="宋体" w:eastAsia="宋体" w:cs="宋体"/>
          <w:bCs/>
          <w:sz w:val="24"/>
          <w:szCs w:val="24"/>
          <w:highlight w:val="none"/>
          <w:lang w:val="en-US" w:eastAsia="zh-CN"/>
        </w:rPr>
        <w:t>构建基于移动互联网的统一多渠道物业公共事务表决系统，其核心功能包括投票议题的申请、审核与发起。业主可通过皖事通APP进行实名认证和投票，系统还提供投票信息的公示、结果的查询与统计功能。该子系统融合互联网、移动端、短信等多种技术手段，为业主打造一个便捷的物业管理公共事务投票表决平台。</w:t>
      </w:r>
    </w:p>
    <w:p w14:paraId="61982F33">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 xml:space="preserve"> </w:t>
      </w:r>
      <w:r>
        <w:rPr>
          <w:rFonts w:hint="default" w:ascii="宋体" w:hAnsi="宋体" w:eastAsia="宋体" w:cs="宋体"/>
          <w:bCs/>
          <w:sz w:val="24"/>
          <w:szCs w:val="24"/>
          <w:highlight w:val="none"/>
          <w:lang w:val="en-US" w:eastAsia="zh-CN"/>
        </w:rPr>
        <w:t>该系统涉及多个机构，如主管单位、街道办事处（或镇人民政府）、业主委员会、居民委员会、村民委员会及物业服务企业等，并针对这些参与者实施分级管理授权。子系统能够发起各类公共事项投票（如选聘物业服务企业、小区公共收益分配方式、维修资金使用等），支持业主进行表决，自动统计投票数据，生成电子投票表决结果，并自动公示决策结果，同时提供决策书的打印功能。</w:t>
      </w:r>
    </w:p>
    <w:p w14:paraId="5A7225E6">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default" w:ascii="宋体" w:hAnsi="宋体" w:eastAsia="宋体" w:cs="宋体"/>
          <w:bCs/>
          <w:sz w:val="24"/>
          <w:szCs w:val="24"/>
          <w:highlight w:val="none"/>
          <w:lang w:val="en-US" w:eastAsia="zh-CN"/>
        </w:rPr>
        <w:t>升级改造的功能模块包括以下内容：</w:t>
      </w:r>
    </w:p>
    <w:tbl>
      <w:tblPr>
        <w:tblStyle w:val="28"/>
        <w:tblW w:w="5000" w:type="pct"/>
        <w:jc w:val="center"/>
        <w:tblLayout w:type="autofit"/>
        <w:tblCellMar>
          <w:top w:w="0" w:type="dxa"/>
          <w:left w:w="108" w:type="dxa"/>
          <w:bottom w:w="0" w:type="dxa"/>
          <w:right w:w="108" w:type="dxa"/>
        </w:tblCellMar>
      </w:tblPr>
      <w:tblGrid>
        <w:gridCol w:w="489"/>
        <w:gridCol w:w="730"/>
        <w:gridCol w:w="776"/>
        <w:gridCol w:w="1228"/>
        <w:gridCol w:w="5299"/>
      </w:tblGrid>
      <w:tr w14:paraId="7E2B97FB">
        <w:tblPrEx>
          <w:tblCellMar>
            <w:top w:w="0" w:type="dxa"/>
            <w:left w:w="108" w:type="dxa"/>
            <w:bottom w:w="0" w:type="dxa"/>
            <w:right w:w="108" w:type="dxa"/>
          </w:tblCellMar>
        </w:tblPrEx>
        <w:trPr>
          <w:jc w:val="center"/>
        </w:trPr>
        <w:tc>
          <w:tcPr>
            <w:tcW w:w="5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C18A1">
            <w:pPr>
              <w:pStyle w:val="92"/>
              <w:spacing w:line="280" w:lineRule="exact"/>
              <w:rPr>
                <w:rFonts w:hint="eastAsia" w:ascii="宋体" w:hAnsi="宋体" w:eastAsia="宋体" w:cs="宋体"/>
                <w:szCs w:val="24"/>
                <w:highlight w:val="none"/>
              </w:rPr>
            </w:pPr>
            <w:r>
              <w:rPr>
                <w:rFonts w:hint="eastAsia" w:ascii="宋体" w:hAnsi="宋体" w:eastAsia="宋体" w:cs="宋体"/>
                <w:b/>
                <w:bCs/>
                <w:szCs w:val="24"/>
                <w:highlight w:val="none"/>
              </w:rPr>
              <w:t>序号</w:t>
            </w:r>
          </w:p>
        </w:tc>
        <w:tc>
          <w:tcPr>
            <w:tcW w:w="7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CE119">
            <w:pPr>
              <w:pStyle w:val="92"/>
              <w:spacing w:line="280" w:lineRule="exact"/>
              <w:rPr>
                <w:rFonts w:hint="eastAsia" w:ascii="宋体" w:hAnsi="宋体" w:eastAsia="宋体" w:cs="宋体"/>
                <w:szCs w:val="24"/>
                <w:highlight w:val="none"/>
              </w:rPr>
            </w:pPr>
            <w:r>
              <w:rPr>
                <w:rFonts w:hint="eastAsia" w:ascii="宋体" w:hAnsi="宋体" w:eastAsia="宋体" w:cs="宋体"/>
                <w:b/>
                <w:bCs/>
                <w:szCs w:val="24"/>
                <w:highlight w:val="none"/>
              </w:rPr>
              <w:t>子系统</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EBDE4">
            <w:pPr>
              <w:pStyle w:val="92"/>
              <w:spacing w:line="280" w:lineRule="exact"/>
              <w:rPr>
                <w:rFonts w:hint="eastAsia" w:ascii="宋体" w:hAnsi="宋体" w:eastAsia="宋体" w:cs="宋体"/>
                <w:szCs w:val="24"/>
                <w:highlight w:val="none"/>
              </w:rPr>
            </w:pPr>
            <w:r>
              <w:rPr>
                <w:rFonts w:hint="eastAsia" w:ascii="宋体" w:hAnsi="宋体" w:eastAsia="宋体" w:cs="宋体"/>
                <w:b/>
                <w:bCs/>
                <w:szCs w:val="24"/>
                <w:highlight w:val="none"/>
              </w:rPr>
              <w:t>模块</w:t>
            </w:r>
          </w:p>
        </w:tc>
        <w:tc>
          <w:tcPr>
            <w:tcW w:w="12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2DE3E">
            <w:pPr>
              <w:pStyle w:val="92"/>
              <w:spacing w:line="280" w:lineRule="exact"/>
              <w:rPr>
                <w:rFonts w:hint="eastAsia" w:ascii="宋体" w:hAnsi="宋体" w:eastAsia="宋体" w:cs="宋体"/>
                <w:szCs w:val="24"/>
                <w:highlight w:val="none"/>
              </w:rPr>
            </w:pPr>
            <w:r>
              <w:rPr>
                <w:rFonts w:hint="eastAsia" w:ascii="宋体" w:hAnsi="宋体" w:eastAsia="宋体" w:cs="宋体"/>
                <w:b/>
                <w:bCs/>
                <w:szCs w:val="24"/>
                <w:highlight w:val="none"/>
              </w:rPr>
              <w:t>子模块</w:t>
            </w:r>
          </w:p>
        </w:tc>
        <w:tc>
          <w:tcPr>
            <w:tcW w:w="54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90122">
            <w:pPr>
              <w:pStyle w:val="92"/>
              <w:spacing w:line="280" w:lineRule="exact"/>
              <w:rPr>
                <w:rFonts w:hint="eastAsia" w:ascii="宋体" w:hAnsi="宋体" w:eastAsia="宋体" w:cs="宋体"/>
                <w:szCs w:val="24"/>
                <w:highlight w:val="none"/>
              </w:rPr>
            </w:pPr>
            <w:r>
              <w:rPr>
                <w:rFonts w:hint="eastAsia" w:ascii="宋体" w:hAnsi="宋体" w:eastAsia="宋体" w:cs="宋体"/>
                <w:b/>
                <w:bCs/>
                <w:szCs w:val="24"/>
                <w:highlight w:val="none"/>
              </w:rPr>
              <w:t>功能描述</w:t>
            </w:r>
          </w:p>
        </w:tc>
      </w:tr>
      <w:tr w14:paraId="2DA44F69">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3D94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w:t>
            </w:r>
          </w:p>
        </w:tc>
        <w:tc>
          <w:tcPr>
            <w:tcW w:w="428" w:type="pct"/>
            <w:vMerge w:val="restart"/>
            <w:tcBorders>
              <w:top w:val="single" w:color="000000" w:sz="4" w:space="0"/>
              <w:left w:val="single" w:color="000000" w:sz="4" w:space="0"/>
              <w:right w:val="single" w:color="000000" w:sz="4" w:space="0"/>
            </w:tcBorders>
            <w:shd w:val="clear" w:color="auto" w:fill="auto"/>
            <w:noWrap w:val="0"/>
            <w:vAlign w:val="center"/>
          </w:tcPr>
          <w:p w14:paraId="422A412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电子投票子系统</w:t>
            </w:r>
          </w:p>
        </w:tc>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471BA">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投票管理</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EBF93">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投票申请</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1D1BF">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投票发起机构（物业服务企业、业主委员会）将投票表决相关信息录入系统并发起议题，议题提交后需上级主管部门审核。</w:t>
            </w:r>
          </w:p>
        </w:tc>
      </w:tr>
      <w:tr w14:paraId="6444E4A9">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38F3F">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2</w:t>
            </w:r>
          </w:p>
        </w:tc>
        <w:tc>
          <w:tcPr>
            <w:tcW w:w="428" w:type="pct"/>
            <w:vMerge w:val="continue"/>
            <w:tcBorders>
              <w:left w:val="single" w:color="000000" w:sz="4" w:space="0"/>
              <w:right w:val="single" w:color="000000" w:sz="4" w:space="0"/>
            </w:tcBorders>
            <w:shd w:val="clear" w:color="auto" w:fill="auto"/>
            <w:noWrap w:val="0"/>
            <w:vAlign w:val="center"/>
          </w:tcPr>
          <w:p w14:paraId="377DC54E">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D4E1B">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299A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投票修改</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1E86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实现对未提交的议题可进行编辑的功能。</w:t>
            </w:r>
          </w:p>
        </w:tc>
      </w:tr>
      <w:tr w14:paraId="6C1B2882">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262FC">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3</w:t>
            </w:r>
          </w:p>
        </w:tc>
        <w:tc>
          <w:tcPr>
            <w:tcW w:w="428" w:type="pct"/>
            <w:vMerge w:val="continue"/>
            <w:tcBorders>
              <w:left w:val="single" w:color="000000" w:sz="4" w:space="0"/>
              <w:right w:val="single" w:color="000000" w:sz="4" w:space="0"/>
            </w:tcBorders>
            <w:shd w:val="clear" w:color="auto" w:fill="auto"/>
            <w:noWrap w:val="0"/>
            <w:vAlign w:val="center"/>
          </w:tcPr>
          <w:p w14:paraId="518D88AA">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71729">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B7483">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投票审核</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FC132">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主管部门对相关机构发起的投票事项进行审核，判定是否符合相关规定，审核通过后，自动生成投票公示信息，公示信息自动推送到外网平台和业主微信中。</w:t>
            </w:r>
          </w:p>
        </w:tc>
      </w:tr>
      <w:tr w14:paraId="380370D9">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6373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4</w:t>
            </w:r>
          </w:p>
        </w:tc>
        <w:tc>
          <w:tcPr>
            <w:tcW w:w="428" w:type="pct"/>
            <w:vMerge w:val="continue"/>
            <w:tcBorders>
              <w:left w:val="single" w:color="000000" w:sz="4" w:space="0"/>
              <w:right w:val="single" w:color="000000" w:sz="4" w:space="0"/>
            </w:tcBorders>
            <w:shd w:val="clear" w:color="auto" w:fill="auto"/>
            <w:noWrap w:val="0"/>
            <w:vAlign w:val="center"/>
          </w:tcPr>
          <w:p w14:paraId="61989A5A">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B25FD">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40D2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投票公示</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FA95E">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投票发起机构可通过系统可打印投票公示信息及投票结果公示信息，张贴在小区明显位置。同时，公示信息将自动推送到外网平台和业主微信中。</w:t>
            </w:r>
          </w:p>
        </w:tc>
      </w:tr>
      <w:tr w14:paraId="046CB9F7">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D7629">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5</w:t>
            </w:r>
          </w:p>
        </w:tc>
        <w:tc>
          <w:tcPr>
            <w:tcW w:w="428" w:type="pct"/>
            <w:vMerge w:val="continue"/>
            <w:tcBorders>
              <w:left w:val="single" w:color="000000" w:sz="4" w:space="0"/>
              <w:right w:val="single" w:color="000000" w:sz="4" w:space="0"/>
            </w:tcBorders>
            <w:shd w:val="clear" w:color="auto" w:fill="auto"/>
            <w:noWrap w:val="0"/>
            <w:vAlign w:val="center"/>
          </w:tcPr>
          <w:p w14:paraId="30CECE7C">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DBEB0">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AF58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业主投票</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355BC">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业主收到投票通知推送信息后，可进入皖事通APP进行投票。</w:t>
            </w:r>
          </w:p>
        </w:tc>
      </w:tr>
      <w:tr w14:paraId="5ED6B653">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1A0CB">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6</w:t>
            </w:r>
          </w:p>
        </w:tc>
        <w:tc>
          <w:tcPr>
            <w:tcW w:w="428" w:type="pct"/>
            <w:vMerge w:val="continue"/>
            <w:tcBorders>
              <w:left w:val="single" w:color="000000" w:sz="4" w:space="0"/>
              <w:right w:val="single" w:color="000000" w:sz="4" w:space="0"/>
            </w:tcBorders>
            <w:shd w:val="clear" w:color="auto" w:fill="auto"/>
            <w:noWrap w:val="0"/>
            <w:vAlign w:val="center"/>
          </w:tcPr>
          <w:p w14:paraId="517939C6">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420DE">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BAB56">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投票延时开始</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C1494">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因其他原因导致不能按时开始的投票，可在开始投票前向主管部门提出申请，修改投票开始时间和结束时间。</w:t>
            </w:r>
          </w:p>
        </w:tc>
      </w:tr>
      <w:tr w14:paraId="5E33164D">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1A249">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7</w:t>
            </w:r>
          </w:p>
        </w:tc>
        <w:tc>
          <w:tcPr>
            <w:tcW w:w="428" w:type="pct"/>
            <w:vMerge w:val="continue"/>
            <w:tcBorders>
              <w:left w:val="single" w:color="000000" w:sz="4" w:space="0"/>
              <w:right w:val="single" w:color="000000" w:sz="4" w:space="0"/>
            </w:tcBorders>
            <w:shd w:val="clear" w:color="auto" w:fill="auto"/>
            <w:noWrap w:val="0"/>
            <w:vAlign w:val="center"/>
          </w:tcPr>
          <w:p w14:paraId="4BC319C0">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35789">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9B6D6">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投票延期结束</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8E8C6">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因其他原因导致投票不能按时截止的，可在截止前向主管部门提出申请，修改投票结束时间，但不能超出原结束时间15天。</w:t>
            </w:r>
          </w:p>
        </w:tc>
      </w:tr>
      <w:tr w14:paraId="47C41B99">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BB08B">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8</w:t>
            </w:r>
          </w:p>
        </w:tc>
        <w:tc>
          <w:tcPr>
            <w:tcW w:w="428" w:type="pct"/>
            <w:vMerge w:val="continue"/>
            <w:tcBorders>
              <w:left w:val="single" w:color="000000" w:sz="4" w:space="0"/>
              <w:right w:val="single" w:color="000000" w:sz="4" w:space="0"/>
            </w:tcBorders>
            <w:shd w:val="clear" w:color="auto" w:fill="auto"/>
            <w:noWrap w:val="0"/>
            <w:vAlign w:val="center"/>
          </w:tcPr>
          <w:p w14:paraId="0EE3C05B">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0332C">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5CCB7">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投票提前结束</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D0DFE">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因其他原因导致需要提前结束并统计结果的，可在截止前向主管部门提出申请，提前结束投票。</w:t>
            </w:r>
          </w:p>
        </w:tc>
      </w:tr>
      <w:tr w14:paraId="2BE17AA8">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D7459">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9</w:t>
            </w:r>
          </w:p>
        </w:tc>
        <w:tc>
          <w:tcPr>
            <w:tcW w:w="428" w:type="pct"/>
            <w:vMerge w:val="continue"/>
            <w:tcBorders>
              <w:left w:val="single" w:color="000000" w:sz="4" w:space="0"/>
              <w:right w:val="single" w:color="000000" w:sz="4" w:space="0"/>
            </w:tcBorders>
            <w:shd w:val="clear" w:color="auto" w:fill="auto"/>
            <w:noWrap w:val="0"/>
            <w:vAlign w:val="center"/>
          </w:tcPr>
          <w:p w14:paraId="69AAC9BF">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0C7E6">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919EA">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补录纸质签字表决意见</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6BC16">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期满后，系统自动修改状态为投票截止，然后组织投票的机构可以在主管部门或社区居民委员会指导监督下录入业主线下表决的意见。对于同时参加互联网投票和纸质签字投票的，建议以互联网投票结果为准，便于投票结果统计工作。</w:t>
            </w:r>
          </w:p>
        </w:tc>
      </w:tr>
      <w:tr w14:paraId="60F5D860">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F8C1C">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10</w:t>
            </w:r>
          </w:p>
        </w:tc>
        <w:tc>
          <w:tcPr>
            <w:tcW w:w="428" w:type="pct"/>
            <w:vMerge w:val="continue"/>
            <w:tcBorders>
              <w:left w:val="single" w:color="000000" w:sz="4" w:space="0"/>
              <w:right w:val="single" w:color="000000" w:sz="4" w:space="0"/>
            </w:tcBorders>
            <w:shd w:val="clear" w:color="auto" w:fill="auto"/>
            <w:noWrap w:val="0"/>
            <w:vAlign w:val="center"/>
          </w:tcPr>
          <w:p w14:paraId="07AED3E7">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A18DE">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74674">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计票</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37E35">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投票期满后，补录线下纸质表决意见，补录完成后系统自动计票。每个投票时限仅能执行一次计票。系统计票方式和计规则可根据主管部门需要进行配置。</w:t>
            </w:r>
          </w:p>
        </w:tc>
      </w:tr>
      <w:tr w14:paraId="467FB2E1">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E9E51">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11</w:t>
            </w:r>
          </w:p>
        </w:tc>
        <w:tc>
          <w:tcPr>
            <w:tcW w:w="428" w:type="pct"/>
            <w:vMerge w:val="continue"/>
            <w:tcBorders>
              <w:left w:val="single" w:color="000000" w:sz="4" w:space="0"/>
              <w:right w:val="single" w:color="000000" w:sz="4" w:space="0"/>
            </w:tcBorders>
            <w:shd w:val="clear" w:color="auto" w:fill="auto"/>
            <w:noWrap w:val="0"/>
            <w:vAlign w:val="center"/>
          </w:tcPr>
          <w:p w14:paraId="73DAF31D">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5B485">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8242C">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投票结果审核</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D0CA1">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投票计票结束后，系统根据配置的计票规则自动生成投票结果，主管部门对投票结果进行审核，审核完成后，系统自动生成投票结果公示信息，并推送到外网平台和业主微信中。</w:t>
            </w:r>
          </w:p>
        </w:tc>
      </w:tr>
      <w:tr w14:paraId="371B52EE">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AE2B0">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12</w:t>
            </w:r>
          </w:p>
        </w:tc>
        <w:tc>
          <w:tcPr>
            <w:tcW w:w="428" w:type="pct"/>
            <w:vMerge w:val="continue"/>
            <w:tcBorders>
              <w:left w:val="single" w:color="000000" w:sz="4" w:space="0"/>
              <w:right w:val="single" w:color="000000" w:sz="4" w:space="0"/>
            </w:tcBorders>
            <w:shd w:val="clear" w:color="auto" w:fill="auto"/>
            <w:noWrap w:val="0"/>
            <w:vAlign w:val="center"/>
          </w:tcPr>
          <w:p w14:paraId="260CE51E">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8CC4E">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2D7BD">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投票结果询异</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20EC8">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投票期满后，针对投票结果存在异议的业主，可通过该功能发起投票结果询异。投票结果询异由主管部门工作人员人工审核并予以回复。</w:t>
            </w:r>
          </w:p>
        </w:tc>
      </w:tr>
      <w:tr w14:paraId="1811E4B8">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8C250">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13</w:t>
            </w:r>
          </w:p>
        </w:tc>
        <w:tc>
          <w:tcPr>
            <w:tcW w:w="428" w:type="pct"/>
            <w:vMerge w:val="continue"/>
            <w:tcBorders>
              <w:left w:val="single" w:color="000000" w:sz="4" w:space="0"/>
              <w:right w:val="single" w:color="000000" w:sz="4" w:space="0"/>
            </w:tcBorders>
            <w:shd w:val="clear" w:color="auto" w:fill="auto"/>
            <w:noWrap w:val="0"/>
            <w:vAlign w:val="center"/>
          </w:tcPr>
          <w:p w14:paraId="0789F143">
            <w:pPr>
              <w:pStyle w:val="92"/>
              <w:spacing w:line="260" w:lineRule="exact"/>
              <w:jc w:val="left"/>
              <w:rPr>
                <w:rFonts w:hint="eastAsia" w:ascii="宋体" w:hAnsi="宋体" w:eastAsia="宋体" w:cs="宋体"/>
                <w:szCs w:val="24"/>
                <w:highlight w:val="none"/>
              </w:rPr>
            </w:pPr>
          </w:p>
        </w:tc>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AD526">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投票结果查询统计</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5A6B8">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综合查询</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D2BE4">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实现灵活、多样的查询功能。</w:t>
            </w:r>
          </w:p>
        </w:tc>
      </w:tr>
      <w:tr w14:paraId="7ECF0D79">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908E2">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14</w:t>
            </w:r>
          </w:p>
        </w:tc>
        <w:tc>
          <w:tcPr>
            <w:tcW w:w="428" w:type="pct"/>
            <w:vMerge w:val="continue"/>
            <w:tcBorders>
              <w:left w:val="single" w:color="000000" w:sz="4" w:space="0"/>
              <w:right w:val="single" w:color="000000" w:sz="4" w:space="0"/>
            </w:tcBorders>
            <w:shd w:val="clear" w:color="auto" w:fill="auto"/>
            <w:noWrap w:val="0"/>
            <w:vAlign w:val="center"/>
          </w:tcPr>
          <w:p w14:paraId="79DDC87A">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1A069">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7455F">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投票结果统计</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4AC50">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实现对投票事项、投票类型、投票渠道、投票结果多维度的统计分析功能。为主管部门提供全面的、快速的、准确的、可自定义的统计与分析，采用图、表的方式展示。</w:t>
            </w:r>
          </w:p>
        </w:tc>
      </w:tr>
      <w:tr w14:paraId="5006D477">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23383">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15</w:t>
            </w:r>
          </w:p>
        </w:tc>
        <w:tc>
          <w:tcPr>
            <w:tcW w:w="428" w:type="pct"/>
            <w:vMerge w:val="continue"/>
            <w:tcBorders>
              <w:left w:val="single" w:color="000000" w:sz="4" w:space="0"/>
              <w:right w:val="single" w:color="000000" w:sz="4" w:space="0"/>
            </w:tcBorders>
            <w:shd w:val="clear" w:color="auto" w:fill="auto"/>
            <w:noWrap w:val="0"/>
            <w:vAlign w:val="center"/>
          </w:tcPr>
          <w:p w14:paraId="1D46597E">
            <w:pPr>
              <w:pStyle w:val="92"/>
              <w:spacing w:line="260" w:lineRule="exact"/>
              <w:jc w:val="left"/>
              <w:rPr>
                <w:rFonts w:hint="eastAsia" w:ascii="宋体" w:hAnsi="宋体" w:eastAsia="宋体" w:cs="宋体"/>
                <w:szCs w:val="24"/>
                <w:highlight w:val="none"/>
              </w:rPr>
            </w:pPr>
          </w:p>
        </w:tc>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44AF6">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投票渠道管理</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87E41">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移动端投票</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A75E2">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实现业主在皖事通APP上的身份验证、房屋绑定、房屋解绑、投票通知、投票以及查看投票结果的功能。</w:t>
            </w:r>
          </w:p>
        </w:tc>
      </w:tr>
      <w:tr w14:paraId="3AB9F8CE">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0576C">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16</w:t>
            </w:r>
          </w:p>
        </w:tc>
        <w:tc>
          <w:tcPr>
            <w:tcW w:w="428" w:type="pct"/>
            <w:vMerge w:val="continue"/>
            <w:tcBorders>
              <w:left w:val="single" w:color="000000" w:sz="4" w:space="0"/>
              <w:right w:val="single" w:color="000000" w:sz="4" w:space="0"/>
            </w:tcBorders>
            <w:shd w:val="clear" w:color="auto" w:fill="auto"/>
            <w:noWrap w:val="0"/>
            <w:vAlign w:val="center"/>
          </w:tcPr>
          <w:p w14:paraId="5871DF58">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9E4CA">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322F0">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纸质签字投票</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554F5">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系统提供打印业主纸质签字表，在投票截止后，由投票发起机构补录纸质签字数据，并需上传纸质签字表扫描件。</w:t>
            </w:r>
          </w:p>
        </w:tc>
      </w:tr>
      <w:tr w14:paraId="692FF001">
        <w:tblPrEx>
          <w:tblCellMar>
            <w:top w:w="0" w:type="dxa"/>
            <w:left w:w="108" w:type="dxa"/>
            <w:bottom w:w="0" w:type="dxa"/>
            <w:right w:w="108" w:type="dxa"/>
          </w:tblCellMar>
        </w:tblPrEx>
        <w:trPr>
          <w:jc w:val="center"/>
        </w:trPr>
        <w:tc>
          <w:tcPr>
            <w:tcW w:w="2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30900">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17</w:t>
            </w:r>
          </w:p>
        </w:tc>
        <w:tc>
          <w:tcPr>
            <w:tcW w:w="428" w:type="pct"/>
            <w:vMerge w:val="continue"/>
            <w:tcBorders>
              <w:left w:val="single" w:color="000000" w:sz="4" w:space="0"/>
              <w:bottom w:val="single" w:color="000000" w:sz="4" w:space="0"/>
              <w:right w:val="single" w:color="000000" w:sz="4" w:space="0"/>
            </w:tcBorders>
            <w:shd w:val="clear" w:color="auto" w:fill="auto"/>
            <w:noWrap w:val="0"/>
            <w:vAlign w:val="center"/>
          </w:tcPr>
          <w:p w14:paraId="0DD3A4ED">
            <w:pPr>
              <w:pStyle w:val="92"/>
              <w:spacing w:line="260" w:lineRule="exact"/>
              <w:jc w:val="left"/>
              <w:rPr>
                <w:rFonts w:hint="eastAsia" w:ascii="宋体" w:hAnsi="宋体" w:eastAsia="宋体" w:cs="宋体"/>
                <w:szCs w:val="24"/>
                <w:highlight w:val="none"/>
              </w:rPr>
            </w:pPr>
          </w:p>
        </w:tc>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C35C7">
            <w:pPr>
              <w:pStyle w:val="92"/>
              <w:spacing w:line="260" w:lineRule="exact"/>
              <w:jc w:val="left"/>
              <w:rPr>
                <w:rFonts w:hint="eastAsia" w:ascii="宋体" w:hAnsi="宋体" w:eastAsia="宋体" w:cs="宋体"/>
                <w:szCs w:val="24"/>
                <w:highlight w:val="none"/>
              </w:rPr>
            </w:pP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13507">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PDA投票器</w:t>
            </w:r>
          </w:p>
        </w:tc>
        <w:tc>
          <w:tcPr>
            <w:tcW w:w="31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AACA4">
            <w:pPr>
              <w:pStyle w:val="92"/>
              <w:spacing w:line="260" w:lineRule="exact"/>
              <w:jc w:val="left"/>
              <w:rPr>
                <w:rFonts w:hint="eastAsia" w:ascii="宋体" w:hAnsi="宋体" w:eastAsia="宋体" w:cs="宋体"/>
                <w:szCs w:val="24"/>
                <w:highlight w:val="none"/>
              </w:rPr>
            </w:pPr>
            <w:r>
              <w:rPr>
                <w:rFonts w:hint="eastAsia" w:ascii="宋体" w:hAnsi="宋体" w:eastAsia="宋体" w:cs="宋体"/>
                <w:szCs w:val="24"/>
                <w:highlight w:val="none"/>
              </w:rPr>
              <w:t>物业服务企业或投票发起机构可在投票环节，使用移动投票器上门进行投票，通过业主出示身份证，并使用移动投票器刷身份证进行投票。</w:t>
            </w:r>
          </w:p>
        </w:tc>
      </w:tr>
    </w:tbl>
    <w:p w14:paraId="6EE2C90C">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5.1.3新增功能开发：新增开发市县两级统一监管子系统，包括工作首页、监管待办、数据管理、统计分析、风险管理、监管画像功能。实现按照区县、时间段、关键字等查询搜索数据功能，查询内容可以导出。</w:t>
      </w:r>
    </w:p>
    <w:tbl>
      <w:tblPr>
        <w:tblStyle w:val="28"/>
        <w:tblW w:w="8721" w:type="dxa"/>
        <w:jc w:val="center"/>
        <w:tblLayout w:type="autofit"/>
        <w:tblCellMar>
          <w:top w:w="0" w:type="dxa"/>
          <w:left w:w="108" w:type="dxa"/>
          <w:bottom w:w="0" w:type="dxa"/>
          <w:right w:w="108" w:type="dxa"/>
        </w:tblCellMar>
      </w:tblPr>
      <w:tblGrid>
        <w:gridCol w:w="837"/>
        <w:gridCol w:w="1656"/>
        <w:gridCol w:w="912"/>
        <w:gridCol w:w="1677"/>
        <w:gridCol w:w="3639"/>
      </w:tblGrid>
      <w:tr w14:paraId="7C18CA7B">
        <w:tblPrEx>
          <w:tblCellMar>
            <w:top w:w="0" w:type="dxa"/>
            <w:left w:w="108" w:type="dxa"/>
            <w:bottom w:w="0" w:type="dxa"/>
            <w:right w:w="108" w:type="dxa"/>
          </w:tblCellMar>
        </w:tblPrEx>
        <w:trPr>
          <w:tblHeader/>
          <w:jc w:val="center"/>
        </w:trPr>
        <w:tc>
          <w:tcPr>
            <w:tcW w:w="8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61A92A">
            <w:pPr>
              <w:widowControl/>
              <w:snapToGrid w:val="0"/>
              <w:spacing w:line="360" w:lineRule="auto"/>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kern w:val="0"/>
                <w:sz w:val="24"/>
                <w:szCs w:val="24"/>
                <w:highlight w:val="none"/>
                <w:lang w:bidi="ar"/>
              </w:rPr>
              <w:t>序号</w:t>
            </w:r>
          </w:p>
        </w:tc>
        <w:tc>
          <w:tcPr>
            <w:tcW w:w="16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C69F5F">
            <w:pPr>
              <w:widowControl/>
              <w:snapToGrid w:val="0"/>
              <w:spacing w:line="360" w:lineRule="auto"/>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kern w:val="0"/>
                <w:sz w:val="24"/>
                <w:szCs w:val="24"/>
                <w:highlight w:val="none"/>
                <w:lang w:bidi="ar"/>
              </w:rPr>
              <w:t>子系统</w:t>
            </w:r>
          </w:p>
        </w:tc>
        <w:tc>
          <w:tcPr>
            <w:tcW w:w="9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E09314">
            <w:pPr>
              <w:widowControl/>
              <w:snapToGrid w:val="0"/>
              <w:spacing w:line="360" w:lineRule="auto"/>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kern w:val="0"/>
                <w:sz w:val="24"/>
                <w:szCs w:val="24"/>
                <w:highlight w:val="none"/>
                <w:lang w:bidi="ar"/>
              </w:rPr>
              <w:t>模块</w:t>
            </w:r>
          </w:p>
        </w:tc>
        <w:tc>
          <w:tcPr>
            <w:tcW w:w="167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79DC18">
            <w:pPr>
              <w:widowControl/>
              <w:snapToGrid w:val="0"/>
              <w:spacing w:line="360" w:lineRule="auto"/>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kern w:val="0"/>
                <w:sz w:val="24"/>
                <w:szCs w:val="24"/>
                <w:highlight w:val="none"/>
                <w:lang w:bidi="ar"/>
              </w:rPr>
              <w:t>子模块</w:t>
            </w:r>
          </w:p>
        </w:tc>
        <w:tc>
          <w:tcPr>
            <w:tcW w:w="363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920C10">
            <w:pPr>
              <w:widowControl/>
              <w:snapToGrid w:val="0"/>
              <w:spacing w:line="360" w:lineRule="auto"/>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kern w:val="0"/>
                <w:sz w:val="24"/>
                <w:szCs w:val="24"/>
                <w:highlight w:val="none"/>
                <w:lang w:bidi="ar"/>
              </w:rPr>
              <w:t>功能描述</w:t>
            </w:r>
          </w:p>
        </w:tc>
      </w:tr>
      <w:tr w14:paraId="4F96BC44">
        <w:tblPrEx>
          <w:tblCellMar>
            <w:top w:w="0" w:type="dxa"/>
            <w:left w:w="108" w:type="dxa"/>
            <w:bottom w:w="0" w:type="dxa"/>
            <w:right w:w="108" w:type="dxa"/>
          </w:tblCellMar>
        </w:tblPrEx>
        <w:trPr>
          <w:jc w:val="center"/>
        </w:trPr>
        <w:tc>
          <w:tcPr>
            <w:tcW w:w="837" w:type="dxa"/>
            <w:tcBorders>
              <w:top w:val="single" w:color="auto" w:sz="4" w:space="0"/>
              <w:left w:val="single" w:color="000000" w:sz="4" w:space="0"/>
              <w:bottom w:val="single" w:color="000000" w:sz="4" w:space="0"/>
              <w:right w:val="single" w:color="000000" w:sz="4" w:space="0"/>
            </w:tcBorders>
            <w:noWrap w:val="0"/>
            <w:vAlign w:val="center"/>
          </w:tcPr>
          <w:p w14:paraId="4ECA98A8">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1656" w:type="dxa"/>
            <w:vMerge w:val="restart"/>
            <w:tcBorders>
              <w:top w:val="single" w:color="auto" w:sz="4" w:space="0"/>
              <w:left w:val="single" w:color="000000" w:sz="4" w:space="0"/>
              <w:bottom w:val="single" w:color="000000" w:sz="4" w:space="0"/>
              <w:right w:val="single" w:color="000000" w:sz="4" w:space="0"/>
            </w:tcBorders>
            <w:noWrap w:val="0"/>
            <w:vAlign w:val="center"/>
          </w:tcPr>
          <w:p w14:paraId="094FBF22">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市区两级统一监管子系统</w:t>
            </w:r>
          </w:p>
        </w:tc>
        <w:tc>
          <w:tcPr>
            <w:tcW w:w="912" w:type="dxa"/>
            <w:tcBorders>
              <w:top w:val="single" w:color="auto" w:sz="4" w:space="0"/>
              <w:left w:val="single" w:color="000000" w:sz="4" w:space="0"/>
              <w:bottom w:val="single" w:color="000000" w:sz="4" w:space="0"/>
              <w:right w:val="single" w:color="000000" w:sz="4" w:space="0"/>
            </w:tcBorders>
            <w:noWrap w:val="0"/>
            <w:vAlign w:val="center"/>
          </w:tcPr>
          <w:p w14:paraId="32870E63">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工作首页</w:t>
            </w:r>
          </w:p>
        </w:tc>
        <w:tc>
          <w:tcPr>
            <w:tcW w:w="1677" w:type="dxa"/>
            <w:tcBorders>
              <w:top w:val="single" w:color="auto" w:sz="4" w:space="0"/>
              <w:left w:val="single" w:color="000000" w:sz="4" w:space="0"/>
              <w:bottom w:val="single" w:color="000000" w:sz="4" w:space="0"/>
              <w:right w:val="single" w:color="000000" w:sz="4" w:space="0"/>
            </w:tcBorders>
            <w:noWrap w:val="0"/>
            <w:vAlign w:val="center"/>
          </w:tcPr>
          <w:p w14:paraId="3EC7FEC2">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工作首页</w:t>
            </w:r>
          </w:p>
        </w:tc>
        <w:tc>
          <w:tcPr>
            <w:tcW w:w="3639" w:type="dxa"/>
            <w:tcBorders>
              <w:top w:val="single" w:color="auto" w:sz="4" w:space="0"/>
              <w:left w:val="single" w:color="000000" w:sz="4" w:space="0"/>
              <w:bottom w:val="single" w:color="000000" w:sz="4" w:space="0"/>
              <w:right w:val="single" w:color="000000" w:sz="4" w:space="0"/>
            </w:tcBorders>
            <w:noWrap w:val="0"/>
            <w:vAlign w:val="center"/>
          </w:tcPr>
          <w:p w14:paraId="0111C35A">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用户的个性化首页，首页的模块包括但不限于待办、预警信息、快捷入口、统计分析等</w:t>
            </w:r>
          </w:p>
        </w:tc>
      </w:tr>
      <w:tr w14:paraId="24C8BA60">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532D9BE9">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3503D">
            <w:pPr>
              <w:snapToGrid w:val="0"/>
              <w:spacing w:line="260" w:lineRule="exact"/>
              <w:jc w:val="center"/>
              <w:rPr>
                <w:rFonts w:hint="eastAsia" w:ascii="宋体" w:hAnsi="宋体" w:eastAsia="宋体" w:cs="宋体"/>
                <w:color w:val="000000"/>
                <w:sz w:val="24"/>
                <w:szCs w:val="24"/>
                <w:highlight w:val="none"/>
              </w:rPr>
            </w:pPr>
          </w:p>
        </w:tc>
        <w:tc>
          <w:tcPr>
            <w:tcW w:w="912" w:type="dxa"/>
            <w:vMerge w:val="restart"/>
            <w:tcBorders>
              <w:top w:val="single" w:color="000000" w:sz="4" w:space="0"/>
              <w:left w:val="single" w:color="000000" w:sz="4" w:space="0"/>
              <w:bottom w:val="single" w:color="000000" w:sz="4" w:space="0"/>
              <w:right w:val="single" w:color="000000" w:sz="4" w:space="0"/>
            </w:tcBorders>
            <w:noWrap w:val="0"/>
            <w:vAlign w:val="center"/>
          </w:tcPr>
          <w:p w14:paraId="5829AEB3">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监管待办</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5D2DCEBA">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待办</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38F4AE7D">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系统提醒的监管职责的待办信息</w:t>
            </w:r>
          </w:p>
        </w:tc>
      </w:tr>
      <w:tr w14:paraId="2B139680">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0894CAD6">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68B052">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4C83E4">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6A91F816">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已办</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4EFB5B54">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系统提醒的监管职责的已办信息</w:t>
            </w:r>
          </w:p>
        </w:tc>
      </w:tr>
      <w:tr w14:paraId="4A80E5D2">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43BA8F71">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0CA3B">
            <w:pPr>
              <w:snapToGrid w:val="0"/>
              <w:spacing w:line="260" w:lineRule="exact"/>
              <w:jc w:val="center"/>
              <w:rPr>
                <w:rFonts w:hint="eastAsia" w:ascii="宋体" w:hAnsi="宋体" w:eastAsia="宋体" w:cs="宋体"/>
                <w:color w:val="000000"/>
                <w:sz w:val="24"/>
                <w:szCs w:val="24"/>
                <w:highlight w:val="none"/>
              </w:rPr>
            </w:pPr>
          </w:p>
        </w:tc>
        <w:tc>
          <w:tcPr>
            <w:tcW w:w="91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FED69D">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 xml:space="preserve">数据管理 </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59E4B9DB">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基础数据管理</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034946A9">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从业务系统中获取维修资金的基础数据作为监管的数据基础。</w:t>
            </w:r>
          </w:p>
        </w:tc>
      </w:tr>
      <w:tr w14:paraId="5A6D9D78">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4C1ECC26">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B189B4">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869FE">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368C4723">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分析数据管理</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7DB44A5A">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通过基础数据，分析计算后，加工形成分析数据，便于主管部门了解维修资金深层次的情况。</w:t>
            </w:r>
          </w:p>
        </w:tc>
      </w:tr>
      <w:tr w14:paraId="5F7F7CE2">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34796979">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6</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2B766">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948A8">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676763F5">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专题数据管理</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4C919E5D">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提供多种专题，按照专题来对数据进行汇总、分析，包括基础数据、交存、使用、资金行政效能等。</w:t>
            </w:r>
          </w:p>
        </w:tc>
      </w:tr>
      <w:tr w14:paraId="1EB6B3EE">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56C0A129">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7</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93EF8">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597B6">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2C7824B5">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数据汇聚</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3CB84627">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根据业务监管和决策支持的要求采集并汇总各类数据。</w:t>
            </w:r>
          </w:p>
        </w:tc>
      </w:tr>
      <w:tr w14:paraId="70C534B3">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1CEA7657">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A0405">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11AD5">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3274FA80">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数据校验</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5822E2A2">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对采集的数据进行数据逻辑关系校验和数据质量校验。</w:t>
            </w:r>
          </w:p>
        </w:tc>
      </w:tr>
      <w:tr w14:paraId="47B22722">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6E4EB731">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04C3E">
            <w:pPr>
              <w:snapToGrid w:val="0"/>
              <w:spacing w:line="260" w:lineRule="exact"/>
              <w:jc w:val="center"/>
              <w:rPr>
                <w:rFonts w:hint="eastAsia" w:ascii="宋体" w:hAnsi="宋体" w:eastAsia="宋体" w:cs="宋体"/>
                <w:color w:val="000000"/>
                <w:sz w:val="24"/>
                <w:szCs w:val="24"/>
                <w:highlight w:val="none"/>
              </w:rPr>
            </w:pPr>
          </w:p>
        </w:tc>
        <w:tc>
          <w:tcPr>
            <w:tcW w:w="912" w:type="dxa"/>
            <w:vMerge w:val="restart"/>
            <w:tcBorders>
              <w:top w:val="single" w:color="000000" w:sz="4" w:space="0"/>
              <w:left w:val="single" w:color="000000" w:sz="4" w:space="0"/>
              <w:bottom w:val="single" w:color="000000" w:sz="4" w:space="0"/>
              <w:right w:val="single" w:color="000000" w:sz="4" w:space="0"/>
            </w:tcBorders>
            <w:noWrap w:val="0"/>
            <w:vAlign w:val="center"/>
          </w:tcPr>
          <w:p w14:paraId="6EE86683">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统计分析</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187313AC">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资金统计分析</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491A4110">
            <w:pPr>
              <w:widowControl/>
              <w:snapToGrid w:val="0"/>
              <w:spacing w:line="260" w:lineRule="exact"/>
              <w:jc w:val="left"/>
              <w:textAlignment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kern w:val="0"/>
                <w:sz w:val="24"/>
                <w:szCs w:val="24"/>
                <w:highlight w:val="none"/>
                <w:lang w:bidi="ar"/>
              </w:rPr>
              <w:t>通过对各区县的资金数据进行加工、分析后，形成统计分析数据，便于主管部门了解各区县的维修资金的情况</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含交存金额、使用金额、结息情况等。</w:t>
            </w:r>
          </w:p>
        </w:tc>
      </w:tr>
      <w:tr w14:paraId="6F21EE79">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3D5B2867">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63BF4">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3208E5">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65ECA31B">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基础数据统计分析</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50103059">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通过对各区县的基础数据进行加工、分析后，形成统计分析数据，便于主管部门了解各区县的维修资金基础数据的情况</w:t>
            </w:r>
          </w:p>
        </w:tc>
      </w:tr>
      <w:tr w14:paraId="19AC823F">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5AF54DB5">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0AE6A">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4AC2AC">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1F01C0FF">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行政效能统计分析</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0BEA5CB7">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通过对各区县的行政效能数据进行加工、分析后，形成统计分析数据，便于主管部门了解各区县的行政效能的情况</w:t>
            </w:r>
          </w:p>
        </w:tc>
      </w:tr>
      <w:tr w14:paraId="6F28071F">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591555BF">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12</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3022D">
            <w:pPr>
              <w:snapToGrid w:val="0"/>
              <w:spacing w:line="260" w:lineRule="exact"/>
              <w:jc w:val="center"/>
              <w:rPr>
                <w:rFonts w:hint="eastAsia" w:ascii="宋体" w:hAnsi="宋体" w:eastAsia="宋体" w:cs="宋体"/>
                <w:color w:val="000000"/>
                <w:sz w:val="24"/>
                <w:szCs w:val="24"/>
                <w:highlight w:val="none"/>
              </w:rPr>
            </w:pPr>
          </w:p>
        </w:tc>
        <w:tc>
          <w:tcPr>
            <w:tcW w:w="912" w:type="dxa"/>
            <w:vMerge w:val="restart"/>
            <w:tcBorders>
              <w:top w:val="single" w:color="000000" w:sz="4" w:space="0"/>
              <w:left w:val="single" w:color="000000" w:sz="4" w:space="0"/>
              <w:bottom w:val="single" w:color="000000" w:sz="4" w:space="0"/>
              <w:right w:val="single" w:color="000000" w:sz="4" w:space="0"/>
            </w:tcBorders>
            <w:noWrap w:val="0"/>
            <w:vAlign w:val="center"/>
          </w:tcPr>
          <w:p w14:paraId="2CB42AF2">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风险管理</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3682AE13">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风险规则管理</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4332EFB5">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监管子系统支持按照维修资金的管理特点和主管部门的要求，对风险规则进行配置，更灵活地检测各类所需风险</w:t>
            </w:r>
          </w:p>
        </w:tc>
      </w:tr>
      <w:tr w14:paraId="4E1C56DE">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5CF4EC5A">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13</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BEE645">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A6C9E4">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2EC1BAF1">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风险指标管理</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4218FB5E">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监管子系统支持根据实际情况，对风险规则设定阈值，根据实际情况量化风险情况</w:t>
            </w:r>
          </w:p>
        </w:tc>
      </w:tr>
      <w:tr w14:paraId="1D2ECBA9">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29136C9C">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982072">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24887">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23D85A42">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风险监测</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42499484">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监管子系统根据设定的风险规则和风险指标，对全市的维修资金情况进行监测</w:t>
            </w:r>
          </w:p>
        </w:tc>
      </w:tr>
      <w:tr w14:paraId="717DB401">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0610A225">
            <w:pPr>
              <w:widowControl/>
              <w:snapToGrid w:val="0"/>
              <w:spacing w:line="260" w:lineRule="exact"/>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15</w:t>
            </w:r>
          </w:p>
        </w:tc>
        <w:tc>
          <w:tcPr>
            <w:tcW w:w="1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3C148">
            <w:pPr>
              <w:snapToGrid w:val="0"/>
              <w:spacing w:line="260" w:lineRule="exact"/>
              <w:jc w:val="center"/>
              <w:rPr>
                <w:rFonts w:hint="eastAsia" w:ascii="宋体" w:hAnsi="宋体" w:eastAsia="宋体" w:cs="宋体"/>
                <w:color w:val="000000"/>
                <w:sz w:val="24"/>
                <w:szCs w:val="24"/>
                <w:highlight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73FF2">
            <w:pPr>
              <w:snapToGrid w:val="0"/>
              <w:spacing w:line="260" w:lineRule="exact"/>
              <w:jc w:val="left"/>
              <w:rPr>
                <w:rFonts w:hint="eastAsia" w:ascii="宋体" w:hAnsi="宋体" w:eastAsia="宋体" w:cs="宋体"/>
                <w:color w:val="000000"/>
                <w:sz w:val="24"/>
                <w:szCs w:val="24"/>
                <w:highlight w:val="none"/>
              </w:rPr>
            </w:pP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20AAC20F">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风险处置</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15A78327">
            <w:pPr>
              <w:widowControl/>
              <w:snapToGrid w:val="0"/>
              <w:spacing w:line="260" w:lineRule="exact"/>
              <w:jc w:val="left"/>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监测到风险后，按照风险处置流程对风险进行处置</w:t>
            </w:r>
          </w:p>
        </w:tc>
      </w:tr>
      <w:tr w14:paraId="484F5546">
        <w:tblPrEx>
          <w:tblCellMar>
            <w:top w:w="0" w:type="dxa"/>
            <w:left w:w="108" w:type="dxa"/>
            <w:bottom w:w="0" w:type="dxa"/>
            <w:right w:w="108" w:type="dxa"/>
          </w:tblCellMar>
        </w:tblPrEx>
        <w:trPr>
          <w:jc w:val="center"/>
        </w:trPr>
        <w:tc>
          <w:tcPr>
            <w:tcW w:w="837" w:type="dxa"/>
            <w:tcBorders>
              <w:top w:val="single" w:color="000000" w:sz="4" w:space="0"/>
              <w:left w:val="single" w:color="000000" w:sz="4" w:space="0"/>
              <w:bottom w:val="single" w:color="000000" w:sz="4" w:space="0"/>
              <w:right w:val="single" w:color="000000" w:sz="4" w:space="0"/>
            </w:tcBorders>
            <w:noWrap w:val="0"/>
            <w:vAlign w:val="center"/>
          </w:tcPr>
          <w:p w14:paraId="168EAD4B">
            <w:pPr>
              <w:widowControl/>
              <w:snapToGrid w:val="0"/>
              <w:spacing w:line="260" w:lineRule="exact"/>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16</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084E6A14">
            <w:pPr>
              <w:snapToGrid w:val="0"/>
              <w:spacing w:line="260" w:lineRule="exact"/>
              <w:jc w:val="center"/>
              <w:rPr>
                <w:rFonts w:hint="eastAsia" w:ascii="宋体" w:hAnsi="宋体" w:eastAsia="宋体" w:cs="宋体"/>
                <w:color w:val="000000"/>
                <w:sz w:val="24"/>
                <w:szCs w:val="24"/>
                <w:highlight w:val="none"/>
              </w:rPr>
            </w:pPr>
          </w:p>
        </w:tc>
        <w:tc>
          <w:tcPr>
            <w:tcW w:w="912" w:type="dxa"/>
            <w:tcBorders>
              <w:top w:val="single" w:color="000000" w:sz="4" w:space="0"/>
              <w:left w:val="single" w:color="000000" w:sz="4" w:space="0"/>
              <w:bottom w:val="single" w:color="000000" w:sz="4" w:space="0"/>
              <w:right w:val="single" w:color="000000" w:sz="4" w:space="0"/>
            </w:tcBorders>
            <w:noWrap w:val="0"/>
            <w:vAlign w:val="center"/>
          </w:tcPr>
          <w:p w14:paraId="287125A4">
            <w:pPr>
              <w:snapToGrid w:val="0"/>
              <w:spacing w:line="260" w:lineRule="exact"/>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监管画像</w:t>
            </w:r>
          </w:p>
        </w:tc>
        <w:tc>
          <w:tcPr>
            <w:tcW w:w="1677" w:type="dxa"/>
            <w:tcBorders>
              <w:top w:val="single" w:color="000000" w:sz="4" w:space="0"/>
              <w:left w:val="single" w:color="000000" w:sz="4" w:space="0"/>
              <w:bottom w:val="single" w:color="000000" w:sz="4" w:space="0"/>
              <w:right w:val="single" w:color="000000" w:sz="4" w:space="0"/>
            </w:tcBorders>
            <w:noWrap w:val="0"/>
            <w:vAlign w:val="center"/>
          </w:tcPr>
          <w:p w14:paraId="769BD08B">
            <w:pPr>
              <w:widowControl/>
              <w:snapToGrid w:val="0"/>
              <w:spacing w:line="260" w:lineRule="exact"/>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sz w:val="24"/>
                <w:szCs w:val="24"/>
                <w:highlight w:val="none"/>
              </w:rPr>
              <w:t>监管画像</w:t>
            </w:r>
          </w:p>
        </w:tc>
        <w:tc>
          <w:tcPr>
            <w:tcW w:w="3639" w:type="dxa"/>
            <w:tcBorders>
              <w:top w:val="single" w:color="000000" w:sz="4" w:space="0"/>
              <w:left w:val="single" w:color="000000" w:sz="4" w:space="0"/>
              <w:bottom w:val="single" w:color="000000" w:sz="4" w:space="0"/>
              <w:right w:val="single" w:color="000000" w:sz="4" w:space="0"/>
            </w:tcBorders>
            <w:noWrap w:val="0"/>
            <w:vAlign w:val="center"/>
          </w:tcPr>
          <w:p w14:paraId="016DC304">
            <w:pPr>
              <w:widowControl/>
              <w:snapToGrid w:val="0"/>
              <w:spacing w:line="260" w:lineRule="exact"/>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形成监管部门工作画像，按区评价，按市汇总</w:t>
            </w:r>
          </w:p>
        </w:tc>
      </w:tr>
    </w:tbl>
    <w:p w14:paraId="74403600">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5.1.4系统对接：安徽政务服务网、皖事通APP、皖政通APP、皖企通APP、专户管理银行、市房屋交易系统、市不动产登记系统等。</w:t>
      </w:r>
    </w:p>
    <w:p w14:paraId="58B8AA31">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5.1.5无损迁移市本级系统及各区县系统的历史数据（含历史数据整理、楼盘信息整理等数据整理工作）：</w:t>
      </w:r>
    </w:p>
    <w:p w14:paraId="20A3B33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5.1.5.1具体要求</w:t>
      </w:r>
    </w:p>
    <w:p w14:paraId="34550724">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依据平台的数据规范，制定一套全市统一的数据迁移模板。中标方根据数据规范将历史存量数据（包括基础数据和业务结果数据）准确无误地迁移到新系统中（现有系统所有数据，含业务单、通知单、附件材料等）。同时原系统的历史数据需要单独备份供查询使用。</w:t>
      </w:r>
    </w:p>
    <w:p w14:paraId="0BA8A55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（2）以维修资金系统数据为基础，不动产系统数据为依据，完成涉及物业专项维修资金的物业区域、楼栋、分户的历史基础信息比对。</w:t>
      </w:r>
    </w:p>
    <w:p w14:paraId="7059264D">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（3）部分历史数据业主信息未显示在正确位置（目前存在备注中），新系统需要抓取备注信息后更新至业主信息栏。</w:t>
      </w:r>
    </w:p>
    <w:p w14:paraId="1A4F59F9">
      <w:pPr>
        <w:numPr>
          <w:ilvl w:val="0"/>
          <w:numId w:val="0"/>
        </w:numPr>
        <w:spacing w:line="360" w:lineRule="auto"/>
        <w:ind w:firstLine="480" w:firstLineChars="200"/>
        <w:outlineLvl w:val="2"/>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（4）系统中重复的房屋信息，系统需要预警提醒。</w:t>
      </w:r>
    </w:p>
    <w:p w14:paraId="0FEFD184">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（5）具备房屋基础数据修正及账目数据调整功能。在业务办理过程中，可对存疑小区、房屋以及交易明细进行拆分合并处理，确保基础数据的准确性，避免因基础数据不准确而影响维修资金业务的正常开展。</w:t>
      </w:r>
    </w:p>
    <w:p w14:paraId="5801CE11">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（6）数据迁移后，需要确保所有使用项目无损平移到新系统，未完结项目可在新系统继续申报后续流程。已完结的项目无损显示。</w:t>
      </w:r>
    </w:p>
    <w:p w14:paraId="749CAA91">
      <w:pPr>
        <w:numPr>
          <w:ilvl w:val="0"/>
          <w:numId w:val="0"/>
        </w:numPr>
        <w:spacing w:line="360" w:lineRule="auto"/>
        <w:ind w:firstLine="480" w:firstLineChars="200"/>
        <w:outlineLvl w:val="2"/>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5.1.5.2主要功能</w:t>
      </w:r>
    </w:p>
    <w:p w14:paraId="26EB6564">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（1）基础信息库：</w:t>
      </w:r>
    </w:p>
    <w:p w14:paraId="7DF95CA9">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1）房屋数据库</w:t>
      </w:r>
    </w:p>
    <w:p w14:paraId="560D7A75">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房屋数据库围绕楼盘表、楼栋、单元、房屋、业主等物业基础信息相关数据。</w:t>
      </w:r>
    </w:p>
    <w:p w14:paraId="3BADEAC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2）共用部位设施设备数据库</w:t>
      </w:r>
    </w:p>
    <w:p w14:paraId="049D629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共用部位及设施设备数据资源库围绕设施设备信息，主要包含物业区域名称、楼栋、单元、项目编号、项目名称、设备类型等数据。</w:t>
      </w:r>
    </w:p>
    <w:p w14:paraId="5FCBD6B5">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3）机构数据库</w:t>
      </w:r>
    </w:p>
    <w:p w14:paraId="5270ADC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机构数据库围绕各代管机构、受托银行等相关机构数据。</w:t>
      </w:r>
    </w:p>
    <w:p w14:paraId="4FF7DB0D">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4）账务数据库</w:t>
      </w:r>
    </w:p>
    <w:p w14:paraId="4992976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账务数据库围绕账户信息、账户交易明细信息等相关数据。</w:t>
      </w:r>
    </w:p>
    <w:p w14:paraId="78BB9D95">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5）业务数据库</w:t>
      </w:r>
    </w:p>
    <w:p w14:paraId="0E9980D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业务数据库围绕交存业务信息、使用业务信息、增值业务信息、退款业务信息等相关数据。</w:t>
      </w:r>
    </w:p>
    <w:p w14:paraId="589C566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6）财务数据库</w:t>
      </w:r>
    </w:p>
    <w:p w14:paraId="1F84ABB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财务数据库围绕会计科目信息、会计凭证信息等相关数据。</w:t>
      </w:r>
    </w:p>
    <w:p w14:paraId="41F0989D">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（2）主题信息库：</w:t>
      </w:r>
    </w:p>
    <w:p w14:paraId="1A94AC53">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1）资金交存主题库</w:t>
      </w:r>
    </w:p>
    <w:p w14:paraId="163C2DB9">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资金交存主题库主要围绕交存业务信息，包含交存业务信息，包含通知单编号、通知单金额、交存方式、房屋信息、业主信息等。</w:t>
      </w:r>
    </w:p>
    <w:p w14:paraId="6DE0416A">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2）资金使用主题库</w:t>
      </w:r>
    </w:p>
    <w:p w14:paraId="19F50A01">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资金使用主题库主要围绕使用备案信息、使用划拨信息、使用投票信息等相关数据。</w:t>
      </w:r>
    </w:p>
    <w:p w14:paraId="6C3E9E19">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3）资金增值主题库</w:t>
      </w:r>
    </w:p>
    <w:p w14:paraId="7BD0EB78">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资金增值主题库主要围绕存款品种信息、增值业务信息等相关数据。</w:t>
      </w:r>
    </w:p>
    <w:p w14:paraId="7C222D6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4）资金退款主题库</w:t>
      </w:r>
    </w:p>
    <w:p w14:paraId="2937180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资金退款主题库主要围绕退款业务信息相关数据，包含退款业务信息，包含通知单编号、通知单金额、通知单类型、退款方式、房屋信息、业主信息等数据。</w:t>
      </w:r>
    </w:p>
    <w:p w14:paraId="2F98392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5）会计核算主题库</w:t>
      </w:r>
    </w:p>
    <w:p w14:paraId="504C5965">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会计核算主题库围绕资产负债表、收支表、净资产变动表等相关数据。</w:t>
      </w:r>
    </w:p>
    <w:p w14:paraId="3D8DA0B1">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5.2项目进度要求</w:t>
      </w:r>
    </w:p>
    <w:p w14:paraId="25ACB93F">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建设周期12个月。</w:t>
      </w:r>
    </w:p>
    <w:p w14:paraId="6E4B6101">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5.3项目团队</w:t>
      </w:r>
    </w:p>
    <w:p w14:paraId="08C949F2">
      <w:pPr>
        <w:spacing w:line="360" w:lineRule="auto"/>
        <w:ind w:firstLine="480" w:firstLineChars="200"/>
        <w:outlineLvl w:val="2"/>
        <w:rPr>
          <w:rFonts w:hint="default" w:ascii="宋体" w:hAnsi="宋体" w:eastAsia="宋体"/>
          <w:bCs/>
          <w:sz w:val="24"/>
          <w:szCs w:val="18"/>
          <w:highlight w:val="none"/>
          <w:lang w:val="en-US" w:eastAsia="zh-CN"/>
        </w:rPr>
      </w:pPr>
      <w:r>
        <w:rPr>
          <w:rFonts w:hint="default" w:ascii="宋体" w:hAnsi="宋体" w:eastAsia="宋体"/>
          <w:bCs/>
          <w:sz w:val="24"/>
          <w:szCs w:val="18"/>
          <w:highlight w:val="none"/>
          <w:lang w:val="en-US" w:eastAsia="zh-CN"/>
        </w:rPr>
        <w:t>项目负责人1人，技术负责人1人，项目组成员</w:t>
      </w:r>
      <w:r>
        <w:rPr>
          <w:rFonts w:hint="eastAsia" w:ascii="宋体" w:hAnsi="宋体" w:eastAsia="宋体"/>
          <w:bCs/>
          <w:sz w:val="24"/>
          <w:szCs w:val="18"/>
          <w:highlight w:val="none"/>
          <w:lang w:val="en-US" w:eastAsia="zh-CN"/>
        </w:rPr>
        <w:t>不少于4</w:t>
      </w:r>
      <w:r>
        <w:rPr>
          <w:rFonts w:hint="default" w:ascii="宋体" w:hAnsi="宋体" w:eastAsia="宋体"/>
          <w:bCs/>
          <w:sz w:val="24"/>
          <w:szCs w:val="18"/>
          <w:highlight w:val="none"/>
          <w:lang w:val="en-US" w:eastAsia="zh-CN"/>
        </w:rPr>
        <w:t>人。(除评分标准中要求提供的相关人员证明材料作为评分条件外，</w:t>
      </w:r>
      <w:r>
        <w:rPr>
          <w:rFonts w:hint="eastAsia" w:ascii="宋体" w:hAnsi="宋体" w:eastAsia="宋体"/>
          <w:bCs/>
          <w:sz w:val="24"/>
          <w:szCs w:val="18"/>
          <w:highlight w:val="none"/>
          <w:lang w:val="en-US" w:eastAsia="zh-CN"/>
        </w:rPr>
        <w:t>供应商</w:t>
      </w:r>
      <w:r>
        <w:rPr>
          <w:rFonts w:hint="default" w:ascii="宋体" w:hAnsi="宋体" w:eastAsia="宋体"/>
          <w:bCs/>
          <w:sz w:val="24"/>
          <w:szCs w:val="18"/>
          <w:highlight w:val="none"/>
          <w:lang w:val="en-US" w:eastAsia="zh-CN"/>
        </w:rPr>
        <w:t>在</w:t>
      </w:r>
      <w:r>
        <w:rPr>
          <w:rFonts w:hint="eastAsia" w:ascii="宋体" w:hAnsi="宋体" w:eastAsia="宋体"/>
          <w:bCs/>
          <w:sz w:val="24"/>
          <w:szCs w:val="18"/>
          <w:highlight w:val="none"/>
          <w:lang w:val="en-US" w:eastAsia="zh-CN"/>
        </w:rPr>
        <w:t>投标文件</w:t>
      </w:r>
      <w:r>
        <w:rPr>
          <w:rFonts w:hint="default" w:ascii="宋体" w:hAnsi="宋体" w:eastAsia="宋体"/>
          <w:bCs/>
          <w:sz w:val="24"/>
          <w:szCs w:val="18"/>
          <w:highlight w:val="none"/>
          <w:lang w:val="en-US" w:eastAsia="zh-CN"/>
        </w:rPr>
        <w:t>中无须提供上述人员相关证明材料，由采购人在合同签订后</w:t>
      </w:r>
      <w:r>
        <w:rPr>
          <w:rFonts w:hint="eastAsia" w:ascii="宋体" w:hAnsi="宋体" w:eastAsia="宋体"/>
          <w:bCs/>
          <w:sz w:val="24"/>
          <w:szCs w:val="18"/>
          <w:highlight w:val="none"/>
          <w:lang w:val="en-US" w:eastAsia="zh-CN"/>
        </w:rPr>
        <w:t>中标人</w:t>
      </w:r>
      <w:r>
        <w:rPr>
          <w:rFonts w:hint="default" w:ascii="宋体" w:hAnsi="宋体" w:eastAsia="宋体"/>
          <w:bCs/>
          <w:sz w:val="24"/>
          <w:szCs w:val="18"/>
          <w:highlight w:val="none"/>
          <w:lang w:val="en-US" w:eastAsia="zh-CN"/>
        </w:rPr>
        <w:t>进场服务前核查人员配备情况。人员须按照要求配备到位，否则视为</w:t>
      </w:r>
      <w:r>
        <w:rPr>
          <w:rFonts w:hint="eastAsia" w:ascii="宋体" w:hAnsi="宋体" w:eastAsia="宋体"/>
          <w:bCs/>
          <w:sz w:val="24"/>
          <w:szCs w:val="18"/>
          <w:highlight w:val="none"/>
          <w:lang w:val="en-US" w:eastAsia="zh-CN"/>
        </w:rPr>
        <w:t>中标人</w:t>
      </w:r>
      <w:r>
        <w:rPr>
          <w:rFonts w:hint="default" w:ascii="宋体" w:hAnsi="宋体" w:eastAsia="宋体"/>
          <w:bCs/>
          <w:sz w:val="24"/>
          <w:szCs w:val="18"/>
          <w:highlight w:val="none"/>
          <w:lang w:val="en-US" w:eastAsia="zh-CN"/>
        </w:rPr>
        <w:t>违约，</w:t>
      </w:r>
      <w:r>
        <w:rPr>
          <w:rFonts w:hint="eastAsia" w:ascii="宋体" w:hAnsi="宋体" w:eastAsia="宋体"/>
          <w:bCs/>
          <w:sz w:val="24"/>
          <w:szCs w:val="18"/>
          <w:highlight w:val="none"/>
          <w:lang w:val="en-US" w:eastAsia="zh-CN"/>
        </w:rPr>
        <w:t>中标人</w:t>
      </w:r>
      <w:r>
        <w:rPr>
          <w:rFonts w:hint="default" w:ascii="宋体" w:hAnsi="宋体" w:eastAsia="宋体"/>
          <w:bCs/>
          <w:sz w:val="24"/>
          <w:szCs w:val="18"/>
          <w:highlight w:val="none"/>
          <w:lang w:val="en-US" w:eastAsia="zh-CN"/>
        </w:rPr>
        <w:t>承担由此产生的一切后果）。</w:t>
      </w:r>
    </w:p>
    <w:p w14:paraId="2909BB9A">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5.4项目管理要求</w:t>
      </w:r>
    </w:p>
    <w:p w14:paraId="756EC50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项目管理首先要建立管理的原则，组织、协调机制和实施办法，中标人提供实施本项目的完整的管理方案，并在项目建设过程中严格执行；</w:t>
      </w:r>
    </w:p>
    <w:p w14:paraId="3589A5B0">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中标人针对本项目计划的制定和执行要体现项目管理的基本特点；</w:t>
      </w:r>
    </w:p>
    <w:p w14:paraId="7CA62C6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中标人需高度重视对过程的管理控制，高度重视对各类文档的管理，建立中间环节和文档的内部测试审核制度；</w:t>
      </w:r>
    </w:p>
    <w:p w14:paraId="0E03231F">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在项目管理方案中，充分体现中标人在项目管理方面的经验和能力以及对该项目管理的设想和具体方法，以下内容涉及：</w:t>
      </w:r>
    </w:p>
    <w:p w14:paraId="296727B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项目经理、项目组成员及项目组织结构；</w:t>
      </w:r>
    </w:p>
    <w:p w14:paraId="756B6DF2">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项目组成员除基本信息外，说明专业背景,相关资质和专长；</w:t>
      </w:r>
    </w:p>
    <w:p w14:paraId="3565CE48">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组织管理(与系统集成，软件开发环节相关)；</w:t>
      </w:r>
    </w:p>
    <w:p w14:paraId="1DA77341">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项目计划(与项目整体管理相关)；</w:t>
      </w:r>
    </w:p>
    <w:p w14:paraId="3BFD48F3">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文档清单，文档资料提交计划和文档质量控制办法；</w:t>
      </w:r>
    </w:p>
    <w:p w14:paraId="7EE45EED">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质量控制办法；</w:t>
      </w:r>
    </w:p>
    <w:p w14:paraId="1A1AA35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项目需求变更控制和进度控制办法。</w:t>
      </w:r>
    </w:p>
    <w:p w14:paraId="0AF8C9D3">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5.5系统集成要求</w:t>
      </w:r>
    </w:p>
    <w:p w14:paraId="0563643F">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作为系统建设阶段总负责，将负责项目工程建设各个阶段及各项建设内容，负责软件系统及相关软硬件设备的安装、部署、配置、调试、测试、总体联调、试运行、验收，直至系统正式运行，负责系统割接和数据移植。</w:t>
      </w:r>
    </w:p>
    <w:p w14:paraId="5109680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应在本系统建设总体方案、实施方案的基础上和约束下进行详细设计和系统集成。如果中标人认为需要对项目设计作出修改，须以书面的形式向采购人提出，由采购人确认后生效。中标人必须在深入了解项目建设内容的基础上，进行细化设计，定义、明确各个系统的功能要求、技术规范、性能指标要求等，在正式提交的总体方案、实施方案中定义各个系统之间的边界和接口规范，细化、明确项目工程建设中的各个业务和处理流程，包括数据流程、业务流程等；总体负责处理、协调与其他实施单位、设备供货商之间在项目开发、实施过程中出现的技术问题；对各系统进行检验、安装、配置、调试、测试、验收，并进行系统集成，对集成的系统进行集成测试、验收测试；确保建成的系统达到设计的各项性能、安全性、可靠性等指标；要求所有硬件设备、系统软件、应用软件的配置都要记录详细的配置参数和配置方法，并达到设计的各项性能、安全性、可靠性等指标。在工程建设最终验收之前，还负责对整个系统的日常管理、运行维护工作。</w:t>
      </w:r>
    </w:p>
    <w:p w14:paraId="70E8B5A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系统总集成的主要任务和要求至少包括：</w:t>
      </w:r>
    </w:p>
    <w:p w14:paraId="2A8D8AB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软硬件系统的集成：负责优化、审核、确认软硬件系统的详细架构设计和详细配置方案；负责数据库、中间件、备份管理、系统管理等支撑软件系统的安装、配置、调试、测试、验收等工作；负责相关系统设备和软件系统的集成、联调、测试及验收；负责制定核心业务数据库数据备份的策略并负责实施；实现应用系统（包括服务器及终端电脑）的安装（部署）、配置、调试、测试、验收等工作，并实现与硬件设备的联调。</w:t>
      </w:r>
    </w:p>
    <w:p w14:paraId="130FF14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应用系统建设的集成：负责审核确认详细的应用系统开发规范和方案，包括统一的软件体系架构、数据库接口、数据交换接口等；设置应用系统的备份策略。检查、审核、确认应用系统开发的测试结果和最终运行结果。要求开发的各个应用系统符合项目设计的要求。</w:t>
      </w:r>
    </w:p>
    <w:p w14:paraId="65A8770D">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数据交换集成：负责数据交换平台的集成工作，包括所有相关硬件设备和软件系统的安装、配置、调试、测试和验收，以及所有交换前置机数据交换的详细配置、调试、测试；负责制定详细的数据交换接口规范，指导开发应用系统的数据交换接口，指导和调试相关单位内部业务系统和交换前置机的桥接。要求建设的数据交换平台能够达到设计的各项要求，确保异构的操作系统、数据库之间的数据交换能力及性能。实现与相关系统、相关数据的接入集成服务。</w:t>
      </w:r>
    </w:p>
    <w:p w14:paraId="0AEC1F64">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系统运行管理：系统运行管理包括系统管理、网络管理、安全管理、数据库管理、备份管理、配置管理、数据交换管理等。在项目最终验收之前，中标人负责整个本系统的运行管理和维护工作。要求制定详细的运行管理工作规范和流程、操作手册、运维管理手册、系统故障应急处理预案、备品备件的管理和使用规定等；设计并填写系统运行日志、系统维护日志、系统和设备详细配置参数和方法。</w:t>
      </w:r>
    </w:p>
    <w:p w14:paraId="1F7D07D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验收条件：应先提交项目设计书、项目总体结构设计报告、质量保证计划、质量检查表和问题跟踪、数据库设计报告、配置管理计划、项目实施计划、测试计划、测试方案、测试报告、使用手册、用户验收计划、运行管理计划、需求分析报告、概要设计书等文档。在项目竣工后，由采购人、承建方、监理方、审计方组织有关人员共同对项目进行验收。验收通过后最终将项目移交给采购人。</w:t>
      </w:r>
    </w:p>
    <w:p w14:paraId="1AA3562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6.测评：中标人须配合完成本项目软件测评和安全测评的工作。该软件测评和安全测评须满足项目的验收要求，并由业主指定的具备相关资质的第三方测评机构完成。</w:t>
      </w:r>
    </w:p>
    <w:p w14:paraId="072D81E5">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7.中标人须做出无推诿承诺。即系统总集成应提供特殊措施，无论由于哪一方产生的问题而使系统发生不正常情况时，须立即派工程师到现场全力协助，直至系统故障原因找到并解决，系统恢复正常。</w:t>
      </w:r>
    </w:p>
    <w:p w14:paraId="3059EF10">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5.6用户培训要求</w:t>
      </w:r>
    </w:p>
    <w:p w14:paraId="0534F50F">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中标人需要对采购人的相关业务人员和管理人员进行系统的培训工作，要求如下：</w:t>
      </w:r>
    </w:p>
    <w:p w14:paraId="5BA9F56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1.中标人必须为本项目中开发的功能提供使用、维护等方面的培训。</w:t>
      </w:r>
    </w:p>
    <w:p w14:paraId="03AE50C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2.中标人必须制定详细的用户培训计划并提交用户审核。</w:t>
      </w:r>
    </w:p>
    <w:p w14:paraId="515D6B49">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3.对于所有培训，中标人必须派出具有相应专业资格和实际工作、培训经验的教师和相应的辅导人员进行培训。</w:t>
      </w:r>
    </w:p>
    <w:p w14:paraId="07E9A192">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4.中标人必须为所有被培训人员提供培训用文字资料和讲义等相关用品，所有的资料必须是中文书写。</w:t>
      </w:r>
    </w:p>
    <w:p w14:paraId="695C6D7A">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项目中标人需要在投标文件中作出相应的培训承诺并提出初步的培训计划和方案。</w:t>
      </w:r>
    </w:p>
    <w:p w14:paraId="19E0D550">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六、项目验收要求</w:t>
      </w:r>
    </w:p>
    <w:p w14:paraId="6164186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中标人对本项目所建系统进行完善的测试和自验收。提供测试文档和自验收文档，系统测试需要包括功能性测试和压力测试，有完整的测试案例、测试方法和测试结果。</w:t>
      </w:r>
    </w:p>
    <w:p w14:paraId="580A20E8">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提供全套完善的资料文档，包括应用系统的需求说明、设计说明、使用说明书等。</w:t>
      </w:r>
    </w:p>
    <w:p w14:paraId="179D422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试运行时间至少30天，确保系统在试运行期间无重大故障，经双方约定方可进行系统验收。</w:t>
      </w:r>
    </w:p>
    <w:p w14:paraId="070035F4">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采购人有权随时对中标人所建系统项目的阶段成果进行检查或检测。</w:t>
      </w:r>
    </w:p>
    <w:p w14:paraId="2E228C50">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七、售后服务要求</w:t>
      </w:r>
    </w:p>
    <w:p w14:paraId="7E6D952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7.1运维期要求</w:t>
      </w:r>
    </w:p>
    <w:p w14:paraId="4CFFECEF">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中标人需要承诺对本项目所包含的软件系统提供3年免费运维服务期（其中第1年须进行驻点运维服务，驻点运维服务人员不少于1人）。免费运维期内，提供7×24小时技术支持、系统bug修复、基础运行监控、数据备份、定期巡检、用户操作培训、外部系统对接维护等全方面运维服务，保障系统上线初期的稳定运行。中标人需要提出包括维护计划、维护措施等内容的维护方案。要长期建立完善的技术支持和售后服务管理体系和服务队伍，为配合用户使用提供全方位的技术支持工作，并对如何实施服务提出承诺。</w:t>
      </w:r>
    </w:p>
    <w:p w14:paraId="113158BB">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7.2售后服务内容</w:t>
      </w:r>
    </w:p>
    <w:p w14:paraId="03A31F26">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系统故障的恢复及原因排查；</w:t>
      </w:r>
    </w:p>
    <w:p w14:paraId="23EEACC7">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软件中BUG及缺陷的修复；</w:t>
      </w:r>
    </w:p>
    <w:p w14:paraId="16671C12">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新增用户的用户培训工作；</w:t>
      </w:r>
    </w:p>
    <w:p w14:paraId="0CACA6D9">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系统（及更新）的安装、部署及调试工作；</w:t>
      </w:r>
    </w:p>
    <w:p w14:paraId="5689912C">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相关的技术支持及咨询等服务。</w:t>
      </w:r>
    </w:p>
    <w:p w14:paraId="7693239E">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7.3售后服务技术标准</w:t>
      </w:r>
    </w:p>
    <w:p w14:paraId="168EB512">
      <w:pPr>
        <w:numPr>
          <w:ilvl w:val="0"/>
          <w:numId w:val="0"/>
        </w:numPr>
        <w:spacing w:line="360" w:lineRule="auto"/>
        <w:ind w:firstLine="480" w:firstLineChars="200"/>
        <w:outlineLvl w:val="2"/>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在保修期内7*24小时响应，有问题做到及时处理，出现质量问题时或故障时，应在10分钟内响应，遇到紧急突发事件远程无法解决，工程师应在2小时内到达现场并开展排除故障工作。本项目售后服务团队不少于1年1人常驻现场运维服务（参与本项目建设的技术人员）。</w:t>
      </w:r>
    </w:p>
    <w:p w14:paraId="607CAF21">
      <w:pPr>
        <w:spacing w:line="360" w:lineRule="auto"/>
        <w:ind w:firstLine="480" w:firstLineChars="200"/>
        <w:outlineLvl w:val="2"/>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八、其他要求</w:t>
      </w:r>
    </w:p>
    <w:p w14:paraId="204F6C62">
      <w:pPr>
        <w:spacing w:line="360" w:lineRule="auto"/>
        <w:ind w:firstLine="480" w:firstLineChars="200"/>
        <w:outlineLvl w:val="2"/>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8.1项目采用安全可靠的软硬件产品，落实国产化要求。</w:t>
      </w:r>
    </w:p>
    <w:p w14:paraId="2DF9CCD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8.2项目建设完成后所形成的项目成果(如设计文件、源代码、测试文档、数据资源、数据接口、定制软件等)及相关知识产权归项目建设单位(代政府管理)。软件开发商须按照项目建设单位要求在项目竣工和运维期结束时分别移交项目在开发和使用期间产生的成果资料。</w:t>
      </w:r>
    </w:p>
    <w:p w14:paraId="263BACE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8.3软件开发商确保所提供的产品具有合法的知识产权，如提供的产品因侵犯第三方的知识产权而引起的法律责任由软件开发商承担，造成项目建设单位损失的，损失全部由软件开发商承担。</w:t>
      </w:r>
    </w:p>
    <w:p w14:paraId="1141E274">
      <w:pPr>
        <w:spacing w:line="360" w:lineRule="auto"/>
        <w:ind w:firstLine="480" w:firstLineChars="200"/>
        <w:outlineLvl w:val="2"/>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8.4政务信息系统应当充分依托电子政务网络资源、政务云服务资源及其他可共享利用的基础设施资源，依托全省一体化数据基础平台进行资源申请、组件复用、代码上传、数据入湖、三端发布等全流程开发部署。软件开发商配合项目建设单位完成数据架构梳理、目录编制、资源挂载、数据入湖等数据工作。</w:t>
      </w:r>
    </w:p>
    <w:p w14:paraId="70997420">
      <w:pPr>
        <w:spacing w:line="360" w:lineRule="auto"/>
        <w:ind w:firstLine="480" w:firstLineChars="200"/>
        <w:outlineLvl w:val="2"/>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8.5免费维护期3年。在运维期内软件开发商须无条件免费进行日常性的功能完善及数据治理、接口开发、系统对接等需求，由双方确认后实施。</w:t>
      </w:r>
    </w:p>
    <w:p w14:paraId="14D68EF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8.6项目建设单位对软件开发商提供的服务功能、性能、安全情况进行测试或评估，软件开发商须无条件配合完成。</w:t>
      </w:r>
    </w:p>
    <w:p w14:paraId="5C9A7C4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8.7软件开发过程中，软件开发商不得随意撤换项目经理和主要技术人员，如要更换，必须提前书面征得项目建设单位同意，并做好相关的移交工作。如项目建设单位要求软件开发商更换项目经理和技术人员，软件开发商应按照项目建设单位要求进行更换。</w:t>
      </w:r>
    </w:p>
    <w:p w14:paraId="5E7518E7">
      <w:pPr>
        <w:spacing w:line="360" w:lineRule="auto"/>
        <w:ind w:firstLine="480" w:firstLineChars="200"/>
        <w:outlineLvl w:val="2"/>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8.8软件开发商应按照项目建设单位需求免费提供技术培训和维护响应服务，确保系统各个功能模块正常安全运行。</w:t>
      </w:r>
    </w:p>
    <w:p w14:paraId="5A1C04B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8.9软件开发商应认真履行保密义务，签订保密协议，未征得项目建设单位同意，不得复制、泄露、销售在项目建设过程中接触到的项目信息资料和技术成果。</w:t>
      </w:r>
    </w:p>
    <w:p w14:paraId="6D53216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8.10软件开发商维护期内应根据项目建设单位要求免费配合系统迁移一次。</w:t>
      </w:r>
    </w:p>
    <w:p w14:paraId="1FCEB30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第2包信息化监理服务：</w:t>
      </w:r>
    </w:p>
    <w:p w14:paraId="7706EC2F">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2.1监理范围</w:t>
      </w:r>
    </w:p>
    <w:p w14:paraId="1D2C933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本包项目要求对滁州市物业专项维修资金管理信息系统整合迁移项目进行信息化监理服务，监理过程覆盖项目实施、验收等各个阶段，并要求对项目的质量、进度、合同、文档、安全、知识产权保护等进行有效管理和控制。 </w:t>
      </w:r>
    </w:p>
    <w:p w14:paraId="50DE0439">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2.2监理工作内容 </w:t>
      </w:r>
    </w:p>
    <w:p w14:paraId="7383DEC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本包项目监理内容包括应用软件详细设计、系统开发和基础软件安装调试、系统综合集成、项目实施、竣工验收等全部监理工作，详细如下（本监理项目工作包括但不限于以下内容）：</w:t>
      </w:r>
    </w:p>
    <w:p w14:paraId="45AF3259">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2.2.1质量控制</w:t>
      </w:r>
    </w:p>
    <w:p w14:paraId="1364433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（1）系统质量控制总体要求：</w:t>
      </w:r>
    </w:p>
    <w:p w14:paraId="7291E30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采取事前预防、事中控制、事后纠正的监理方式，依据国家法律、法规、标准以及项目合同、设计方案、监理规划、监理实施细则等文件控制项目总体工程质量； </w:t>
      </w:r>
    </w:p>
    <w:p w14:paraId="01BC5B7C">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根据项目的特点，制定包括验收标准、验收方法和质量控制措施在内的详细监理控制方案；</w:t>
      </w:r>
    </w:p>
    <w:p w14:paraId="553C3F1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编制重大质量问题的处理预案，包括系统建设过程中可能出现的重大质量问题的处理预案；</w:t>
      </w:r>
    </w:p>
    <w:p w14:paraId="468C5E0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组织系统质量事故的原因调查、问题分析、问题评估、事故处理；督促承建单位整改存在问题。 </w:t>
      </w:r>
    </w:p>
    <w:p w14:paraId="434DDF90">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（2）事中质量控制</w:t>
      </w:r>
    </w:p>
    <w:p w14:paraId="3D711D2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1)审核承建方提交项目设计方案：与项目合同、需求的符合性；关键技术的实现方法、流程及技术保障措施的合理性；实施的质量保证措施的可行性；实施组织机构保证。</w:t>
      </w:r>
    </w:p>
    <w:p w14:paraId="1279D3A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2)对承建方开发系统的安装调试进行监督、检查和验收；进行测试的，应协助检验系统是否满足系统设计指标及合同规定的要求。</w:t>
      </w:r>
    </w:p>
    <w:p w14:paraId="42AD08C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3)检查承建方项目实施状况、人员与实施方案的一致性。</w:t>
      </w:r>
    </w:p>
    <w:p w14:paraId="25C348D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4)阶段性质量监督、控制措施及方法，并做监理日志。出现质量问题时，经确认后中标人签发监理通知单，报采购人、承建方，责令承建方整改。</w:t>
      </w:r>
    </w:p>
    <w:p w14:paraId="631A279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5)及时处理承建方提交的项目中关键环节的实施申请，审核其合理性后签认，报采购人批准。</w:t>
      </w:r>
    </w:p>
    <w:p w14:paraId="50D9385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6)检查承建方重要工程步骤的衔接工作，做监理日志。</w:t>
      </w:r>
    </w:p>
    <w:p w14:paraId="41E63E44">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7)按照监理细则规定的程序处理项目中出现的质量事故。组织软件工程质量、系统集成质量事故的原因调查、问题分析、问题评估、事故处理。</w:t>
      </w:r>
    </w:p>
    <w:p w14:paraId="4C9D6CB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8)若发现实施过程存在重大质量隐患，应及时向承建方签发停工令，并报采购人，监督承建方进行整改。整改完毕后，及时处理承建方的复工申请。</w:t>
      </w:r>
    </w:p>
    <w:p w14:paraId="76BD277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（3）事后质量控制</w:t>
      </w:r>
    </w:p>
    <w:p w14:paraId="7F66E3E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1)审核确认承建方的培训计划；监督承建方实施其培训计划，并征求用户的反馈意见；审核确认承建方的培训总结报告。</w:t>
      </w:r>
    </w:p>
    <w:p w14:paraId="64A0B25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2)负责对本项目各包提交的验收材料是否齐全规范进行审核把关。</w:t>
      </w:r>
    </w:p>
    <w:p w14:paraId="6805BBE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3)监督承建方根据整改要求提出整改方案，并监督整改过程。</w:t>
      </w:r>
    </w:p>
    <w:p w14:paraId="47B73BA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4)监督系统的试运行，督促承建方解决试运行中出现的质量问题。</w:t>
      </w:r>
    </w:p>
    <w:p w14:paraId="10C4054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5)协助采购人对初验中发现的质量问题进行评估，根据质量问题的性质和影响范围，确定整改要求，以监理通知单的形式告知承建方。</w:t>
      </w:r>
    </w:p>
    <w:p w14:paraId="1183729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6)与采购人和承建方共同确认初验结果。</w:t>
      </w:r>
    </w:p>
    <w:p w14:paraId="7B3FA10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7)按照项目招标文件、投标文件及合同要求，协助采购人和承建方完成项目试运行、初验、竣工验收和支付。 </w:t>
      </w:r>
    </w:p>
    <w:p w14:paraId="1ED6F21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 2.2.2进度控制</w:t>
      </w:r>
    </w:p>
    <w:p w14:paraId="7325441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（1）事前进度控制</w:t>
      </w:r>
    </w:p>
    <w:p w14:paraId="6EB53E1C">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1)协助编制项目工作计划，分析项目的、内容及过程，对项目进度提出监理意见。</w:t>
      </w:r>
    </w:p>
    <w:p w14:paraId="4D66E485">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2)对项目合同中涉及的产品和服务的提供时间做出说明，并对采购人的安排提出监理意见。</w:t>
      </w:r>
    </w:p>
    <w:p w14:paraId="3D0CAD2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（2）事中进度控制</w:t>
      </w:r>
    </w:p>
    <w:p w14:paraId="6D0FC3BC">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1)审核承建方提交的项目进度计划的可行性、合理性、各阶段工作成果，签署监理审核意见。</w:t>
      </w:r>
    </w:p>
    <w:p w14:paraId="07F8594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2)根据项目进度计划，确定阶段性进度监督、控制的措施及方法。</w:t>
      </w:r>
    </w:p>
    <w:p w14:paraId="37B84F3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3)督促承建方提交阶段性工作报告并审核。</w:t>
      </w:r>
    </w:p>
    <w:p w14:paraId="047C1A1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4)定期检查、记录项目的实际进度情况，确保实际进度与计划相一致。</w:t>
      </w:r>
    </w:p>
    <w:p w14:paraId="126D03D4">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5)发现项目未能按计划进行时，要求承建方调整或修改计划，采取必要措施加快开发进度，以使实际项目进度符合合同的要求。</w:t>
      </w:r>
    </w:p>
    <w:p w14:paraId="0FCD5DD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6）当项目进度可能导致合同工期严重延误时，详细报告分析原因和提出对策，供采购人采取措施或做出决定。</w:t>
      </w:r>
    </w:p>
    <w:p w14:paraId="072B439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（3）事后进度控制</w:t>
      </w:r>
    </w:p>
    <w:p w14:paraId="162B879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对验收阶段进度安排提出监理意见。</w:t>
      </w:r>
    </w:p>
    <w:p w14:paraId="5963F74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2.2.3变更控制</w:t>
      </w:r>
    </w:p>
    <w:p w14:paraId="59A8BD5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（1）对项目变更控制，明确界定项目变更的目标，防止变更范围的扩大化，加强变更风险以及变更效果的评估。</w:t>
      </w:r>
    </w:p>
    <w:p w14:paraId="31A6C320">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（2）对变更申请及时响应；任何变更都应在实施前进行评估，选择冲击最小的变更方案。</w:t>
      </w:r>
    </w:p>
    <w:p w14:paraId="11EB263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（3）任何变更都要得到采购人单位、监理单位和承建单位三方共同签字的书面确认。 </w:t>
      </w:r>
    </w:p>
    <w:p w14:paraId="0502757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2.2.4合同管理</w:t>
      </w:r>
    </w:p>
    <w:p w14:paraId="3C3938A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（1）跟踪检查合同的执行情况，确保承建单位按时履约。</w:t>
      </w:r>
    </w:p>
    <w:p w14:paraId="4FB04EA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（2）对合同工期的延误和延期进行审核确认。</w:t>
      </w:r>
    </w:p>
    <w:p w14:paraId="061451B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（3）对合同变更、索赔等事宜进行审核确认。</w:t>
      </w:r>
    </w:p>
    <w:p w14:paraId="189F69C0">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（4）根据合同约定，审核承建单位提交的支付申请。</w:t>
      </w:r>
    </w:p>
    <w:p w14:paraId="137410B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2.2.5信息管理</w:t>
      </w:r>
    </w:p>
    <w:p w14:paraId="523CC20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（1）及时向采购人反映项目实施的动态信息，提交监理工作情况的工作文档。</w:t>
      </w:r>
    </w:p>
    <w:p w14:paraId="5031AC0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（2）建立全面、准确反映实施阶段状况的图表、文档，收集和管理项目各类文档资料。</w:t>
      </w:r>
    </w:p>
    <w:p w14:paraId="14FCC65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（3）完成实施过程中各类工作日志、会议纪要、备忘录、电子邮件、传真、电话记录等资料，完成资料的整理、审核和归档工作。</w:t>
      </w:r>
    </w:p>
    <w:p w14:paraId="4286B5A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督促承建方及时完成各阶段设计文档、程序代码、测试记录、变更记录、问题跟踪处理记录等文件的归档工作，按归档要求进行分类整理归档，按时完成初步验收和竣工验收资料（包括监理工作方面的资料），确保软件工程中各类文件传送的规范化、制度化。</w:t>
      </w:r>
    </w:p>
    <w:p w14:paraId="35BF8F2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（5）监理方的文档管理人员负责收集、管理监理工作各类文书资料，对监理工作文档等进行管理。</w:t>
      </w:r>
    </w:p>
    <w:p w14:paraId="6AED3085">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2.2.6安全管理</w:t>
      </w:r>
    </w:p>
    <w:p w14:paraId="0BF2787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（1）落实采购人单位、监理单位、承建单位的安全责任。</w:t>
      </w:r>
    </w:p>
    <w:p w14:paraId="67D191A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（2）制定安全监理工作计划。</w:t>
      </w:r>
    </w:p>
    <w:p w14:paraId="5EFA26D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（3）采取有效的安全监理工作方法（包括审查安全管理制度、巡视检查安全措施、告知安全责任、通知安全隐患、停工安全整改、报告安全事故）。</w:t>
      </w:r>
    </w:p>
    <w:p w14:paraId="2303BD6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（4）细化安全监理工作内容。</w:t>
      </w:r>
    </w:p>
    <w:p w14:paraId="2957F83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（5）落实安全监理工作制度。</w:t>
      </w:r>
    </w:p>
    <w:p w14:paraId="5D4EF64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（6）妥善管理安全监理资料。</w:t>
      </w:r>
    </w:p>
    <w:p w14:paraId="51EF9910">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2.2.7工作协调</w:t>
      </w:r>
    </w:p>
    <w:p w14:paraId="0CFDF7D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接受采购人委托，负责协调本项目所涉及的各单位之间的工作关系，并协调解决项目建设过程中的各类纠纷。监理方应通过必要的会议制度来实施协调工作，主要会议包括不限于：</w:t>
      </w:r>
    </w:p>
    <w:p w14:paraId="614F3FF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（1）第一次现场会。</w:t>
      </w:r>
    </w:p>
    <w:p w14:paraId="0A0D4E2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（2）监理交底会。</w:t>
      </w:r>
    </w:p>
    <w:p w14:paraId="77CDDDF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（3）采购人组织的周例会及月度会。</w:t>
      </w:r>
    </w:p>
    <w:p w14:paraId="179371C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（4）监理协调会。</w:t>
      </w:r>
    </w:p>
    <w:p w14:paraId="48041BD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（5）专题讨论会。</w:t>
      </w:r>
    </w:p>
    <w:p w14:paraId="239836D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（6）专家论证会。</w:t>
      </w:r>
    </w:p>
    <w:p w14:paraId="6561AFD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（7）阶段工作总结会。</w:t>
      </w:r>
    </w:p>
    <w:p w14:paraId="0BCAA18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（8）问题通报会。</w:t>
      </w:r>
    </w:p>
    <w:p w14:paraId="4BAE1EF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（9）初步验收及竣工验收会。 </w:t>
      </w:r>
    </w:p>
    <w:p w14:paraId="5A5AFE2F">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2.2.8咨询服务</w:t>
      </w:r>
    </w:p>
    <w:p w14:paraId="2C4064F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为采购人提供技术咨询服务，对项目建设中的问题及技术为采购人提供解答；根据采购人需求提供咨询意见建议。 </w:t>
      </w:r>
    </w:p>
    <w:p w14:paraId="5665F5BC">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2.3服务要求</w:t>
      </w:r>
    </w:p>
    <w:p w14:paraId="45166258">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2.3.1对中标人的要求 </w:t>
      </w:r>
    </w:p>
    <w:p w14:paraId="1E74C3E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中标人应组建项目建设监理团队，必须满足以下要求：</w:t>
      </w:r>
    </w:p>
    <w:p w14:paraId="25EC27E7">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本包项目要求中标人建立监理团队，监理团队主要由以下人员组成：总监理工程师、总监理工程师代表、其他监理人员，其中选派1人驻场服务（需具有信息系统监理师证书，以及计算机类专业本科及以上学历），实行总监理工程师负责制。</w:t>
      </w:r>
    </w:p>
    <w:p w14:paraId="799F798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注：上述人员除评分标准中要求提供的相关人员证明材料作为评分条件外，投标人在投标文件中无须提供人员其他相关证明材料，由采购人在合同签订后中标人进场服务前核查人员配备情况，人员须按照要求配备到位，否则采购人有权追究违约责任。</w:t>
      </w:r>
    </w:p>
    <w:p w14:paraId="61AC941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（2）系统建设监理要求以驻场监理为主要方式进行，且应具有后续维保监理服务能力，具有必要的软硬件设备、必要的交通工具，保证能正常地开展工程监理工作。</w:t>
      </w:r>
    </w:p>
    <w:p w14:paraId="00E4FA19">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（3）在采购人未提出更换的情况下，监理单位不得随意提出更换总监理工程师和驻场的监理工程师。采购人有权书面要求中标人撤换不称职的监理团队人员， 更换人员必须具有与原人员相当或更高的资质和能力。</w:t>
      </w:r>
    </w:p>
    <w:p w14:paraId="1B0494D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（4）中标人在执行监理合同时建立项目监理团队，在完成合同约定的监理任务后方可解散，应严格按照合同履行监理责任；</w:t>
      </w:r>
    </w:p>
    <w:p w14:paraId="632B496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（5）中标人应根据监理项目的具体情况，配备满足监理工作需要的人员、设备和工具；</w:t>
      </w:r>
    </w:p>
    <w:p w14:paraId="245739E5">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（6）监理团队应遵守相应的监理工作制度，包括会议制度、监理文件制度、监理记录制度、工作报告制度等，保证监理工作协调有序的进行；</w:t>
      </w:r>
    </w:p>
    <w:p w14:paraId="6A3974F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（7）中标人应根据监理项目的实际情况编制项目监理大纲，确定项目监理团队的具体工作目标和任务，规定具体的监理工作制度、程序、方法和措施；</w:t>
      </w:r>
    </w:p>
    <w:p w14:paraId="31A593B3">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（8）中标人应编制项目监理实施方案，实施方案应符合项目监理大纲的要求，并应结合项目的特点，做到详细具体可操作；</w:t>
      </w:r>
    </w:p>
    <w:p w14:paraId="48187076">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（9）中标人应在质量控制、进度控制、变更管理、合同管理、信息管理和工作协调等方面对监理项目采取必要和完善的监督、控制和管理措施，保证监理项目能够按时、按质、按量竣工；</w:t>
      </w:r>
    </w:p>
    <w:p w14:paraId="321BB3D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（10）中标人定时（每周、月）向采购人通报项目进展情况及项目实施过程中所遇到的问题。</w:t>
      </w:r>
    </w:p>
    <w:p w14:paraId="4CA00A79">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（11）本包中标后不得转包。 </w:t>
      </w:r>
    </w:p>
    <w:p w14:paraId="2B56FD71">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2.3.2监理实施依据</w:t>
      </w:r>
    </w:p>
    <w:p w14:paraId="0B72FC3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项目监理应使用与本项目内容相关的下列最新版本的标准与规范（如有）：</w:t>
      </w:r>
    </w:p>
    <w:p w14:paraId="264CC872">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1）监理服务合同；</w:t>
      </w:r>
    </w:p>
    <w:p w14:paraId="6D9DC2D9">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2）项目招标文件；</w:t>
      </w:r>
    </w:p>
    <w:p w14:paraId="018B347C">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3）采购人与承建单位签订的合同；</w:t>
      </w:r>
    </w:p>
    <w:p w14:paraId="64F5063E">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4）合同图纸及说明；</w:t>
      </w:r>
    </w:p>
    <w:p w14:paraId="1751389F">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5）国家、项目所在地颁布的监理法规等；</w:t>
      </w:r>
    </w:p>
    <w:p w14:paraId="3DC43885">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6）采购人授予的其他权限。</w:t>
      </w:r>
    </w:p>
    <w:p w14:paraId="030CCB65">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2.3.3监理责任</w:t>
      </w:r>
    </w:p>
    <w:p w14:paraId="0BD746BD">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（1）中标人有责任为采购人提供项目顾问咨询意见，有义务帮助承建单位实现合同所规定的目标，公正维护各方的合法权益；</w:t>
      </w:r>
    </w:p>
    <w:p w14:paraId="19E2F684">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（2）在本合同期内及合同终止后，未征得采购人同意，不得泄露与监理项目有关的资料；</w:t>
      </w:r>
    </w:p>
    <w:p w14:paraId="3BFDA66A">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（3）对承建单位在项目实施中不符合项目规范和质量要求，中标人要监督承建单位停工整改或返工。如承建单位人员工作不力，可提出调换有关人员；</w:t>
      </w:r>
    </w:p>
    <w:p w14:paraId="7BFDE73B">
      <w:pPr>
        <w:spacing w:line="360" w:lineRule="auto"/>
        <w:ind w:firstLine="480" w:firstLineChars="200"/>
        <w:outlineLvl w:val="2"/>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（4）如果承建单位违反合同规定的质量要求和完工时限，中标人应协助采购人追究有关承建单位的责任；</w:t>
      </w:r>
    </w:p>
    <w:p w14:paraId="11E088ED">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（5）中标人使用采购人提供的设备和物品属采购人所有，在监理工作完成或终止时，应将设备和剩余物品在合同规定的时间和方式移交给采购人；</w:t>
      </w:r>
    </w:p>
    <w:p w14:paraId="7F62185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（6）中标人与采购人签订保密协议，相关监理人员需签署保密承诺书，在执行服务过程中应严格按照保密协议相关要求执行。</w:t>
      </w:r>
    </w:p>
    <w:p w14:paraId="16B4C2A3">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2.4验收要求 </w:t>
      </w:r>
    </w:p>
    <w:p w14:paraId="28F71E4E">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项目验收时，中标人按照《安徽省政务信息化项目建设管理办法》《安徽省政务信息化项目建设管理办法实施细则（试行）》《滁州市政务信息化项目建设管理办法》相关要求执行，验收过程中需要的相关资料由中标人负责，中标人应做好相关工作直至滁州市物业专项维修资金管理信息系统整合迁移项目通过竣工验收。 </w:t>
      </w:r>
    </w:p>
    <w:p w14:paraId="27093F3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2.5服务标准 </w:t>
      </w:r>
    </w:p>
    <w:p w14:paraId="7E0E9F27">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（1）符合国家、行业相关法律法规及标准规定，满足采购需求中服务范围、服务要求相关要求，并通过验收。</w:t>
      </w:r>
    </w:p>
    <w:p w14:paraId="009A12D4">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2）廉政要求。中标人及其工作人员在项目招投标及实施过程中，应严格遵守国家关于廉政管理的法律法规规定，服从采购人对廉洁管理的各项要求，坚决杜绝各类行贿受贿等不廉洁行为，否则采购人有权要求更换相关人员并追究相关责任。 </w:t>
      </w:r>
    </w:p>
    <w:p w14:paraId="1D374C45">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第3包软件测评服务：</w:t>
      </w:r>
    </w:p>
    <w:p w14:paraId="6332948C">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3.1服务范围</w:t>
      </w:r>
    </w:p>
    <w:p w14:paraId="1AD573B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滁州市物业专项维修资金管理信息系统整合迁移项目的软件测评工作。 </w:t>
      </w:r>
    </w:p>
    <w:p w14:paraId="2B40808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3.2服务内容 </w:t>
      </w:r>
    </w:p>
    <w:p w14:paraId="47043D57">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3.2.1 软件测试</w:t>
      </w:r>
    </w:p>
    <w:p w14:paraId="651B1D05">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（1）软件测试内容</w:t>
      </w:r>
    </w:p>
    <w:p w14:paraId="3C00F332">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软件测试的内容包括但不限于以下内容：</w:t>
      </w:r>
    </w:p>
    <w:p w14:paraId="4D6CE694">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功能性：主要检测在制定条件下使用时，产品或系统提供满足明确和隐含要求的功能的程度。应包含功能完备性、功能正确性、功能适合性。</w:t>
      </w:r>
    </w:p>
    <w:p w14:paraId="59B9C280">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性能效率：应包含时间特性、资源利用率、容量。时间特性主要指产品或系统执行功能时，其响应时间、处理时间及吞吐率满足需求的程度；资源利用率是指产品或系统执行其功能时，所使用资源数量和类型满足需求的程度；容量是指产品或系统参数的最大限量满足需求的程度。</w:t>
      </w:r>
    </w:p>
    <w:p w14:paraId="3D2E688C">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可靠性：主要检测系统、产品或组件在指定条件下、指定时间内执行功能的程度。应包含成熟性、可用性、容错性、易恢复性等。 </w:t>
      </w:r>
    </w:p>
    <w:p w14:paraId="3CA9CE89">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兼容性：兼容性测试通过覆盖软硬件、网络、数据等维度，确保系统在多样化环境中稳定运行，提升用户体验和系统普适性。应包含操作系统兼容性、硬件兼容性、浏览器兼容性、数据兼容性、网络兼容性等。</w:t>
      </w:r>
    </w:p>
    <w:p w14:paraId="0D33D4F7">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易用性：检测在指定的周境中，产品或系统在有效性、效率和满意度特性方面为了指定的目标可为指定用户使用的程度。应包含可辨识性、易学性、易操作性、用户差错防御性、用户界面舒适性、易访问性等。</w:t>
      </w:r>
    </w:p>
    <w:p w14:paraId="5CA67360">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信息安全性：检测产品或系统保护信息和数据的程度。主要考虑保密性、完整性、抗抵赖性、可核查性、真实性以及信息安全性的依从性。验证软件能否防止对程序和数据的未授权访问；验证软件是否能识别对结构数据库或文件完整性产生损害的事件，且能阻止该事件，并通报给授权；软件能否按照信息安全要求，对访问权限进行管理；软件能否对保密数据进行保护，只允许授权用户访问。</w:t>
      </w:r>
    </w:p>
    <w:p w14:paraId="2D2D10CF">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可移植性：验证适应性、易安装性、共存性、易替换性和可移植性依从性。验证如果用户能够实施安装，能否遵循安装文档中的信息应能成功地安装软件；对于软件应用程序的成功安装和正确运行，验证产品说明中列出的所有支持平台和系统加以证实；验证软件是否向用户提供移去或卸载所有已安装组件的方法。</w:t>
      </w:r>
    </w:p>
    <w:p w14:paraId="77DD584A">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可维护性：主要检测产品或系统能够被预期的维护人员修改的有效性和效率的程度主要验证软件模块化、可重用性、易分析性、易修改性、易测试性等。 </w:t>
      </w:r>
    </w:p>
    <w:p w14:paraId="1077AE49">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（2）软件测试要求 </w:t>
      </w:r>
    </w:p>
    <w:p w14:paraId="39BC9B48">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（1）依据项目建设方案、招标文件和投标文件、合同及项目开发过程资料，制定项目软件测试计划。</w:t>
      </w:r>
    </w:p>
    <w:p w14:paraId="4AB4285E">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（2）对测试过程中发现的各类问题进行详细记录，形成完整的项目缺陷报告。</w:t>
      </w:r>
    </w:p>
    <w:p w14:paraId="39E84A36">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（3）针对以上测试内容需提供2 轮（含）以上测试（至少应包含1 轮回归测试）。</w:t>
      </w:r>
    </w:p>
    <w:p w14:paraId="17ED6E5A">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（4）与系统开发人员沟通，跟踪缺陷问题的修复，并提出具体的修改建议，最终进行回归测试确认，确保系统各项指标达到设计要求，形成符合国家相关标准的软件测试报告。 </w:t>
      </w:r>
    </w:p>
    <w:p w14:paraId="15173815">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3.2.2 交付成果</w:t>
      </w:r>
    </w:p>
    <w:p w14:paraId="2F635839">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（1）测试计划 </w:t>
      </w:r>
    </w:p>
    <w:p w14:paraId="07D01E87">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依据国家有关软件质量检测标准及采购人系统建设要求，制定切实可行的测试计划。</w:t>
      </w:r>
    </w:p>
    <w:p w14:paraId="209C78CF">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（2）缺陷报告及修改建议</w:t>
      </w:r>
    </w:p>
    <w:p w14:paraId="6BD28BF6">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中标人应对测试过程中发现的各类问题进行详细记录，并最终形成完整的项目缺陷报告，并提出具体的修改建议。</w:t>
      </w:r>
    </w:p>
    <w:p w14:paraId="0A8FE2A6">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（3）测试报告</w:t>
      </w:r>
    </w:p>
    <w:p w14:paraId="119A1072">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中标人应依据国家相关软件质量检测标准及项目的建设目标，认真执行测试方案，形成符合国家相关标准的软件测试报告，分系统分别出具测试报告。测试报告包含：功能性、性能效率、可靠性、兼容性、信息安全性、易用性、可维护性、可移植性测试等。</w:t>
      </w:r>
    </w:p>
    <w:p w14:paraId="44F68BB2">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3.3测评依据</w:t>
      </w:r>
    </w:p>
    <w:p w14:paraId="3B220BA2">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GB/T 25000.51-2016《系统与软件工程系统与软件质量要求和评价（SQuaRE）第51 部分：就绪可用软件产品（RUSP）的质量要求和测试细则》； GW0014-2017《国家电子政务工程项目应用软件第三方测试规范》；GB/T 25000.10-2016，系统与软件工程 系统与软件质量要求和评价（SQuaRE）第 10 部分：系统与软件质量模型。</w:t>
      </w:r>
    </w:p>
    <w:p w14:paraId="5D78D89A">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3.4人员配备要求</w:t>
      </w:r>
    </w:p>
    <w:p w14:paraId="68C8FD01">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中标人测评服务的项目实际配备项目团队，保障项目顺利实施。人员具体要求如下：</w:t>
      </w:r>
    </w:p>
    <w:p w14:paraId="2B1EE52C">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（1）项目负责人：需具有丰富的项目管理和信息化项目测评经验，能够领导整个团队，对项目重大环节审核把关，确保测评服务按要求完成。</w:t>
      </w:r>
    </w:p>
    <w:p w14:paraId="11CA843A">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测评服务团队：除项目负责人外，需配备测评服务团队，团队成员需具备相关技术经验和能力，能够支持测评工作的顺利进行，并能够与项目承建单位团队沟通协调，确保方案的可实施性。团队成员根据项目进展及不同专业角色，可分批投入，以满足测评工作要求。团队成员需分别具备以下能力：熟悉项目业务需求，能够根据项目需求编制测评方案，确保方案符合业务需求；具备丰富的软件测评经验，能够根据项目需求开展测评工作，确保测评用例编制等符合项目需求。</w:t>
      </w:r>
    </w:p>
    <w:p w14:paraId="086FB952">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（3）中标人不得无故随意变更团队人员，如有变更，提前向采购人提出申请，保证人员满足招标文件要求，人员变更申请需经采购人同意。</w:t>
      </w:r>
    </w:p>
    <w:p w14:paraId="68094146">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注：除评分标准中要求提供的相关人员证明材料作为评分条件外，投标人在投标文件中无须提供人员其他相关证明材料，由采购人在合同签订后中标人进场服务前核查人员配备情况，人员须按照要求配备到位，否则中标人承担一切责任。 </w:t>
      </w:r>
    </w:p>
    <w:p w14:paraId="657BE05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3.5验收要求 </w:t>
      </w:r>
    </w:p>
    <w:p w14:paraId="420A9C8D">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中标人按照《安徽省政务信息化项目建设管理办法》《安徽省政务信息化项目建设管理实施细则（试行）》《滁州市政务信息化项目建设管理办法》等要求，开展项目验收工作。</w:t>
      </w:r>
    </w:p>
    <w:p w14:paraId="6D42085F">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（1）中标人须协助采购人完成各阶段验收工作的准备，包括但不限于整理完成各类文档（电子、纸质）、准备验收环境和各类支撑工具等，并需要协助采购人完成项目相关资料文档的归档。</w:t>
      </w:r>
    </w:p>
    <w:p w14:paraId="001E622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（2）中标人对于项目各阶段的验收中发现的问题，须辅助提供解决办法和措施。</w:t>
      </w:r>
    </w:p>
    <w:p w14:paraId="291E32E7">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（3）中标人对于项目各阶段验收中有关本项目的内容提供电子和纸质两种介质的产出物，并保持版本一致，纸质的须经采购人和项目监理方签字认可。</w:t>
      </w:r>
    </w:p>
    <w:p w14:paraId="09628276">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（4）中标人提供的各类文档应确保内容完整、描述清晰、版本最新，各类方案要求实现目标明确、工作措施得力、可行性强、具有前瞻性。</w:t>
      </w:r>
    </w:p>
    <w:p w14:paraId="416338DB">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（5）在项目需要变更的情况下，中标人须依据《安徽省政务信息化项目建设管理办法实施细则（试行）》《滁州市政务信息化项目建设管理办法》等配合采购人完成项目变更工作。</w:t>
      </w:r>
    </w:p>
    <w:p w14:paraId="715ED2EC">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（6）项目归档文件包括但不限于：</w:t>
      </w:r>
    </w:p>
    <w:p w14:paraId="350CC643">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1）验收申请（含初步验收及竣工验收）；</w:t>
      </w:r>
    </w:p>
    <w:p w14:paraId="5B990994">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2）项目实施方案；</w:t>
      </w:r>
    </w:p>
    <w:p w14:paraId="1894FF54">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3）项目实施过程相关文档；</w:t>
      </w:r>
    </w:p>
    <w:p w14:paraId="488E100E">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4）符合国家标准加盖资格印章的测试报告。 </w:t>
      </w:r>
    </w:p>
    <w:p w14:paraId="4DF52852">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3.6服务要求 </w:t>
      </w:r>
    </w:p>
    <w:p w14:paraId="6BD114BE">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（1）项目管理要求：中标人需按项目实施进度要求，提供项目人员配备、实施方案等材料经采购人审核批准后方可开工实施。</w:t>
      </w:r>
    </w:p>
    <w:p w14:paraId="66D93C94">
      <w:pPr>
        <w:numPr>
          <w:ilvl w:val="0"/>
          <w:numId w:val="0"/>
        </w:numPr>
        <w:spacing w:line="440" w:lineRule="exact"/>
        <w:ind w:leftChars="0" w:firstLine="480" w:firstLineChars="200"/>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2）在服务期间，中标人的项目团队成员须严格遵守采购人制定的各项规章制度、管理流程以及操作规范。由于中标人的原因造成重大安全事故、系统瘫痪、数据丢失等严重问题，事件被财政、网信、公安等部门通报的，采购人有权追究中标人违约责任，中标人自行承担由此产生的一切后果。</w:t>
      </w:r>
    </w:p>
    <w:p w14:paraId="5E5372EA">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中标人及本项目中人员必须与采购人签订采购人制定的保密协议和承诺，并遵照执行。在日常运行维护过程中必须严守保密纪律，不论何时（服务期间或服务期结束后），中标人必须对服务过程中接触的采购人所有信息和数据保密，未经允许不得以任何方式向外界传递或泄露采购人的任何信息或数据，一旦发现，将追究中标人法律责任。</w:t>
      </w:r>
    </w:p>
    <w:p w14:paraId="2FFEC5D6">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（4）知识产权要求。本包项目建设完成后形成的项目成果及相关知识产权归属于采购人所有。采购人有权对项目最终测评成果进行后续改进，由此产生的新的测评成果的知识产权归属于采购人所有。</w:t>
      </w:r>
    </w:p>
    <w:p w14:paraId="02284DF5">
      <w:pPr>
        <w:numPr>
          <w:ilvl w:val="0"/>
          <w:numId w:val="0"/>
        </w:numPr>
        <w:spacing w:line="440" w:lineRule="exact"/>
        <w:ind w:leftChars="0" w:firstLine="480" w:firstLineChars="200"/>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5）廉政要求。中标人及其工作人员在项目招投标及实施过程中，应严格遵守国家关于廉政管理的法律法规规定，服从采购人对廉洁管理的各项要求，坚决杜绝各类行贿受贿等不廉洁行为，否则采购人有权要求更换相关人员并追究相关责任。</w:t>
      </w:r>
    </w:p>
    <w:p w14:paraId="3DE3DFC0">
      <w:pPr>
        <w:numPr>
          <w:ilvl w:val="0"/>
          <w:numId w:val="0"/>
        </w:numPr>
        <w:spacing w:line="440" w:lineRule="exact"/>
        <w:ind w:leftChars="0" w:firstLine="480" w:firstLineChars="200"/>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 xml:space="preserve">（6）本包中标后不得转包。 </w:t>
      </w:r>
    </w:p>
    <w:p w14:paraId="5A36EEE6">
      <w:pPr>
        <w:numPr>
          <w:ilvl w:val="0"/>
          <w:numId w:val="0"/>
        </w:numPr>
        <w:spacing w:line="440" w:lineRule="exact"/>
        <w:ind w:leftChars="0" w:firstLine="482" w:firstLineChars="200"/>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五、报价要求</w:t>
      </w:r>
    </w:p>
    <w:p w14:paraId="75F99713">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报价的价格是完成项目全部内容（包括后期的相关服务）的价格，其</w:t>
      </w:r>
      <w:r>
        <w:rPr>
          <w:rFonts w:hint="eastAsia" w:ascii="宋体" w:hAnsi="宋体" w:eastAsia="宋体" w:cs="宋体"/>
          <w:sz w:val="24"/>
          <w:szCs w:val="24"/>
          <w:highlight w:val="none"/>
          <w:lang w:val="en-US" w:eastAsia="zh-CN"/>
        </w:rPr>
        <w:t>总</w:t>
      </w:r>
      <w:r>
        <w:rPr>
          <w:rFonts w:hint="eastAsia" w:ascii="宋体" w:hAnsi="宋体" w:eastAsia="宋体" w:cs="宋体"/>
          <w:sz w:val="24"/>
          <w:szCs w:val="24"/>
          <w:highlight w:val="none"/>
        </w:rPr>
        <w:t>价即为履行合同的固定</w:t>
      </w:r>
      <w:r>
        <w:rPr>
          <w:rFonts w:hint="eastAsia" w:ascii="宋体" w:hAnsi="宋体" w:eastAsia="宋体" w:cs="宋体"/>
          <w:sz w:val="24"/>
          <w:szCs w:val="24"/>
          <w:highlight w:val="none"/>
          <w:lang w:val="en-US" w:eastAsia="zh-CN"/>
        </w:rPr>
        <w:t>总</w:t>
      </w:r>
      <w:r>
        <w:rPr>
          <w:rFonts w:hint="eastAsia" w:ascii="宋体" w:hAnsi="宋体" w:eastAsia="宋体" w:cs="宋体"/>
          <w:sz w:val="24"/>
          <w:szCs w:val="24"/>
          <w:highlight w:val="none"/>
        </w:rPr>
        <w:t>价。</w:t>
      </w:r>
    </w:p>
    <w:p w14:paraId="34B25D4E">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投标</w:t>
      </w:r>
      <w:r>
        <w:rPr>
          <w:rFonts w:hint="eastAsia" w:ascii="宋体" w:hAnsi="宋体" w:eastAsia="宋体" w:cs="宋体"/>
          <w:sz w:val="24"/>
          <w:szCs w:val="24"/>
          <w:highlight w:val="none"/>
        </w:rPr>
        <w:t>报价</w:t>
      </w:r>
      <w:r>
        <w:rPr>
          <w:rFonts w:hint="eastAsia" w:ascii="宋体" w:hAnsi="宋体" w:eastAsia="宋体" w:cs="宋体"/>
          <w:sz w:val="24"/>
          <w:szCs w:val="24"/>
          <w:highlight w:val="none"/>
          <w:lang w:val="en-US" w:eastAsia="zh-CN"/>
        </w:rPr>
        <w:t>不得超过预算，报价包括完成本项目所需的全部费用，成交后采购人不再另行支付其他任何费用，结算时不再根据服务期的调整而变动，供应商须自行考虑风险，在充分了解本项目的基础上合理报价。</w:t>
      </w:r>
    </w:p>
    <w:bookmarkEnd w:id="42"/>
    <w:bookmarkEnd w:id="43"/>
    <w:bookmarkEnd w:id="44"/>
    <w:p w14:paraId="0A1579B0">
      <w:pPr>
        <w:numPr>
          <w:ilvl w:val="0"/>
          <w:numId w:val="0"/>
        </w:numPr>
        <w:spacing w:line="360" w:lineRule="auto"/>
        <w:ind w:firstLine="437" w:firstLineChars="0"/>
        <w:outlineLvl w:val="1"/>
        <w:rPr>
          <w:rFonts w:hint="eastAsia" w:ascii="宋体" w:hAnsi="宋体" w:eastAsia="宋体"/>
          <w:b/>
          <w:sz w:val="24"/>
          <w:szCs w:val="18"/>
          <w:highlight w:val="none"/>
          <w:lang w:val="en-US" w:eastAsia="zh-CN"/>
        </w:rPr>
      </w:pPr>
      <w:bookmarkStart w:id="213" w:name="_Toc30824"/>
      <w:r>
        <w:rPr>
          <w:rFonts w:hint="eastAsia" w:ascii="宋体" w:hAnsi="宋体" w:eastAsia="宋体" w:cs="@仿宋_GB2312"/>
          <w:b/>
          <w:kern w:val="2"/>
          <w:sz w:val="24"/>
          <w:szCs w:val="18"/>
          <w:highlight w:val="none"/>
          <w:lang w:val="en-US" w:eastAsia="zh-CN" w:bidi="ar-SA"/>
        </w:rPr>
        <w:t>六、</w:t>
      </w:r>
      <w:r>
        <w:rPr>
          <w:rFonts w:hint="eastAsia" w:ascii="宋体" w:hAnsi="宋体" w:eastAsia="宋体"/>
          <w:b/>
          <w:sz w:val="24"/>
          <w:szCs w:val="18"/>
          <w:highlight w:val="none"/>
          <w:lang w:val="en-US" w:eastAsia="zh-CN"/>
        </w:rPr>
        <w:t>其他要求</w:t>
      </w:r>
    </w:p>
    <w:p w14:paraId="763519DF">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.专利权：</w:t>
      </w:r>
      <w:r>
        <w:rPr>
          <w:rFonts w:hint="eastAsia" w:ascii="宋体" w:hAnsi="宋体" w:eastAsia="宋体"/>
          <w:bCs/>
          <w:sz w:val="24"/>
          <w:szCs w:val="18"/>
          <w:highlight w:val="none"/>
          <w:lang w:val="en-US" w:eastAsia="zh-CN"/>
        </w:rPr>
        <w:t>成交供应商</w:t>
      </w:r>
      <w:r>
        <w:rPr>
          <w:rFonts w:hint="eastAsia" w:ascii="宋体" w:hAnsi="宋体" w:eastAsia="宋体" w:cs="宋体"/>
          <w:sz w:val="24"/>
          <w:szCs w:val="24"/>
          <w:highlight w:val="none"/>
        </w:rPr>
        <w:t>须保障采购人在使用该方案时不受到第三方关于侵犯专利权或工业设计权等知识产权的指控。如果任何第三方提出侵权指控与采购人无关，</w:t>
      </w:r>
      <w:r>
        <w:rPr>
          <w:rFonts w:hint="eastAsia" w:ascii="宋体" w:hAnsi="宋体" w:eastAsia="宋体"/>
          <w:bCs/>
          <w:sz w:val="24"/>
          <w:szCs w:val="18"/>
          <w:highlight w:val="none"/>
          <w:lang w:val="en-US" w:eastAsia="zh-CN"/>
        </w:rPr>
        <w:t>成交供应商</w:t>
      </w:r>
      <w:r>
        <w:rPr>
          <w:rFonts w:hint="eastAsia" w:ascii="宋体" w:hAnsi="宋体" w:eastAsia="宋体" w:cs="宋体"/>
          <w:sz w:val="24"/>
          <w:szCs w:val="24"/>
          <w:highlight w:val="none"/>
        </w:rPr>
        <w:t>须与第三方交涉并承担可能发生的责任与一切费用。如采购人因此而遭致损失的，</w:t>
      </w:r>
      <w:r>
        <w:rPr>
          <w:rFonts w:hint="eastAsia" w:ascii="宋体" w:hAnsi="宋体" w:eastAsia="宋体"/>
          <w:bCs/>
          <w:sz w:val="24"/>
          <w:szCs w:val="18"/>
          <w:highlight w:val="none"/>
          <w:lang w:val="en-US" w:eastAsia="zh-CN"/>
        </w:rPr>
        <w:t>成交供应商</w:t>
      </w:r>
      <w:r>
        <w:rPr>
          <w:rFonts w:hint="eastAsia" w:ascii="宋体" w:hAnsi="宋体" w:eastAsia="宋体" w:cs="宋体"/>
          <w:sz w:val="24"/>
          <w:szCs w:val="24"/>
          <w:highlight w:val="none"/>
        </w:rPr>
        <w:t>应赔偿该损失。</w:t>
      </w:r>
    </w:p>
    <w:p w14:paraId="20A807B2">
      <w:pPr>
        <w:spacing w:line="48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.采购人不组织</w:t>
      </w:r>
      <w:r>
        <w:rPr>
          <w:rFonts w:hint="eastAsia" w:ascii="宋体" w:hAnsi="宋体" w:eastAsia="宋体" w:cs="宋体"/>
          <w:bCs/>
          <w:sz w:val="24"/>
          <w:szCs w:val="22"/>
          <w:highlight w:val="none"/>
        </w:rPr>
        <w:t>现场考察</w:t>
      </w:r>
      <w:r>
        <w:rPr>
          <w:rFonts w:hint="eastAsia" w:ascii="宋体" w:hAnsi="宋体" w:eastAsia="宋体" w:cs="宋体"/>
          <w:sz w:val="24"/>
          <w:szCs w:val="24"/>
          <w:highlight w:val="none"/>
        </w:rPr>
        <w:t>：供应商应根据其实际需求自行安排时间进行</w:t>
      </w:r>
      <w:r>
        <w:rPr>
          <w:rFonts w:hint="eastAsia" w:ascii="宋体" w:hAnsi="宋体" w:eastAsia="宋体" w:cs="宋体"/>
          <w:bCs/>
          <w:sz w:val="24"/>
          <w:szCs w:val="22"/>
          <w:highlight w:val="none"/>
        </w:rPr>
        <w:t>现场考察</w:t>
      </w:r>
      <w:r>
        <w:rPr>
          <w:rFonts w:hint="eastAsia" w:ascii="宋体" w:hAnsi="宋体" w:eastAsia="宋体" w:cs="宋体"/>
          <w:sz w:val="24"/>
          <w:szCs w:val="24"/>
          <w:highlight w:val="none"/>
        </w:rPr>
        <w:t>。供应商</w:t>
      </w:r>
      <w:r>
        <w:rPr>
          <w:rFonts w:hint="eastAsia" w:ascii="宋体" w:hAnsi="宋体" w:eastAsia="宋体" w:cs="宋体"/>
          <w:bCs/>
          <w:sz w:val="24"/>
          <w:szCs w:val="22"/>
          <w:highlight w:val="none"/>
        </w:rPr>
        <w:t>现场考察</w:t>
      </w:r>
      <w:r>
        <w:rPr>
          <w:rFonts w:hint="eastAsia" w:ascii="宋体" w:hAnsi="宋体" w:eastAsia="宋体" w:cs="宋体"/>
          <w:sz w:val="24"/>
          <w:szCs w:val="24"/>
          <w:highlight w:val="none"/>
        </w:rPr>
        <w:t>的费用自理，为报价取得依据。一旦</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，不得以不了解现场情况为理由而提出额外费用。在现场考察过程中，</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如果发生人身伤亡、财务或其它损失，不论何种原因造成，均由</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自负。</w:t>
      </w:r>
    </w:p>
    <w:p w14:paraId="54AA8168">
      <w:pPr>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1C8A39E3">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评标方法和标准（综合评分法）</w:t>
      </w:r>
      <w:bookmarkEnd w:id="213"/>
    </w:p>
    <w:p w14:paraId="3EFD882E">
      <w:pPr>
        <w:spacing w:line="360" w:lineRule="auto"/>
        <w:ind w:firstLine="437"/>
        <w:outlineLvl w:val="1"/>
        <w:rPr>
          <w:rFonts w:asciiTheme="minorEastAsia" w:hAnsiTheme="minorEastAsia" w:eastAsiaTheme="minorEastAsia"/>
          <w:b/>
          <w:color w:val="auto"/>
          <w:sz w:val="24"/>
          <w:highlight w:val="none"/>
        </w:rPr>
      </w:pPr>
      <w:bookmarkStart w:id="214" w:name="_Toc11823"/>
      <w:bookmarkStart w:id="215" w:name="_Toc4705"/>
      <w:r>
        <w:rPr>
          <w:rFonts w:hint="eastAsia" w:asciiTheme="minorEastAsia" w:hAnsiTheme="minorEastAsia" w:eastAsiaTheme="minorEastAsia"/>
          <w:b/>
          <w:color w:val="auto"/>
          <w:sz w:val="24"/>
          <w:highlight w:val="none"/>
        </w:rPr>
        <w:t>一、总则</w:t>
      </w:r>
      <w:bookmarkEnd w:id="214"/>
      <w:bookmarkEnd w:id="215"/>
    </w:p>
    <w:p w14:paraId="4AEBEB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1083153A">
      <w:pPr>
        <w:spacing w:line="360" w:lineRule="auto"/>
        <w:ind w:firstLine="437"/>
        <w:outlineLvl w:val="1"/>
        <w:rPr>
          <w:rFonts w:asciiTheme="minorEastAsia" w:hAnsiTheme="minorEastAsia" w:eastAsiaTheme="minorEastAsia"/>
          <w:b/>
          <w:color w:val="auto"/>
          <w:sz w:val="24"/>
          <w:highlight w:val="none"/>
        </w:rPr>
      </w:pPr>
      <w:bookmarkStart w:id="216" w:name="_Toc32410"/>
      <w:bookmarkStart w:id="217" w:name="_Toc31871"/>
      <w:r>
        <w:rPr>
          <w:rFonts w:hint="eastAsia" w:asciiTheme="minorEastAsia" w:hAnsiTheme="minorEastAsia" w:eastAsiaTheme="minorEastAsia"/>
          <w:b/>
          <w:color w:val="auto"/>
          <w:sz w:val="24"/>
          <w:highlight w:val="none"/>
        </w:rPr>
        <w:t>二、评标方法</w:t>
      </w:r>
      <w:bookmarkEnd w:id="216"/>
      <w:bookmarkEnd w:id="217"/>
    </w:p>
    <w:p w14:paraId="21090EAD">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651"/>
        <w:gridCol w:w="4556"/>
        <w:gridCol w:w="1894"/>
      </w:tblGrid>
      <w:tr w14:paraId="4323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1EB44F6">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1636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1E1B2D6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4C3F5FA1">
            <w:pPr>
              <w:pStyle w:val="48"/>
              <w:pBdr>
                <w:bottom w:val="none" w:color="auto" w:sz="0" w:space="0"/>
              </w:pBdr>
              <w:tabs>
                <w:tab w:val="clear" w:pos="4153"/>
                <w:tab w:val="clear" w:pos="8306"/>
              </w:tabs>
              <w:snapToGrid w:val="0"/>
              <w:spacing w:line="360" w:lineRule="auto"/>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审查因素</w:t>
            </w:r>
          </w:p>
        </w:tc>
        <w:tc>
          <w:tcPr>
            <w:tcW w:w="2600" w:type="pct"/>
            <w:tcBorders>
              <w:bottom w:val="single" w:color="auto" w:sz="4" w:space="0"/>
            </w:tcBorders>
            <w:vAlign w:val="center"/>
          </w:tcPr>
          <w:p w14:paraId="3C00E030">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审查内容</w:t>
            </w:r>
          </w:p>
        </w:tc>
        <w:tc>
          <w:tcPr>
            <w:tcW w:w="1079" w:type="pct"/>
            <w:tcBorders>
              <w:bottom w:val="single" w:color="auto" w:sz="4" w:space="0"/>
            </w:tcBorders>
            <w:vAlign w:val="center"/>
          </w:tcPr>
          <w:p w14:paraId="3CBC440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34E0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7" w:type="pct"/>
            <w:tcBorders>
              <w:bottom w:val="single" w:color="auto" w:sz="4" w:space="0"/>
            </w:tcBorders>
            <w:vAlign w:val="center"/>
          </w:tcPr>
          <w:p w14:paraId="71D428CA">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6F2D5DBA">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0" w:type="pct"/>
            <w:tcBorders>
              <w:bottom w:val="single" w:color="auto" w:sz="4" w:space="0"/>
            </w:tcBorders>
            <w:vAlign w:val="center"/>
          </w:tcPr>
          <w:p w14:paraId="26FE9D2F">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876C4D5">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438D027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5800406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7AEA4ED9">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9" w:type="pct"/>
            <w:vAlign w:val="center"/>
          </w:tcPr>
          <w:p w14:paraId="3F7B09DC">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187A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7" w:type="pct"/>
            <w:tcBorders>
              <w:bottom w:val="single" w:color="auto" w:sz="4" w:space="0"/>
            </w:tcBorders>
            <w:vAlign w:val="center"/>
          </w:tcPr>
          <w:p w14:paraId="6AEC49D8">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2" w:type="pct"/>
            <w:tcBorders>
              <w:bottom w:val="single" w:color="auto" w:sz="4" w:space="0"/>
            </w:tcBorders>
            <w:vAlign w:val="center"/>
          </w:tcPr>
          <w:p w14:paraId="43DBAA13">
            <w:pPr>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600" w:type="pct"/>
            <w:tcBorders>
              <w:bottom w:val="single" w:color="auto" w:sz="4" w:space="0"/>
            </w:tcBorders>
            <w:vAlign w:val="center"/>
          </w:tcPr>
          <w:p w14:paraId="5640ED28">
            <w:pPr>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9" w:type="pct"/>
            <w:vAlign w:val="center"/>
          </w:tcPr>
          <w:p w14:paraId="43796F3A">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7194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40C27260">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2" w:type="pct"/>
            <w:tcBorders>
              <w:bottom w:val="single" w:color="auto" w:sz="4" w:space="0"/>
            </w:tcBorders>
            <w:vAlign w:val="center"/>
          </w:tcPr>
          <w:p w14:paraId="2ED958B7">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0" w:type="pct"/>
            <w:tcBorders>
              <w:bottom w:val="single" w:color="auto" w:sz="4" w:space="0"/>
            </w:tcBorders>
            <w:vAlign w:val="center"/>
          </w:tcPr>
          <w:p w14:paraId="2F20FCA0">
            <w:pPr>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9" w:type="pct"/>
            <w:tcBorders>
              <w:bottom w:val="single" w:color="auto" w:sz="4" w:space="0"/>
            </w:tcBorders>
            <w:vAlign w:val="center"/>
          </w:tcPr>
          <w:p w14:paraId="1CB6A0AA">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color w:val="auto"/>
                <w:sz w:val="24"/>
                <w:szCs w:val="24"/>
                <w:highlight w:val="none"/>
              </w:rPr>
              <w:t>无须投标人</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供，由采购人或采购代理机构查询。</w:t>
            </w:r>
          </w:p>
        </w:tc>
      </w:tr>
      <w:tr w14:paraId="4E92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2E0E7D1A">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42" w:type="pct"/>
            <w:tcBorders>
              <w:bottom w:val="single" w:color="auto" w:sz="4" w:space="0"/>
            </w:tcBorders>
            <w:vAlign w:val="center"/>
          </w:tcPr>
          <w:p w14:paraId="3B60A59A">
            <w:pPr>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600" w:type="pct"/>
            <w:tcBorders>
              <w:bottom w:val="single" w:color="auto" w:sz="4" w:space="0"/>
            </w:tcBorders>
            <w:vAlign w:val="center"/>
          </w:tcPr>
          <w:p w14:paraId="5E83FE58">
            <w:pPr>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9" w:type="pct"/>
            <w:tcBorders>
              <w:bottom w:val="single" w:color="auto" w:sz="4" w:space="0"/>
            </w:tcBorders>
            <w:vAlign w:val="center"/>
          </w:tcPr>
          <w:p w14:paraId="30CBAC67">
            <w:pPr>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0391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777BB7DB">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42" w:type="pct"/>
            <w:vAlign w:val="center"/>
          </w:tcPr>
          <w:p w14:paraId="401DC1DB">
            <w:pPr>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600" w:type="pct"/>
            <w:vAlign w:val="center"/>
          </w:tcPr>
          <w:p w14:paraId="7EFA40F8">
            <w:pPr>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9" w:type="pct"/>
            <w:vAlign w:val="center"/>
          </w:tcPr>
          <w:p w14:paraId="57EC13ED">
            <w:pPr>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67A7682B">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4375DC43">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5B20E8E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117"/>
        <w:gridCol w:w="3128"/>
        <w:gridCol w:w="2511"/>
      </w:tblGrid>
      <w:tr w14:paraId="43AA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34E6DD5">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CE0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5730EEF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42" w:type="pct"/>
            <w:tcBorders>
              <w:bottom w:val="single" w:color="auto" w:sz="4" w:space="0"/>
            </w:tcBorders>
            <w:vAlign w:val="center"/>
          </w:tcPr>
          <w:p w14:paraId="011F6C20">
            <w:pPr>
              <w:pStyle w:val="48"/>
              <w:pBdr>
                <w:bottom w:val="none" w:color="auto" w:sz="0" w:space="0"/>
              </w:pBdr>
              <w:tabs>
                <w:tab w:val="clear" w:pos="4153"/>
                <w:tab w:val="clear" w:pos="8306"/>
              </w:tabs>
              <w:snapToGrid w:val="0"/>
              <w:spacing w:line="360" w:lineRule="auto"/>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51F7ED0C">
            <w:pPr>
              <w:adjustRightInd w:val="0"/>
              <w:snapToGrid w:val="0"/>
              <w:spacing w:line="360" w:lineRule="auto"/>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0386E0B2">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C70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1BE7DA3">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2" w:type="pct"/>
            <w:vAlign w:val="center"/>
          </w:tcPr>
          <w:p w14:paraId="363F68B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00FD0AC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1A000309">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48F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AB4924D">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2" w:type="pct"/>
            <w:vAlign w:val="center"/>
          </w:tcPr>
          <w:p w14:paraId="3429186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30819BB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381FBB7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97B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D929D07">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2" w:type="pct"/>
            <w:vAlign w:val="center"/>
          </w:tcPr>
          <w:p w14:paraId="4103C87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0E5A48CD">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25CAAC6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5E03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72D8976">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2" w:type="pct"/>
            <w:vAlign w:val="center"/>
          </w:tcPr>
          <w:p w14:paraId="30E7322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72D8DB5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2" w:type="pct"/>
            <w:vAlign w:val="center"/>
          </w:tcPr>
          <w:p w14:paraId="258C104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6DDE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017C72D">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42" w:type="pct"/>
            <w:vAlign w:val="center"/>
          </w:tcPr>
          <w:p w14:paraId="07CA8C8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30" w:type="dxa"/>
            <w:vAlign w:val="center"/>
          </w:tcPr>
          <w:p w14:paraId="671EB5A8">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13C2A74C">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049B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B298DC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42" w:type="pct"/>
            <w:vAlign w:val="center"/>
          </w:tcPr>
          <w:p w14:paraId="15DDE533">
            <w:pPr>
              <w:spacing w:line="360" w:lineRule="auto"/>
              <w:ind w:firstLine="240" w:firstLineChars="100"/>
              <w:outlineLvl w:val="2"/>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技术</w:t>
            </w:r>
            <w:r>
              <w:rPr>
                <w:rFonts w:hint="eastAsia" w:asciiTheme="minorEastAsia" w:hAnsiTheme="minorEastAsia" w:eastAsiaTheme="minorEastAsia"/>
                <w:color w:val="auto"/>
                <w:sz w:val="24"/>
                <w:szCs w:val="28"/>
                <w:highlight w:val="none"/>
              </w:rPr>
              <w:t>响应情况</w:t>
            </w:r>
          </w:p>
        </w:tc>
        <w:tc>
          <w:tcPr>
            <w:tcW w:w="3430" w:type="dxa"/>
            <w:vAlign w:val="center"/>
          </w:tcPr>
          <w:p w14:paraId="2CD1B7D3">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3EDD27BD">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E80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08D8A5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7</w:t>
            </w:r>
          </w:p>
        </w:tc>
        <w:tc>
          <w:tcPr>
            <w:tcW w:w="1242" w:type="pct"/>
            <w:vAlign w:val="center"/>
          </w:tcPr>
          <w:p w14:paraId="3699990A">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30" w:type="dxa"/>
            <w:vAlign w:val="center"/>
          </w:tcPr>
          <w:p w14:paraId="1704C7F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72" w:type="pct"/>
            <w:vAlign w:val="center"/>
          </w:tcPr>
          <w:p w14:paraId="122D8DE7">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08572C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047361C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0ED7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4FA9B361">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3117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10113691">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5E6F5595">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C527501">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2D626584">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556F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5570BB8">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708F457C">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0E2AE2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3A7DD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79BBD0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71DED1DE">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6BFB85DE">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79804EBD">
            <w:pPr>
              <w:keepNext w:val="0"/>
              <w:keepLines w:val="0"/>
              <w:widowControl/>
              <w:suppressLineNumbers w:val="0"/>
              <w:jc w:val="left"/>
              <w:rPr>
                <w:rFonts w:hint="default" w:ascii="宋体" w:hAnsi="宋体" w:eastAsia="宋体" w:cs="宋体"/>
                <w:color w:val="auto"/>
                <w:sz w:val="24"/>
                <w:highlight w:val="none"/>
                <w:lang w:val="en-US" w:eastAsia="zh-CN"/>
              </w:rPr>
            </w:pPr>
            <w:r>
              <w:rPr>
                <w:rFonts w:hint="eastAsia" w:ascii="宋体" w:hAnsi="宋体" w:eastAsia="宋体" w:cs="宋体"/>
                <w:color w:val="auto"/>
                <w:kern w:val="2"/>
                <w:sz w:val="24"/>
                <w:highlight w:val="none"/>
                <w:lang w:val="en-US" w:eastAsia="zh-CN" w:bidi="ar-SA"/>
              </w:rPr>
              <w:t>上述第（1）项数值计算：涉及总价、单价的精确到“分”并四舍五入，涉及费率的精确到小数点后两位，第三位四舍五入（例：如平均值为 123.456 元，即为 123.46 元；如平均值为 80.126%，即为 80.13%）。</w:t>
            </w:r>
          </w:p>
        </w:tc>
        <w:tc>
          <w:tcPr>
            <w:tcW w:w="2260" w:type="dxa"/>
            <w:vAlign w:val="center"/>
          </w:tcPr>
          <w:p w14:paraId="6EC10D25">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1FA686D4">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025064F4">
      <w:pPr>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098DC45C">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6E776350">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37619C1C">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47070B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E16D975">
      <w:pPr>
        <w:spacing w:line="440" w:lineRule="exact"/>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第1包：</w:t>
      </w:r>
    </w:p>
    <w:p w14:paraId="0B84C615">
      <w:pPr>
        <w:spacing w:line="440" w:lineRule="exact"/>
        <w:ind w:firstLine="435"/>
        <w:rPr>
          <w:rFonts w:hint="eastAsia" w:ascii="宋体" w:hAnsi="宋体" w:eastAsia="宋体" w:cs="宋体"/>
          <w:color w:val="000000"/>
          <w:spacing w:val="0"/>
          <w:kern w:val="0"/>
          <w:position w:val="0"/>
          <w:sz w:val="24"/>
          <w:szCs w:val="24"/>
          <w:highlight w:val="none"/>
          <w:lang w:val="en-US" w:eastAsia="zh-CN" w:bidi="ar"/>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val="en-US" w:eastAsia="zh-CN"/>
        </w:rPr>
        <w:t>包</w:t>
      </w:r>
      <w:r>
        <w:rPr>
          <w:rFonts w:hint="eastAsia" w:asciiTheme="minorEastAsia" w:hAnsiTheme="minorEastAsia" w:eastAsiaTheme="minorEastAsia"/>
          <w:color w:val="auto"/>
          <w:sz w:val="24"/>
          <w:highlight w:val="none"/>
        </w:rPr>
        <w:t>综合评分满分为100分，其</w:t>
      </w:r>
      <w:r>
        <w:rPr>
          <w:rFonts w:hint="eastAsia" w:asciiTheme="minorEastAsia" w:hAnsiTheme="minorEastAsia" w:eastAsiaTheme="minorEastAsia"/>
          <w:color w:val="auto"/>
          <w:sz w:val="24"/>
          <w:highlight w:val="none"/>
          <w:lang w:val="en-US" w:eastAsia="zh-CN"/>
        </w:rPr>
        <w:t>中：资信分值占总分值的权重为44%，技术分值占总分值的权重为46%，价格分值占总分值的权重为10%。具体评分细</w:t>
      </w:r>
      <w:r>
        <w:rPr>
          <w:rFonts w:hint="eastAsia" w:ascii="宋体" w:hAnsi="宋体" w:eastAsia="宋体" w:cs="宋体"/>
          <w:color w:val="000000"/>
          <w:spacing w:val="0"/>
          <w:kern w:val="0"/>
          <w:position w:val="0"/>
          <w:sz w:val="24"/>
          <w:szCs w:val="24"/>
          <w:highlight w:val="none"/>
          <w:lang w:val="en-US" w:eastAsia="zh-CN" w:bidi="ar"/>
        </w:rPr>
        <w:t>则如下：</w:t>
      </w:r>
    </w:p>
    <w:tbl>
      <w:tblPr>
        <w:tblStyle w:val="28"/>
        <w:tblW w:w="57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843"/>
        <w:gridCol w:w="5460"/>
        <w:gridCol w:w="1398"/>
      </w:tblGrid>
      <w:tr w14:paraId="1C5B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6" w:type="dxa"/>
            <w:tcBorders>
              <w:top w:val="single" w:color="auto" w:sz="4" w:space="0"/>
              <w:left w:val="single" w:color="auto" w:sz="4" w:space="0"/>
              <w:bottom w:val="single" w:color="auto" w:sz="4" w:space="0"/>
              <w:right w:val="single" w:color="auto" w:sz="4" w:space="0"/>
            </w:tcBorders>
            <w:vAlign w:val="center"/>
          </w:tcPr>
          <w:p w14:paraId="51E72C7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类别</w:t>
            </w:r>
          </w:p>
        </w:tc>
        <w:tc>
          <w:tcPr>
            <w:tcW w:w="1843" w:type="dxa"/>
            <w:tcBorders>
              <w:top w:val="single" w:color="auto" w:sz="4" w:space="0"/>
              <w:left w:val="single" w:color="auto" w:sz="4" w:space="0"/>
              <w:bottom w:val="single" w:color="auto" w:sz="4" w:space="0"/>
              <w:right w:val="single" w:color="auto" w:sz="4" w:space="0"/>
            </w:tcBorders>
            <w:vAlign w:val="center"/>
          </w:tcPr>
          <w:p w14:paraId="36576DD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评分内容</w:t>
            </w:r>
          </w:p>
        </w:tc>
        <w:tc>
          <w:tcPr>
            <w:tcW w:w="5460" w:type="dxa"/>
            <w:tcBorders>
              <w:top w:val="single" w:color="auto" w:sz="4" w:space="0"/>
              <w:left w:val="single" w:color="auto" w:sz="4" w:space="0"/>
              <w:bottom w:val="single" w:color="auto" w:sz="4" w:space="0"/>
              <w:right w:val="single" w:color="auto" w:sz="4" w:space="0"/>
            </w:tcBorders>
            <w:vAlign w:val="center"/>
          </w:tcPr>
          <w:p w14:paraId="322578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评分标准</w:t>
            </w:r>
          </w:p>
        </w:tc>
        <w:tc>
          <w:tcPr>
            <w:tcW w:w="1398" w:type="dxa"/>
            <w:tcBorders>
              <w:top w:val="single" w:color="auto" w:sz="4" w:space="0"/>
              <w:left w:val="single" w:color="auto" w:sz="4" w:space="0"/>
              <w:bottom w:val="single" w:color="auto" w:sz="4" w:space="0"/>
              <w:right w:val="single" w:color="auto" w:sz="4" w:space="0"/>
            </w:tcBorders>
            <w:vAlign w:val="center"/>
          </w:tcPr>
          <w:p w14:paraId="01E3172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分值范围</w:t>
            </w:r>
          </w:p>
        </w:tc>
      </w:tr>
      <w:tr w14:paraId="447D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restart"/>
            <w:tcBorders>
              <w:left w:val="single" w:color="auto" w:sz="4" w:space="0"/>
              <w:right w:val="single" w:color="auto" w:sz="4" w:space="0"/>
            </w:tcBorders>
            <w:vAlign w:val="center"/>
          </w:tcPr>
          <w:p w14:paraId="1037506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资信</w:t>
            </w:r>
            <w:r>
              <w:rPr>
                <w:rFonts w:hint="eastAsia" w:ascii="宋体" w:hAnsi="宋体" w:eastAsia="宋体" w:cs="宋体"/>
                <w:b w:val="0"/>
                <w:bCs w:val="0"/>
                <w:color w:val="auto"/>
                <w:sz w:val="24"/>
                <w:szCs w:val="24"/>
                <w:highlight w:val="none"/>
              </w:rPr>
              <w:t>分</w:t>
            </w:r>
          </w:p>
          <w:p w14:paraId="3CC1E0C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44</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AD7E828">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1.投标人</w:t>
            </w:r>
            <w:r>
              <w:rPr>
                <w:rFonts w:hint="eastAsia" w:ascii="宋体" w:hAnsi="宋体" w:eastAsia="宋体" w:cs="宋体"/>
                <w:b w:val="0"/>
                <w:bCs w:val="0"/>
                <w:color w:val="auto"/>
                <w:sz w:val="24"/>
                <w:szCs w:val="24"/>
                <w:highlight w:val="none"/>
              </w:rPr>
              <w:t>业绩</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449A732F">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自20</w:t>
            </w:r>
            <w:r>
              <w:rPr>
                <w:rFonts w:hint="eastAsia" w:ascii="宋体" w:hAnsi="宋体" w:eastAsia="宋体" w:cs="宋体"/>
                <w:color w:val="auto"/>
                <w:sz w:val="24"/>
                <w:szCs w:val="24"/>
                <w:highlight w:val="none"/>
                <w:lang w:val="en-US" w:eastAsia="zh-CN" w:bidi="ar"/>
              </w:rPr>
              <w:t>23</w:t>
            </w:r>
            <w:r>
              <w:rPr>
                <w:rFonts w:hint="eastAsia" w:ascii="宋体" w:hAnsi="宋体" w:eastAsia="宋体" w:cs="宋体"/>
                <w:color w:val="auto"/>
                <w:sz w:val="24"/>
                <w:szCs w:val="24"/>
                <w:highlight w:val="none"/>
                <w:lang w:val="zh-CN" w:eastAsia="zh-CN" w:bidi="ar"/>
              </w:rPr>
              <w:t>年</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月</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日</w:t>
            </w:r>
            <w:r>
              <w:rPr>
                <w:rFonts w:hint="eastAsia" w:ascii="宋体" w:hAnsi="宋体" w:eastAsia="宋体" w:cs="宋体"/>
                <w:color w:val="auto"/>
                <w:sz w:val="24"/>
                <w:szCs w:val="24"/>
                <w:highlight w:val="none"/>
                <w:lang w:val="en-US" w:eastAsia="zh-CN" w:bidi="ar"/>
              </w:rPr>
              <w:t>至投标截止日</w:t>
            </w: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投标人具有信息建设或开发（需包含系统迁移或数据迁移内容）业绩，每</w:t>
            </w:r>
            <w:r>
              <w:rPr>
                <w:rFonts w:hint="eastAsia" w:ascii="宋体" w:hAnsi="宋体" w:eastAsia="宋体" w:cs="宋体"/>
                <w:color w:val="auto"/>
                <w:sz w:val="24"/>
                <w:szCs w:val="24"/>
                <w:highlight w:val="none"/>
                <w:lang w:val="zh-CN" w:eastAsia="zh-CN" w:bidi="ar"/>
              </w:rPr>
              <w:t>提供一个得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r>
              <w:rPr>
                <w:rFonts w:hint="eastAsia" w:ascii="宋体" w:hAnsi="宋体" w:eastAsia="宋体" w:cs="宋体"/>
                <w:color w:val="auto"/>
                <w:sz w:val="24"/>
                <w:szCs w:val="24"/>
                <w:highlight w:val="none"/>
                <w:lang w:val="en-US" w:eastAsia="zh-CN" w:bidi="ar"/>
              </w:rPr>
              <w:t>，</w:t>
            </w:r>
            <w:r>
              <w:rPr>
                <w:rFonts w:hint="eastAsia" w:ascii="宋体" w:hAnsi="宋体" w:eastAsia="宋体" w:cs="宋体"/>
                <w:color w:val="auto"/>
                <w:sz w:val="24"/>
                <w:szCs w:val="24"/>
                <w:highlight w:val="none"/>
                <w:lang w:val="zh-CN" w:eastAsia="zh-CN" w:bidi="ar"/>
              </w:rPr>
              <w:t>其他的不得分，最高得</w:t>
            </w: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val="zh-CN" w:eastAsia="zh-CN" w:bidi="ar"/>
              </w:rPr>
              <w:t>分。</w:t>
            </w:r>
          </w:p>
          <w:p w14:paraId="0619830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注：①投标文件中提供业绩合同扫描件，时间以合同签订时间为准；若合同材料中无法体现签订时间、</w:t>
            </w:r>
            <w:r>
              <w:rPr>
                <w:rFonts w:hint="eastAsia" w:ascii="宋体" w:hAnsi="宋体" w:eastAsia="宋体" w:cs="宋体"/>
                <w:color w:val="auto"/>
                <w:sz w:val="24"/>
                <w:szCs w:val="24"/>
                <w:highlight w:val="none"/>
                <w:lang w:val="en-US" w:eastAsia="zh-CN" w:bidi="ar"/>
              </w:rPr>
              <w:t>业绩</w:t>
            </w:r>
            <w:r>
              <w:rPr>
                <w:rFonts w:hint="eastAsia" w:ascii="宋体" w:hAnsi="宋体" w:eastAsia="宋体" w:cs="宋体"/>
                <w:color w:val="auto"/>
                <w:sz w:val="24"/>
                <w:szCs w:val="24"/>
                <w:highlight w:val="none"/>
                <w:lang w:val="zh-CN" w:eastAsia="zh-CN" w:bidi="ar"/>
              </w:rPr>
              <w:t>内容等关键评审因素的，须另</w:t>
            </w:r>
            <w:r>
              <w:rPr>
                <w:rFonts w:hint="eastAsia" w:ascii="宋体" w:hAnsi="宋体" w:eastAsia="宋体" w:cs="宋体"/>
                <w:color w:val="auto"/>
                <w:sz w:val="24"/>
                <w:szCs w:val="24"/>
                <w:highlight w:val="none"/>
                <w:lang w:val="en-US" w:eastAsia="zh-CN" w:bidi="ar"/>
              </w:rPr>
              <w:t>外提供</w:t>
            </w:r>
            <w:r>
              <w:rPr>
                <w:rFonts w:hint="eastAsia" w:ascii="宋体" w:hAnsi="宋体" w:eastAsia="宋体" w:cs="宋体"/>
                <w:color w:val="auto"/>
                <w:sz w:val="24"/>
                <w:szCs w:val="24"/>
                <w:highlight w:val="none"/>
                <w:lang w:val="zh-CN" w:eastAsia="zh-CN" w:bidi="ar"/>
              </w:rPr>
              <w:t>业主（合同甲方）出具的</w:t>
            </w:r>
            <w:r>
              <w:rPr>
                <w:rFonts w:hint="eastAsia" w:ascii="宋体" w:hAnsi="宋体" w:eastAsia="宋体" w:cs="宋体"/>
                <w:color w:val="auto"/>
                <w:sz w:val="24"/>
                <w:szCs w:val="24"/>
                <w:highlight w:val="none"/>
                <w:lang w:val="en-US" w:eastAsia="zh-CN" w:bidi="ar"/>
              </w:rPr>
              <w:t>盖章证明材料扫描件</w:t>
            </w:r>
            <w:r>
              <w:rPr>
                <w:rFonts w:hint="eastAsia" w:ascii="宋体" w:hAnsi="宋体" w:eastAsia="宋体" w:cs="宋体"/>
                <w:color w:val="auto"/>
                <w:sz w:val="24"/>
                <w:szCs w:val="24"/>
                <w:highlight w:val="none"/>
                <w:lang w:val="zh-CN" w:eastAsia="zh-CN" w:bidi="ar"/>
              </w:rPr>
              <w:t>。</w:t>
            </w:r>
          </w:p>
          <w:p w14:paraId="4D1D9B0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②</w:t>
            </w:r>
            <w:r>
              <w:rPr>
                <w:rFonts w:hint="eastAsia" w:ascii="宋体" w:hAnsi="宋体" w:eastAsia="宋体" w:cs="宋体"/>
                <w:color w:val="auto"/>
                <w:sz w:val="24"/>
                <w:szCs w:val="24"/>
                <w:highlight w:val="none"/>
                <w:lang w:val="en-US" w:eastAsia="zh-CN" w:bidi="ar"/>
              </w:rPr>
              <w:t>分年度签订的</w:t>
            </w:r>
            <w:r>
              <w:rPr>
                <w:rFonts w:hint="eastAsia" w:ascii="宋体" w:hAnsi="宋体" w:eastAsia="宋体" w:cs="宋体"/>
                <w:color w:val="auto"/>
                <w:sz w:val="24"/>
                <w:szCs w:val="24"/>
                <w:highlight w:val="none"/>
                <w:lang w:val="zh-CN" w:eastAsia="zh-CN" w:bidi="ar"/>
              </w:rPr>
              <w:t>同一</w:t>
            </w:r>
            <w:r>
              <w:rPr>
                <w:rFonts w:hint="eastAsia" w:ascii="宋体" w:hAnsi="宋体" w:eastAsia="宋体" w:cs="宋体"/>
                <w:color w:val="auto"/>
                <w:sz w:val="24"/>
                <w:szCs w:val="24"/>
                <w:highlight w:val="none"/>
                <w:lang w:val="en-US" w:eastAsia="zh-CN" w:bidi="ar"/>
              </w:rPr>
              <w:t>项目业绩</w:t>
            </w:r>
            <w:r>
              <w:rPr>
                <w:rFonts w:hint="eastAsia" w:ascii="宋体" w:hAnsi="宋体" w:eastAsia="宋体" w:cs="宋体"/>
                <w:color w:val="auto"/>
                <w:sz w:val="24"/>
                <w:szCs w:val="24"/>
                <w:highlight w:val="none"/>
                <w:lang w:val="zh-CN" w:eastAsia="zh-CN" w:bidi="ar"/>
              </w:rPr>
              <w:t>不重复计分。</w:t>
            </w:r>
          </w:p>
          <w:p w14:paraId="38EC2C9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③投标人</w:t>
            </w:r>
            <w:r>
              <w:rPr>
                <w:rFonts w:hint="eastAsia" w:ascii="宋体" w:hAnsi="宋体" w:eastAsia="宋体" w:cs="宋体"/>
                <w:color w:val="auto"/>
                <w:sz w:val="24"/>
                <w:szCs w:val="24"/>
                <w:highlight w:val="none"/>
                <w:lang w:val="zh-CN" w:eastAsia="zh-CN" w:bidi="ar"/>
              </w:rPr>
              <w:t>只需提供2个评审业绩，若</w:t>
            </w:r>
            <w:r>
              <w:rPr>
                <w:rFonts w:hint="eastAsia" w:ascii="宋体" w:hAnsi="宋体" w:eastAsia="宋体" w:cs="宋体"/>
                <w:color w:val="auto"/>
                <w:sz w:val="24"/>
                <w:szCs w:val="24"/>
                <w:highlight w:val="none"/>
                <w:lang w:val="en-US" w:eastAsia="zh-CN" w:bidi="ar"/>
              </w:rPr>
              <w:t>投标人</w:t>
            </w:r>
            <w:r>
              <w:rPr>
                <w:rFonts w:hint="eastAsia" w:ascii="宋体" w:hAnsi="宋体" w:eastAsia="宋体" w:cs="宋体"/>
                <w:color w:val="auto"/>
                <w:sz w:val="24"/>
                <w:szCs w:val="24"/>
                <w:highlight w:val="none"/>
                <w:lang w:val="zh-CN" w:eastAsia="zh-CN" w:bidi="ar"/>
              </w:rPr>
              <w:t>提供业绩个数超过2个，则按照排列顺序从首个业绩开始评审至对应数量（2个），超出部分业绩不进行评审。对应数量（2个）业绩不符合</w:t>
            </w:r>
            <w:r>
              <w:rPr>
                <w:rFonts w:hint="eastAsia" w:ascii="宋体" w:hAnsi="宋体" w:eastAsia="宋体" w:cs="宋体"/>
                <w:color w:val="auto"/>
                <w:sz w:val="24"/>
                <w:szCs w:val="24"/>
                <w:highlight w:val="none"/>
                <w:lang w:val="en-US" w:eastAsia="zh-CN" w:bidi="ar"/>
              </w:rPr>
              <w:t>招标</w:t>
            </w:r>
            <w:r>
              <w:rPr>
                <w:rFonts w:hint="eastAsia" w:ascii="宋体" w:hAnsi="宋体" w:eastAsia="宋体" w:cs="宋体"/>
                <w:color w:val="auto"/>
                <w:sz w:val="24"/>
                <w:szCs w:val="24"/>
                <w:highlight w:val="none"/>
                <w:lang w:val="zh-CN" w:eastAsia="zh-CN" w:bidi="ar"/>
              </w:rPr>
              <w:t>文件要求不得分的，不再补充评审超出部分业绩。如：提供2个业绩即得满分的，按照响应文件排序评审第一、第二项业绩，其余超出部分不再评审。</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A70517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w:t>
            </w:r>
          </w:p>
        </w:tc>
      </w:tr>
      <w:tr w14:paraId="422A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00A6B9C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4C4B0F3">
            <w:pPr>
              <w:keepNext w:val="0"/>
              <w:keepLines w:val="0"/>
              <w:widowControl/>
              <w:suppressLineNumbers w:val="0"/>
              <w:jc w:val="center"/>
              <w:rPr>
                <w:rFonts w:hint="eastAsia"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2.投标人履约能力</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1D99E3C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投标人具有</w:t>
            </w:r>
            <w:r>
              <w:rPr>
                <w:rFonts w:hint="eastAsia" w:ascii="宋体" w:hAnsi="宋体" w:eastAsia="宋体" w:cs="宋体"/>
                <w:color w:val="auto"/>
                <w:sz w:val="24"/>
                <w:szCs w:val="24"/>
                <w:highlight w:val="none"/>
                <w:lang w:val="en-US" w:eastAsia="zh-CN" w:bidi="ar"/>
              </w:rPr>
              <w:t>物业管理类，信息安全类，数据库迁移类，资金监管类，预警分析类</w:t>
            </w:r>
            <w:r>
              <w:rPr>
                <w:rFonts w:hint="eastAsia" w:ascii="宋体" w:hAnsi="宋体" w:eastAsia="宋体" w:cs="宋体"/>
                <w:color w:val="auto"/>
                <w:sz w:val="24"/>
                <w:szCs w:val="24"/>
                <w:highlight w:val="none"/>
                <w:lang w:val="zh-CN" w:eastAsia="zh-CN" w:bidi="ar"/>
              </w:rPr>
              <w:t>计算机软件著作权登记证书，每提供一类得2分，其他的不得分，最高得</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val="zh-CN" w:eastAsia="zh-CN" w:bidi="ar"/>
              </w:rPr>
              <w:t>分。</w:t>
            </w:r>
          </w:p>
          <w:p w14:paraId="4245EFC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注：</w:t>
            </w:r>
            <w:r>
              <w:rPr>
                <w:rFonts w:hint="eastAsia" w:ascii="宋体" w:hAnsi="宋体" w:eastAsia="宋体" w:cs="宋体"/>
                <w:color w:val="auto"/>
                <w:sz w:val="24"/>
                <w:szCs w:val="24"/>
                <w:highlight w:val="none"/>
                <w:lang w:val="zh-CN" w:eastAsia="zh-CN" w:bidi="ar"/>
              </w:rPr>
              <w:t>①</w:t>
            </w:r>
            <w:r>
              <w:rPr>
                <w:rFonts w:hint="eastAsia" w:ascii="宋体" w:hAnsi="宋体" w:eastAsia="宋体" w:cs="宋体"/>
                <w:color w:val="auto"/>
                <w:sz w:val="24"/>
                <w:szCs w:val="24"/>
                <w:highlight w:val="none"/>
                <w:lang w:val="en-US" w:eastAsia="zh-CN" w:bidi="ar"/>
              </w:rPr>
              <w:t>投标文件中提供计算机软件著作权登记证书扫描件。</w:t>
            </w:r>
          </w:p>
          <w:p w14:paraId="3ED1615D">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②</w:t>
            </w:r>
            <w:r>
              <w:rPr>
                <w:rFonts w:hint="eastAsia" w:ascii="宋体" w:hAnsi="宋体" w:eastAsia="宋体" w:cs="宋体"/>
                <w:color w:val="auto"/>
                <w:sz w:val="24"/>
                <w:szCs w:val="24"/>
                <w:highlight w:val="none"/>
                <w:lang w:val="en-US" w:eastAsia="zh-CN" w:bidi="ar"/>
              </w:rPr>
              <w:t xml:space="preserve">同一类计算机软件著作权登记证书只计分一次。 </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3D58E61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分</w:t>
            </w:r>
          </w:p>
        </w:tc>
      </w:tr>
      <w:tr w14:paraId="33E7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086" w:type="dxa"/>
            <w:vMerge w:val="continue"/>
            <w:tcBorders>
              <w:left w:val="single" w:color="auto" w:sz="4" w:space="0"/>
              <w:right w:val="single" w:color="auto" w:sz="4" w:space="0"/>
            </w:tcBorders>
            <w:vAlign w:val="center"/>
          </w:tcPr>
          <w:p w14:paraId="3835AE1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94EB9B9">
            <w:pPr>
              <w:keepNext w:val="0"/>
              <w:keepLines w:val="0"/>
              <w:widowControl/>
              <w:suppressLineNumbers w:val="0"/>
              <w:jc w:val="center"/>
              <w:rPr>
                <w:rFonts w:hint="eastAsia"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color w:val="000000"/>
                <w:spacing w:val="0"/>
                <w:kern w:val="0"/>
                <w:position w:val="0"/>
                <w:sz w:val="24"/>
                <w:szCs w:val="24"/>
                <w:highlight w:val="none"/>
                <w:lang w:val="en-US" w:eastAsia="zh-CN" w:bidi="ar"/>
              </w:rPr>
              <w:t xml:space="preserve">3.拟配项目负责人和技术负责人 </w:t>
            </w:r>
          </w:p>
        </w:tc>
        <w:tc>
          <w:tcPr>
            <w:tcW w:w="5460" w:type="dxa"/>
            <w:tcBorders>
              <w:top w:val="single" w:color="auto" w:sz="4" w:space="0"/>
              <w:left w:val="single" w:color="auto" w:sz="4" w:space="0"/>
              <w:bottom w:val="single" w:color="auto" w:sz="4" w:space="0"/>
              <w:right w:val="single" w:color="auto" w:sz="4" w:space="0"/>
            </w:tcBorders>
            <w:vAlign w:val="center"/>
          </w:tcPr>
          <w:p w14:paraId="4D2F5AD8">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1.拟配备项目负责人（1人）具有计算机技术与软件专业技术资格（水平）考试的下列证书：</w:t>
            </w:r>
          </w:p>
          <w:p w14:paraId="291457CD">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（1）信息系统项目管理师证书，得2分，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4B6518E5">
            <w:pPr>
              <w:keepNext w:val="0"/>
              <w:keepLines w:val="0"/>
              <w:pageBreakBefore w:val="0"/>
              <w:kinsoku/>
              <w:wordWrap/>
              <w:overflowPunct/>
              <w:topLinePunct w:val="0"/>
              <w:autoSpaceDE/>
              <w:autoSpaceDN/>
              <w:bidi w:val="0"/>
              <w:spacing w:line="400" w:lineRule="exact"/>
              <w:jc w:val="both"/>
              <w:textAlignment w:val="auto"/>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（2）系统规划与管理师证书或系统分析师证书，得2 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7A4C2DEB">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2.拟配备技术负责人（1人）具有计算机技术与软件专业技术资格（水平）考试的下列证书：</w:t>
            </w:r>
          </w:p>
          <w:p w14:paraId="0D0A8D6C">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（1）信息系统项目管理师证书，得2分，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415084E0">
            <w:pPr>
              <w:keepNext w:val="0"/>
              <w:keepLines w:val="0"/>
              <w:pageBreakBefore w:val="0"/>
              <w:kinsoku/>
              <w:wordWrap/>
              <w:overflowPunct/>
              <w:topLinePunct w:val="0"/>
              <w:autoSpaceDE/>
              <w:autoSpaceDN/>
              <w:bidi w:val="0"/>
              <w:spacing w:line="400" w:lineRule="exact"/>
              <w:jc w:val="both"/>
              <w:textAlignment w:val="auto"/>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（2）系统规划与管理师证书或系统分析师证书，得2 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5746709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rPr>
              <w:t>注：①投标文件中须同时提供人员身份证、相应证书扫描件和社保部门出具的本单位为其缴纳的投标前近三个月内任意一月的养老保险证明或供应商提供承诺已为上述人员缴纳养老保险证明的承诺书（格式自拟）。</w:t>
            </w:r>
          </w:p>
          <w:p w14:paraId="6BBEF23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000000"/>
                <w:spacing w:val="0"/>
                <w:kern w:val="0"/>
                <w:position w:val="0"/>
                <w:sz w:val="24"/>
                <w:szCs w:val="24"/>
                <w:highlight w:val="none"/>
                <w:lang w:val="en-US" w:eastAsia="zh-CN" w:bidi="ar"/>
              </w:rPr>
              <w:t>拟配项目负责人和技术负责人不可为同一人。</w:t>
            </w:r>
          </w:p>
        </w:tc>
        <w:tc>
          <w:tcPr>
            <w:tcW w:w="1398" w:type="dxa"/>
            <w:tcBorders>
              <w:top w:val="single" w:color="auto" w:sz="4" w:space="0"/>
              <w:left w:val="single" w:color="auto" w:sz="4" w:space="0"/>
              <w:bottom w:val="single" w:color="auto" w:sz="4" w:space="0"/>
              <w:right w:val="single" w:color="auto" w:sz="4" w:space="0"/>
            </w:tcBorders>
            <w:vAlign w:val="center"/>
          </w:tcPr>
          <w:p w14:paraId="7E1509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0-8分</w:t>
            </w:r>
          </w:p>
        </w:tc>
      </w:tr>
      <w:tr w14:paraId="4CA6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1086" w:type="dxa"/>
            <w:vMerge w:val="continue"/>
            <w:tcBorders>
              <w:left w:val="single" w:color="auto" w:sz="4" w:space="0"/>
              <w:right w:val="single" w:color="auto" w:sz="4" w:space="0"/>
            </w:tcBorders>
            <w:vAlign w:val="center"/>
          </w:tcPr>
          <w:p w14:paraId="7343539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62A767C3">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4.项目</w:t>
            </w:r>
            <w:r>
              <w:rPr>
                <w:rFonts w:hint="eastAsia" w:ascii="宋体" w:hAnsi="宋体" w:eastAsia="宋体" w:cs="宋体"/>
                <w:color w:val="000000"/>
                <w:spacing w:val="0"/>
                <w:kern w:val="0"/>
                <w:position w:val="0"/>
                <w:sz w:val="24"/>
                <w:szCs w:val="24"/>
                <w:highlight w:val="none"/>
                <w:lang w:val="en-US" w:eastAsia="zh-CN" w:bidi="ar"/>
              </w:rPr>
              <w:t>团队人员能力</w:t>
            </w:r>
          </w:p>
        </w:tc>
        <w:tc>
          <w:tcPr>
            <w:tcW w:w="5460" w:type="dxa"/>
            <w:tcBorders>
              <w:top w:val="single" w:color="auto" w:sz="4" w:space="0"/>
              <w:left w:val="single" w:color="auto" w:sz="4" w:space="0"/>
              <w:bottom w:val="single" w:color="auto" w:sz="4" w:space="0"/>
              <w:right w:val="single" w:color="auto" w:sz="4" w:space="0"/>
            </w:tcBorders>
            <w:vAlign w:val="center"/>
          </w:tcPr>
          <w:p w14:paraId="187D0BD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拟配备项目团队成员中（除项目负责人和技术负责人以外）具有：</w:t>
            </w:r>
          </w:p>
          <w:p w14:paraId="75A121F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（1）计算机技术与软件专业技术资格（水平）的信息系统项目管理师证书的，得2分，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2B121956">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（2）计算机技术与软件专业技术资格（水平）的系统架构设计师证书的，得2分，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7A33F07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（3）计算机技术与软件专业技术资格（水平）的数据库系统工程师证书的，得2分，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2825E9BF">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（4）计算机技术与软件专业技术资格（水平）的软件设计师证书（或系统分析师证书）的，得2分，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p>
          <w:p w14:paraId="7897B19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注：投标文件中须同时提供①人员配备名单（格式自拟，至少包含人员姓名、岗位安排）；②提供人员身份证和相应证书的扫描件；③社保部门出具的本单位为其缴纳的投标前近三个月内任意一月的养老保险证明或供应商提供承诺已为上述人员缴纳养老保险证明的承诺书（格式自拟）。</w:t>
            </w:r>
          </w:p>
          <w:p w14:paraId="2E9801A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同1人同时具有多个证书的不重复计分，仅计分一次。</w:t>
            </w:r>
          </w:p>
        </w:tc>
        <w:tc>
          <w:tcPr>
            <w:tcW w:w="1398" w:type="dxa"/>
            <w:tcBorders>
              <w:top w:val="single" w:color="auto" w:sz="4" w:space="0"/>
              <w:left w:val="single" w:color="auto" w:sz="4" w:space="0"/>
              <w:bottom w:val="single" w:color="auto" w:sz="4" w:space="0"/>
              <w:right w:val="single" w:color="auto" w:sz="4" w:space="0"/>
            </w:tcBorders>
            <w:vAlign w:val="center"/>
          </w:tcPr>
          <w:p w14:paraId="68205E0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0-8分</w:t>
            </w:r>
          </w:p>
        </w:tc>
      </w:tr>
      <w:tr w14:paraId="366C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1086" w:type="dxa"/>
            <w:vMerge w:val="continue"/>
            <w:tcBorders>
              <w:left w:val="single" w:color="auto" w:sz="4" w:space="0"/>
              <w:right w:val="single" w:color="auto" w:sz="4" w:space="0"/>
            </w:tcBorders>
            <w:vAlign w:val="center"/>
          </w:tcPr>
          <w:p w14:paraId="0F98D7D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1DC46B38">
            <w:pPr>
              <w:keepNext w:val="0"/>
              <w:keepLines w:val="0"/>
              <w:widowControl/>
              <w:suppressLineNumbers w:val="0"/>
              <w:jc w:val="center"/>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5.功能截图</w:t>
            </w:r>
          </w:p>
        </w:tc>
        <w:tc>
          <w:tcPr>
            <w:tcW w:w="5460" w:type="dxa"/>
            <w:tcBorders>
              <w:top w:val="single" w:color="auto" w:sz="4" w:space="0"/>
              <w:left w:val="single" w:color="auto" w:sz="4" w:space="0"/>
              <w:bottom w:val="single" w:color="auto" w:sz="4" w:space="0"/>
              <w:right w:val="single" w:color="auto" w:sz="4" w:space="0"/>
            </w:tcBorders>
            <w:vAlign w:val="center"/>
          </w:tcPr>
          <w:p w14:paraId="6776DE11">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default" w:ascii="宋体" w:hAnsi="宋体" w:eastAsia="宋体" w:cs="宋体"/>
                <w:color w:val="auto"/>
                <w:sz w:val="24"/>
                <w:szCs w:val="24"/>
                <w:highlight w:val="none"/>
                <w:lang w:val="en-US" w:eastAsia="zh-CN" w:bidi="ar"/>
              </w:rPr>
              <w:t>根据采购需求中标</w:t>
            </w:r>
            <w:r>
              <w:rPr>
                <w:rFonts w:hint="eastAsia" w:ascii="宋体" w:hAnsi="宋体" w:eastAsia="宋体" w:cs="宋体"/>
                <w:color w:val="auto"/>
                <w:sz w:val="24"/>
                <w:szCs w:val="24"/>
                <w:highlight w:val="none"/>
                <w:lang w:val="en-US" w:eastAsia="zh-CN" w:bidi="ar"/>
              </w:rPr>
              <w:t>“▲”功能</w:t>
            </w:r>
            <w:r>
              <w:rPr>
                <w:rFonts w:hint="default" w:ascii="宋体" w:hAnsi="宋体" w:eastAsia="宋体" w:cs="宋体"/>
                <w:color w:val="auto"/>
                <w:sz w:val="24"/>
                <w:szCs w:val="24"/>
                <w:highlight w:val="none"/>
                <w:lang w:val="en-US" w:eastAsia="zh-CN" w:bidi="ar"/>
              </w:rPr>
              <w:t>要求，投标人须提供对应功能截图；每提供1</w:t>
            </w:r>
            <w:r>
              <w:rPr>
                <w:rFonts w:hint="eastAsia" w:ascii="宋体" w:hAnsi="宋体" w:eastAsia="宋体" w:cs="宋体"/>
                <w:color w:val="auto"/>
                <w:sz w:val="24"/>
                <w:szCs w:val="24"/>
                <w:highlight w:val="none"/>
                <w:lang w:val="en-US" w:eastAsia="zh-CN" w:bidi="ar"/>
              </w:rPr>
              <w:t>个得1分，</w:t>
            </w:r>
            <w:r>
              <w:rPr>
                <w:rFonts w:hint="eastAsia" w:ascii="宋体" w:hAnsi="宋体" w:eastAsia="宋体" w:cs="宋体"/>
                <w:color w:val="auto"/>
                <w:sz w:val="24"/>
                <w:szCs w:val="24"/>
                <w:highlight w:val="none"/>
                <w:lang w:val="zh-CN" w:eastAsia="zh-CN" w:bidi="ar"/>
              </w:rPr>
              <w:t>其他的不得分，</w:t>
            </w:r>
            <w:r>
              <w:rPr>
                <w:rFonts w:hint="eastAsia" w:ascii="宋体" w:hAnsi="宋体" w:eastAsia="宋体" w:cs="宋体"/>
                <w:color w:val="auto"/>
                <w:sz w:val="24"/>
                <w:szCs w:val="24"/>
                <w:highlight w:val="none"/>
                <w:lang w:val="en-US" w:eastAsia="zh-CN" w:bidi="ar"/>
              </w:rPr>
              <w:t>本条</w:t>
            </w:r>
            <w:r>
              <w:rPr>
                <w:rFonts w:hint="eastAsia" w:ascii="宋体" w:hAnsi="宋体" w:eastAsia="宋体" w:cs="宋体"/>
                <w:color w:val="auto"/>
                <w:sz w:val="24"/>
                <w:szCs w:val="24"/>
                <w:highlight w:val="none"/>
                <w:lang w:val="zh-CN" w:eastAsia="zh-CN" w:bidi="ar"/>
              </w:rPr>
              <w:t>最高得</w:t>
            </w:r>
            <w:r>
              <w:rPr>
                <w:rFonts w:hint="eastAsia" w:ascii="宋体" w:hAnsi="宋体" w:eastAsia="宋体" w:cs="宋体"/>
                <w:color w:val="auto"/>
                <w:sz w:val="24"/>
                <w:szCs w:val="24"/>
                <w:highlight w:val="none"/>
                <w:lang w:val="en-US" w:eastAsia="zh-CN" w:bidi="ar"/>
              </w:rPr>
              <w:t>14</w:t>
            </w:r>
            <w:r>
              <w:rPr>
                <w:rFonts w:hint="eastAsia" w:ascii="宋体" w:hAnsi="宋体" w:eastAsia="宋体" w:cs="宋体"/>
                <w:color w:val="auto"/>
                <w:sz w:val="24"/>
                <w:szCs w:val="24"/>
                <w:highlight w:val="none"/>
                <w:lang w:val="zh-CN" w:eastAsia="zh-CN" w:bidi="ar"/>
              </w:rPr>
              <w:t>分。</w:t>
            </w:r>
          </w:p>
          <w:p w14:paraId="2E3F3466">
            <w:pPr>
              <w:keepNext w:val="0"/>
              <w:keepLines w:val="0"/>
              <w:pageBreakBefore w:val="0"/>
              <w:kinsoku/>
              <w:wordWrap/>
              <w:overflowPunct/>
              <w:topLinePunct w:val="0"/>
              <w:autoSpaceDE/>
              <w:autoSpaceDN/>
              <w:bidi w:val="0"/>
              <w:spacing w:line="400" w:lineRule="exact"/>
              <w:jc w:val="both"/>
              <w:textAlignment w:val="auto"/>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注：</w:t>
            </w:r>
            <w:r>
              <w:rPr>
                <w:rFonts w:hint="eastAsia" w:ascii="宋体" w:hAnsi="宋体" w:eastAsia="宋体" w:cs="宋体"/>
                <w:sz w:val="24"/>
                <w:szCs w:val="24"/>
                <w:highlight w:val="none"/>
                <w:lang w:val="en-US" w:eastAsia="zh-CN"/>
              </w:rPr>
              <w:t>投标文件中须提供功能页面截图</w:t>
            </w:r>
            <w:r>
              <w:rPr>
                <w:rFonts w:hint="eastAsia" w:ascii="宋体" w:hAnsi="宋体" w:eastAsia="宋体" w:cs="宋体"/>
                <w:color w:val="auto"/>
                <w:sz w:val="24"/>
                <w:szCs w:val="24"/>
                <w:highlight w:val="none"/>
                <w:lang w:val="en-US" w:eastAsia="zh-CN" w:bidi="ar"/>
              </w:rPr>
              <w:t>。</w:t>
            </w:r>
            <w:r>
              <w:rPr>
                <w:rFonts w:hint="default" w:ascii="宋体" w:hAnsi="宋体" w:eastAsia="宋体" w:cs="宋体"/>
                <w:color w:val="auto"/>
                <w:sz w:val="24"/>
                <w:szCs w:val="24"/>
                <w:highlight w:val="none"/>
                <w:lang w:val="en-US" w:eastAsia="zh-CN" w:bidi="ar"/>
              </w:rPr>
              <w:t>未提供截图或截图无法</w:t>
            </w:r>
            <w:r>
              <w:rPr>
                <w:rFonts w:hint="eastAsia" w:ascii="宋体" w:hAnsi="宋体" w:eastAsia="宋体" w:cs="宋体"/>
                <w:color w:val="auto"/>
                <w:sz w:val="24"/>
                <w:szCs w:val="24"/>
                <w:highlight w:val="none"/>
                <w:lang w:val="en-US" w:eastAsia="zh-CN" w:bidi="ar"/>
              </w:rPr>
              <w:t>体现功能</w:t>
            </w:r>
            <w:r>
              <w:rPr>
                <w:rFonts w:hint="default" w:ascii="宋体" w:hAnsi="宋体" w:eastAsia="宋体" w:cs="宋体"/>
                <w:color w:val="auto"/>
                <w:sz w:val="24"/>
                <w:szCs w:val="24"/>
                <w:highlight w:val="none"/>
                <w:lang w:val="en-US" w:eastAsia="zh-CN" w:bidi="ar"/>
              </w:rPr>
              <w:t>要求的，该项不得分。</w:t>
            </w:r>
          </w:p>
        </w:tc>
        <w:tc>
          <w:tcPr>
            <w:tcW w:w="1398" w:type="dxa"/>
            <w:tcBorders>
              <w:top w:val="single" w:color="auto" w:sz="4" w:space="0"/>
              <w:left w:val="single" w:color="auto" w:sz="4" w:space="0"/>
              <w:bottom w:val="single" w:color="auto" w:sz="4" w:space="0"/>
              <w:right w:val="single" w:color="auto" w:sz="4" w:space="0"/>
            </w:tcBorders>
            <w:vAlign w:val="center"/>
          </w:tcPr>
          <w:p w14:paraId="5095A37D">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0-14分</w:t>
            </w:r>
          </w:p>
        </w:tc>
      </w:tr>
      <w:tr w14:paraId="14D6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restart"/>
            <w:tcBorders>
              <w:left w:val="single" w:color="auto" w:sz="4" w:space="0"/>
              <w:right w:val="single" w:color="auto" w:sz="4" w:space="0"/>
            </w:tcBorders>
            <w:vAlign w:val="center"/>
          </w:tcPr>
          <w:p w14:paraId="2A13DBC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技术</w:t>
            </w:r>
            <w:r>
              <w:rPr>
                <w:rFonts w:hint="eastAsia" w:ascii="宋体" w:hAnsi="宋体" w:eastAsia="宋体" w:cs="宋体"/>
                <w:b w:val="0"/>
                <w:bCs w:val="0"/>
                <w:color w:val="auto"/>
                <w:sz w:val="24"/>
                <w:szCs w:val="24"/>
                <w:highlight w:val="none"/>
              </w:rPr>
              <w:t>分</w:t>
            </w:r>
          </w:p>
          <w:p w14:paraId="42C0E82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46</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bottom w:val="single" w:color="auto" w:sz="4" w:space="0"/>
              <w:right w:val="single" w:color="auto" w:sz="4" w:space="0"/>
            </w:tcBorders>
            <w:vAlign w:val="center"/>
          </w:tcPr>
          <w:p w14:paraId="376C6CBE">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color w:val="000000"/>
                <w:spacing w:val="0"/>
                <w:kern w:val="0"/>
                <w:position w:val="0"/>
                <w:sz w:val="24"/>
                <w:szCs w:val="24"/>
                <w:highlight w:val="none"/>
                <w:lang w:val="en-US" w:eastAsia="zh-CN" w:bidi="ar"/>
              </w:rPr>
              <w:t>需求分析方案</w:t>
            </w:r>
          </w:p>
        </w:tc>
        <w:tc>
          <w:tcPr>
            <w:tcW w:w="5460" w:type="dxa"/>
            <w:tcBorders>
              <w:top w:val="single" w:color="auto" w:sz="4" w:space="0"/>
              <w:left w:val="single" w:color="auto" w:sz="4" w:space="0"/>
              <w:bottom w:val="single" w:color="auto" w:sz="4" w:space="0"/>
              <w:right w:val="single" w:color="auto" w:sz="4" w:space="0"/>
            </w:tcBorders>
            <w:vAlign w:val="center"/>
          </w:tcPr>
          <w:p w14:paraId="3BAC626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根据招标文件中详细要求和建设要求，分析原有系统需求现状，编制需求分析方案。根据方案是否理解透彻、全面，是否具有针对性等进行综合评分： </w:t>
            </w:r>
          </w:p>
          <w:p w14:paraId="303B0EA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①需求分析方案完整详实，符合或优于采购需求，表述清晰，与本项目实际需求适配，利于项目实施的得3分 ；</w:t>
            </w:r>
          </w:p>
          <w:p w14:paraId="13A6DD1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②需求分析方案完整、可行，贴合本项目建设需求的得2分；</w:t>
            </w:r>
          </w:p>
          <w:p w14:paraId="4FF718E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③需求分析方案内容待提高，具体细节待完善的，得1分 ；</w:t>
            </w:r>
          </w:p>
          <w:p w14:paraId="79CFD01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④方案不可行或未提供相关内容的不得分。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005B2D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分</w:t>
            </w:r>
          </w:p>
          <w:p w14:paraId="2A5FD910">
            <w:pPr>
              <w:keepNext w:val="0"/>
              <w:keepLines w:val="0"/>
              <w:pageBreakBefore w:val="0"/>
              <w:kinsoku/>
              <w:wordWrap/>
              <w:overflowPunct/>
              <w:topLinePunct w:val="0"/>
              <w:autoSpaceDE/>
              <w:autoSpaceDN/>
              <w:bidi w:val="0"/>
              <w:snapToGrid/>
              <w:spacing w:line="400" w:lineRule="exact"/>
              <w:jc w:val="left"/>
              <w:textAlignment w:val="auto"/>
              <w:rPr>
                <w:rFonts w:hint="eastAsia" w:ascii="宋体" w:hAnsi="宋体" w:eastAsia="宋体" w:cs="宋体"/>
                <w:b w:val="0"/>
                <w:bCs w:val="0"/>
                <w:color w:val="auto"/>
                <w:sz w:val="24"/>
                <w:szCs w:val="24"/>
                <w:highlight w:val="none"/>
              </w:rPr>
            </w:pPr>
          </w:p>
        </w:tc>
      </w:tr>
      <w:tr w14:paraId="70F5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4D09609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47DD4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2.总体设计方案</w:t>
            </w:r>
          </w:p>
        </w:tc>
        <w:tc>
          <w:tcPr>
            <w:tcW w:w="5460" w:type="dxa"/>
            <w:tcBorders>
              <w:top w:val="single" w:color="auto" w:sz="4" w:space="0"/>
              <w:left w:val="single" w:color="auto" w:sz="4" w:space="0"/>
              <w:bottom w:val="single" w:color="auto" w:sz="4" w:space="0"/>
              <w:right w:val="single" w:color="auto" w:sz="4" w:space="0"/>
            </w:tcBorders>
            <w:vAlign w:val="center"/>
          </w:tcPr>
          <w:p w14:paraId="43CECF4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提供详细的总体设计方案，根据方案是否理解透彻、全面，是否具有针对性等进行综合评分： </w:t>
            </w:r>
          </w:p>
          <w:p w14:paraId="3D2AF83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①方案内容准确，符合或优于采购需求，完整详细，可行实用的得5分；</w:t>
            </w:r>
          </w:p>
          <w:p w14:paraId="4EF67858">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②方案内容准确，适合本项目采购需求，实际可行的得3分；</w:t>
            </w:r>
          </w:p>
          <w:p w14:paraId="46259026">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③方案有待完善，且适合本项目采购需求的得1分；</w:t>
            </w:r>
          </w:p>
          <w:p w14:paraId="1C3C173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 xml:space="preserve">④方案不可行或未提供相关内容的不得分。 </w:t>
            </w:r>
          </w:p>
        </w:tc>
        <w:tc>
          <w:tcPr>
            <w:tcW w:w="1398" w:type="dxa"/>
            <w:tcBorders>
              <w:top w:val="single" w:color="auto" w:sz="4" w:space="0"/>
              <w:left w:val="single" w:color="auto" w:sz="4" w:space="0"/>
              <w:bottom w:val="single" w:color="auto" w:sz="4" w:space="0"/>
              <w:right w:val="single" w:color="auto" w:sz="4" w:space="0"/>
            </w:tcBorders>
            <w:vAlign w:val="center"/>
          </w:tcPr>
          <w:p w14:paraId="74B7460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0-5分</w:t>
            </w:r>
          </w:p>
        </w:tc>
      </w:tr>
      <w:tr w14:paraId="6286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62FF28C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5C10668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3.数据迁移方案 </w:t>
            </w:r>
          </w:p>
          <w:p w14:paraId="39C904A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vAlign w:val="center"/>
          </w:tcPr>
          <w:p w14:paraId="7B920C2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提供详细的数据迁移方案，根据方案是否理解透彻、全面等进行综合评分：</w:t>
            </w:r>
          </w:p>
          <w:p w14:paraId="4EB06011">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①方案切合实际情况，各部分有深入的表述，解决方案合理、有具体切实可行的措施的得5分；</w:t>
            </w:r>
          </w:p>
          <w:p w14:paraId="3D3AFF1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②方案符合实际情况，内容完整、表述清晰，有保障措施，措施实施内容具体可行的得3 分；</w:t>
            </w:r>
          </w:p>
          <w:p w14:paraId="5DCB034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③方案满足项目要求但有矛盾点、可行性受影响，对各个环节的保障措施、解决方案等缺项或关键点缺失的得1分；</w:t>
            </w:r>
          </w:p>
          <w:p w14:paraId="3C5688AD">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439031E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0-5分</w:t>
            </w:r>
          </w:p>
        </w:tc>
      </w:tr>
      <w:tr w14:paraId="4BC9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55409CC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77E869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4.数据质检方案 </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2D455C0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投标人制定的数据质检方案，完成数据上报监测及指标项异常监测：</w:t>
            </w:r>
          </w:p>
          <w:p w14:paraId="3D594186">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①设计完善、功能描述具体清晰的，得5分；</w:t>
            </w:r>
          </w:p>
          <w:p w14:paraId="14C340E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②设计不全、功能描述模糊的，得3分；</w:t>
            </w:r>
          </w:p>
          <w:p w14:paraId="6A30F5A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③设计单一，功能描述粗略的，得1分；</w:t>
            </w:r>
          </w:p>
          <w:p w14:paraId="5DB643F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④未提供的不得分。</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2455D6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0-5分</w:t>
            </w:r>
          </w:p>
        </w:tc>
      </w:tr>
      <w:tr w14:paraId="6A9A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6" w:type="dxa"/>
            <w:vMerge w:val="continue"/>
            <w:tcBorders>
              <w:left w:val="single" w:color="auto" w:sz="4" w:space="0"/>
              <w:right w:val="single" w:color="auto" w:sz="4" w:space="0"/>
            </w:tcBorders>
            <w:vAlign w:val="center"/>
          </w:tcPr>
          <w:p w14:paraId="2143B5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4C9AA2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5.实施过程管理</w:t>
            </w:r>
            <w:r>
              <w:rPr>
                <w:rFonts w:hint="eastAsia" w:ascii="宋体" w:hAnsi="宋体" w:eastAsia="宋体" w:cs="宋体"/>
                <w:b w:val="0"/>
                <w:bCs w:val="0"/>
                <w:color w:val="auto"/>
                <w:sz w:val="24"/>
                <w:szCs w:val="24"/>
                <w:highlight w:val="none"/>
              </w:rPr>
              <w:t>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3C77C95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提供完整的项目实施过程管理方案，实施过程管理方案包括项目准备、项目</w:t>
            </w:r>
            <w:r>
              <w:rPr>
                <w:rFonts w:hint="eastAsia" w:ascii="宋体" w:hAnsi="宋体" w:eastAsia="宋体" w:cs="宋体"/>
                <w:bCs/>
                <w:sz w:val="24"/>
                <w:szCs w:val="24"/>
                <w:highlight w:val="none"/>
                <w:lang w:val="en-US" w:eastAsia="zh-CN"/>
              </w:rPr>
              <w:t>详细实施计划</w:t>
            </w:r>
            <w:r>
              <w:rPr>
                <w:rFonts w:hint="eastAsia" w:ascii="宋体" w:hAnsi="宋体" w:eastAsia="宋体" w:cs="宋体"/>
                <w:color w:val="auto"/>
                <w:sz w:val="24"/>
                <w:szCs w:val="24"/>
                <w:highlight w:val="none"/>
                <w:lang w:val="en-US" w:eastAsia="zh-CN" w:bidi="ar"/>
              </w:rPr>
              <w:t>、项目移交、系统正式运行、软件修改</w:t>
            </w:r>
            <w:r>
              <w:rPr>
                <w:rFonts w:hint="eastAsia" w:ascii="宋体" w:hAnsi="宋体" w:eastAsia="宋体" w:cs="宋体"/>
                <w:bCs/>
                <w:sz w:val="24"/>
                <w:szCs w:val="24"/>
                <w:highlight w:val="none"/>
                <w:lang w:val="en-US" w:eastAsia="zh-CN"/>
              </w:rPr>
              <w:t>并列出重要环节的时间节点及相应的资源配置：</w:t>
            </w:r>
          </w:p>
          <w:p w14:paraId="252C635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①服务方案全面、完整、详尽、各项服务措施完善，充分满足项目实施要求，得5分；</w:t>
            </w:r>
          </w:p>
          <w:p w14:paraId="4C07150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②服务方案有各项服务措施，满足项目实施要求，得</w:t>
            </w:r>
            <w:r>
              <w:rPr>
                <w:rFonts w:hint="eastAsia" w:ascii="宋体" w:hAnsi="宋体" w:eastAsia="宋体" w:cs="宋体"/>
                <w:color w:val="auto"/>
                <w:sz w:val="24"/>
                <w:szCs w:val="24"/>
                <w:highlight w:val="none"/>
                <w:lang w:val="en-US" w:eastAsia="zh-CN" w:bidi="ar"/>
              </w:rPr>
              <w:t>3</w:t>
            </w:r>
            <w:r>
              <w:rPr>
                <w:rFonts w:hint="eastAsia" w:ascii="宋体" w:hAnsi="宋体" w:eastAsia="宋体" w:cs="宋体"/>
                <w:color w:val="auto"/>
                <w:sz w:val="24"/>
                <w:szCs w:val="24"/>
                <w:highlight w:val="none"/>
                <w:lang w:val="zh-CN" w:eastAsia="zh-CN" w:bidi="ar"/>
              </w:rPr>
              <w:t>分；</w:t>
            </w:r>
          </w:p>
          <w:p w14:paraId="4CB9BFCD">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③服务方案简单，服务措施片面，得</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分；</w:t>
            </w:r>
          </w:p>
          <w:p w14:paraId="723901A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4E3A413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0-5分</w:t>
            </w:r>
          </w:p>
        </w:tc>
      </w:tr>
      <w:tr w14:paraId="18B4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4" w:hRule="atLeast"/>
          <w:jc w:val="center"/>
        </w:trPr>
        <w:tc>
          <w:tcPr>
            <w:tcW w:w="1086" w:type="dxa"/>
            <w:vMerge w:val="continue"/>
            <w:tcBorders>
              <w:left w:val="single" w:color="auto" w:sz="4" w:space="0"/>
              <w:right w:val="single" w:color="auto" w:sz="4" w:space="0"/>
            </w:tcBorders>
            <w:vAlign w:val="center"/>
          </w:tcPr>
          <w:p w14:paraId="7956875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E10496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6.数据安全与保密方案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F1EEDC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针对投标人提供本项目的数据安全与保密方案，需包括:数据安全风险评估、数据加密与访问控制措施、迁移过程数据安全防护、数据脱敏与隐私保护方案。</w:t>
            </w:r>
          </w:p>
          <w:p w14:paraId="1193750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①</w:t>
            </w:r>
            <w:r>
              <w:rPr>
                <w:rFonts w:hint="eastAsia" w:ascii="宋体" w:hAnsi="宋体" w:eastAsia="宋体" w:cs="宋体"/>
                <w:color w:val="auto"/>
                <w:sz w:val="24"/>
                <w:szCs w:val="24"/>
                <w:highlight w:val="none"/>
                <w:lang w:val="en-US" w:eastAsia="zh-CN" w:bidi="ar"/>
              </w:rPr>
              <w:t>方案设计完善，安全</w:t>
            </w:r>
            <w:r>
              <w:rPr>
                <w:rFonts w:hint="eastAsia" w:ascii="宋体" w:hAnsi="宋体" w:eastAsia="宋体" w:cs="宋体"/>
                <w:color w:val="auto"/>
                <w:sz w:val="24"/>
                <w:szCs w:val="24"/>
                <w:highlight w:val="none"/>
                <w:lang w:val="zh-CN" w:eastAsia="zh-CN" w:bidi="ar"/>
              </w:rPr>
              <w:t>措施</w:t>
            </w:r>
            <w:r>
              <w:rPr>
                <w:rFonts w:hint="eastAsia" w:ascii="宋体" w:hAnsi="宋体" w:eastAsia="宋体" w:cs="宋体"/>
                <w:color w:val="auto"/>
                <w:sz w:val="24"/>
                <w:szCs w:val="24"/>
                <w:highlight w:val="none"/>
                <w:lang w:val="en-US" w:eastAsia="zh-CN" w:bidi="ar"/>
              </w:rPr>
              <w:t>有针对实用性</w:t>
            </w: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风险预判充分</w:t>
            </w: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防护方案覆盖迁移全过程，</w:t>
            </w:r>
            <w:r>
              <w:rPr>
                <w:rFonts w:hint="eastAsia" w:ascii="宋体" w:hAnsi="宋体" w:eastAsia="宋体" w:cs="宋体"/>
                <w:color w:val="auto"/>
                <w:sz w:val="24"/>
                <w:szCs w:val="24"/>
                <w:highlight w:val="none"/>
                <w:lang w:val="zh-CN" w:eastAsia="zh-CN" w:bidi="ar"/>
              </w:rPr>
              <w:t>满足项目实施要求，得5分；</w:t>
            </w:r>
          </w:p>
          <w:p w14:paraId="06904118">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②</w:t>
            </w:r>
            <w:r>
              <w:rPr>
                <w:rFonts w:hint="eastAsia" w:ascii="宋体" w:hAnsi="宋体" w:eastAsia="宋体" w:cs="宋体"/>
                <w:color w:val="auto"/>
                <w:sz w:val="24"/>
                <w:szCs w:val="24"/>
                <w:highlight w:val="none"/>
                <w:lang w:val="en-US" w:eastAsia="zh-CN" w:bidi="ar"/>
              </w:rPr>
              <w:t>方案设计完整，安全措施</w:t>
            </w:r>
            <w:r>
              <w:rPr>
                <w:rFonts w:hint="eastAsia" w:ascii="宋体" w:hAnsi="宋体" w:eastAsia="宋体" w:cs="宋体"/>
                <w:color w:val="auto"/>
                <w:sz w:val="24"/>
                <w:szCs w:val="24"/>
                <w:highlight w:val="none"/>
                <w:lang w:val="zh-CN" w:eastAsia="zh-CN" w:bidi="ar"/>
              </w:rPr>
              <w:t>具有实施性，满足项目实施要求，得</w:t>
            </w:r>
            <w:r>
              <w:rPr>
                <w:rFonts w:hint="eastAsia" w:ascii="宋体" w:hAnsi="宋体" w:eastAsia="宋体" w:cs="宋体"/>
                <w:color w:val="auto"/>
                <w:sz w:val="24"/>
                <w:szCs w:val="24"/>
                <w:highlight w:val="none"/>
                <w:lang w:val="en-US" w:eastAsia="zh-CN" w:bidi="ar"/>
              </w:rPr>
              <w:t>3</w:t>
            </w:r>
            <w:r>
              <w:rPr>
                <w:rFonts w:hint="eastAsia" w:ascii="宋体" w:hAnsi="宋体" w:eastAsia="宋体" w:cs="宋体"/>
                <w:color w:val="auto"/>
                <w:sz w:val="24"/>
                <w:szCs w:val="24"/>
                <w:highlight w:val="none"/>
                <w:lang w:val="zh-CN" w:eastAsia="zh-CN" w:bidi="ar"/>
              </w:rPr>
              <w:t>分；</w:t>
            </w:r>
          </w:p>
          <w:p w14:paraId="775DA40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③</w:t>
            </w:r>
            <w:r>
              <w:rPr>
                <w:rFonts w:hint="eastAsia" w:ascii="宋体" w:hAnsi="宋体" w:eastAsia="宋体" w:cs="宋体"/>
                <w:color w:val="auto"/>
                <w:sz w:val="24"/>
                <w:szCs w:val="24"/>
                <w:highlight w:val="none"/>
                <w:lang w:val="en-US" w:eastAsia="zh-CN" w:bidi="ar"/>
              </w:rPr>
              <w:t>方案设计单一</w:t>
            </w: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安全</w:t>
            </w:r>
            <w:r>
              <w:rPr>
                <w:rFonts w:hint="eastAsia" w:ascii="宋体" w:hAnsi="宋体" w:eastAsia="宋体" w:cs="宋体"/>
                <w:color w:val="auto"/>
                <w:sz w:val="24"/>
                <w:szCs w:val="24"/>
                <w:highlight w:val="none"/>
                <w:lang w:val="zh-CN" w:eastAsia="zh-CN" w:bidi="ar"/>
              </w:rPr>
              <w:t>措施存在不足，不满足实际的每天日常工作的得</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分；</w:t>
            </w:r>
          </w:p>
          <w:p w14:paraId="0A29151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C549A0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0-5分</w:t>
            </w:r>
          </w:p>
        </w:tc>
      </w:tr>
      <w:tr w14:paraId="0F15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2" w:hRule="atLeast"/>
          <w:jc w:val="center"/>
        </w:trPr>
        <w:tc>
          <w:tcPr>
            <w:tcW w:w="1086" w:type="dxa"/>
            <w:vMerge w:val="continue"/>
            <w:tcBorders>
              <w:left w:val="single" w:color="auto" w:sz="4" w:space="0"/>
              <w:right w:val="single" w:color="auto" w:sz="4" w:space="0"/>
            </w:tcBorders>
            <w:vAlign w:val="center"/>
          </w:tcPr>
          <w:p w14:paraId="196D1E9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1B3E27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rPr>
              <w:t>应急</w:t>
            </w:r>
            <w:r>
              <w:rPr>
                <w:rFonts w:hint="eastAsia" w:ascii="宋体" w:hAnsi="宋体" w:eastAsia="宋体" w:cs="宋体"/>
                <w:b w:val="0"/>
                <w:bCs w:val="0"/>
                <w:color w:val="auto"/>
                <w:sz w:val="24"/>
                <w:szCs w:val="24"/>
                <w:highlight w:val="none"/>
                <w:lang w:eastAsia="zh-CN"/>
              </w:rPr>
              <w:t>保障方案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263D57B1">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针对投标人提供的应急保障方案进行评审。包含但不限于针对本项目特点进行风险分析，制定可能发生的各种突发事件制定应急保障方案。</w:t>
            </w:r>
          </w:p>
          <w:p w14:paraId="263B4E8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①方案完善，应急响应时间安排合理，应急设备及应急服务人员配备充足，突发情况应急处理控制措施完整可行，得5分；</w:t>
            </w:r>
          </w:p>
          <w:p w14:paraId="7DB3676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②方案合理，应急响应时间安排合理，应急设备及应急服务人员配备可行，可以完成突发情况应急处理，得3分；</w:t>
            </w:r>
          </w:p>
          <w:p w14:paraId="18B9178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③方案简单，应急响应时间、应急设备及应急服务人员配备勉强满足项目需求且出现非专门针对本项目特性内容，方案有待改善，得1分；</w:t>
            </w:r>
          </w:p>
          <w:p w14:paraId="188E29D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pacing w:val="4"/>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
              </w:rPr>
              <w:t>④未提供不得分。</w:t>
            </w:r>
          </w:p>
        </w:tc>
        <w:tc>
          <w:tcPr>
            <w:tcW w:w="1398" w:type="dxa"/>
            <w:tcBorders>
              <w:top w:val="single" w:color="auto" w:sz="4" w:space="0"/>
              <w:left w:val="single" w:color="auto" w:sz="4" w:space="0"/>
              <w:bottom w:val="single" w:color="auto" w:sz="4" w:space="0"/>
              <w:right w:val="single" w:color="auto" w:sz="4" w:space="0"/>
            </w:tcBorders>
            <w:vAlign w:val="center"/>
          </w:tcPr>
          <w:p w14:paraId="523440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0-5分</w:t>
            </w:r>
          </w:p>
          <w:p w14:paraId="7EF01E6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r>
      <w:tr w14:paraId="00C1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8" w:hRule="atLeast"/>
          <w:jc w:val="center"/>
        </w:trPr>
        <w:tc>
          <w:tcPr>
            <w:tcW w:w="1086" w:type="dxa"/>
            <w:vMerge w:val="continue"/>
            <w:tcBorders>
              <w:left w:val="single" w:color="auto" w:sz="4" w:space="0"/>
              <w:right w:val="single" w:color="auto" w:sz="4" w:space="0"/>
            </w:tcBorders>
            <w:vAlign w:val="center"/>
          </w:tcPr>
          <w:p w14:paraId="12DC527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246A51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8.人员管理方案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33C6F08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针对投标人提供的人员管理方案进行评审。包含但不限于人员分工安排、排班安排、岗位考核制度、工作纪律制度、人员培训制度等。</w:t>
            </w:r>
          </w:p>
          <w:p w14:paraId="5EBE481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①人员分工安排、岗位考核制度、工作纪律制度、人员培训制度等切合实际情况，各部分有深入的表述，解决方案合理、有具体切实可行的保障措施的得5分；</w:t>
            </w:r>
          </w:p>
          <w:p w14:paraId="1ED2B698">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②人员分工安排、岗位考核制度、工作纪律制度、人员培训制度方案满足项目要求，内容完整，考虑了保障措施，保障措施及解决方案出现非专门针对本项目内容的得3分；</w:t>
            </w:r>
          </w:p>
          <w:p w14:paraId="7B8C38C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③人员分工安排、岗位考核制度、工作纪律制度、人员培训制度方案满足项目要求但有矛盾点、可行性受影响，对各个环节的保障措施、解决方案等缺项或关键点缺失的得1分；</w:t>
            </w:r>
          </w:p>
          <w:p w14:paraId="263B029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1D489DA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b w:val="0"/>
                <w:bCs w:val="0"/>
                <w:strike w:val="0"/>
                <w:dstrike w:val="0"/>
                <w:color w:val="auto"/>
                <w:kern w:val="2"/>
                <w:sz w:val="24"/>
                <w:szCs w:val="24"/>
                <w:highlight w:val="none"/>
                <w:lang w:val="en-US" w:eastAsia="zh-CN" w:bidi="ar-SA"/>
              </w:rPr>
              <w:t>0-5分</w:t>
            </w:r>
          </w:p>
        </w:tc>
      </w:tr>
      <w:tr w14:paraId="68B2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3" w:hRule="atLeast"/>
          <w:jc w:val="center"/>
        </w:trPr>
        <w:tc>
          <w:tcPr>
            <w:tcW w:w="1086" w:type="dxa"/>
            <w:vMerge w:val="continue"/>
            <w:tcBorders>
              <w:left w:val="single" w:color="auto" w:sz="4" w:space="0"/>
              <w:right w:val="single" w:color="auto" w:sz="4" w:space="0"/>
            </w:tcBorders>
            <w:vAlign w:val="center"/>
          </w:tcPr>
          <w:p w14:paraId="7EFCA43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3755A6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snapToGrid w:val="0"/>
                <w:kern w:val="0"/>
                <w:sz w:val="24"/>
                <w:szCs w:val="24"/>
                <w:highlight w:val="none"/>
                <w:lang w:bidi="ar"/>
              </w:rPr>
              <w:t>培训方案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2E9026AB">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投标人</w:t>
            </w:r>
            <w:r>
              <w:rPr>
                <w:rFonts w:hint="eastAsia" w:ascii="宋体" w:hAnsi="宋体" w:eastAsia="宋体" w:cs="宋体"/>
                <w:color w:val="auto"/>
                <w:sz w:val="24"/>
                <w:szCs w:val="24"/>
                <w:highlight w:val="none"/>
                <w:lang w:val="zh-CN" w:eastAsia="zh-CN" w:bidi="ar"/>
              </w:rPr>
              <w:t>需制定培训方案，对采购人相关人员进行运维知识培训、检修流程等方面培训，要求内容全面：</w:t>
            </w:r>
          </w:p>
          <w:p w14:paraId="2A3F149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①</w:t>
            </w:r>
            <w:r>
              <w:rPr>
                <w:rFonts w:hint="eastAsia" w:ascii="宋体" w:hAnsi="宋体" w:eastAsia="宋体" w:cs="宋体"/>
                <w:color w:val="auto"/>
                <w:sz w:val="24"/>
                <w:szCs w:val="24"/>
                <w:highlight w:val="none"/>
                <w:lang w:val="zh-CN" w:eastAsia="zh-CN" w:bidi="ar"/>
              </w:rPr>
              <w:t>提供的服务方案内容、</w:t>
            </w:r>
            <w:r>
              <w:rPr>
                <w:rFonts w:hint="eastAsia" w:ascii="宋体" w:hAnsi="宋体" w:eastAsia="宋体" w:cs="宋体"/>
                <w:color w:val="auto"/>
                <w:sz w:val="24"/>
                <w:szCs w:val="24"/>
                <w:highlight w:val="none"/>
                <w:lang w:val="en-US" w:eastAsia="zh-CN" w:bidi="ar"/>
              </w:rPr>
              <w:t>管理措施、现场维护保障措施详实</w:t>
            </w:r>
            <w:r>
              <w:rPr>
                <w:rFonts w:hint="eastAsia" w:ascii="宋体" w:hAnsi="宋体" w:eastAsia="宋体" w:cs="宋体"/>
                <w:color w:val="auto"/>
                <w:sz w:val="24"/>
                <w:szCs w:val="24"/>
                <w:highlight w:val="none"/>
                <w:lang w:val="zh-CN" w:eastAsia="zh-CN" w:bidi="ar"/>
              </w:rPr>
              <w:t>，进度计划可行，人员配备充足，得5分；</w:t>
            </w:r>
          </w:p>
          <w:p w14:paraId="281D177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②</w:t>
            </w:r>
            <w:r>
              <w:rPr>
                <w:rFonts w:hint="eastAsia" w:ascii="宋体" w:hAnsi="宋体" w:eastAsia="宋体" w:cs="宋体"/>
                <w:color w:val="auto"/>
                <w:sz w:val="24"/>
                <w:szCs w:val="24"/>
                <w:highlight w:val="none"/>
                <w:lang w:val="zh-CN" w:eastAsia="zh-CN" w:bidi="ar"/>
              </w:rPr>
              <w:t>提供的服务方案内容、</w:t>
            </w:r>
            <w:r>
              <w:rPr>
                <w:rFonts w:hint="eastAsia" w:ascii="宋体" w:hAnsi="宋体" w:eastAsia="宋体" w:cs="宋体"/>
                <w:color w:val="auto"/>
                <w:sz w:val="24"/>
                <w:szCs w:val="24"/>
                <w:highlight w:val="none"/>
                <w:lang w:val="en-US" w:eastAsia="zh-CN" w:bidi="ar"/>
              </w:rPr>
              <w:t>管理措施、现场维护保障措施简略</w:t>
            </w:r>
            <w:r>
              <w:rPr>
                <w:rFonts w:hint="eastAsia" w:ascii="宋体" w:hAnsi="宋体" w:eastAsia="宋体" w:cs="宋体"/>
                <w:color w:val="auto"/>
                <w:sz w:val="24"/>
                <w:szCs w:val="24"/>
                <w:highlight w:val="none"/>
                <w:lang w:val="zh-CN" w:eastAsia="zh-CN" w:bidi="ar"/>
              </w:rPr>
              <w:t>，进度计划</w:t>
            </w:r>
            <w:r>
              <w:rPr>
                <w:rFonts w:hint="eastAsia" w:ascii="宋体" w:hAnsi="宋体" w:eastAsia="宋体" w:cs="宋体"/>
                <w:color w:val="auto"/>
                <w:sz w:val="24"/>
                <w:szCs w:val="24"/>
                <w:highlight w:val="none"/>
                <w:lang w:val="en-US" w:eastAsia="zh-CN" w:bidi="ar"/>
              </w:rPr>
              <w:t>适用</w:t>
            </w:r>
            <w:r>
              <w:rPr>
                <w:rFonts w:hint="eastAsia" w:ascii="宋体" w:hAnsi="宋体" w:eastAsia="宋体" w:cs="宋体"/>
                <w:color w:val="auto"/>
                <w:sz w:val="24"/>
                <w:szCs w:val="24"/>
                <w:highlight w:val="none"/>
                <w:lang w:val="zh-CN" w:eastAsia="zh-CN" w:bidi="ar"/>
              </w:rPr>
              <w:t>，人员配备</w:t>
            </w:r>
            <w:r>
              <w:rPr>
                <w:rFonts w:hint="eastAsia" w:ascii="宋体" w:hAnsi="宋体" w:eastAsia="宋体" w:cs="宋体"/>
                <w:color w:val="auto"/>
                <w:sz w:val="24"/>
                <w:szCs w:val="24"/>
                <w:highlight w:val="none"/>
                <w:lang w:val="en-US" w:eastAsia="zh-CN" w:bidi="ar"/>
              </w:rPr>
              <w:t>齐全</w:t>
            </w:r>
            <w:r>
              <w:rPr>
                <w:rFonts w:hint="eastAsia" w:ascii="宋体" w:hAnsi="宋体" w:eastAsia="宋体" w:cs="宋体"/>
                <w:color w:val="auto"/>
                <w:sz w:val="24"/>
                <w:szCs w:val="24"/>
                <w:highlight w:val="none"/>
                <w:lang w:val="zh-CN" w:eastAsia="zh-CN" w:bidi="ar"/>
              </w:rPr>
              <w:t>，得</w:t>
            </w:r>
            <w:r>
              <w:rPr>
                <w:rFonts w:hint="eastAsia" w:ascii="宋体" w:hAnsi="宋体" w:eastAsia="宋体" w:cs="宋体"/>
                <w:color w:val="auto"/>
                <w:sz w:val="24"/>
                <w:szCs w:val="24"/>
                <w:highlight w:val="none"/>
                <w:lang w:val="en-US" w:eastAsia="zh-CN" w:bidi="ar"/>
              </w:rPr>
              <w:t>3</w:t>
            </w:r>
            <w:r>
              <w:rPr>
                <w:rFonts w:hint="eastAsia" w:ascii="宋体" w:hAnsi="宋体" w:eastAsia="宋体" w:cs="宋体"/>
                <w:color w:val="auto"/>
                <w:sz w:val="24"/>
                <w:szCs w:val="24"/>
                <w:highlight w:val="none"/>
                <w:lang w:val="zh-CN" w:eastAsia="zh-CN" w:bidi="ar"/>
              </w:rPr>
              <w:t>分；</w:t>
            </w:r>
          </w:p>
          <w:p w14:paraId="2426FB2B">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w:t>
            </w:r>
            <w:r>
              <w:rPr>
                <w:rFonts w:hint="eastAsia" w:ascii="宋体" w:hAnsi="宋体" w:eastAsia="宋体" w:cs="宋体"/>
                <w:color w:val="auto"/>
                <w:sz w:val="24"/>
                <w:szCs w:val="24"/>
                <w:highlight w:val="none"/>
                <w:lang w:val="zh-CN" w:eastAsia="zh-CN" w:bidi="ar"/>
              </w:rPr>
              <w:t>提供的服务方案内容、</w:t>
            </w:r>
            <w:r>
              <w:rPr>
                <w:rFonts w:hint="eastAsia" w:ascii="宋体" w:hAnsi="宋体" w:eastAsia="宋体" w:cs="宋体"/>
                <w:color w:val="auto"/>
                <w:sz w:val="24"/>
                <w:szCs w:val="24"/>
                <w:highlight w:val="none"/>
                <w:lang w:val="en-US" w:eastAsia="zh-CN" w:bidi="ar"/>
              </w:rPr>
              <w:t>管理措施、现场维护保障措施粗放</w:t>
            </w:r>
            <w:r>
              <w:rPr>
                <w:rFonts w:hint="eastAsia" w:ascii="宋体" w:hAnsi="宋体" w:eastAsia="宋体" w:cs="宋体"/>
                <w:color w:val="auto"/>
                <w:sz w:val="24"/>
                <w:szCs w:val="24"/>
                <w:highlight w:val="none"/>
                <w:lang w:val="zh-CN" w:eastAsia="zh-CN" w:bidi="ar"/>
              </w:rPr>
              <w:t>，进度计划</w:t>
            </w:r>
            <w:r>
              <w:rPr>
                <w:rFonts w:hint="eastAsia" w:ascii="宋体" w:hAnsi="宋体" w:eastAsia="宋体" w:cs="宋体"/>
                <w:color w:val="auto"/>
                <w:sz w:val="24"/>
                <w:szCs w:val="24"/>
                <w:highlight w:val="none"/>
                <w:lang w:val="en-US" w:eastAsia="zh-CN" w:bidi="ar"/>
              </w:rPr>
              <w:t>不匹配</w:t>
            </w:r>
            <w:r>
              <w:rPr>
                <w:rFonts w:hint="eastAsia" w:ascii="宋体" w:hAnsi="宋体" w:eastAsia="宋体" w:cs="宋体"/>
                <w:color w:val="auto"/>
                <w:sz w:val="24"/>
                <w:szCs w:val="24"/>
                <w:highlight w:val="none"/>
                <w:lang w:val="zh-CN" w:eastAsia="zh-CN" w:bidi="ar"/>
              </w:rPr>
              <w:t>，人员配备</w:t>
            </w:r>
            <w:r>
              <w:rPr>
                <w:rFonts w:hint="eastAsia" w:ascii="宋体" w:hAnsi="宋体" w:eastAsia="宋体" w:cs="宋体"/>
                <w:color w:val="auto"/>
                <w:sz w:val="24"/>
                <w:szCs w:val="24"/>
                <w:highlight w:val="none"/>
                <w:lang w:val="en-US" w:eastAsia="zh-CN" w:bidi="ar"/>
              </w:rPr>
              <w:t>不足</w:t>
            </w:r>
            <w:r>
              <w:rPr>
                <w:rFonts w:hint="eastAsia" w:ascii="宋体" w:hAnsi="宋体" w:eastAsia="宋体" w:cs="宋体"/>
                <w:color w:val="auto"/>
                <w:sz w:val="24"/>
                <w:szCs w:val="24"/>
                <w:highlight w:val="none"/>
                <w:lang w:val="zh-CN" w:eastAsia="zh-CN" w:bidi="ar"/>
              </w:rPr>
              <w:t>，得</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分；</w:t>
            </w:r>
            <w:r>
              <w:rPr>
                <w:rFonts w:hint="eastAsia" w:ascii="宋体" w:hAnsi="宋体" w:eastAsia="宋体" w:cs="宋体"/>
                <w:color w:val="auto"/>
                <w:sz w:val="24"/>
                <w:szCs w:val="24"/>
                <w:highlight w:val="none"/>
                <w:lang w:val="zh-CN" w:eastAsia="zh-CN" w:bidi="ar"/>
              </w:rPr>
              <w:br w:type="textWrapping"/>
            </w:r>
            <w:r>
              <w:rPr>
                <w:rFonts w:hint="eastAsia" w:ascii="宋体" w:hAnsi="宋体" w:eastAsia="宋体" w:cs="宋体"/>
                <w:color w:val="auto"/>
                <w:sz w:val="24"/>
                <w:szCs w:val="24"/>
                <w:highlight w:val="none"/>
                <w:lang w:val="en-US" w:eastAsia="zh-CN" w:bidi="ar"/>
              </w:rPr>
              <w:t>④</w:t>
            </w:r>
            <w:r>
              <w:rPr>
                <w:rFonts w:hint="eastAsia" w:ascii="宋体" w:hAnsi="宋体" w:eastAsia="宋体" w:cs="宋体"/>
                <w:color w:val="auto"/>
                <w:sz w:val="24"/>
                <w:szCs w:val="24"/>
                <w:highlight w:val="none"/>
                <w:lang w:val="zh-CN" w:eastAsia="zh-CN" w:bidi="ar"/>
              </w:rPr>
              <w:t>未提供或提供不符合要求的不得分。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AB75E40">
            <w:pPr>
              <w:keepNext w:val="0"/>
              <w:keepLines w:val="0"/>
              <w:pageBreakBefore w:val="0"/>
              <w:kinsoku/>
              <w:overflowPunct/>
              <w:topLinePunct w:val="0"/>
              <w:autoSpaceDE/>
              <w:autoSpaceDN/>
              <w:bidi w:val="0"/>
              <w:spacing w:line="400" w:lineRule="exact"/>
              <w:jc w:val="center"/>
              <w:textAlignment w:val="auto"/>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5C30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7" w:hRule="atLeast"/>
          <w:jc w:val="center"/>
        </w:trPr>
        <w:tc>
          <w:tcPr>
            <w:tcW w:w="1086" w:type="dxa"/>
            <w:vMerge w:val="continue"/>
            <w:tcBorders>
              <w:left w:val="single" w:color="auto" w:sz="4" w:space="0"/>
              <w:right w:val="single" w:color="auto" w:sz="4" w:space="0"/>
            </w:tcBorders>
            <w:vAlign w:val="center"/>
          </w:tcPr>
          <w:p w14:paraId="7428791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FFF301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10.创新服务方案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4EDC93D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针对投标人提供的创新服务方案进行评审，包含但不限于整体创新服务思路、创新服务举措、运维管理模式创新方案、创新服务体系、能够提供的特色增值创新服务等。</w:t>
            </w:r>
          </w:p>
          <w:p w14:paraId="17EA353F">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①方案编制全面，对项目理解准确、符合程度高、分析透彻、完整、思路清晰明了、充分满足项目实施要求的得3分；</w:t>
            </w:r>
          </w:p>
          <w:p w14:paraId="5C32048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②方案编制内容简单、思路无明显逻辑错误、尚可实施但存在与项目要求不贴合或矛盾的地方的得2分；</w:t>
            </w:r>
          </w:p>
          <w:p w14:paraId="7BD6775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③方案编制内容缺失、实施流程混乱、存在前后不一致或与本项目无关的内容的得1分；</w:t>
            </w:r>
          </w:p>
          <w:p w14:paraId="702CC2DB">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0163F5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0-3分</w:t>
            </w:r>
          </w:p>
          <w:p w14:paraId="17592E09">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auto"/>
                <w:sz w:val="24"/>
                <w:szCs w:val="24"/>
                <w:highlight w:val="none"/>
                <w:lang w:val="en-US" w:eastAsia="zh-CN"/>
              </w:rPr>
            </w:pPr>
          </w:p>
        </w:tc>
      </w:tr>
      <w:tr w14:paraId="6389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tcBorders>
              <w:left w:val="single" w:color="auto" w:sz="4" w:space="0"/>
              <w:right w:val="single" w:color="auto" w:sz="4" w:space="0"/>
            </w:tcBorders>
            <w:vAlign w:val="center"/>
          </w:tcPr>
          <w:p w14:paraId="04E72D6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w:t>
            </w:r>
          </w:p>
          <w:p w14:paraId="61F0A90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rPr>
              <w:t>分）</w:t>
            </w:r>
          </w:p>
        </w:tc>
        <w:tc>
          <w:tcPr>
            <w:tcW w:w="8701" w:type="dxa"/>
            <w:gridSpan w:val="3"/>
            <w:tcBorders>
              <w:top w:val="single" w:color="auto" w:sz="4" w:space="0"/>
              <w:left w:val="single" w:color="auto" w:sz="4" w:space="0"/>
              <w:bottom w:val="single" w:color="auto" w:sz="4" w:space="0"/>
              <w:right w:val="single" w:color="auto" w:sz="4" w:space="0"/>
            </w:tcBorders>
            <w:vAlign w:val="center"/>
          </w:tcPr>
          <w:p w14:paraId="32BFBEB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rPr>
              <w:t>分。其他</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的价格分统一按照下列公式计算：</w:t>
            </w:r>
          </w:p>
          <w:p w14:paraId="0964EC1D">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投标报价得分＝（评标基准价/投标报价）×</w:t>
            </w:r>
            <w:r>
              <w:rPr>
                <w:rFonts w:hint="eastAsia" w:ascii="宋体" w:hAnsi="宋体" w:eastAsia="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rPr>
              <w:t>％×100</w:t>
            </w:r>
          </w:p>
          <w:p w14:paraId="04E43157">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注:上述价格如有前附表规定的扣除，则按扣除后价格参与评审</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投标总价报价精确到小数点后两位，第三位四舍五入。</w:t>
            </w:r>
          </w:p>
        </w:tc>
      </w:tr>
    </w:tbl>
    <w:p w14:paraId="3D3BA2D2">
      <w:pPr>
        <w:spacing w:line="440" w:lineRule="exact"/>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第2包：</w:t>
      </w:r>
    </w:p>
    <w:p w14:paraId="06CDC202">
      <w:pPr>
        <w:spacing w:line="440" w:lineRule="exact"/>
        <w:ind w:firstLine="435"/>
        <w:rPr>
          <w:rFonts w:hint="eastAsia" w:ascii="宋体" w:hAnsi="宋体" w:eastAsia="宋体" w:cs="宋体"/>
          <w:color w:val="000000"/>
          <w:spacing w:val="0"/>
          <w:kern w:val="0"/>
          <w:position w:val="0"/>
          <w:sz w:val="24"/>
          <w:szCs w:val="24"/>
          <w:highlight w:val="none"/>
          <w:lang w:val="en-US" w:eastAsia="zh-CN" w:bidi="ar"/>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val="en-US" w:eastAsia="zh-CN"/>
        </w:rPr>
        <w:t>包</w:t>
      </w:r>
      <w:r>
        <w:rPr>
          <w:rFonts w:hint="eastAsia" w:asciiTheme="minorEastAsia" w:hAnsiTheme="minorEastAsia" w:eastAsiaTheme="minorEastAsia"/>
          <w:color w:val="auto"/>
          <w:sz w:val="24"/>
          <w:highlight w:val="none"/>
        </w:rPr>
        <w:t>综合评分满分为100分，其</w:t>
      </w:r>
      <w:r>
        <w:rPr>
          <w:rFonts w:hint="eastAsia" w:asciiTheme="minorEastAsia" w:hAnsiTheme="minorEastAsia" w:eastAsiaTheme="minorEastAsia"/>
          <w:color w:val="auto"/>
          <w:sz w:val="24"/>
          <w:highlight w:val="none"/>
          <w:lang w:val="en-US" w:eastAsia="zh-CN"/>
        </w:rPr>
        <w:t>中：资信分值占总分值的权重为20%，技术分值占总分值的权重为60%，价格分值占总分值的权重为20%。具体评分细</w:t>
      </w:r>
      <w:r>
        <w:rPr>
          <w:rFonts w:hint="eastAsia" w:ascii="宋体" w:hAnsi="宋体" w:eastAsia="宋体" w:cs="宋体"/>
          <w:color w:val="000000"/>
          <w:spacing w:val="0"/>
          <w:kern w:val="0"/>
          <w:position w:val="0"/>
          <w:sz w:val="24"/>
          <w:szCs w:val="24"/>
          <w:highlight w:val="none"/>
          <w:lang w:val="en-US" w:eastAsia="zh-CN" w:bidi="ar"/>
        </w:rPr>
        <w:t>则如下：</w:t>
      </w:r>
    </w:p>
    <w:tbl>
      <w:tblPr>
        <w:tblStyle w:val="28"/>
        <w:tblW w:w="57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843"/>
        <w:gridCol w:w="5460"/>
        <w:gridCol w:w="1398"/>
      </w:tblGrid>
      <w:tr w14:paraId="17C3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6" w:type="dxa"/>
            <w:tcBorders>
              <w:top w:val="single" w:color="auto" w:sz="4" w:space="0"/>
              <w:left w:val="single" w:color="auto" w:sz="4" w:space="0"/>
              <w:bottom w:val="single" w:color="auto" w:sz="4" w:space="0"/>
              <w:right w:val="single" w:color="auto" w:sz="4" w:space="0"/>
            </w:tcBorders>
            <w:vAlign w:val="center"/>
          </w:tcPr>
          <w:p w14:paraId="1B0F9E5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类别</w:t>
            </w:r>
          </w:p>
        </w:tc>
        <w:tc>
          <w:tcPr>
            <w:tcW w:w="1843" w:type="dxa"/>
            <w:tcBorders>
              <w:top w:val="single" w:color="auto" w:sz="4" w:space="0"/>
              <w:left w:val="single" w:color="auto" w:sz="4" w:space="0"/>
              <w:bottom w:val="single" w:color="auto" w:sz="4" w:space="0"/>
              <w:right w:val="single" w:color="auto" w:sz="4" w:space="0"/>
            </w:tcBorders>
            <w:vAlign w:val="center"/>
          </w:tcPr>
          <w:p w14:paraId="3A1C0B5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评分内容</w:t>
            </w:r>
          </w:p>
        </w:tc>
        <w:tc>
          <w:tcPr>
            <w:tcW w:w="5460" w:type="dxa"/>
            <w:tcBorders>
              <w:top w:val="single" w:color="auto" w:sz="4" w:space="0"/>
              <w:left w:val="single" w:color="auto" w:sz="4" w:space="0"/>
              <w:bottom w:val="single" w:color="auto" w:sz="4" w:space="0"/>
              <w:right w:val="single" w:color="auto" w:sz="4" w:space="0"/>
            </w:tcBorders>
            <w:vAlign w:val="center"/>
          </w:tcPr>
          <w:p w14:paraId="25B1B5D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评分标准</w:t>
            </w:r>
          </w:p>
        </w:tc>
        <w:tc>
          <w:tcPr>
            <w:tcW w:w="1398" w:type="dxa"/>
            <w:tcBorders>
              <w:top w:val="single" w:color="auto" w:sz="4" w:space="0"/>
              <w:left w:val="single" w:color="auto" w:sz="4" w:space="0"/>
              <w:bottom w:val="single" w:color="auto" w:sz="4" w:space="0"/>
              <w:right w:val="single" w:color="auto" w:sz="4" w:space="0"/>
            </w:tcBorders>
            <w:vAlign w:val="center"/>
          </w:tcPr>
          <w:p w14:paraId="3B29EE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分值范围</w:t>
            </w:r>
          </w:p>
        </w:tc>
      </w:tr>
      <w:tr w14:paraId="5C5F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restart"/>
            <w:tcBorders>
              <w:left w:val="single" w:color="auto" w:sz="4" w:space="0"/>
              <w:right w:val="single" w:color="auto" w:sz="4" w:space="0"/>
            </w:tcBorders>
            <w:vAlign w:val="center"/>
          </w:tcPr>
          <w:p w14:paraId="6F6F224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资信</w:t>
            </w:r>
            <w:r>
              <w:rPr>
                <w:rFonts w:hint="eastAsia" w:ascii="宋体" w:hAnsi="宋体" w:eastAsia="宋体" w:cs="宋体"/>
                <w:b w:val="0"/>
                <w:bCs w:val="0"/>
                <w:color w:val="auto"/>
                <w:sz w:val="24"/>
                <w:szCs w:val="24"/>
                <w:highlight w:val="none"/>
              </w:rPr>
              <w:t>分</w:t>
            </w:r>
          </w:p>
          <w:p w14:paraId="308B9C0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8A0FC9A">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1.投标人</w:t>
            </w:r>
            <w:r>
              <w:rPr>
                <w:rFonts w:hint="eastAsia" w:ascii="宋体" w:hAnsi="宋体" w:eastAsia="宋体" w:cs="宋体"/>
                <w:b w:val="0"/>
                <w:bCs w:val="0"/>
                <w:color w:val="auto"/>
                <w:sz w:val="24"/>
                <w:szCs w:val="24"/>
                <w:highlight w:val="none"/>
              </w:rPr>
              <w:t>业绩</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B9212A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自20</w:t>
            </w:r>
            <w:r>
              <w:rPr>
                <w:rFonts w:hint="eastAsia" w:ascii="宋体" w:hAnsi="宋体" w:eastAsia="宋体" w:cs="宋体"/>
                <w:color w:val="auto"/>
                <w:sz w:val="24"/>
                <w:szCs w:val="24"/>
                <w:highlight w:val="none"/>
                <w:lang w:val="en-US" w:eastAsia="zh-CN" w:bidi="ar"/>
              </w:rPr>
              <w:t>23</w:t>
            </w:r>
            <w:r>
              <w:rPr>
                <w:rFonts w:hint="eastAsia" w:ascii="宋体" w:hAnsi="宋体" w:eastAsia="宋体" w:cs="宋体"/>
                <w:color w:val="auto"/>
                <w:sz w:val="24"/>
                <w:szCs w:val="24"/>
                <w:highlight w:val="none"/>
                <w:lang w:val="zh-CN" w:eastAsia="zh-CN" w:bidi="ar"/>
              </w:rPr>
              <w:t>年</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月</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日</w:t>
            </w:r>
            <w:r>
              <w:rPr>
                <w:rFonts w:hint="eastAsia" w:ascii="宋体" w:hAnsi="宋体" w:eastAsia="宋体" w:cs="宋体"/>
                <w:color w:val="auto"/>
                <w:sz w:val="24"/>
                <w:szCs w:val="24"/>
                <w:highlight w:val="none"/>
                <w:lang w:val="en-US" w:eastAsia="zh-CN" w:bidi="ar"/>
              </w:rPr>
              <w:t>至投标截止日</w:t>
            </w: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投标人具有信息系统监理项目业绩，每</w:t>
            </w:r>
            <w:r>
              <w:rPr>
                <w:rFonts w:hint="eastAsia" w:ascii="宋体" w:hAnsi="宋体" w:eastAsia="宋体" w:cs="宋体"/>
                <w:color w:val="auto"/>
                <w:sz w:val="24"/>
                <w:szCs w:val="24"/>
                <w:highlight w:val="none"/>
                <w:lang w:val="zh-CN" w:eastAsia="zh-CN" w:bidi="ar"/>
              </w:rPr>
              <w:t>提供一个得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r>
              <w:rPr>
                <w:rFonts w:hint="eastAsia" w:ascii="宋体" w:hAnsi="宋体" w:eastAsia="宋体" w:cs="宋体"/>
                <w:color w:val="auto"/>
                <w:sz w:val="24"/>
                <w:szCs w:val="24"/>
                <w:highlight w:val="none"/>
                <w:lang w:val="en-US" w:eastAsia="zh-CN" w:bidi="ar"/>
              </w:rPr>
              <w:t>，</w:t>
            </w:r>
            <w:r>
              <w:rPr>
                <w:rFonts w:hint="eastAsia" w:ascii="宋体" w:hAnsi="宋体" w:eastAsia="宋体" w:cs="宋体"/>
                <w:color w:val="auto"/>
                <w:sz w:val="24"/>
                <w:szCs w:val="24"/>
                <w:highlight w:val="none"/>
                <w:lang w:val="zh-CN" w:eastAsia="zh-CN" w:bidi="ar"/>
              </w:rPr>
              <w:t>其他的不得分，最高得</w:t>
            </w: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val="zh-CN" w:eastAsia="zh-CN" w:bidi="ar"/>
              </w:rPr>
              <w:t>分。</w:t>
            </w:r>
          </w:p>
          <w:p w14:paraId="6D8D196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注：①投标文件中提供业绩合同扫描件，时间以合同签订时间为准；若合同材料中无法体现签订时间、</w:t>
            </w:r>
            <w:r>
              <w:rPr>
                <w:rFonts w:hint="eastAsia" w:ascii="宋体" w:hAnsi="宋体" w:eastAsia="宋体" w:cs="宋体"/>
                <w:color w:val="auto"/>
                <w:sz w:val="24"/>
                <w:szCs w:val="24"/>
                <w:highlight w:val="none"/>
                <w:lang w:val="en-US" w:eastAsia="zh-CN" w:bidi="ar"/>
              </w:rPr>
              <w:t>业绩</w:t>
            </w:r>
            <w:r>
              <w:rPr>
                <w:rFonts w:hint="eastAsia" w:ascii="宋体" w:hAnsi="宋体" w:eastAsia="宋体" w:cs="宋体"/>
                <w:color w:val="auto"/>
                <w:sz w:val="24"/>
                <w:szCs w:val="24"/>
                <w:highlight w:val="none"/>
                <w:lang w:val="zh-CN" w:eastAsia="zh-CN" w:bidi="ar"/>
              </w:rPr>
              <w:t>内容等关键评审因素的，须另</w:t>
            </w:r>
            <w:r>
              <w:rPr>
                <w:rFonts w:hint="eastAsia" w:ascii="宋体" w:hAnsi="宋体" w:eastAsia="宋体" w:cs="宋体"/>
                <w:color w:val="auto"/>
                <w:sz w:val="24"/>
                <w:szCs w:val="24"/>
                <w:highlight w:val="none"/>
                <w:lang w:val="en-US" w:eastAsia="zh-CN" w:bidi="ar"/>
              </w:rPr>
              <w:t>外提供</w:t>
            </w:r>
            <w:r>
              <w:rPr>
                <w:rFonts w:hint="eastAsia" w:ascii="宋体" w:hAnsi="宋体" w:eastAsia="宋体" w:cs="宋体"/>
                <w:color w:val="auto"/>
                <w:sz w:val="24"/>
                <w:szCs w:val="24"/>
                <w:highlight w:val="none"/>
                <w:lang w:val="zh-CN" w:eastAsia="zh-CN" w:bidi="ar"/>
              </w:rPr>
              <w:t>业主（合同甲方）出具的</w:t>
            </w:r>
            <w:r>
              <w:rPr>
                <w:rFonts w:hint="eastAsia" w:ascii="宋体" w:hAnsi="宋体" w:eastAsia="宋体" w:cs="宋体"/>
                <w:color w:val="auto"/>
                <w:sz w:val="24"/>
                <w:szCs w:val="24"/>
                <w:highlight w:val="none"/>
                <w:lang w:val="en-US" w:eastAsia="zh-CN" w:bidi="ar"/>
              </w:rPr>
              <w:t>盖章证明材料扫描件</w:t>
            </w:r>
            <w:r>
              <w:rPr>
                <w:rFonts w:hint="eastAsia" w:ascii="宋体" w:hAnsi="宋体" w:eastAsia="宋体" w:cs="宋体"/>
                <w:color w:val="auto"/>
                <w:sz w:val="24"/>
                <w:szCs w:val="24"/>
                <w:highlight w:val="none"/>
                <w:lang w:val="zh-CN" w:eastAsia="zh-CN" w:bidi="ar"/>
              </w:rPr>
              <w:t>。</w:t>
            </w:r>
          </w:p>
          <w:p w14:paraId="409C65C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②</w:t>
            </w:r>
            <w:r>
              <w:rPr>
                <w:rFonts w:hint="eastAsia" w:ascii="宋体" w:hAnsi="宋体" w:eastAsia="宋体" w:cs="宋体"/>
                <w:color w:val="auto"/>
                <w:sz w:val="24"/>
                <w:szCs w:val="24"/>
                <w:highlight w:val="none"/>
                <w:lang w:val="en-US" w:eastAsia="zh-CN" w:bidi="ar"/>
              </w:rPr>
              <w:t>分年度签订的</w:t>
            </w:r>
            <w:r>
              <w:rPr>
                <w:rFonts w:hint="eastAsia" w:ascii="宋体" w:hAnsi="宋体" w:eastAsia="宋体" w:cs="宋体"/>
                <w:color w:val="auto"/>
                <w:sz w:val="24"/>
                <w:szCs w:val="24"/>
                <w:highlight w:val="none"/>
                <w:lang w:val="zh-CN" w:eastAsia="zh-CN" w:bidi="ar"/>
              </w:rPr>
              <w:t>同一</w:t>
            </w:r>
            <w:r>
              <w:rPr>
                <w:rFonts w:hint="eastAsia" w:ascii="宋体" w:hAnsi="宋体" w:eastAsia="宋体" w:cs="宋体"/>
                <w:color w:val="auto"/>
                <w:sz w:val="24"/>
                <w:szCs w:val="24"/>
                <w:highlight w:val="none"/>
                <w:lang w:val="en-US" w:eastAsia="zh-CN" w:bidi="ar"/>
              </w:rPr>
              <w:t>项目业绩</w:t>
            </w:r>
            <w:r>
              <w:rPr>
                <w:rFonts w:hint="eastAsia" w:ascii="宋体" w:hAnsi="宋体" w:eastAsia="宋体" w:cs="宋体"/>
                <w:color w:val="auto"/>
                <w:sz w:val="24"/>
                <w:szCs w:val="24"/>
                <w:highlight w:val="none"/>
                <w:lang w:val="zh-CN" w:eastAsia="zh-CN" w:bidi="ar"/>
              </w:rPr>
              <w:t>不重复计分。</w:t>
            </w:r>
          </w:p>
          <w:p w14:paraId="61B8C9C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③投标人</w:t>
            </w:r>
            <w:r>
              <w:rPr>
                <w:rFonts w:hint="eastAsia" w:ascii="宋体" w:hAnsi="宋体" w:eastAsia="宋体" w:cs="宋体"/>
                <w:color w:val="auto"/>
                <w:sz w:val="24"/>
                <w:szCs w:val="24"/>
                <w:highlight w:val="none"/>
                <w:lang w:val="zh-CN" w:eastAsia="zh-CN" w:bidi="ar"/>
              </w:rPr>
              <w:t>只需提供2个评审业绩，若</w:t>
            </w:r>
            <w:r>
              <w:rPr>
                <w:rFonts w:hint="eastAsia" w:ascii="宋体" w:hAnsi="宋体" w:eastAsia="宋体" w:cs="宋体"/>
                <w:color w:val="auto"/>
                <w:sz w:val="24"/>
                <w:szCs w:val="24"/>
                <w:highlight w:val="none"/>
                <w:lang w:val="en-US" w:eastAsia="zh-CN" w:bidi="ar"/>
              </w:rPr>
              <w:t>投标人</w:t>
            </w:r>
            <w:r>
              <w:rPr>
                <w:rFonts w:hint="eastAsia" w:ascii="宋体" w:hAnsi="宋体" w:eastAsia="宋体" w:cs="宋体"/>
                <w:color w:val="auto"/>
                <w:sz w:val="24"/>
                <w:szCs w:val="24"/>
                <w:highlight w:val="none"/>
                <w:lang w:val="zh-CN" w:eastAsia="zh-CN" w:bidi="ar"/>
              </w:rPr>
              <w:t>提供业绩个数超过2个，则按照排列顺序从首个业绩开始评审至对应数量（2个），超出部分业绩不进行评审。对应数量（2个）业绩不符合</w:t>
            </w:r>
            <w:r>
              <w:rPr>
                <w:rFonts w:hint="eastAsia" w:ascii="宋体" w:hAnsi="宋体" w:eastAsia="宋体" w:cs="宋体"/>
                <w:color w:val="auto"/>
                <w:sz w:val="24"/>
                <w:szCs w:val="24"/>
                <w:highlight w:val="none"/>
                <w:lang w:val="en-US" w:eastAsia="zh-CN" w:bidi="ar"/>
              </w:rPr>
              <w:t>招标</w:t>
            </w:r>
            <w:r>
              <w:rPr>
                <w:rFonts w:hint="eastAsia" w:ascii="宋体" w:hAnsi="宋体" w:eastAsia="宋体" w:cs="宋体"/>
                <w:color w:val="auto"/>
                <w:sz w:val="24"/>
                <w:szCs w:val="24"/>
                <w:highlight w:val="none"/>
                <w:lang w:val="zh-CN" w:eastAsia="zh-CN" w:bidi="ar"/>
              </w:rPr>
              <w:t>文件要求不得分的，不再补充评审超出部分业绩。如：提供2个业绩即得满分的，按照响应文件排序评审第一、第二项业绩，其余超出部分不再评审。</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8EB031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w:t>
            </w:r>
          </w:p>
        </w:tc>
      </w:tr>
      <w:tr w14:paraId="0567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086" w:type="dxa"/>
            <w:vMerge w:val="continue"/>
            <w:tcBorders>
              <w:left w:val="single" w:color="auto" w:sz="4" w:space="0"/>
              <w:right w:val="single" w:color="auto" w:sz="4" w:space="0"/>
            </w:tcBorders>
            <w:vAlign w:val="center"/>
          </w:tcPr>
          <w:p w14:paraId="02F430E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63759C5">
            <w:pPr>
              <w:keepNext w:val="0"/>
              <w:keepLines w:val="0"/>
              <w:widowControl/>
              <w:suppressLineNumbers w:val="0"/>
              <w:jc w:val="center"/>
              <w:rPr>
                <w:rFonts w:hint="eastAsia"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b w:val="0"/>
                <w:bCs w:val="0"/>
                <w:color w:val="auto"/>
                <w:sz w:val="24"/>
                <w:szCs w:val="24"/>
                <w:highlight w:val="none"/>
                <w:lang w:val="en-US" w:eastAsia="zh-CN"/>
              </w:rPr>
              <w:t>2.总监理工程师</w:t>
            </w:r>
          </w:p>
        </w:tc>
        <w:tc>
          <w:tcPr>
            <w:tcW w:w="5460" w:type="dxa"/>
            <w:tcBorders>
              <w:top w:val="single" w:color="auto" w:sz="4" w:space="0"/>
              <w:left w:val="single" w:color="auto" w:sz="4" w:space="0"/>
              <w:bottom w:val="single" w:color="auto" w:sz="4" w:space="0"/>
              <w:right w:val="single" w:color="auto" w:sz="4" w:space="0"/>
            </w:tcBorders>
            <w:vAlign w:val="center"/>
          </w:tcPr>
          <w:p w14:paraId="520377F8">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拟配备总监理工程师（1 人）具有计算机技术与软件专业技术资格（水平）的：</w:t>
            </w:r>
          </w:p>
          <w:p w14:paraId="1D1E1E81">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（1）信息系统项目管理师证书的得2分，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r>
              <w:rPr>
                <w:rFonts w:hint="eastAsia" w:ascii="宋体" w:hAnsi="宋体" w:eastAsia="宋体" w:cs="宋体"/>
                <w:color w:val="auto"/>
                <w:sz w:val="24"/>
                <w:szCs w:val="24"/>
                <w:highlight w:val="none"/>
                <w:lang w:val="en-US" w:eastAsia="zh-CN"/>
              </w:rPr>
              <w:t>；</w:t>
            </w:r>
          </w:p>
          <w:p w14:paraId="0EBAB94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（2）信息系统监理师证书的得2分，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p>
          <w:p w14:paraId="1526925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（3）软件评测师证书的得2分，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p>
          <w:p w14:paraId="7C01A41C">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注：投标文件中须同时提供人员身份证、相应证书扫描件和社保部门出具的本单位为其缴纳的投标前近三个月内任意一月的养老保险证明或供应商提供承诺已为上述人员缴纳养老保险证明的承诺书（格式自拟）。</w:t>
            </w:r>
          </w:p>
        </w:tc>
        <w:tc>
          <w:tcPr>
            <w:tcW w:w="1398" w:type="dxa"/>
            <w:tcBorders>
              <w:top w:val="single" w:color="auto" w:sz="4" w:space="0"/>
              <w:left w:val="single" w:color="auto" w:sz="4" w:space="0"/>
              <w:bottom w:val="single" w:color="auto" w:sz="4" w:space="0"/>
              <w:right w:val="single" w:color="auto" w:sz="4" w:space="0"/>
            </w:tcBorders>
            <w:vAlign w:val="center"/>
          </w:tcPr>
          <w:p w14:paraId="07D0BCE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0-6分</w:t>
            </w:r>
          </w:p>
        </w:tc>
      </w:tr>
      <w:tr w14:paraId="7CA9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1086" w:type="dxa"/>
            <w:vMerge w:val="continue"/>
            <w:tcBorders>
              <w:left w:val="single" w:color="auto" w:sz="4" w:space="0"/>
              <w:right w:val="single" w:color="auto" w:sz="4" w:space="0"/>
            </w:tcBorders>
            <w:vAlign w:val="center"/>
          </w:tcPr>
          <w:p w14:paraId="7D1B28B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6508A3C">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color w:val="000000"/>
                <w:spacing w:val="0"/>
                <w:kern w:val="0"/>
                <w:position w:val="0"/>
                <w:sz w:val="24"/>
                <w:szCs w:val="24"/>
                <w:highlight w:val="none"/>
                <w:lang w:val="en-US" w:eastAsia="zh-CN" w:bidi="ar"/>
              </w:rPr>
              <w:t>监理团队</w:t>
            </w:r>
          </w:p>
        </w:tc>
        <w:tc>
          <w:tcPr>
            <w:tcW w:w="5460" w:type="dxa"/>
            <w:tcBorders>
              <w:top w:val="single" w:color="auto" w:sz="4" w:space="0"/>
              <w:left w:val="single" w:color="auto" w:sz="4" w:space="0"/>
              <w:bottom w:val="single" w:color="auto" w:sz="4" w:space="0"/>
              <w:right w:val="single" w:color="auto" w:sz="4" w:space="0"/>
            </w:tcBorders>
            <w:vAlign w:val="center"/>
          </w:tcPr>
          <w:p w14:paraId="02814C28">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除总监理工程师外，其他监理人员中具有计算机技术与软件专业技术资格（水平）的：</w:t>
            </w:r>
          </w:p>
          <w:p w14:paraId="177CB5FF">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信息系统项目管理师证书、系统规划与管理师证书、信息系统监理师证书、网络工程师证书（或网络规划设计师证书）、信息安全工程师证书的，每提供一种证书得2分，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val="zh-CN" w:eastAsia="zh-CN"/>
              </w:rPr>
              <w:t>分。</w:t>
            </w:r>
          </w:p>
          <w:p w14:paraId="0E85660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注：投标文件中须同时提供①人员配备名单（格式自拟，至少包含人员姓名、岗位安排）；②提供人员身份证和相应证书的扫描件；③社保部门出具的本单位为其缴纳的投标前近三个月内任意一月的养老保险证明或供应商提供承诺已为上述人员缴纳养老保险证明的承诺书（格式自拟）。</w:t>
            </w:r>
          </w:p>
          <w:p w14:paraId="7C031D94">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 xml:space="preserve">多人具有同1种证书的不重复计分，仅计分一次；同一人同时具有多种证书的可以重复计分。 </w:t>
            </w:r>
          </w:p>
        </w:tc>
        <w:tc>
          <w:tcPr>
            <w:tcW w:w="1398" w:type="dxa"/>
            <w:tcBorders>
              <w:top w:val="single" w:color="auto" w:sz="4" w:space="0"/>
              <w:left w:val="single" w:color="auto" w:sz="4" w:space="0"/>
              <w:bottom w:val="single" w:color="auto" w:sz="4" w:space="0"/>
              <w:right w:val="single" w:color="auto" w:sz="4" w:space="0"/>
            </w:tcBorders>
            <w:vAlign w:val="center"/>
          </w:tcPr>
          <w:p w14:paraId="2106AE9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0-10分</w:t>
            </w:r>
          </w:p>
        </w:tc>
      </w:tr>
      <w:tr w14:paraId="120E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restart"/>
            <w:tcBorders>
              <w:left w:val="single" w:color="auto" w:sz="4" w:space="0"/>
              <w:right w:val="single" w:color="auto" w:sz="4" w:space="0"/>
            </w:tcBorders>
            <w:vAlign w:val="center"/>
          </w:tcPr>
          <w:p w14:paraId="7432EAD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技术</w:t>
            </w:r>
            <w:r>
              <w:rPr>
                <w:rFonts w:hint="eastAsia" w:ascii="宋体" w:hAnsi="宋体" w:eastAsia="宋体" w:cs="宋体"/>
                <w:b w:val="0"/>
                <w:bCs w:val="0"/>
                <w:color w:val="auto"/>
                <w:sz w:val="24"/>
                <w:szCs w:val="24"/>
                <w:highlight w:val="none"/>
              </w:rPr>
              <w:t>分</w:t>
            </w:r>
          </w:p>
          <w:p w14:paraId="10B2BE0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60</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right w:val="single" w:color="auto" w:sz="4" w:space="0"/>
            </w:tcBorders>
            <w:vAlign w:val="center"/>
          </w:tcPr>
          <w:p w14:paraId="5B628E85">
            <w:pPr>
              <w:keepNext w:val="0"/>
              <w:keepLines w:val="0"/>
              <w:widowControl/>
              <w:suppressLineNumbers w:val="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b w:val="0"/>
                <w:bCs w:val="0"/>
                <w:color w:val="auto"/>
                <w:sz w:val="24"/>
                <w:szCs w:val="28"/>
                <w:highlight w:val="none"/>
                <w:lang w:val="en-US" w:eastAsia="zh-CN"/>
              </w:rPr>
              <w:t>项目建设内容理解</w:t>
            </w:r>
          </w:p>
        </w:tc>
        <w:tc>
          <w:tcPr>
            <w:tcW w:w="5460" w:type="dxa"/>
            <w:tcBorders>
              <w:top w:val="single" w:color="auto" w:sz="4" w:space="0"/>
              <w:left w:val="single" w:color="auto" w:sz="4" w:space="0"/>
              <w:bottom w:val="single" w:color="auto" w:sz="4" w:space="0"/>
              <w:right w:val="single" w:color="auto" w:sz="4" w:space="0"/>
            </w:tcBorders>
            <w:vAlign w:val="center"/>
          </w:tcPr>
          <w:p w14:paraId="4FAD35D0">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评标委员会根据投标人投标文件中提供的项目建设内容理解，由评标委员会进行综合评审：</w:t>
            </w:r>
          </w:p>
          <w:p w14:paraId="152F214B">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①对项目建设内容有完整的工作分析的得5分；</w:t>
            </w:r>
          </w:p>
          <w:p w14:paraId="34A6145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②对项目建设内容有工作描述的得3分；</w:t>
            </w:r>
          </w:p>
          <w:p w14:paraId="26A1714D">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③对项目建设内容理有偏差的得1分；</w:t>
            </w:r>
          </w:p>
          <w:p w14:paraId="5A767032">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b w:val="0"/>
                <w:bCs w:val="0"/>
                <w:color w:val="auto"/>
                <w:sz w:val="24"/>
                <w:szCs w:val="28"/>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5C7D442D">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1ACB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09162BB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right w:val="single" w:color="auto" w:sz="4" w:space="0"/>
            </w:tcBorders>
            <w:vAlign w:val="center"/>
          </w:tcPr>
          <w:p w14:paraId="57359DB4">
            <w:pPr>
              <w:keepNext w:val="0"/>
              <w:keepLines w:val="0"/>
              <w:widowControl/>
              <w:suppressLineNumbers w:val="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b w:val="0"/>
                <w:bCs w:val="0"/>
                <w:color w:val="auto"/>
                <w:sz w:val="24"/>
                <w:szCs w:val="28"/>
                <w:highlight w:val="none"/>
                <w:lang w:val="en-US" w:eastAsia="zh-CN"/>
              </w:rPr>
              <w:t>项目的目标、重点和难点分析</w:t>
            </w:r>
          </w:p>
        </w:tc>
        <w:tc>
          <w:tcPr>
            <w:tcW w:w="5460" w:type="dxa"/>
            <w:tcBorders>
              <w:top w:val="single" w:color="auto" w:sz="4" w:space="0"/>
              <w:left w:val="single" w:color="auto" w:sz="4" w:space="0"/>
              <w:bottom w:val="single" w:color="auto" w:sz="4" w:space="0"/>
              <w:right w:val="single" w:color="auto" w:sz="4" w:space="0"/>
            </w:tcBorders>
            <w:vAlign w:val="center"/>
          </w:tcPr>
          <w:p w14:paraId="4BE7E0B7">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评标委员会根据投标人投标文件中提供的项目项目的目标、重点和难点分析，由评标委员会进行综合评审：</w:t>
            </w:r>
          </w:p>
          <w:p w14:paraId="5368FC5A">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①对项目目标理解透彻，重难点把握到位的得5分；</w:t>
            </w:r>
          </w:p>
          <w:p w14:paraId="7E3EEB25">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②对项目目标理解清楚，突出重难点的得3分；</w:t>
            </w:r>
          </w:p>
          <w:p w14:paraId="1DFBBAB6">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③对项目目标理解有待提高，没有完全覆盖项目重难点的得1分；</w:t>
            </w:r>
          </w:p>
          <w:p w14:paraId="54AAFAD6">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1935E913">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6720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0BD5AA9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restart"/>
            <w:tcBorders>
              <w:top w:val="single" w:color="auto" w:sz="4" w:space="0"/>
              <w:left w:val="single" w:color="auto" w:sz="4" w:space="0"/>
              <w:right w:val="single" w:color="auto" w:sz="4" w:space="0"/>
            </w:tcBorders>
            <w:vAlign w:val="center"/>
          </w:tcPr>
          <w:p w14:paraId="119177CC">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lang w:val="en-US" w:eastAsia="zh-CN"/>
              </w:rPr>
              <w:t>3.监理大纲</w:t>
            </w:r>
          </w:p>
        </w:tc>
        <w:tc>
          <w:tcPr>
            <w:tcW w:w="5460" w:type="dxa"/>
            <w:tcBorders>
              <w:top w:val="single" w:color="auto" w:sz="4" w:space="0"/>
              <w:left w:val="single" w:color="auto" w:sz="4" w:space="0"/>
              <w:bottom w:val="single" w:color="auto" w:sz="4" w:space="0"/>
              <w:right w:val="single" w:color="auto" w:sz="4" w:space="0"/>
            </w:tcBorders>
            <w:vAlign w:val="center"/>
          </w:tcPr>
          <w:p w14:paraId="00986F2D">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（1）质量控制：</w:t>
            </w:r>
          </w:p>
          <w:p w14:paraId="10D28233">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根据监理大纲中包含的项目目标、范围、任务和依据、质量控制措施符合采购需求的程度、监理工作措施等内容情况，由评标委员会进行综合评审： </w:t>
            </w:r>
          </w:p>
          <w:p w14:paraId="21AD57F4">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①质量控制措施详细齐全，方案内容完备且利于项目实施的得5分； </w:t>
            </w:r>
          </w:p>
          <w:p w14:paraId="15115BD2">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②质量控制措施满足本项目需求的得3分； </w:t>
            </w:r>
          </w:p>
          <w:p w14:paraId="2E661E30">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③质量控制措施有欠缺，方案内容有缺失，影响到项目实施的得1分； </w:t>
            </w:r>
          </w:p>
          <w:p w14:paraId="79D3B1CC">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lang w:val="en-US" w:eastAsia="zh-CN"/>
              </w:rPr>
              <w:t>④相关内容偏离项目需求、偏离客观现实或未提供的不得分。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36D6978D">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171A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3A16CE2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continue"/>
            <w:tcBorders>
              <w:left w:val="single" w:color="auto" w:sz="4" w:space="0"/>
              <w:right w:val="single" w:color="auto" w:sz="4" w:space="0"/>
            </w:tcBorders>
            <w:vAlign w:val="center"/>
          </w:tcPr>
          <w:p w14:paraId="1F0C6E9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vAlign w:val="center"/>
          </w:tcPr>
          <w:p w14:paraId="3277532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（2）进度控制： </w:t>
            </w:r>
          </w:p>
          <w:p w14:paraId="53CE40AA">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根据监理大纲中包含的项目目标、范围、任务和依据、进度控制措施符合采购需求的程度、监理工作措施等内容情况，由评标委员会进行综合评审： </w:t>
            </w:r>
          </w:p>
          <w:p w14:paraId="7B604419">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①进度控制措施详尽且贴合项目特点的得5分； </w:t>
            </w:r>
          </w:p>
          <w:p w14:paraId="027B87DD">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②进度控制措施方案内容完整的得3分； </w:t>
            </w:r>
          </w:p>
          <w:p w14:paraId="7C01297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③进度控制措施有偏差，影响到项目 </w:t>
            </w:r>
          </w:p>
          <w:p w14:paraId="60D69B9F">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实施的得1分； </w:t>
            </w:r>
          </w:p>
          <w:p w14:paraId="78816F09">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④内容明显缺失或未提供的不得分。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1D99EDC2">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0428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3D2B249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continue"/>
            <w:tcBorders>
              <w:left w:val="single" w:color="auto" w:sz="4" w:space="0"/>
              <w:right w:val="single" w:color="auto" w:sz="4" w:space="0"/>
            </w:tcBorders>
            <w:vAlign w:val="center"/>
          </w:tcPr>
          <w:p w14:paraId="11E2F54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vAlign w:val="center"/>
          </w:tcPr>
          <w:p w14:paraId="44DB0A4C">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（3）投资控制： </w:t>
            </w:r>
          </w:p>
          <w:p w14:paraId="2EBC857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根据监理大纲中包含的费用控制措施符合采购需求的程度，由评标委员会进行综合评审： </w:t>
            </w:r>
          </w:p>
          <w:p w14:paraId="62119CE9">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①费用控制措施详细、合理可行的得5分； </w:t>
            </w:r>
          </w:p>
          <w:p w14:paraId="7A81C251">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②费用控制措施完整的得3分； </w:t>
            </w:r>
          </w:p>
          <w:p w14:paraId="083141B6">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③费用控制措施有缺失的得1分； </w:t>
            </w:r>
          </w:p>
          <w:p w14:paraId="3E0187D0">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 xml:space="preserve">④内容明显缺失或未提供的不得分。 </w:t>
            </w:r>
          </w:p>
        </w:tc>
        <w:tc>
          <w:tcPr>
            <w:tcW w:w="1398" w:type="dxa"/>
            <w:tcBorders>
              <w:top w:val="single" w:color="auto" w:sz="4" w:space="0"/>
              <w:left w:val="single" w:color="auto" w:sz="4" w:space="0"/>
              <w:bottom w:val="single" w:color="auto" w:sz="4" w:space="0"/>
              <w:right w:val="single" w:color="auto" w:sz="4" w:space="0"/>
            </w:tcBorders>
            <w:vAlign w:val="center"/>
          </w:tcPr>
          <w:p w14:paraId="319F6873">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0EB0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5152A86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continue"/>
            <w:tcBorders>
              <w:left w:val="single" w:color="auto" w:sz="4" w:space="0"/>
              <w:right w:val="single" w:color="auto" w:sz="4" w:space="0"/>
            </w:tcBorders>
            <w:shd w:val="clear" w:color="auto" w:fill="auto"/>
            <w:vAlign w:val="center"/>
          </w:tcPr>
          <w:p w14:paraId="2B69511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3F6141B8">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（4）变更控制：</w:t>
            </w:r>
          </w:p>
          <w:p w14:paraId="6EF69EB9">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根据监理大纲中包含的变更控制措施符合采购需求的程度，由评标委员会进行综合评审：</w:t>
            </w:r>
          </w:p>
          <w:p w14:paraId="2E79A474">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①变更控制措施、方案内容完备的得5分；</w:t>
            </w:r>
          </w:p>
          <w:p w14:paraId="20AE9C4D">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②具有变更控制具体措施完整且满足本项目需求的得3分；</w:t>
            </w:r>
          </w:p>
          <w:p w14:paraId="33437B01">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③变更控制措施简单空洞的得1分；</w:t>
            </w:r>
          </w:p>
          <w:p w14:paraId="4B385885">
            <w:pPr>
              <w:keepNext w:val="0"/>
              <w:keepLines w:val="0"/>
              <w:pageBreakBefore w:val="0"/>
              <w:widowControl w:val="0"/>
              <w:numPr>
                <w:ilvl w:val="0"/>
                <w:numId w:val="0"/>
              </w:numPr>
              <w:kinsoku/>
              <w:wordWrap/>
              <w:overflowPunct/>
              <w:topLinePunct w:val="0"/>
              <w:autoSpaceDE/>
              <w:autoSpaceDN/>
              <w:bidi w:val="0"/>
              <w:spacing w:line="440" w:lineRule="exact"/>
              <w:ind w:left="0" w:leftChars="0" w:firstLine="0" w:firstLineChars="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④内容明显缺失或未提供的不得分。</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372EF07">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highlight w:val="none"/>
                <w:lang w:val="en-US" w:eastAsia="zh-CN"/>
              </w:rPr>
              <w:t>0-5分</w:t>
            </w:r>
          </w:p>
        </w:tc>
      </w:tr>
      <w:tr w14:paraId="54AF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6" w:type="dxa"/>
            <w:vMerge w:val="continue"/>
            <w:tcBorders>
              <w:left w:val="single" w:color="auto" w:sz="4" w:space="0"/>
              <w:right w:val="single" w:color="auto" w:sz="4" w:space="0"/>
            </w:tcBorders>
            <w:vAlign w:val="center"/>
          </w:tcPr>
          <w:p w14:paraId="10B2CF9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continue"/>
            <w:tcBorders>
              <w:left w:val="single" w:color="auto" w:sz="4" w:space="0"/>
              <w:bottom w:val="single" w:color="auto" w:sz="4" w:space="0"/>
              <w:right w:val="single" w:color="auto" w:sz="4" w:space="0"/>
            </w:tcBorders>
            <w:shd w:val="clear" w:color="auto" w:fill="auto"/>
            <w:vAlign w:val="center"/>
          </w:tcPr>
          <w:p w14:paraId="143FC6B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E857D9C">
            <w:pPr>
              <w:keepNext w:val="0"/>
              <w:keepLines w:val="0"/>
              <w:pageBreakBefore w:val="0"/>
              <w:widowControl w:val="0"/>
              <w:numPr>
                <w:ilvl w:val="0"/>
                <w:numId w:val="0"/>
              </w:numPr>
              <w:kinsoku/>
              <w:wordWrap/>
              <w:overflowPunct/>
              <w:topLinePunct w:val="0"/>
              <w:autoSpaceDE/>
              <w:autoSpaceDN/>
              <w:bidi w:val="0"/>
              <w:spacing w:line="440" w:lineRule="exact"/>
              <w:ind w:left="0" w:leftChars="0" w:firstLine="0" w:firstLineChars="0"/>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（5）合同与信息管理方案</w:t>
            </w:r>
          </w:p>
          <w:p w14:paraId="5C8AFEFE">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根据监理大纲中包含的合同与信息管理方案符合采购需求的程度，由评标委员会进行综合评审：</w:t>
            </w:r>
          </w:p>
          <w:p w14:paraId="661E2782">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①方案内容详细齐全且利于项目实施的得5分；</w:t>
            </w:r>
          </w:p>
          <w:p w14:paraId="257079DE">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②方案内容合理可行的得3分；</w:t>
            </w:r>
          </w:p>
          <w:p w14:paraId="46C52325">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③方案内容有待完善的得1分；</w:t>
            </w:r>
          </w:p>
          <w:p w14:paraId="0BE105CD">
            <w:pPr>
              <w:keepNext w:val="0"/>
              <w:keepLines w:val="0"/>
              <w:pageBreakBefore w:val="0"/>
              <w:widowControl w:val="0"/>
              <w:numPr>
                <w:ilvl w:val="0"/>
                <w:numId w:val="0"/>
              </w:numPr>
              <w:kinsoku/>
              <w:wordWrap/>
              <w:overflowPunct/>
              <w:topLinePunct w:val="0"/>
              <w:autoSpaceDE/>
              <w:autoSpaceDN/>
              <w:bidi w:val="0"/>
              <w:spacing w:line="440" w:lineRule="exact"/>
              <w:ind w:left="0" w:leftChars="0" w:firstLine="0" w:firstLineChars="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④内容明显缺失或未提供的不得分。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F9C9278">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21AB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1086" w:type="dxa"/>
            <w:vMerge w:val="continue"/>
            <w:tcBorders>
              <w:left w:val="single" w:color="auto" w:sz="4" w:space="0"/>
              <w:right w:val="single" w:color="auto" w:sz="4" w:space="0"/>
            </w:tcBorders>
            <w:vAlign w:val="center"/>
          </w:tcPr>
          <w:p w14:paraId="5BFF03E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9BCC346">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lang w:val="en-US" w:eastAsia="zh-CN"/>
              </w:rPr>
              <w:t xml:space="preserve">4.协调方法和措施 </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14599C23">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评标委员会根据投标人投标文件中提供的协调方法和措施的科学合理性、有针对性、有明确的措施来保障配合建设</w:t>
            </w:r>
          </w:p>
          <w:p w14:paraId="4BB997F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方高质高效完成项目建设，进行综合评审：</w:t>
            </w:r>
          </w:p>
          <w:p w14:paraId="58C55F00">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①协调方法与措施利于项目实施的得5分；</w:t>
            </w:r>
          </w:p>
          <w:p w14:paraId="2B7F99EC">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②协调方法与措施描述完整的得 3分；</w:t>
            </w:r>
          </w:p>
          <w:p w14:paraId="6D53BC6C">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③协调方法与措施有待完善的得1分；</w:t>
            </w:r>
          </w:p>
          <w:p w14:paraId="793C16C7">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④未提供相关材料的不得分。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300A62A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164B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2" w:hRule="atLeast"/>
          <w:jc w:val="center"/>
        </w:trPr>
        <w:tc>
          <w:tcPr>
            <w:tcW w:w="1086" w:type="dxa"/>
            <w:vMerge w:val="continue"/>
            <w:tcBorders>
              <w:left w:val="single" w:color="auto" w:sz="4" w:space="0"/>
              <w:right w:val="single" w:color="auto" w:sz="4" w:space="0"/>
            </w:tcBorders>
            <w:vAlign w:val="center"/>
          </w:tcPr>
          <w:p w14:paraId="74E2F2B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37C18D6">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lang w:val="en-US" w:eastAsia="zh-CN"/>
              </w:rPr>
              <w:t>5.文档管理计划</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4B9BB881">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评标委员会根据投标人投标文件中提供的针对本项目的文档管理计划(包括项目文档清单等)进行综合评审：</w:t>
            </w:r>
          </w:p>
          <w:p w14:paraId="6A166DFD">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①计划具有针对性、可操作性，内容完整详实的得5分；</w:t>
            </w:r>
          </w:p>
          <w:p w14:paraId="7B3AD0EE">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②计划具有合理性，满足项目需求的得3分；</w:t>
            </w:r>
          </w:p>
          <w:p w14:paraId="230B3B23">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③计划无可行性、合理性的得1分；</w:t>
            </w:r>
          </w:p>
          <w:p w14:paraId="75002F3E">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pacing w:val="4"/>
                <w:kern w:val="2"/>
                <w:sz w:val="24"/>
                <w:szCs w:val="24"/>
                <w:highlight w:val="none"/>
                <w:lang w:val="en-US" w:eastAsia="zh-CN" w:bidi="ar-SA"/>
              </w:rPr>
            </w:pPr>
            <w:r>
              <w:rPr>
                <w:rFonts w:hint="eastAsia" w:ascii="宋体" w:hAnsi="宋体" w:eastAsia="宋体" w:cs="宋体"/>
                <w:color w:val="auto"/>
                <w:sz w:val="24"/>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18BD387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04CF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8" w:hRule="atLeast"/>
          <w:jc w:val="center"/>
        </w:trPr>
        <w:tc>
          <w:tcPr>
            <w:tcW w:w="1086" w:type="dxa"/>
            <w:vMerge w:val="continue"/>
            <w:tcBorders>
              <w:left w:val="single" w:color="auto" w:sz="4" w:space="0"/>
              <w:right w:val="single" w:color="auto" w:sz="4" w:space="0"/>
            </w:tcBorders>
            <w:vAlign w:val="center"/>
          </w:tcPr>
          <w:p w14:paraId="5568E33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5E7776D">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lang w:val="en-US" w:eastAsia="zh-CN"/>
              </w:rPr>
              <w:t>6.应急预案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FB1AC0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投标人提供应急预案，包括但不限于根据投标人对发生突发事件和紧急事件时的应急预案的完善性、合理性、可行性、针对性的材料等，由评标委员会进行综合评审： </w:t>
            </w:r>
          </w:p>
          <w:p w14:paraId="63BA0B04">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①方案内容详尽，具有可操作性的得5分； </w:t>
            </w:r>
          </w:p>
          <w:p w14:paraId="0158AD9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②方案内容具体，能够满足采购项目后期突发状况要求，且合理的得3分； </w:t>
            </w:r>
          </w:p>
          <w:p w14:paraId="462CF5F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③方案缺少对项目突发紧急情况的针对性的得1分； </w:t>
            </w:r>
          </w:p>
          <w:p w14:paraId="0E49B100">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4FC1E623">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b w:val="0"/>
                <w:bCs w:val="0"/>
                <w:color w:val="auto"/>
                <w:sz w:val="24"/>
                <w:szCs w:val="28"/>
                <w:highlight w:val="none"/>
                <w:lang w:val="en-US" w:eastAsia="zh-CN"/>
              </w:rPr>
              <w:t>0-5分</w:t>
            </w:r>
          </w:p>
        </w:tc>
      </w:tr>
      <w:tr w14:paraId="608D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86" w:type="dxa"/>
            <w:vMerge w:val="continue"/>
            <w:tcBorders>
              <w:left w:val="single" w:color="auto" w:sz="4" w:space="0"/>
              <w:right w:val="single" w:color="auto" w:sz="4" w:space="0"/>
            </w:tcBorders>
            <w:vAlign w:val="center"/>
          </w:tcPr>
          <w:p w14:paraId="1E2025F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2884135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8"/>
                <w:highlight w:val="none"/>
                <w:lang w:val="en-US" w:eastAsia="zh-CN"/>
              </w:rPr>
              <w:t>7.安全管理方案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FFE3076">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评标委员会根据投标人投标文件中提供的安全管理方案，由评标委员会进行综合评审：</w:t>
            </w:r>
          </w:p>
          <w:p w14:paraId="23D6657F">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①方案详尽完整，有针对性的，完全响应采购文件要求的得5分；</w:t>
            </w:r>
          </w:p>
          <w:p w14:paraId="2F69805B">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②方案合理可行、但缺乏针对性的得3分；</w:t>
            </w:r>
          </w:p>
          <w:p w14:paraId="6F6C8392">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③方案有缺失，或逻辑混乱的得1分；</w:t>
            </w:r>
          </w:p>
          <w:p w14:paraId="366A08E9">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5C74508B">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b w:val="0"/>
                <w:bCs w:val="0"/>
                <w:color w:val="auto"/>
                <w:sz w:val="24"/>
                <w:highlight w:val="none"/>
                <w:lang w:val="en-US" w:eastAsia="zh-CN"/>
              </w:rPr>
              <w:t>0-5分</w:t>
            </w:r>
          </w:p>
        </w:tc>
      </w:tr>
      <w:tr w14:paraId="438D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2" w:hRule="atLeast"/>
          <w:jc w:val="center"/>
        </w:trPr>
        <w:tc>
          <w:tcPr>
            <w:tcW w:w="1086" w:type="dxa"/>
            <w:vMerge w:val="continue"/>
            <w:tcBorders>
              <w:left w:val="single" w:color="auto" w:sz="4" w:space="0"/>
              <w:right w:val="single" w:color="auto" w:sz="4" w:space="0"/>
            </w:tcBorders>
            <w:vAlign w:val="center"/>
          </w:tcPr>
          <w:p w14:paraId="5290634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26CB1E0E">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8"/>
                <w:highlight w:val="none"/>
                <w:lang w:val="en-US" w:eastAsia="zh-CN"/>
              </w:rPr>
              <w:t>8.</w:t>
            </w:r>
            <w:r>
              <w:rPr>
                <w:rFonts w:hint="eastAsia" w:ascii="宋体" w:hAnsi="宋体" w:eastAsia="宋体" w:cs="宋体"/>
                <w:color w:val="auto"/>
                <w:sz w:val="24"/>
                <w:highlight w:val="none"/>
                <w:lang w:val="en-US" w:eastAsia="zh-CN"/>
              </w:rPr>
              <w:t>增值服务</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C05BD4C">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针对本项目提供建设、试运行、培训、验收阶段的增值服务，包括但不限于人员配置、工作流程、响应机制等，及时响应招标人的需求，由评标委员会进行综合评审：</w:t>
            </w:r>
          </w:p>
          <w:p w14:paraId="437DC1BF">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①增值服务内容详实、具有可操作性的得5分；</w:t>
            </w:r>
          </w:p>
          <w:p w14:paraId="1FCE712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②增值服务内容完整的得3分；</w:t>
            </w:r>
          </w:p>
          <w:p w14:paraId="3063D82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③增值服务内容简单有待提升的得1分；</w:t>
            </w:r>
          </w:p>
          <w:p w14:paraId="4EF0E8D0">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w:t>
            </w:r>
            <w:r>
              <w:rPr>
                <w:rFonts w:hint="eastAsia" w:ascii="宋体" w:hAnsi="宋体" w:eastAsia="宋体" w:cs="宋体"/>
                <w:color w:val="auto"/>
                <w:sz w:val="24"/>
                <w:highlight w:val="none"/>
                <w:lang w:val="en-US" w:eastAsia="zh-Hans"/>
              </w:rPr>
              <w:t>未提供</w:t>
            </w:r>
            <w:r>
              <w:rPr>
                <w:rFonts w:hint="eastAsia" w:ascii="宋体" w:hAnsi="宋体" w:eastAsia="宋体" w:cs="宋体"/>
                <w:color w:val="auto"/>
                <w:sz w:val="24"/>
                <w:highlight w:val="none"/>
                <w:lang w:val="en-US" w:eastAsia="zh-CN"/>
              </w:rPr>
              <w:t>的不得分</w:t>
            </w:r>
            <w:r>
              <w:rPr>
                <w:rFonts w:hint="eastAsia" w:ascii="宋体" w:hAnsi="宋体" w:eastAsia="宋体" w:cs="宋体"/>
                <w:color w:val="auto"/>
                <w:sz w:val="24"/>
                <w:highlight w:val="none"/>
                <w:lang w:val="en-US" w:eastAsia="zh-Hans"/>
              </w:rPr>
              <w:t>。</w:t>
            </w:r>
          </w:p>
        </w:tc>
        <w:tc>
          <w:tcPr>
            <w:tcW w:w="1398" w:type="dxa"/>
            <w:tcBorders>
              <w:top w:val="single" w:color="auto" w:sz="4" w:space="0"/>
              <w:left w:val="single" w:color="auto" w:sz="4" w:space="0"/>
              <w:bottom w:val="single" w:color="auto" w:sz="4" w:space="0"/>
              <w:right w:val="single" w:color="auto" w:sz="4" w:space="0"/>
            </w:tcBorders>
            <w:vAlign w:val="center"/>
          </w:tcPr>
          <w:p w14:paraId="1D23BBA7">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27A6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tcBorders>
              <w:left w:val="single" w:color="auto" w:sz="4" w:space="0"/>
              <w:right w:val="single" w:color="auto" w:sz="4" w:space="0"/>
            </w:tcBorders>
            <w:vAlign w:val="center"/>
          </w:tcPr>
          <w:p w14:paraId="1A8C9F1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w:t>
            </w:r>
          </w:p>
          <w:p w14:paraId="2B9559A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分）</w:t>
            </w:r>
          </w:p>
        </w:tc>
        <w:tc>
          <w:tcPr>
            <w:tcW w:w="8701" w:type="dxa"/>
            <w:gridSpan w:val="3"/>
            <w:tcBorders>
              <w:top w:val="single" w:color="auto" w:sz="4" w:space="0"/>
              <w:left w:val="single" w:color="auto" w:sz="4" w:space="0"/>
              <w:bottom w:val="single" w:color="auto" w:sz="4" w:space="0"/>
              <w:right w:val="single" w:color="auto" w:sz="4" w:space="0"/>
            </w:tcBorders>
            <w:vAlign w:val="center"/>
          </w:tcPr>
          <w:p w14:paraId="266C53D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分。其他</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的价格分统一按照下列公式计算：</w:t>
            </w:r>
          </w:p>
          <w:p w14:paraId="0057142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投标报价得分＝（评标基准价/投标报价）×</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％×100</w:t>
            </w:r>
          </w:p>
          <w:p w14:paraId="3DE81AB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注:上述价格如有前附表规定的扣除，则按扣除后价格参与评审</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投标总价报价精确到小数点后两位，第三位四舍五入。</w:t>
            </w:r>
          </w:p>
        </w:tc>
      </w:tr>
    </w:tbl>
    <w:p w14:paraId="2AD4588C">
      <w:pPr>
        <w:spacing w:line="440" w:lineRule="exact"/>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第3包：</w:t>
      </w:r>
    </w:p>
    <w:p w14:paraId="2A5FFC16">
      <w:pPr>
        <w:spacing w:line="440" w:lineRule="exact"/>
        <w:ind w:firstLine="435"/>
        <w:rPr>
          <w:rFonts w:hint="eastAsia" w:ascii="宋体" w:hAnsi="宋体" w:eastAsia="宋体" w:cs="宋体"/>
          <w:color w:val="000000"/>
          <w:spacing w:val="0"/>
          <w:kern w:val="0"/>
          <w:position w:val="0"/>
          <w:sz w:val="24"/>
          <w:szCs w:val="24"/>
          <w:highlight w:val="none"/>
          <w:lang w:val="en-US" w:eastAsia="zh-CN" w:bidi="ar"/>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val="en-US" w:eastAsia="zh-CN"/>
        </w:rPr>
        <w:t>包</w:t>
      </w:r>
      <w:r>
        <w:rPr>
          <w:rFonts w:hint="eastAsia" w:asciiTheme="minorEastAsia" w:hAnsiTheme="minorEastAsia" w:eastAsiaTheme="minorEastAsia"/>
          <w:color w:val="auto"/>
          <w:sz w:val="24"/>
          <w:highlight w:val="none"/>
        </w:rPr>
        <w:t>综合评分满分为100分，其</w:t>
      </w:r>
      <w:r>
        <w:rPr>
          <w:rFonts w:hint="eastAsia" w:asciiTheme="minorEastAsia" w:hAnsiTheme="minorEastAsia" w:eastAsiaTheme="minorEastAsia"/>
          <w:color w:val="auto"/>
          <w:sz w:val="24"/>
          <w:highlight w:val="none"/>
          <w:lang w:val="en-US" w:eastAsia="zh-CN"/>
        </w:rPr>
        <w:t>中：资信分值占总分值的权重为30%，技术分值占总分值的权重为50%，价格分值占总分值的权重为20%。具体评分细</w:t>
      </w:r>
      <w:r>
        <w:rPr>
          <w:rFonts w:hint="eastAsia" w:ascii="宋体" w:hAnsi="宋体" w:eastAsia="宋体" w:cs="宋体"/>
          <w:color w:val="000000"/>
          <w:spacing w:val="0"/>
          <w:kern w:val="0"/>
          <w:position w:val="0"/>
          <w:sz w:val="24"/>
          <w:szCs w:val="24"/>
          <w:highlight w:val="none"/>
          <w:lang w:val="en-US" w:eastAsia="zh-CN" w:bidi="ar"/>
        </w:rPr>
        <w:t>则如下：</w:t>
      </w:r>
    </w:p>
    <w:tbl>
      <w:tblPr>
        <w:tblStyle w:val="28"/>
        <w:tblW w:w="57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843"/>
        <w:gridCol w:w="5460"/>
        <w:gridCol w:w="1398"/>
      </w:tblGrid>
      <w:tr w14:paraId="75C2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6" w:type="dxa"/>
            <w:tcBorders>
              <w:top w:val="single" w:color="auto" w:sz="4" w:space="0"/>
              <w:left w:val="single" w:color="auto" w:sz="4" w:space="0"/>
              <w:bottom w:val="single" w:color="auto" w:sz="4" w:space="0"/>
              <w:right w:val="single" w:color="auto" w:sz="4" w:space="0"/>
            </w:tcBorders>
            <w:vAlign w:val="center"/>
          </w:tcPr>
          <w:p w14:paraId="1F5E062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类别</w:t>
            </w:r>
          </w:p>
        </w:tc>
        <w:tc>
          <w:tcPr>
            <w:tcW w:w="1843" w:type="dxa"/>
            <w:tcBorders>
              <w:top w:val="single" w:color="auto" w:sz="4" w:space="0"/>
              <w:left w:val="single" w:color="auto" w:sz="4" w:space="0"/>
              <w:bottom w:val="single" w:color="auto" w:sz="4" w:space="0"/>
              <w:right w:val="single" w:color="auto" w:sz="4" w:space="0"/>
            </w:tcBorders>
            <w:vAlign w:val="center"/>
          </w:tcPr>
          <w:p w14:paraId="0E455E0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评分内容</w:t>
            </w:r>
          </w:p>
        </w:tc>
        <w:tc>
          <w:tcPr>
            <w:tcW w:w="5460" w:type="dxa"/>
            <w:tcBorders>
              <w:top w:val="single" w:color="auto" w:sz="4" w:space="0"/>
              <w:left w:val="single" w:color="auto" w:sz="4" w:space="0"/>
              <w:bottom w:val="single" w:color="auto" w:sz="4" w:space="0"/>
              <w:right w:val="single" w:color="auto" w:sz="4" w:space="0"/>
            </w:tcBorders>
            <w:vAlign w:val="center"/>
          </w:tcPr>
          <w:p w14:paraId="06FFECB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评分标准</w:t>
            </w:r>
          </w:p>
        </w:tc>
        <w:tc>
          <w:tcPr>
            <w:tcW w:w="1398" w:type="dxa"/>
            <w:tcBorders>
              <w:top w:val="single" w:color="auto" w:sz="4" w:space="0"/>
              <w:left w:val="single" w:color="auto" w:sz="4" w:space="0"/>
              <w:bottom w:val="single" w:color="auto" w:sz="4" w:space="0"/>
              <w:right w:val="single" w:color="auto" w:sz="4" w:space="0"/>
            </w:tcBorders>
            <w:vAlign w:val="center"/>
          </w:tcPr>
          <w:p w14:paraId="110ECE7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分值范围</w:t>
            </w:r>
          </w:p>
        </w:tc>
      </w:tr>
      <w:tr w14:paraId="2649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restart"/>
            <w:tcBorders>
              <w:left w:val="single" w:color="auto" w:sz="4" w:space="0"/>
              <w:right w:val="single" w:color="auto" w:sz="4" w:space="0"/>
            </w:tcBorders>
            <w:vAlign w:val="center"/>
          </w:tcPr>
          <w:p w14:paraId="34E3F65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资信</w:t>
            </w:r>
            <w:r>
              <w:rPr>
                <w:rFonts w:hint="eastAsia" w:ascii="宋体" w:hAnsi="宋体" w:eastAsia="宋体" w:cs="宋体"/>
                <w:b w:val="0"/>
                <w:bCs w:val="0"/>
                <w:color w:val="auto"/>
                <w:sz w:val="24"/>
                <w:szCs w:val="24"/>
                <w:highlight w:val="none"/>
              </w:rPr>
              <w:t>分</w:t>
            </w:r>
          </w:p>
          <w:p w14:paraId="409F175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30</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39E779B">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1.投标人</w:t>
            </w:r>
            <w:r>
              <w:rPr>
                <w:rFonts w:hint="eastAsia" w:ascii="宋体" w:hAnsi="宋体" w:eastAsia="宋体" w:cs="宋体"/>
                <w:b w:val="0"/>
                <w:bCs w:val="0"/>
                <w:color w:val="auto"/>
                <w:sz w:val="24"/>
                <w:szCs w:val="24"/>
                <w:highlight w:val="none"/>
              </w:rPr>
              <w:t>业绩</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36AAD76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自20</w:t>
            </w:r>
            <w:r>
              <w:rPr>
                <w:rFonts w:hint="eastAsia" w:ascii="宋体" w:hAnsi="宋体" w:eastAsia="宋体" w:cs="宋体"/>
                <w:color w:val="auto"/>
                <w:sz w:val="24"/>
                <w:szCs w:val="24"/>
                <w:highlight w:val="none"/>
                <w:lang w:val="en-US" w:eastAsia="zh-CN" w:bidi="ar"/>
              </w:rPr>
              <w:t>23</w:t>
            </w:r>
            <w:r>
              <w:rPr>
                <w:rFonts w:hint="eastAsia" w:ascii="宋体" w:hAnsi="宋体" w:eastAsia="宋体" w:cs="宋体"/>
                <w:color w:val="auto"/>
                <w:sz w:val="24"/>
                <w:szCs w:val="24"/>
                <w:highlight w:val="none"/>
                <w:lang w:val="zh-CN" w:eastAsia="zh-CN" w:bidi="ar"/>
              </w:rPr>
              <w:t>年</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月</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val="zh-CN" w:eastAsia="zh-CN" w:bidi="ar"/>
              </w:rPr>
              <w:t>日</w:t>
            </w:r>
            <w:r>
              <w:rPr>
                <w:rFonts w:hint="eastAsia" w:ascii="宋体" w:hAnsi="宋体" w:eastAsia="宋体" w:cs="宋体"/>
                <w:color w:val="auto"/>
                <w:sz w:val="24"/>
                <w:szCs w:val="24"/>
                <w:highlight w:val="none"/>
                <w:lang w:val="en-US" w:eastAsia="zh-CN" w:bidi="ar"/>
              </w:rPr>
              <w:t>至投标截止日</w:t>
            </w: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投标人具有软件评测业绩，每</w:t>
            </w:r>
            <w:r>
              <w:rPr>
                <w:rFonts w:hint="eastAsia" w:ascii="宋体" w:hAnsi="宋体" w:eastAsia="宋体" w:cs="宋体"/>
                <w:color w:val="auto"/>
                <w:sz w:val="24"/>
                <w:szCs w:val="24"/>
                <w:highlight w:val="none"/>
                <w:lang w:val="zh-CN" w:eastAsia="zh-CN" w:bidi="ar"/>
              </w:rPr>
              <w:t>提供一个得</w:t>
            </w:r>
            <w:r>
              <w:rPr>
                <w:rFonts w:hint="eastAsia" w:ascii="宋体" w:hAnsi="宋体" w:eastAsia="宋体" w:cs="宋体"/>
                <w:color w:val="auto"/>
                <w:sz w:val="24"/>
                <w:szCs w:val="24"/>
                <w:highlight w:val="none"/>
                <w:lang w:val="en-US" w:eastAsia="zh-CN" w:bidi="ar"/>
              </w:rPr>
              <w:t>2</w:t>
            </w:r>
            <w:r>
              <w:rPr>
                <w:rFonts w:hint="eastAsia" w:ascii="宋体" w:hAnsi="宋体" w:eastAsia="宋体" w:cs="宋体"/>
                <w:color w:val="auto"/>
                <w:sz w:val="24"/>
                <w:szCs w:val="24"/>
                <w:highlight w:val="none"/>
                <w:lang w:val="zh-CN" w:eastAsia="zh-CN" w:bidi="ar"/>
              </w:rPr>
              <w:t>分</w:t>
            </w:r>
            <w:r>
              <w:rPr>
                <w:rFonts w:hint="eastAsia" w:ascii="宋体" w:hAnsi="宋体" w:eastAsia="宋体" w:cs="宋体"/>
                <w:color w:val="auto"/>
                <w:sz w:val="24"/>
                <w:szCs w:val="24"/>
                <w:highlight w:val="none"/>
                <w:lang w:val="en-US" w:eastAsia="zh-CN" w:bidi="ar"/>
              </w:rPr>
              <w:t>，</w:t>
            </w:r>
            <w:r>
              <w:rPr>
                <w:rFonts w:hint="eastAsia" w:ascii="宋体" w:hAnsi="宋体" w:eastAsia="宋体" w:cs="宋体"/>
                <w:color w:val="auto"/>
                <w:sz w:val="24"/>
                <w:szCs w:val="24"/>
                <w:highlight w:val="none"/>
                <w:lang w:val="zh-CN" w:eastAsia="zh-CN" w:bidi="ar"/>
              </w:rPr>
              <w:t>其他的不得分，最高得</w:t>
            </w: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val="zh-CN" w:eastAsia="zh-CN" w:bidi="ar"/>
              </w:rPr>
              <w:t>分。</w:t>
            </w:r>
          </w:p>
          <w:p w14:paraId="26E857D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注：①投标文件中提供业绩合同扫描件，时间以合同签订时间为准；若合同材料中无法体现签订时间、</w:t>
            </w:r>
            <w:r>
              <w:rPr>
                <w:rFonts w:hint="eastAsia" w:ascii="宋体" w:hAnsi="宋体" w:eastAsia="宋体" w:cs="宋体"/>
                <w:color w:val="auto"/>
                <w:sz w:val="24"/>
                <w:szCs w:val="24"/>
                <w:highlight w:val="none"/>
                <w:lang w:val="en-US" w:eastAsia="zh-CN" w:bidi="ar"/>
              </w:rPr>
              <w:t>业绩</w:t>
            </w:r>
            <w:r>
              <w:rPr>
                <w:rFonts w:hint="eastAsia" w:ascii="宋体" w:hAnsi="宋体" w:eastAsia="宋体" w:cs="宋体"/>
                <w:color w:val="auto"/>
                <w:sz w:val="24"/>
                <w:szCs w:val="24"/>
                <w:highlight w:val="none"/>
                <w:lang w:val="zh-CN" w:eastAsia="zh-CN" w:bidi="ar"/>
              </w:rPr>
              <w:t>内容等关键评审因素的，须另</w:t>
            </w:r>
            <w:r>
              <w:rPr>
                <w:rFonts w:hint="eastAsia" w:ascii="宋体" w:hAnsi="宋体" w:eastAsia="宋体" w:cs="宋体"/>
                <w:color w:val="auto"/>
                <w:sz w:val="24"/>
                <w:szCs w:val="24"/>
                <w:highlight w:val="none"/>
                <w:lang w:val="en-US" w:eastAsia="zh-CN" w:bidi="ar"/>
              </w:rPr>
              <w:t>外提供</w:t>
            </w:r>
            <w:r>
              <w:rPr>
                <w:rFonts w:hint="eastAsia" w:ascii="宋体" w:hAnsi="宋体" w:eastAsia="宋体" w:cs="宋体"/>
                <w:color w:val="auto"/>
                <w:sz w:val="24"/>
                <w:szCs w:val="24"/>
                <w:highlight w:val="none"/>
                <w:lang w:val="zh-CN" w:eastAsia="zh-CN" w:bidi="ar"/>
              </w:rPr>
              <w:t>业主（合同甲方）出具的</w:t>
            </w:r>
            <w:r>
              <w:rPr>
                <w:rFonts w:hint="eastAsia" w:ascii="宋体" w:hAnsi="宋体" w:eastAsia="宋体" w:cs="宋体"/>
                <w:color w:val="auto"/>
                <w:sz w:val="24"/>
                <w:szCs w:val="24"/>
                <w:highlight w:val="none"/>
                <w:lang w:val="en-US" w:eastAsia="zh-CN" w:bidi="ar"/>
              </w:rPr>
              <w:t>盖章证明材料扫描件</w:t>
            </w:r>
            <w:r>
              <w:rPr>
                <w:rFonts w:hint="eastAsia" w:ascii="宋体" w:hAnsi="宋体" w:eastAsia="宋体" w:cs="宋体"/>
                <w:color w:val="auto"/>
                <w:sz w:val="24"/>
                <w:szCs w:val="24"/>
                <w:highlight w:val="none"/>
                <w:lang w:val="zh-CN" w:eastAsia="zh-CN" w:bidi="ar"/>
              </w:rPr>
              <w:t>。</w:t>
            </w:r>
          </w:p>
          <w:p w14:paraId="707F112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②</w:t>
            </w:r>
            <w:r>
              <w:rPr>
                <w:rFonts w:hint="eastAsia" w:ascii="宋体" w:hAnsi="宋体" w:eastAsia="宋体" w:cs="宋体"/>
                <w:color w:val="auto"/>
                <w:sz w:val="24"/>
                <w:szCs w:val="24"/>
                <w:highlight w:val="none"/>
                <w:lang w:val="en-US" w:eastAsia="zh-CN" w:bidi="ar"/>
              </w:rPr>
              <w:t>分年度签订的</w:t>
            </w:r>
            <w:r>
              <w:rPr>
                <w:rFonts w:hint="eastAsia" w:ascii="宋体" w:hAnsi="宋体" w:eastAsia="宋体" w:cs="宋体"/>
                <w:color w:val="auto"/>
                <w:sz w:val="24"/>
                <w:szCs w:val="24"/>
                <w:highlight w:val="none"/>
                <w:lang w:val="zh-CN" w:eastAsia="zh-CN" w:bidi="ar"/>
              </w:rPr>
              <w:t>同一</w:t>
            </w:r>
            <w:r>
              <w:rPr>
                <w:rFonts w:hint="eastAsia" w:ascii="宋体" w:hAnsi="宋体" w:eastAsia="宋体" w:cs="宋体"/>
                <w:color w:val="auto"/>
                <w:sz w:val="24"/>
                <w:szCs w:val="24"/>
                <w:highlight w:val="none"/>
                <w:lang w:val="en-US" w:eastAsia="zh-CN" w:bidi="ar"/>
              </w:rPr>
              <w:t>项目业绩</w:t>
            </w:r>
            <w:r>
              <w:rPr>
                <w:rFonts w:hint="eastAsia" w:ascii="宋体" w:hAnsi="宋体" w:eastAsia="宋体" w:cs="宋体"/>
                <w:color w:val="auto"/>
                <w:sz w:val="24"/>
                <w:szCs w:val="24"/>
                <w:highlight w:val="none"/>
                <w:lang w:val="zh-CN" w:eastAsia="zh-CN" w:bidi="ar"/>
              </w:rPr>
              <w:t>不重复计分。</w:t>
            </w:r>
          </w:p>
          <w:p w14:paraId="2FC23FE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en-US" w:eastAsia="zh-CN" w:bidi="ar"/>
              </w:rPr>
              <w:t>③投标人</w:t>
            </w:r>
            <w:r>
              <w:rPr>
                <w:rFonts w:hint="eastAsia" w:ascii="宋体" w:hAnsi="宋体" w:eastAsia="宋体" w:cs="宋体"/>
                <w:color w:val="auto"/>
                <w:sz w:val="24"/>
                <w:szCs w:val="24"/>
                <w:highlight w:val="none"/>
                <w:lang w:val="zh-CN" w:eastAsia="zh-CN" w:bidi="ar"/>
              </w:rPr>
              <w:t>只需提供2个评审业绩，若</w:t>
            </w:r>
            <w:r>
              <w:rPr>
                <w:rFonts w:hint="eastAsia" w:ascii="宋体" w:hAnsi="宋体" w:eastAsia="宋体" w:cs="宋体"/>
                <w:color w:val="auto"/>
                <w:sz w:val="24"/>
                <w:szCs w:val="24"/>
                <w:highlight w:val="none"/>
                <w:lang w:val="en-US" w:eastAsia="zh-CN" w:bidi="ar"/>
              </w:rPr>
              <w:t>投标人</w:t>
            </w:r>
            <w:r>
              <w:rPr>
                <w:rFonts w:hint="eastAsia" w:ascii="宋体" w:hAnsi="宋体" w:eastAsia="宋体" w:cs="宋体"/>
                <w:color w:val="auto"/>
                <w:sz w:val="24"/>
                <w:szCs w:val="24"/>
                <w:highlight w:val="none"/>
                <w:lang w:val="zh-CN" w:eastAsia="zh-CN" w:bidi="ar"/>
              </w:rPr>
              <w:t>提供业绩个数超过2个，则按照排列顺序从首个业绩开始评审至对应数量（2个），超出部分业绩不进行评审。对应数量（2个）业绩不符合</w:t>
            </w:r>
            <w:r>
              <w:rPr>
                <w:rFonts w:hint="eastAsia" w:ascii="宋体" w:hAnsi="宋体" w:eastAsia="宋体" w:cs="宋体"/>
                <w:color w:val="auto"/>
                <w:sz w:val="24"/>
                <w:szCs w:val="24"/>
                <w:highlight w:val="none"/>
                <w:lang w:val="en-US" w:eastAsia="zh-CN" w:bidi="ar"/>
              </w:rPr>
              <w:t>招标</w:t>
            </w:r>
            <w:r>
              <w:rPr>
                <w:rFonts w:hint="eastAsia" w:ascii="宋体" w:hAnsi="宋体" w:eastAsia="宋体" w:cs="宋体"/>
                <w:color w:val="auto"/>
                <w:sz w:val="24"/>
                <w:szCs w:val="24"/>
                <w:highlight w:val="none"/>
                <w:lang w:val="zh-CN" w:eastAsia="zh-CN" w:bidi="ar"/>
              </w:rPr>
              <w:t>文件要求不得分的，不再补充评审超出部分业绩。如：提供2个业绩即得满分的，按照响应文件排序评审第一、第二项业绩，其余超出部分不再评审。</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59C8BD8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w:t>
            </w:r>
          </w:p>
        </w:tc>
      </w:tr>
      <w:tr w14:paraId="4EC54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086" w:type="dxa"/>
            <w:vMerge w:val="continue"/>
            <w:tcBorders>
              <w:left w:val="single" w:color="auto" w:sz="4" w:space="0"/>
              <w:right w:val="single" w:color="auto" w:sz="4" w:space="0"/>
            </w:tcBorders>
            <w:vAlign w:val="center"/>
          </w:tcPr>
          <w:p w14:paraId="5BED287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433B5E8C">
            <w:pPr>
              <w:keepNext w:val="0"/>
              <w:keepLines w:val="0"/>
              <w:widowControl/>
              <w:suppressLineNumbers w:val="0"/>
              <w:jc w:val="center"/>
              <w:rPr>
                <w:rFonts w:hint="eastAsia" w:ascii="宋体" w:hAnsi="宋体" w:eastAsia="宋体" w:cs="宋体"/>
                <w:color w:val="000000"/>
                <w:spacing w:val="0"/>
                <w:kern w:val="0"/>
                <w:position w:val="0"/>
                <w:sz w:val="24"/>
                <w:szCs w:val="24"/>
                <w:highlight w:val="none"/>
                <w:lang w:val="en-US" w:eastAsia="zh-CN" w:bidi="ar"/>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color w:val="000000"/>
                <w:spacing w:val="0"/>
                <w:kern w:val="0"/>
                <w:position w:val="0"/>
                <w:sz w:val="24"/>
                <w:szCs w:val="24"/>
                <w:highlight w:val="none"/>
                <w:lang w:val="en-US" w:eastAsia="zh-CN" w:bidi="ar"/>
              </w:rPr>
              <w:t>项目负责人</w:t>
            </w:r>
          </w:p>
        </w:tc>
        <w:tc>
          <w:tcPr>
            <w:tcW w:w="5460" w:type="dxa"/>
            <w:tcBorders>
              <w:top w:val="single" w:color="auto" w:sz="4" w:space="0"/>
              <w:left w:val="single" w:color="auto" w:sz="4" w:space="0"/>
              <w:bottom w:val="single" w:color="auto" w:sz="4" w:space="0"/>
              <w:right w:val="single" w:color="auto" w:sz="4" w:space="0"/>
            </w:tcBorders>
            <w:vAlign w:val="center"/>
          </w:tcPr>
          <w:p w14:paraId="4CA53FB3">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拟配备项目负责人（1 人）具有计算机技术与软件专业技术资格（水平）的：</w:t>
            </w:r>
          </w:p>
          <w:p w14:paraId="2C60FA06">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（1）信息系统项目管理师证书的得2分，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r>
              <w:rPr>
                <w:rFonts w:hint="eastAsia" w:ascii="宋体" w:hAnsi="宋体" w:eastAsia="宋体" w:cs="宋体"/>
                <w:color w:val="auto"/>
                <w:sz w:val="24"/>
                <w:szCs w:val="24"/>
                <w:highlight w:val="none"/>
                <w:lang w:val="en-US" w:eastAsia="zh-CN"/>
              </w:rPr>
              <w:t>；</w:t>
            </w:r>
          </w:p>
          <w:p w14:paraId="058E035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（2）信息系统监理师证书的得2分，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p>
          <w:p w14:paraId="4C3E3405">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（3）软件评测师证书的得2分，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eastAsia="zh-CN"/>
              </w:rPr>
              <w:t>分。</w:t>
            </w:r>
          </w:p>
          <w:p w14:paraId="276F673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注：投标文件中须同时提供人员身份证、相应证书扫描件和社保部门出具的本单位为其缴纳的投标前近三个月内任意一月的养老保险证明或供应商提供承诺已为上述人员缴纳养老保险证明的承诺书（格式自拟）。</w:t>
            </w:r>
          </w:p>
        </w:tc>
        <w:tc>
          <w:tcPr>
            <w:tcW w:w="1398" w:type="dxa"/>
            <w:tcBorders>
              <w:top w:val="single" w:color="auto" w:sz="4" w:space="0"/>
              <w:left w:val="single" w:color="auto" w:sz="4" w:space="0"/>
              <w:bottom w:val="single" w:color="auto" w:sz="4" w:space="0"/>
              <w:right w:val="single" w:color="auto" w:sz="4" w:space="0"/>
            </w:tcBorders>
            <w:vAlign w:val="center"/>
          </w:tcPr>
          <w:p w14:paraId="1EF7803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0-6分</w:t>
            </w:r>
          </w:p>
        </w:tc>
      </w:tr>
      <w:tr w14:paraId="0028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086" w:type="dxa"/>
            <w:vMerge w:val="continue"/>
            <w:tcBorders>
              <w:left w:val="single" w:color="auto" w:sz="4" w:space="0"/>
              <w:right w:val="single" w:color="auto" w:sz="4" w:space="0"/>
            </w:tcBorders>
            <w:vAlign w:val="center"/>
          </w:tcPr>
          <w:p w14:paraId="3E4F38A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5F52276">
            <w:pPr>
              <w:keepNext w:val="0"/>
              <w:keepLines w:val="0"/>
              <w:widowControl/>
              <w:suppressLineNumbers w:val="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color w:val="000000"/>
                <w:spacing w:val="0"/>
                <w:kern w:val="0"/>
                <w:position w:val="0"/>
                <w:sz w:val="24"/>
                <w:szCs w:val="24"/>
                <w:highlight w:val="none"/>
                <w:lang w:val="en-US" w:eastAsia="zh-CN" w:bidi="ar"/>
              </w:rPr>
              <w:t>项目团队</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4A34396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除项目负责人以外，其他团队人员中具有计算机技术与软件专业技术资格（水平）的：</w:t>
            </w:r>
          </w:p>
          <w:p w14:paraId="03E14B2C">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en-US" w:eastAsia="zh-CN" w:bidi="ar"/>
              </w:rPr>
              <w:t>信息系统项目管理师</w:t>
            </w:r>
            <w:r>
              <w:rPr>
                <w:rFonts w:hint="eastAsia" w:ascii="宋体" w:hAnsi="宋体" w:eastAsia="宋体" w:cs="宋体"/>
                <w:color w:val="auto"/>
                <w:sz w:val="24"/>
                <w:szCs w:val="24"/>
                <w:highlight w:val="none"/>
                <w:lang w:val="en-US" w:eastAsia="zh-CN"/>
              </w:rPr>
              <w:t>证书、系统规划与管理师证书、软件评测师证书、网络工程师证书（或网络规划设计师证书）、信息安全工程师证书的，每提供一种证书得2分，</w:t>
            </w:r>
            <w:r>
              <w:rPr>
                <w:rFonts w:hint="eastAsia" w:ascii="宋体" w:hAnsi="宋体" w:eastAsia="宋体" w:cs="宋体"/>
                <w:color w:val="auto"/>
                <w:sz w:val="24"/>
                <w:szCs w:val="24"/>
                <w:highlight w:val="none"/>
                <w:lang w:val="zh-CN" w:eastAsia="zh-CN"/>
              </w:rPr>
              <w:t>其他的不得分，</w:t>
            </w:r>
            <w:r>
              <w:rPr>
                <w:rFonts w:hint="eastAsia" w:ascii="宋体" w:hAnsi="宋体" w:eastAsia="宋体" w:cs="宋体"/>
                <w:color w:val="auto"/>
                <w:sz w:val="24"/>
                <w:szCs w:val="24"/>
                <w:highlight w:val="none"/>
                <w:lang w:val="en-US" w:eastAsia="zh-CN"/>
              </w:rPr>
              <w:t>本条</w:t>
            </w:r>
            <w:r>
              <w:rPr>
                <w:rFonts w:hint="eastAsia" w:ascii="宋体" w:hAnsi="宋体" w:eastAsia="宋体" w:cs="宋体"/>
                <w:color w:val="auto"/>
                <w:sz w:val="24"/>
                <w:szCs w:val="24"/>
                <w:highlight w:val="none"/>
                <w:lang w:val="zh-CN" w:eastAsia="zh-CN"/>
              </w:rPr>
              <w:t>最高得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val="zh-CN" w:eastAsia="zh-CN"/>
              </w:rPr>
              <w:t>分。</w:t>
            </w:r>
          </w:p>
          <w:p w14:paraId="2EC0423A">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注：投标文件中须同时提供①人员配备名单（格式自拟，至少包含人员姓名、岗位安排）；②提供人员身份证和相应证书的扫描件；③社保部门出具的本单位为其缴纳的投标前近三个月内任意一月的养老保险证明或供应商提供承诺已为上述人员缴纳养老保险证明的承诺书（格式自拟）。</w:t>
            </w:r>
          </w:p>
          <w:p w14:paraId="129CC72B">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
              </w:rPr>
              <w:t xml:space="preserve">多人具有同1种证书的不重复计分，仅计分一次；同一人同时具有多种证书的可以重复计分。 </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421C63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0-10分</w:t>
            </w:r>
          </w:p>
        </w:tc>
      </w:tr>
      <w:tr w14:paraId="7359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1086" w:type="dxa"/>
            <w:vMerge w:val="continue"/>
            <w:tcBorders>
              <w:left w:val="single" w:color="auto" w:sz="4" w:space="0"/>
              <w:right w:val="single" w:color="auto" w:sz="4" w:space="0"/>
            </w:tcBorders>
            <w:vAlign w:val="center"/>
          </w:tcPr>
          <w:p w14:paraId="67DEBDB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D2B0988">
            <w:pPr>
              <w:keepNext w:val="0"/>
              <w:keepLines w:val="0"/>
              <w:widowControl/>
              <w:suppressLineNumbers w:val="0"/>
              <w:jc w:val="center"/>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4.工具配备情况 </w:t>
            </w:r>
          </w:p>
          <w:p w14:paraId="7C3FED42">
            <w:pPr>
              <w:keepNext w:val="0"/>
              <w:keepLines w:val="0"/>
              <w:widowControl/>
              <w:suppressLineNumbers w:val="0"/>
              <w:jc w:val="center"/>
              <w:rPr>
                <w:rFonts w:hint="default"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vAlign w:val="center"/>
          </w:tcPr>
          <w:p w14:paraId="554D6B69">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投标人为本项目配备以下专业工具：</w:t>
            </w:r>
          </w:p>
          <w:p w14:paraId="64F0493B">
            <w:pPr>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（1）</w:t>
            </w:r>
            <w:r>
              <w:rPr>
                <w:rFonts w:hint="eastAsia" w:ascii="宋体" w:hAnsi="宋体" w:eastAsia="宋体" w:cs="宋体"/>
                <w:color w:val="auto"/>
                <w:sz w:val="24"/>
                <w:szCs w:val="24"/>
                <w:highlight w:val="none"/>
                <w:lang w:val="en-US" w:eastAsia="zh-CN" w:bidi="ar"/>
              </w:rPr>
              <w:t>软件性能测试类工具；</w:t>
            </w:r>
          </w:p>
          <w:p w14:paraId="715B728B">
            <w:pPr>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网络调试类工具；</w:t>
            </w:r>
          </w:p>
          <w:p w14:paraId="2CAE7021">
            <w:pPr>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（3）</w:t>
            </w:r>
            <w:r>
              <w:rPr>
                <w:rFonts w:hint="eastAsia" w:ascii="宋体" w:hAnsi="宋体" w:eastAsia="宋体" w:cs="宋体"/>
                <w:color w:val="auto"/>
                <w:sz w:val="24"/>
                <w:szCs w:val="24"/>
                <w:highlight w:val="none"/>
                <w:lang w:val="en-US" w:eastAsia="zh-CN" w:bidi="ar"/>
              </w:rPr>
              <w:t>软件测试全生命周期管理类工具；</w:t>
            </w:r>
          </w:p>
          <w:p w14:paraId="41451194">
            <w:pPr>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（4）</w:t>
            </w:r>
            <w:r>
              <w:rPr>
                <w:rFonts w:hint="eastAsia" w:ascii="宋体" w:hAnsi="宋体" w:eastAsia="宋体" w:cs="宋体"/>
                <w:color w:val="auto"/>
                <w:sz w:val="24"/>
                <w:szCs w:val="24"/>
                <w:highlight w:val="none"/>
                <w:lang w:val="en-US" w:eastAsia="zh-CN" w:bidi="ar"/>
              </w:rPr>
              <w:t>WEB 自动化浏览器测试类工具；</w:t>
            </w:r>
          </w:p>
          <w:p w14:paraId="66533DBF">
            <w:pPr>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（5）</w:t>
            </w:r>
            <w:r>
              <w:rPr>
                <w:rFonts w:hint="eastAsia" w:ascii="宋体" w:hAnsi="宋体" w:eastAsia="宋体" w:cs="宋体"/>
                <w:color w:val="auto"/>
                <w:sz w:val="24"/>
                <w:szCs w:val="24"/>
                <w:highlight w:val="none"/>
                <w:lang w:val="en-US" w:eastAsia="zh-CN" w:bidi="ar"/>
              </w:rPr>
              <w:t>Bug 记录及跟踪类工具；</w:t>
            </w:r>
          </w:p>
          <w:p w14:paraId="60170ED0">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每提供一类得2分，其他的不得分，最高得</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val="zh-CN" w:eastAsia="zh-CN" w:bidi="ar"/>
              </w:rPr>
              <w:t>分。</w:t>
            </w:r>
          </w:p>
          <w:p w14:paraId="107BC829">
            <w:pPr>
              <w:keepNext w:val="0"/>
              <w:keepLines w:val="0"/>
              <w:pageBreakBefore w:val="0"/>
              <w:numPr>
                <w:ilvl w:val="0"/>
                <w:numId w:val="0"/>
              </w:numPr>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 xml:space="preserve">注：以上工具为投标人购买或自主研发均可，若为购买，投标文件中须提供工具的购买合同及发票扫描件；若为自主研发，投标文件中须提供计算机软件著作权登记证书扫描件，否则不得分。 </w:t>
            </w:r>
          </w:p>
        </w:tc>
        <w:tc>
          <w:tcPr>
            <w:tcW w:w="1398" w:type="dxa"/>
            <w:tcBorders>
              <w:top w:val="single" w:color="auto" w:sz="4" w:space="0"/>
              <w:left w:val="single" w:color="auto" w:sz="4" w:space="0"/>
              <w:bottom w:val="single" w:color="auto" w:sz="4" w:space="0"/>
              <w:right w:val="single" w:color="auto" w:sz="4" w:space="0"/>
            </w:tcBorders>
            <w:vAlign w:val="center"/>
          </w:tcPr>
          <w:p w14:paraId="4AE5981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0-10分</w:t>
            </w:r>
          </w:p>
        </w:tc>
      </w:tr>
      <w:tr w14:paraId="3573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restart"/>
            <w:tcBorders>
              <w:left w:val="single" w:color="auto" w:sz="4" w:space="0"/>
              <w:right w:val="single" w:color="auto" w:sz="4" w:space="0"/>
            </w:tcBorders>
            <w:vAlign w:val="center"/>
          </w:tcPr>
          <w:p w14:paraId="6096E68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技术</w:t>
            </w:r>
            <w:r>
              <w:rPr>
                <w:rFonts w:hint="eastAsia" w:ascii="宋体" w:hAnsi="宋体" w:eastAsia="宋体" w:cs="宋体"/>
                <w:b w:val="0"/>
                <w:bCs w:val="0"/>
                <w:color w:val="auto"/>
                <w:sz w:val="24"/>
                <w:szCs w:val="24"/>
                <w:highlight w:val="none"/>
              </w:rPr>
              <w:t>分</w:t>
            </w:r>
          </w:p>
          <w:p w14:paraId="1EE41EF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50</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right w:val="single" w:color="auto" w:sz="4" w:space="0"/>
            </w:tcBorders>
            <w:vAlign w:val="center"/>
          </w:tcPr>
          <w:p w14:paraId="7E1AC3D5">
            <w:pPr>
              <w:keepNext w:val="0"/>
              <w:keepLines w:val="0"/>
              <w:widowControl/>
              <w:suppressLineNumbers w:val="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b w:val="0"/>
                <w:bCs w:val="0"/>
                <w:color w:val="auto"/>
                <w:sz w:val="24"/>
                <w:szCs w:val="28"/>
                <w:highlight w:val="none"/>
                <w:lang w:val="en-US" w:eastAsia="zh-CN"/>
              </w:rPr>
              <w:t>项目建设内容理解</w:t>
            </w:r>
          </w:p>
        </w:tc>
        <w:tc>
          <w:tcPr>
            <w:tcW w:w="5460" w:type="dxa"/>
            <w:tcBorders>
              <w:top w:val="single" w:color="auto" w:sz="4" w:space="0"/>
              <w:left w:val="single" w:color="auto" w:sz="4" w:space="0"/>
              <w:bottom w:val="single" w:color="auto" w:sz="4" w:space="0"/>
              <w:right w:val="single" w:color="auto" w:sz="4" w:space="0"/>
            </w:tcBorders>
            <w:vAlign w:val="center"/>
          </w:tcPr>
          <w:p w14:paraId="4A30AC35">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评标委员会根据投标人投标文件中提供的项目建设内容理解，由评标委员会进行综合评审：</w:t>
            </w:r>
          </w:p>
          <w:p w14:paraId="70CB160F">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①对项目建设内容有完整的工作分析的得5分；</w:t>
            </w:r>
          </w:p>
          <w:p w14:paraId="7E880053">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②对项目建设内容有工作描述的得3分；</w:t>
            </w:r>
          </w:p>
          <w:p w14:paraId="2616304C">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③对项目建设内容理有偏差的得1分；</w:t>
            </w:r>
          </w:p>
          <w:p w14:paraId="3686D7BB">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b w:val="0"/>
                <w:bCs w:val="0"/>
                <w:color w:val="auto"/>
                <w:sz w:val="24"/>
                <w:szCs w:val="28"/>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728C05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762A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7020277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right w:val="single" w:color="auto" w:sz="4" w:space="0"/>
            </w:tcBorders>
            <w:vAlign w:val="center"/>
          </w:tcPr>
          <w:p w14:paraId="25D7A066">
            <w:pPr>
              <w:keepNext w:val="0"/>
              <w:keepLines w:val="0"/>
              <w:widowControl/>
              <w:suppressLineNumbers w:val="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2.项目的目标、重点和难点分析</w:t>
            </w:r>
          </w:p>
        </w:tc>
        <w:tc>
          <w:tcPr>
            <w:tcW w:w="5460" w:type="dxa"/>
            <w:tcBorders>
              <w:top w:val="single" w:color="auto" w:sz="4" w:space="0"/>
              <w:left w:val="single" w:color="auto" w:sz="4" w:space="0"/>
              <w:bottom w:val="single" w:color="auto" w:sz="4" w:space="0"/>
              <w:right w:val="single" w:color="auto" w:sz="4" w:space="0"/>
            </w:tcBorders>
            <w:vAlign w:val="center"/>
          </w:tcPr>
          <w:p w14:paraId="7797B797">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评标委员会根据投标人投标文件中提供的项目项目的目标、重点和难点分析，由评标委员会进行综合评审：</w:t>
            </w:r>
          </w:p>
          <w:p w14:paraId="4FCFA4E5">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①对项目目标理解透彻，重难点把握到位的得5分；</w:t>
            </w:r>
          </w:p>
          <w:p w14:paraId="25790B54">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②对项目目标理解清楚，突出重难点的得3分；</w:t>
            </w:r>
          </w:p>
          <w:p w14:paraId="4F9BCD29">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③对项目目标理解有待提高，没有完全覆盖项目重难点的得1分；</w:t>
            </w:r>
          </w:p>
          <w:p w14:paraId="44993CBD">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EA3C72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5C52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5EF69E5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restart"/>
            <w:tcBorders>
              <w:top w:val="single" w:color="auto" w:sz="4" w:space="0"/>
              <w:left w:val="single" w:color="auto" w:sz="4" w:space="0"/>
              <w:right w:val="single" w:color="auto" w:sz="4" w:space="0"/>
            </w:tcBorders>
            <w:vAlign w:val="center"/>
          </w:tcPr>
          <w:p w14:paraId="2EC311B7">
            <w:pPr>
              <w:keepNext w:val="0"/>
              <w:keepLines w:val="0"/>
              <w:widowControl/>
              <w:suppressLineNumbers w:val="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3.评测方案</w:t>
            </w:r>
            <w:r>
              <w:rPr>
                <w:rFonts w:hint="default" w:ascii="宋体" w:hAnsi="宋体" w:eastAsia="宋体" w:cs="宋体"/>
                <w:color w:val="auto"/>
                <w:sz w:val="24"/>
                <w:highlight w:val="none"/>
                <w:lang w:val="en-US" w:eastAsia="zh-CN"/>
              </w:rPr>
              <w:t xml:space="preserve"> </w:t>
            </w:r>
          </w:p>
        </w:tc>
        <w:tc>
          <w:tcPr>
            <w:tcW w:w="5460" w:type="dxa"/>
            <w:tcBorders>
              <w:top w:val="single" w:color="auto" w:sz="4" w:space="0"/>
              <w:left w:val="single" w:color="auto" w:sz="4" w:space="0"/>
              <w:bottom w:val="single" w:color="auto" w:sz="4" w:space="0"/>
              <w:right w:val="single" w:color="auto" w:sz="4" w:space="0"/>
            </w:tcBorders>
            <w:vAlign w:val="center"/>
          </w:tcPr>
          <w:p w14:paraId="7DEC00A4">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（1）评测流程、策略、方法： </w:t>
            </w:r>
          </w:p>
          <w:p w14:paraId="29F8B3C2">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①评测流程清晰、全面、切实可行；评测策略和方法覆盖全部服务内容，细致准确，得5分； </w:t>
            </w:r>
          </w:p>
          <w:p w14:paraId="37023D60">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②评测流程较清晰、全面，可行性有待提升；评测策略和方法覆盖全部服务内容，得3分； </w:t>
            </w:r>
          </w:p>
          <w:p w14:paraId="6D5B44BD">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③）评测流程需要改进，一定程度影响项目实施；评测策略和方法基本覆盖全部服务内容，但有欠缺，得1分； </w:t>
            </w:r>
          </w:p>
          <w:p w14:paraId="52EF9794">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8"/>
                <w:highlight w:val="none"/>
                <w:lang w:val="en-US" w:eastAsia="zh-CN"/>
              </w:rPr>
              <w:t>④相关内容偏离项目需求、偏离客观现实或未提供的不得分。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341D5375">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4B08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0607A08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vMerge w:val="continue"/>
            <w:tcBorders>
              <w:left w:val="single" w:color="auto" w:sz="4" w:space="0"/>
              <w:right w:val="single" w:color="auto" w:sz="4" w:space="0"/>
            </w:tcBorders>
            <w:vAlign w:val="center"/>
          </w:tcPr>
          <w:p w14:paraId="7FE90D9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vAlign w:val="center"/>
          </w:tcPr>
          <w:p w14:paraId="78723F77">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（2）进度安排： </w:t>
            </w:r>
          </w:p>
          <w:p w14:paraId="13334186">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根据评测方案中包含的项目目标、范围、任务和依据、进度控制措施符合采购需求的程度、评测工作措施等内容情况，由评标委员会进行综合评审： </w:t>
            </w:r>
          </w:p>
          <w:p w14:paraId="5D09B7BD">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①进度控制措施详尽且贴合项目特点的得5分； </w:t>
            </w:r>
          </w:p>
          <w:p w14:paraId="3E48A423">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②进度控制措施方案内容完整的得3分； </w:t>
            </w:r>
          </w:p>
          <w:p w14:paraId="61325CD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③进度控制措施有偏差，影响到项目 </w:t>
            </w:r>
          </w:p>
          <w:p w14:paraId="4C02C665">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实施的得1分； </w:t>
            </w:r>
          </w:p>
          <w:p w14:paraId="4DE1E31C">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④内容明显缺失或未提供的不得分。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75E81EC2">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36DF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9" w:hRule="atLeast"/>
          <w:jc w:val="center"/>
        </w:trPr>
        <w:tc>
          <w:tcPr>
            <w:tcW w:w="1086" w:type="dxa"/>
            <w:vMerge w:val="continue"/>
            <w:tcBorders>
              <w:left w:val="single" w:color="auto" w:sz="4" w:space="0"/>
              <w:right w:val="single" w:color="auto" w:sz="4" w:space="0"/>
            </w:tcBorders>
            <w:vAlign w:val="center"/>
          </w:tcPr>
          <w:p w14:paraId="3883FC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27F287E">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4.协调方法和措施 </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066F1F7F">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评标委员会根据投标人投标文件中提供的协调方法和措施的科学合理性、有针对性、有明确的措施来保障配合建设</w:t>
            </w:r>
          </w:p>
          <w:p w14:paraId="2448DE1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方高质高效完成项目建设，进行综合评审：</w:t>
            </w:r>
          </w:p>
          <w:p w14:paraId="49B56DDB">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①协调方法与措施利于项目实施的得5分；</w:t>
            </w:r>
          </w:p>
          <w:p w14:paraId="2C18B9E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②协调方法与措施描述完整的得 3分；</w:t>
            </w:r>
          </w:p>
          <w:p w14:paraId="0B314EC2">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③协调方法与措施有待完善的得1分；</w:t>
            </w:r>
          </w:p>
          <w:p w14:paraId="6B05339E">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④未提供相关材料的不得分。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3BDA08DF">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34B6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2" w:hRule="atLeast"/>
          <w:jc w:val="center"/>
        </w:trPr>
        <w:tc>
          <w:tcPr>
            <w:tcW w:w="1086" w:type="dxa"/>
            <w:vMerge w:val="continue"/>
            <w:tcBorders>
              <w:left w:val="single" w:color="auto" w:sz="4" w:space="0"/>
              <w:right w:val="single" w:color="auto" w:sz="4" w:space="0"/>
            </w:tcBorders>
            <w:vAlign w:val="center"/>
          </w:tcPr>
          <w:p w14:paraId="120783A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86BA4C1">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5.项目管理方案</w:t>
            </w:r>
          </w:p>
          <w:p w14:paraId="11465E28">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highlight w:val="none"/>
                <w:lang w:val="en-US" w:eastAsia="zh-CN"/>
              </w:rPr>
            </w:pP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0B49F13E">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评标委员会根据投标人投标文件中提供的针对本项目的项目管理办法是否完整、全面、可行、覆盖评测全部过程，人员是否配备充足、搭配可行，工作流程和岗位职责是否描述清晰、切实可行进行综合评审：</w:t>
            </w:r>
          </w:p>
          <w:p w14:paraId="303B82CF">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①方案具有针对性、可操作性，内容完整详实的得5分；</w:t>
            </w:r>
          </w:p>
          <w:p w14:paraId="5608627A">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②方案具有合理性，满足项目需求的得3分；</w:t>
            </w:r>
          </w:p>
          <w:p w14:paraId="67C08955">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③方案无可行性、合理性的得1分；</w:t>
            </w:r>
          </w:p>
          <w:p w14:paraId="6CF93E26">
            <w:pPr>
              <w:keepNext w:val="0"/>
              <w:keepLines w:val="0"/>
              <w:pageBreakBefore w:val="0"/>
              <w:widowControl w:val="0"/>
              <w:kinsoku/>
              <w:wordWrap w:val="0"/>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pacing w:val="4"/>
                <w:kern w:val="2"/>
                <w:sz w:val="24"/>
                <w:szCs w:val="24"/>
                <w:highlight w:val="none"/>
                <w:lang w:val="en-US" w:eastAsia="zh-CN" w:bidi="ar-SA"/>
              </w:rPr>
            </w:pPr>
            <w:r>
              <w:rPr>
                <w:rFonts w:hint="eastAsia" w:ascii="宋体" w:hAnsi="宋体" w:eastAsia="宋体" w:cs="宋体"/>
                <w:color w:val="auto"/>
                <w:sz w:val="24"/>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430C5C3C">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highlight w:val="none"/>
                <w:lang w:val="en-US" w:eastAsia="zh-CN"/>
              </w:rPr>
              <w:t>0-5分</w:t>
            </w:r>
          </w:p>
        </w:tc>
      </w:tr>
      <w:tr w14:paraId="10C6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jc w:val="center"/>
        </w:trPr>
        <w:tc>
          <w:tcPr>
            <w:tcW w:w="1086" w:type="dxa"/>
            <w:vMerge w:val="continue"/>
            <w:tcBorders>
              <w:left w:val="single" w:color="auto" w:sz="4" w:space="0"/>
              <w:right w:val="single" w:color="auto" w:sz="4" w:space="0"/>
            </w:tcBorders>
            <w:vAlign w:val="center"/>
          </w:tcPr>
          <w:p w14:paraId="4A587BA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93AB9DB">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6.资源配置方案 </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15F93496">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项目实施中关于环境、工具、协同、文档等内容描述是否理解清晰，内容完整，便于服务顺利开展： </w:t>
            </w:r>
          </w:p>
          <w:p w14:paraId="4B7C51C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①方案全面详尽，定位准确，服务内容有针对性的，得5分；</w:t>
            </w:r>
          </w:p>
          <w:p w14:paraId="5AE4C92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②方案符合实际，具有实用性的，得3分； </w:t>
            </w:r>
          </w:p>
          <w:p w14:paraId="37BD9BB7">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③方案初步符合要求，有待提升完善的，得1分；</w:t>
            </w:r>
          </w:p>
          <w:p w14:paraId="65EF9B7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④未提供相关材料的不得分。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51C0B3CB">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1191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8" w:hRule="atLeast"/>
          <w:jc w:val="center"/>
        </w:trPr>
        <w:tc>
          <w:tcPr>
            <w:tcW w:w="1086" w:type="dxa"/>
            <w:vMerge w:val="continue"/>
            <w:tcBorders>
              <w:left w:val="single" w:color="auto" w:sz="4" w:space="0"/>
              <w:right w:val="single" w:color="auto" w:sz="4" w:space="0"/>
            </w:tcBorders>
            <w:vAlign w:val="center"/>
          </w:tcPr>
          <w:p w14:paraId="610ECF3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BDB63C9">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7.应急预案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53EC06FA">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投标人提供应急预案，包括但不限于根据投标人对发生突发事件和紧急事件时的应急预案的完善性、合理性、可行性、针对性的材料等，由评标委员会进行综合评审： </w:t>
            </w:r>
          </w:p>
          <w:p w14:paraId="7E9D7E91">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①方案内容详尽，具有可操作性的得5分； </w:t>
            </w:r>
          </w:p>
          <w:p w14:paraId="243175AD">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②方案内容具体，能够满足采购项目后期突发状况要求，且合理的得3分； </w:t>
            </w:r>
          </w:p>
          <w:p w14:paraId="7100B048">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③方案缺少对项目突发紧急情况的针对性的得1分； </w:t>
            </w:r>
          </w:p>
          <w:p w14:paraId="7A3ACE05">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32C6EB23">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b w:val="0"/>
                <w:bCs w:val="0"/>
                <w:color w:val="auto"/>
                <w:sz w:val="24"/>
                <w:szCs w:val="28"/>
                <w:highlight w:val="none"/>
                <w:lang w:val="en-US" w:eastAsia="zh-CN"/>
              </w:rPr>
              <w:t>0-5分</w:t>
            </w:r>
          </w:p>
        </w:tc>
      </w:tr>
      <w:tr w14:paraId="4BB2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086" w:type="dxa"/>
            <w:vMerge w:val="continue"/>
            <w:tcBorders>
              <w:left w:val="single" w:color="auto" w:sz="4" w:space="0"/>
              <w:right w:val="single" w:color="auto" w:sz="4" w:space="0"/>
            </w:tcBorders>
            <w:vAlign w:val="center"/>
          </w:tcPr>
          <w:p w14:paraId="7859D6C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BD70A8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8"/>
                <w:highlight w:val="none"/>
                <w:lang w:val="en-US" w:eastAsia="zh-CN"/>
              </w:rPr>
              <w:t>8.安全管理方案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0CAD18B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评标委员会根据投标人投标文件中提供的安全管理方案，由评标委员会进行综合评审：</w:t>
            </w:r>
          </w:p>
          <w:p w14:paraId="167E9FD6">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①方案详尽完整，有针对性的，完全响应采购文件要求的得5分；</w:t>
            </w:r>
          </w:p>
          <w:p w14:paraId="22563C22">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②方案合理可行、但缺乏针对性的得3分；</w:t>
            </w:r>
          </w:p>
          <w:p w14:paraId="59114591">
            <w:pPr>
              <w:keepNext w:val="0"/>
              <w:keepLines w:val="0"/>
              <w:pageBreakBefore w:val="0"/>
              <w:widowControl w:val="0"/>
              <w:numPr>
                <w:ilvl w:val="0"/>
                <w:numId w:val="0"/>
              </w:numPr>
              <w:kinsoku/>
              <w:wordWrap/>
              <w:overflowPunct/>
              <w:topLinePunct w:val="0"/>
              <w:autoSpaceDE/>
              <w:autoSpaceDN/>
              <w:bidi w:val="0"/>
              <w:spacing w:line="44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③方案有缺失，或逻辑混乱的得1分；</w:t>
            </w:r>
          </w:p>
          <w:p w14:paraId="0EEB8F09">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highlight w:val="none"/>
                <w:lang w:val="en-US" w:eastAsia="zh-CN"/>
              </w:rPr>
              <w:t>④未提供任何内容的不得分。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73C1EAE">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b w:val="0"/>
                <w:bCs w:val="0"/>
                <w:color w:val="auto"/>
                <w:sz w:val="24"/>
                <w:highlight w:val="none"/>
                <w:lang w:val="en-US" w:eastAsia="zh-CN"/>
              </w:rPr>
              <w:t>0-5分</w:t>
            </w:r>
          </w:p>
        </w:tc>
      </w:tr>
      <w:tr w14:paraId="571C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2" w:hRule="atLeast"/>
          <w:jc w:val="center"/>
        </w:trPr>
        <w:tc>
          <w:tcPr>
            <w:tcW w:w="1086" w:type="dxa"/>
            <w:vMerge w:val="continue"/>
            <w:tcBorders>
              <w:left w:val="single" w:color="auto" w:sz="4" w:space="0"/>
              <w:right w:val="single" w:color="auto" w:sz="4" w:space="0"/>
            </w:tcBorders>
            <w:vAlign w:val="center"/>
          </w:tcPr>
          <w:p w14:paraId="7259B12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104AA96F">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9.质量保障措施</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0A9E943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项目实施中质量保障的方法、目标、内容与流程、项目管理制度： </w:t>
            </w:r>
          </w:p>
          <w:p w14:paraId="57011BBD">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①质量保障措施详细齐全，方案内容完备且利于项目实施的得5分； </w:t>
            </w:r>
          </w:p>
          <w:p w14:paraId="4B11B6D2">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②质量保障措施满足本项目需求的得3分； </w:t>
            </w:r>
          </w:p>
          <w:p w14:paraId="6C501661">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b w:val="0"/>
                <w:bCs w:val="0"/>
                <w:color w:val="auto"/>
                <w:sz w:val="24"/>
                <w:szCs w:val="28"/>
                <w:highlight w:val="none"/>
                <w:lang w:val="en-US" w:eastAsia="zh-CN"/>
              </w:rPr>
            </w:pPr>
            <w:r>
              <w:rPr>
                <w:rFonts w:hint="eastAsia" w:ascii="宋体" w:hAnsi="宋体" w:eastAsia="宋体" w:cs="宋体"/>
                <w:b w:val="0"/>
                <w:bCs w:val="0"/>
                <w:color w:val="auto"/>
                <w:sz w:val="24"/>
                <w:szCs w:val="28"/>
                <w:highlight w:val="none"/>
                <w:lang w:val="en-US" w:eastAsia="zh-CN"/>
              </w:rPr>
              <w:t xml:space="preserve">③质量保障措施有欠缺，方案内容有缺失，影响到项目实施的得1分； </w:t>
            </w:r>
          </w:p>
          <w:p w14:paraId="0FEC5BDC">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b w:val="0"/>
                <w:bCs w:val="0"/>
                <w:color w:val="auto"/>
                <w:sz w:val="24"/>
                <w:szCs w:val="28"/>
                <w:highlight w:val="none"/>
                <w:lang w:val="en-US" w:eastAsia="zh-CN"/>
              </w:rPr>
              <w:t>④相关内容偏离项目需求、偏离客观现实或未提供的不得分。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33E69F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highlight w:val="none"/>
                <w:lang w:val="en-US" w:eastAsia="zh-CN"/>
              </w:rPr>
              <w:t>0-5分</w:t>
            </w:r>
          </w:p>
        </w:tc>
      </w:tr>
      <w:tr w14:paraId="573B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tcBorders>
              <w:left w:val="single" w:color="auto" w:sz="4" w:space="0"/>
              <w:right w:val="single" w:color="auto" w:sz="4" w:space="0"/>
            </w:tcBorders>
            <w:vAlign w:val="center"/>
          </w:tcPr>
          <w:p w14:paraId="475F38B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w:t>
            </w:r>
          </w:p>
          <w:p w14:paraId="6D6E594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分）</w:t>
            </w:r>
          </w:p>
        </w:tc>
        <w:tc>
          <w:tcPr>
            <w:tcW w:w="8701" w:type="dxa"/>
            <w:gridSpan w:val="3"/>
            <w:tcBorders>
              <w:top w:val="single" w:color="auto" w:sz="4" w:space="0"/>
              <w:left w:val="single" w:color="auto" w:sz="4" w:space="0"/>
              <w:bottom w:val="single" w:color="auto" w:sz="4" w:space="0"/>
              <w:right w:val="single" w:color="auto" w:sz="4" w:space="0"/>
            </w:tcBorders>
            <w:vAlign w:val="center"/>
          </w:tcPr>
          <w:p w14:paraId="556970F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分。其他</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的价格分统一按照下列公式计算：</w:t>
            </w:r>
          </w:p>
          <w:p w14:paraId="046D2FE3">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投标报价得分＝（评标基准价/投标报价）×</w:t>
            </w:r>
            <w:r>
              <w:rPr>
                <w:rFonts w:hint="eastAsia" w:ascii="宋体" w:hAnsi="宋体" w:eastAsia="宋体" w:cs="宋体"/>
                <w:b w:val="0"/>
                <w:bCs w:val="0"/>
                <w:color w:val="auto"/>
                <w:sz w:val="24"/>
                <w:szCs w:val="24"/>
                <w:highlight w:val="none"/>
                <w:u w:val="single"/>
                <w:lang w:val="en-US" w:eastAsia="zh-CN"/>
              </w:rPr>
              <w:t>20</w:t>
            </w:r>
            <w:r>
              <w:rPr>
                <w:rFonts w:hint="eastAsia" w:ascii="宋体" w:hAnsi="宋体" w:eastAsia="宋体" w:cs="宋体"/>
                <w:b w:val="0"/>
                <w:bCs w:val="0"/>
                <w:color w:val="auto"/>
                <w:sz w:val="24"/>
                <w:szCs w:val="24"/>
                <w:highlight w:val="none"/>
              </w:rPr>
              <w:t>％×100</w:t>
            </w:r>
          </w:p>
          <w:p w14:paraId="605E8A2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注:上述价格如有前附表规定的扣除，则按扣除后价格参与评审</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投标总价报价精确到小数点后两位，第三位四舍五入。</w:t>
            </w:r>
          </w:p>
        </w:tc>
      </w:tr>
    </w:tbl>
    <w:p w14:paraId="5D4525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3AEAE3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3B78B1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2FCC6605">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79C0E48C">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3.1投标文件有下列情形之一的,其投标文件拒收:</w:t>
      </w:r>
    </w:p>
    <w:p w14:paraId="1B0400B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w:t>
      </w:r>
      <w:r>
        <w:rPr>
          <w:rFonts w:hint="eastAsia" w:ascii="宋体" w:hAnsi="宋体" w:eastAsia="宋体" w:cs="宋体"/>
          <w:color w:val="auto"/>
          <w:sz w:val="24"/>
          <w:highlight w:val="none"/>
          <w:lang w:val="en-US" w:eastAsia="zh-CN"/>
        </w:rPr>
        <w:t>投</w:t>
      </w:r>
      <w:r>
        <w:rPr>
          <w:rFonts w:hint="eastAsia" w:ascii="宋体" w:hAnsi="宋体" w:eastAsia="宋体" w:cs="宋体"/>
          <w:color w:val="auto"/>
          <w:sz w:val="24"/>
          <w:highlight w:val="none"/>
        </w:rPr>
        <w:t>标截止时间前通过网上招标投标系统递交有效电子投标文件的，开标系统不予接收，投标将被拒绝。</w:t>
      </w:r>
    </w:p>
    <w:p w14:paraId="3507033C">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621ECB0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60EDF8B1">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16ABA839">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651FE2F3">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270A0C17">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1F173A9C">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39943FA8">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15C66F04">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5950BB19">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53D3C17A">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111A6F2E">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16759FF0">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3E5CE5E2">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720508">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(13)其它情形，经评标委员会委提出按无效投标处理，并经公共资源交易监督部门核准的；</w:t>
      </w:r>
    </w:p>
    <w:p w14:paraId="1D134A22">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2AC923B1">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2E0BC98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048052F7">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7BA11560">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76955525">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32FF90FA">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3BF80CE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458DFF6A">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03DF330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592051AD">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83E678">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(7)其它情形，经评标委员会委提出按无效投标处理，并经公共资源交易监督部门核准的；</w:t>
      </w:r>
    </w:p>
    <w:p w14:paraId="7DB07B8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2784612">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0B59A6D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36FEA40">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5E185F1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72F8584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124E4214">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6D9F9849">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2B875AE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(6)其它情形，经评标委员会委提出按无效投标处理，并经公共资源交易监督部门核准的；</w:t>
      </w:r>
    </w:p>
    <w:p w14:paraId="4469B2D0">
      <w:pPr>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17F3CB75">
      <w:pPr>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(6)其它情形，经评标委员会委提出按无效投标处理，并经公共资源交易监督部门核准的；</w:t>
      </w:r>
    </w:p>
    <w:p w14:paraId="031BEC8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(7)招标文件规定的其它无效投标情形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7A04E521">
      <w:pPr>
        <w:spacing w:line="360" w:lineRule="auto"/>
        <w:jc w:val="center"/>
        <w:outlineLvl w:val="0"/>
        <w:rPr>
          <w:rFonts w:hint="eastAsia" w:asciiTheme="minorEastAsia" w:hAnsiTheme="minorEastAsia" w:eastAsiaTheme="minorEastAsia"/>
          <w:b/>
          <w:color w:val="auto"/>
          <w:sz w:val="28"/>
          <w:highlight w:val="none"/>
          <w:lang w:eastAsia="zh-CN"/>
        </w:rPr>
      </w:pPr>
      <w:bookmarkStart w:id="218" w:name="_Toc20405"/>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218"/>
    </w:p>
    <w:p w14:paraId="045CD849">
      <w:pPr>
        <w:spacing w:line="480" w:lineRule="auto"/>
        <w:jc w:val="center"/>
        <w:outlineLvl w:val="9"/>
        <w:rPr>
          <w:rFonts w:cs="Times New Roman" w:asciiTheme="minorEastAsia" w:hAnsiTheme="minorEastAsia" w:eastAsiaTheme="minorEastAsia"/>
          <w:b/>
          <w:color w:val="auto"/>
          <w:sz w:val="28"/>
          <w:szCs w:val="28"/>
          <w:highlight w:val="none"/>
        </w:rPr>
      </w:pPr>
      <w:bookmarkStart w:id="219" w:name="_Toc331685784"/>
    </w:p>
    <w:p w14:paraId="1D746327">
      <w:pPr>
        <w:spacing w:line="480" w:lineRule="auto"/>
        <w:jc w:val="center"/>
        <w:outlineLvl w:val="9"/>
        <w:rPr>
          <w:rFonts w:cs="Times New Roman" w:asciiTheme="minorEastAsia" w:hAnsiTheme="minorEastAsia" w:eastAsiaTheme="minorEastAsia"/>
          <w:b/>
          <w:color w:val="auto"/>
          <w:sz w:val="28"/>
          <w:szCs w:val="28"/>
          <w:highlight w:val="none"/>
        </w:rPr>
      </w:pPr>
    </w:p>
    <w:p w14:paraId="37C41905">
      <w:pPr>
        <w:pStyle w:val="10"/>
        <w:rPr>
          <w:color w:val="auto"/>
          <w:highlight w:val="none"/>
        </w:rPr>
      </w:pPr>
    </w:p>
    <w:p w14:paraId="1D98AAA3">
      <w:pPr>
        <w:spacing w:line="480" w:lineRule="auto"/>
        <w:jc w:val="center"/>
        <w:outlineLvl w:val="1"/>
        <w:rPr>
          <w:rFonts w:cs="Times New Roman" w:asciiTheme="minorEastAsia" w:hAnsiTheme="minorEastAsia" w:eastAsiaTheme="minorEastAsia"/>
          <w:b/>
          <w:color w:val="auto"/>
          <w:sz w:val="28"/>
          <w:szCs w:val="28"/>
          <w:highlight w:val="none"/>
        </w:rPr>
      </w:pPr>
      <w:bookmarkStart w:id="220"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220"/>
    </w:p>
    <w:p w14:paraId="3C54C5FE">
      <w:pPr>
        <w:spacing w:line="480" w:lineRule="auto"/>
        <w:jc w:val="center"/>
        <w:outlineLvl w:val="1"/>
        <w:rPr>
          <w:rFonts w:cs="Times New Roman" w:asciiTheme="minorEastAsia" w:hAnsiTheme="minorEastAsia" w:eastAsiaTheme="minorEastAsia"/>
          <w:b/>
          <w:color w:val="auto"/>
          <w:sz w:val="28"/>
          <w:szCs w:val="28"/>
          <w:highlight w:val="none"/>
        </w:rPr>
      </w:pPr>
      <w:bookmarkStart w:id="221" w:name="_Toc8560"/>
      <w:r>
        <w:rPr>
          <w:rFonts w:hint="eastAsia" w:cs="Times New Roman" w:asciiTheme="minorEastAsia" w:hAnsiTheme="minorEastAsia" w:eastAsiaTheme="minorEastAsia"/>
          <w:b/>
          <w:color w:val="auto"/>
          <w:sz w:val="28"/>
          <w:szCs w:val="28"/>
          <w:highlight w:val="none"/>
        </w:rPr>
        <w:t>（服务类）</w:t>
      </w:r>
      <w:bookmarkEnd w:id="221"/>
    </w:p>
    <w:p w14:paraId="5B7D7CEA">
      <w:pPr>
        <w:spacing w:line="480" w:lineRule="auto"/>
        <w:jc w:val="center"/>
        <w:rPr>
          <w:rFonts w:cs="Times New Roman" w:asciiTheme="minorEastAsia" w:hAnsiTheme="minorEastAsia" w:eastAsiaTheme="minorEastAsia"/>
          <w:b/>
          <w:color w:val="auto"/>
          <w:sz w:val="24"/>
          <w:szCs w:val="24"/>
          <w:highlight w:val="none"/>
        </w:rPr>
      </w:pPr>
    </w:p>
    <w:p w14:paraId="7813424B">
      <w:pPr>
        <w:spacing w:line="480" w:lineRule="auto"/>
        <w:jc w:val="center"/>
        <w:rPr>
          <w:rFonts w:cs="Times New Roman" w:asciiTheme="minorEastAsia" w:hAnsiTheme="minorEastAsia" w:eastAsiaTheme="minorEastAsia"/>
          <w:b/>
          <w:color w:val="auto"/>
          <w:sz w:val="24"/>
          <w:szCs w:val="24"/>
          <w:highlight w:val="none"/>
        </w:rPr>
      </w:pPr>
    </w:p>
    <w:p w14:paraId="71C4DF86">
      <w:pPr>
        <w:spacing w:line="480" w:lineRule="auto"/>
        <w:jc w:val="center"/>
        <w:rPr>
          <w:rFonts w:cs="Times New Roman" w:asciiTheme="minorEastAsia" w:hAnsiTheme="minorEastAsia" w:eastAsiaTheme="minorEastAsia"/>
          <w:b/>
          <w:color w:val="auto"/>
          <w:sz w:val="24"/>
          <w:szCs w:val="24"/>
          <w:highlight w:val="none"/>
        </w:rPr>
      </w:pPr>
    </w:p>
    <w:p w14:paraId="17815A86">
      <w:pPr>
        <w:spacing w:line="360" w:lineRule="auto"/>
        <w:jc w:val="center"/>
        <w:outlineLvl w:val="1"/>
        <w:rPr>
          <w:rFonts w:asciiTheme="minorEastAsia" w:hAnsiTheme="minorEastAsia" w:eastAsiaTheme="minorEastAsia"/>
          <w:b/>
          <w:color w:val="auto"/>
          <w:sz w:val="24"/>
          <w:highlight w:val="none"/>
        </w:rPr>
      </w:pPr>
      <w:bookmarkStart w:id="222" w:name="_Toc2449"/>
      <w:r>
        <w:rPr>
          <w:rFonts w:hint="eastAsia" w:asciiTheme="minorEastAsia" w:hAnsiTheme="minorEastAsia" w:eastAsiaTheme="minorEastAsia"/>
          <w:b/>
          <w:color w:val="auto"/>
          <w:sz w:val="24"/>
          <w:highlight w:val="none"/>
        </w:rPr>
        <w:t>第一部分 合同书</w:t>
      </w:r>
      <w:bookmarkEnd w:id="222"/>
    </w:p>
    <w:p w14:paraId="2B651D48">
      <w:pPr>
        <w:spacing w:line="480" w:lineRule="auto"/>
        <w:jc w:val="center"/>
        <w:rPr>
          <w:rFonts w:cs="Times New Roman" w:asciiTheme="minorEastAsia" w:hAnsiTheme="minorEastAsia" w:eastAsiaTheme="minorEastAsia"/>
          <w:b/>
          <w:color w:val="auto"/>
          <w:sz w:val="24"/>
          <w:szCs w:val="24"/>
          <w:highlight w:val="none"/>
        </w:rPr>
      </w:pPr>
    </w:p>
    <w:p w14:paraId="53A83355">
      <w:pPr>
        <w:spacing w:line="480" w:lineRule="auto"/>
        <w:jc w:val="center"/>
        <w:rPr>
          <w:rFonts w:cs="Times New Roman" w:asciiTheme="minorEastAsia" w:hAnsiTheme="minorEastAsia" w:eastAsiaTheme="minorEastAsia"/>
          <w:b/>
          <w:color w:val="auto"/>
          <w:sz w:val="24"/>
          <w:szCs w:val="24"/>
          <w:highlight w:val="none"/>
        </w:rPr>
      </w:pPr>
    </w:p>
    <w:p w14:paraId="36FFA834">
      <w:pPr>
        <w:pStyle w:val="10"/>
        <w:rPr>
          <w:color w:val="auto"/>
          <w:highlight w:val="none"/>
        </w:rPr>
      </w:pPr>
    </w:p>
    <w:p w14:paraId="76F4AF4D">
      <w:pPr>
        <w:pStyle w:val="10"/>
        <w:rPr>
          <w:color w:val="auto"/>
          <w:highlight w:val="none"/>
        </w:rPr>
      </w:pPr>
    </w:p>
    <w:p w14:paraId="5FD22287">
      <w:pPr>
        <w:spacing w:before="120" w:line="480" w:lineRule="auto"/>
        <w:ind w:left="960"/>
        <w:rPr>
          <w:rFonts w:hint="eastAsia" w:cs="Times New Roman" w:asciiTheme="minorEastAsia" w:hAnsiTheme="minorEastAsia" w:eastAsiaTheme="minorEastAsia"/>
          <w:color w:val="000000" w:themeColor="text1"/>
          <w:sz w:val="24"/>
          <w:szCs w:val="24"/>
          <w:highlight w:val="none"/>
          <w:u w:val="single"/>
          <w:lang w:val="en-US" w:eastAsia="zh-CN"/>
          <w14:textFill>
            <w14:solidFill>
              <w14:schemeClr w14:val="tx1"/>
            </w14:solidFill>
          </w14:textFill>
        </w:rPr>
      </w:pPr>
      <w:r>
        <w:rPr>
          <w:rFonts w:hint="eastAsia" w:cs="Times New Roman" w:asciiTheme="minorEastAsia" w:hAnsiTheme="minorEastAsia" w:eastAsiaTheme="minorEastAsia"/>
          <w:color w:val="auto"/>
          <w:sz w:val="24"/>
          <w:szCs w:val="24"/>
          <w:highlight w:val="none"/>
        </w:rPr>
        <w:t>项目名称：</w:t>
      </w:r>
      <w:r>
        <w:rPr>
          <w:rFonts w:hint="eastAsia" w:cs="Times New Roman" w:asciiTheme="minorEastAsia" w:hAnsiTheme="minorEastAsia" w:eastAsiaTheme="minorEastAsia"/>
          <w:color w:val="auto"/>
          <w:sz w:val="24"/>
          <w:szCs w:val="24"/>
          <w:highlight w:val="none"/>
          <w:u w:val="single"/>
          <w:lang w:eastAsia="zh-CN"/>
        </w:rPr>
        <w:t>滁州市物业专项维修资金管理信息系统整合迁移项目</w:t>
      </w:r>
      <w:r>
        <w:rPr>
          <w:rFonts w:hint="eastAsia" w:cs="Times New Roman" w:asciiTheme="minorEastAsia" w:hAnsiTheme="minorEastAsia" w:eastAsiaTheme="minorEastAsia"/>
          <w:color w:val="000000" w:themeColor="text1"/>
          <w:sz w:val="24"/>
          <w:szCs w:val="24"/>
          <w:highlight w:val="none"/>
          <w:u w:val="singl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u w:val="single"/>
          <w:lang w:val="en-US" w:eastAsia="zh-CN"/>
          <w14:textFill>
            <w14:solidFill>
              <w14:schemeClr w14:val="tx1"/>
            </w14:solidFill>
          </w14:textFill>
        </w:rPr>
        <w:t>第1/2/3包）</w:t>
      </w:r>
    </w:p>
    <w:p w14:paraId="685AA158">
      <w:pPr>
        <w:spacing w:before="120" w:line="480" w:lineRule="auto"/>
        <w:ind w:left="96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 xml:space="preserve"> </w:t>
      </w:r>
    </w:p>
    <w:p w14:paraId="4C6203EE">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eastAsia="zh-CN"/>
        </w:rPr>
        <w:t>滁州市物业专项维修资金管理中心</w:t>
      </w:r>
    </w:p>
    <w:p w14:paraId="2BEEB08F">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乙方（中标人）：</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p>
    <w:p w14:paraId="4B2597A2">
      <w:pPr>
        <w:spacing w:before="120" w:line="480" w:lineRule="auto"/>
        <w:ind w:firstLine="960" w:firstLineChars="40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签订地：</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eastAsia="zh-CN"/>
        </w:rPr>
        <w:t>滁州市物业专项维修资金管理中心</w:t>
      </w:r>
      <w:r>
        <w:rPr>
          <w:rFonts w:hint="eastAsia" w:cs="Times New Roman" w:asciiTheme="minorEastAsia" w:hAnsiTheme="minorEastAsia" w:eastAsiaTheme="minorEastAsia"/>
          <w:color w:val="auto"/>
          <w:sz w:val="24"/>
          <w:szCs w:val="24"/>
          <w:highlight w:val="none"/>
          <w:u w:val="single"/>
        </w:rPr>
        <w:t xml:space="preserve">   </w:t>
      </w:r>
    </w:p>
    <w:p w14:paraId="062B5843">
      <w:pPr>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日</w:t>
      </w:r>
    </w:p>
    <w:p w14:paraId="6542EE3D">
      <w:pPr>
        <w:widowControl/>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42070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eastAsia="宋体" w:cs="宋体"/>
          <w:color w:val="auto"/>
          <w:sz w:val="24"/>
          <w:highlight w:val="none"/>
          <w:u w:val="single"/>
          <w:lang w:val="en-US" w:eastAsia="zh-CN"/>
        </w:rPr>
        <w:t>滁州市物业专项维修资金管理中心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s="宋体"/>
          <w:color w:val="auto"/>
          <w:sz w:val="24"/>
          <w:szCs w:val="24"/>
          <w:highlight w:val="none"/>
          <w:u w:val="single"/>
          <w:lang w:val="en-US" w:eastAsia="zh-CN"/>
        </w:rPr>
        <w:t>滁州市政府采购中心</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23A3199C">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6A1AB60">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23" w:name="_Toc3029"/>
      <w:bookmarkStart w:id="224" w:name="_Toc24059"/>
      <w:bookmarkStart w:id="225" w:name="_Toc2232"/>
      <w:r>
        <w:rPr>
          <w:rFonts w:hint="eastAsia" w:cs="Times New Roman" w:asciiTheme="minorEastAsia" w:hAnsiTheme="minorEastAsia" w:eastAsiaTheme="minorEastAsia"/>
          <w:b/>
          <w:bCs/>
          <w:color w:val="auto"/>
          <w:sz w:val="24"/>
          <w:szCs w:val="24"/>
          <w:highlight w:val="none"/>
          <w:lang w:val="zh-CN"/>
        </w:rPr>
        <w:t>1.1</w:t>
      </w:r>
      <w:r>
        <w:rPr>
          <w:rFonts w:cs="Times New Roman" w:asciiTheme="minorEastAsia" w:hAnsiTheme="minorEastAsia" w:eastAsiaTheme="minorEastAsia"/>
          <w:b/>
          <w:bCs/>
          <w:color w:val="auto"/>
          <w:sz w:val="24"/>
          <w:szCs w:val="24"/>
          <w:highlight w:val="none"/>
          <w:lang w:val="zh-CN"/>
        </w:rPr>
        <w:t xml:space="preserve"> </w:t>
      </w:r>
      <w:r>
        <w:rPr>
          <w:rFonts w:hint="eastAsia" w:cs="Times New Roman" w:asciiTheme="minorEastAsia" w:hAnsiTheme="minorEastAsia" w:eastAsiaTheme="minorEastAsia"/>
          <w:b/>
          <w:bCs/>
          <w:color w:val="auto"/>
          <w:sz w:val="24"/>
          <w:szCs w:val="24"/>
          <w:highlight w:val="none"/>
          <w:lang w:val="zh-CN"/>
        </w:rPr>
        <w:t>合同组成部分</w:t>
      </w:r>
      <w:bookmarkEnd w:id="223"/>
      <w:bookmarkEnd w:id="224"/>
      <w:bookmarkEnd w:id="225"/>
    </w:p>
    <w:p w14:paraId="066849F9">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74F45FCC">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43B3CE59">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85DE8F6">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4CA604E9">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20B799B0">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4E34A786">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26" w:name="_Toc2918"/>
      <w:bookmarkStart w:id="227" w:name="_Toc18585"/>
      <w:bookmarkStart w:id="228" w:name="_Toc6311"/>
      <w:bookmarkStart w:id="229" w:name="_Toc22185"/>
      <w:bookmarkStart w:id="230" w:name="_Toc6773"/>
      <w:r>
        <w:rPr>
          <w:rFonts w:hint="eastAsia" w:cs="Times New Roman" w:asciiTheme="minorEastAsia" w:hAnsiTheme="minorEastAsia" w:eastAsiaTheme="minorEastAsia"/>
          <w:b/>
          <w:bCs/>
          <w:color w:val="auto"/>
          <w:sz w:val="24"/>
          <w:szCs w:val="24"/>
          <w:highlight w:val="none"/>
          <w:lang w:val="zh-CN"/>
        </w:rPr>
        <w:t xml:space="preserve">1.2 </w:t>
      </w:r>
      <w:bookmarkEnd w:id="226"/>
      <w:bookmarkEnd w:id="227"/>
      <w:bookmarkEnd w:id="228"/>
      <w:bookmarkEnd w:id="229"/>
      <w:bookmarkEnd w:id="230"/>
      <w:r>
        <w:rPr>
          <w:rFonts w:hint="eastAsia" w:cs="Times New Roman" w:asciiTheme="minorEastAsia" w:hAnsiTheme="minorEastAsia" w:eastAsiaTheme="minorEastAsia"/>
          <w:b/>
          <w:bCs/>
          <w:color w:val="auto"/>
          <w:sz w:val="24"/>
          <w:szCs w:val="24"/>
          <w:highlight w:val="none"/>
          <w:lang w:val="zh-CN"/>
        </w:rPr>
        <w:t>服务</w:t>
      </w:r>
    </w:p>
    <w:p w14:paraId="6C79A3F5">
      <w:pPr>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eastAsia="zh-CN"/>
        </w:rPr>
        <w:t>滁州市物业专项维修资金管理信息系统整合迁移项目</w:t>
      </w:r>
      <w:r>
        <w:rPr>
          <w:rFonts w:hint="eastAsia" w:cs="Times New Roman" w:asciiTheme="minorEastAsia" w:hAnsiTheme="minorEastAsia" w:eastAsiaTheme="minorEastAsia"/>
          <w:color w:val="000000" w:themeColor="text1"/>
          <w:sz w:val="24"/>
          <w:szCs w:val="24"/>
          <w:highlight w:val="none"/>
          <w:u w:val="singl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u w:val="single"/>
          <w:lang w:val="en-US" w:eastAsia="zh-CN"/>
          <w14:textFill>
            <w14:solidFill>
              <w14:schemeClr w14:val="tx1"/>
            </w14:solidFill>
          </w14:textFill>
        </w:rPr>
        <w:t>第1/2/3包）</w:t>
      </w:r>
      <w:r>
        <w:rPr>
          <w:rFonts w:hint="eastAsia" w:cs="Times New Roman" w:asciiTheme="minorEastAsia" w:hAnsiTheme="minorEastAsia" w:eastAsiaTheme="minorEastAsia"/>
          <w:color w:val="auto"/>
          <w:sz w:val="24"/>
          <w:szCs w:val="24"/>
          <w:highlight w:val="none"/>
        </w:rPr>
        <w:t>；</w:t>
      </w:r>
    </w:p>
    <w:p w14:paraId="4ECD4686">
      <w:pPr>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ascii="宋体" w:hAnsi="宋体" w:eastAsia="宋体" w:cs="宋体"/>
          <w:sz w:val="24"/>
          <w:highlight w:val="none"/>
          <w:u w:val="single"/>
        </w:rPr>
        <w:t>招标文件第三章采购需求全部内容</w:t>
      </w:r>
      <w:r>
        <w:rPr>
          <w:rFonts w:hint="eastAsia" w:cs="Times New Roman" w:asciiTheme="minorEastAsia" w:hAnsiTheme="minorEastAsia" w:eastAsiaTheme="minorEastAsia"/>
          <w:color w:val="000000" w:themeColor="text1"/>
          <w:sz w:val="24"/>
          <w:szCs w:val="24"/>
          <w:highlight w:val="none"/>
          <w:u w:val="singl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u w:val="single"/>
          <w:lang w:val="en-US" w:eastAsia="zh-CN"/>
          <w14:textFill>
            <w14:solidFill>
              <w14:schemeClr w14:val="tx1"/>
            </w14:solidFill>
          </w14:textFill>
        </w:rPr>
        <w:t>第1/2/3包）</w:t>
      </w:r>
      <w:r>
        <w:rPr>
          <w:rFonts w:hint="eastAsia" w:cs="Times New Roman" w:asciiTheme="minorEastAsia" w:hAnsiTheme="minorEastAsia" w:eastAsiaTheme="minorEastAsia"/>
          <w:color w:val="auto"/>
          <w:sz w:val="24"/>
          <w:szCs w:val="24"/>
          <w:highlight w:val="none"/>
        </w:rPr>
        <w:t>；</w:t>
      </w:r>
    </w:p>
    <w:p w14:paraId="3167789F">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ascii="宋体" w:hAnsi="宋体" w:eastAsia="宋体" w:cs="宋体"/>
          <w:sz w:val="24"/>
          <w:highlight w:val="none"/>
          <w:u w:val="single"/>
          <w:lang w:val="en-US" w:eastAsia="zh-CN"/>
        </w:rPr>
        <w:t>达到合同要求的标准</w:t>
      </w:r>
      <w:r>
        <w:rPr>
          <w:rFonts w:hint="eastAsia" w:cs="Times New Roman" w:asciiTheme="minorEastAsia" w:hAnsiTheme="minorEastAsia" w:eastAsiaTheme="minorEastAsia"/>
          <w:color w:val="auto"/>
          <w:sz w:val="24"/>
          <w:szCs w:val="24"/>
          <w:highlight w:val="none"/>
        </w:rPr>
        <w:t>。</w:t>
      </w:r>
    </w:p>
    <w:p w14:paraId="288D754C">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31" w:name="_Toc21551"/>
      <w:bookmarkStart w:id="232" w:name="_Toc23292"/>
      <w:bookmarkStart w:id="233" w:name="_Toc2163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 xml:space="preserve">3 </w:t>
      </w:r>
      <w:r>
        <w:rPr>
          <w:rFonts w:hint="eastAsia" w:cs="Times New Roman" w:asciiTheme="minorEastAsia" w:hAnsiTheme="minorEastAsia" w:eastAsiaTheme="minorEastAsia"/>
          <w:b/>
          <w:bCs/>
          <w:color w:val="auto"/>
          <w:sz w:val="24"/>
          <w:szCs w:val="24"/>
          <w:highlight w:val="none"/>
          <w:lang w:val="zh-CN"/>
        </w:rPr>
        <w:t>价款</w:t>
      </w:r>
      <w:bookmarkEnd w:id="231"/>
      <w:bookmarkEnd w:id="232"/>
      <w:bookmarkEnd w:id="233"/>
    </w:p>
    <w:p w14:paraId="6E0CAE0B">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6C4582B5">
      <w:pPr>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1692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1D5C6C7A">
            <w:pPr>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266BBF97">
            <w:pPr>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3B3CAC46">
            <w:pPr>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252F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91027C2">
            <w:pPr>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16784604">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19379B09">
            <w:pPr>
              <w:ind w:firstLine="200"/>
              <w:jc w:val="center"/>
              <w:rPr>
                <w:rFonts w:cs="Times New Roman" w:asciiTheme="minorEastAsia" w:hAnsiTheme="minorEastAsia" w:eastAsiaTheme="minorEastAsia"/>
                <w:color w:val="auto"/>
                <w:sz w:val="24"/>
                <w:szCs w:val="24"/>
                <w:highlight w:val="none"/>
              </w:rPr>
            </w:pPr>
          </w:p>
        </w:tc>
      </w:tr>
      <w:tr w14:paraId="7DEC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6272E257">
            <w:pPr>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0FF04268">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7A2AA626">
            <w:pPr>
              <w:ind w:firstLine="200"/>
              <w:jc w:val="center"/>
              <w:rPr>
                <w:rFonts w:cs="Times New Roman" w:asciiTheme="minorEastAsia" w:hAnsiTheme="minorEastAsia" w:eastAsiaTheme="minorEastAsia"/>
                <w:color w:val="auto"/>
                <w:sz w:val="24"/>
                <w:szCs w:val="24"/>
                <w:highlight w:val="none"/>
              </w:rPr>
            </w:pPr>
          </w:p>
        </w:tc>
      </w:tr>
      <w:tr w14:paraId="08B0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19424DA4">
            <w:pPr>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7532E318">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B1D3890">
            <w:pPr>
              <w:ind w:firstLine="200"/>
              <w:jc w:val="center"/>
              <w:rPr>
                <w:rFonts w:cs="Times New Roman" w:asciiTheme="minorEastAsia" w:hAnsiTheme="minorEastAsia" w:eastAsiaTheme="minorEastAsia"/>
                <w:color w:val="auto"/>
                <w:sz w:val="24"/>
                <w:szCs w:val="24"/>
                <w:highlight w:val="none"/>
              </w:rPr>
            </w:pPr>
          </w:p>
        </w:tc>
      </w:tr>
      <w:tr w14:paraId="7207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1260D430">
            <w:pPr>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563A2863">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BF075AA">
            <w:pPr>
              <w:ind w:firstLine="200"/>
              <w:jc w:val="center"/>
              <w:rPr>
                <w:rFonts w:cs="Times New Roman" w:asciiTheme="minorEastAsia" w:hAnsiTheme="minorEastAsia" w:eastAsiaTheme="minorEastAsia"/>
                <w:color w:val="auto"/>
                <w:sz w:val="24"/>
                <w:szCs w:val="24"/>
                <w:highlight w:val="none"/>
              </w:rPr>
            </w:pPr>
          </w:p>
        </w:tc>
      </w:tr>
      <w:tr w14:paraId="4124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2FB3F866">
            <w:pPr>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18EE9731">
            <w:pPr>
              <w:ind w:firstLine="200"/>
              <w:jc w:val="center"/>
              <w:rPr>
                <w:rFonts w:cs="Times New Roman" w:asciiTheme="minorEastAsia" w:hAnsiTheme="minorEastAsia" w:eastAsiaTheme="minorEastAsia"/>
                <w:color w:val="auto"/>
                <w:sz w:val="24"/>
                <w:szCs w:val="24"/>
                <w:highlight w:val="none"/>
              </w:rPr>
            </w:pPr>
          </w:p>
        </w:tc>
      </w:tr>
    </w:tbl>
    <w:p w14:paraId="61A25B1F">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34" w:name="_Toc10340"/>
      <w:bookmarkStart w:id="235" w:name="_Toc1814"/>
      <w:bookmarkStart w:id="236" w:name="_Toc22618"/>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 付款方式和发票开具方式</w:t>
      </w:r>
      <w:bookmarkEnd w:id="234"/>
      <w:bookmarkEnd w:id="235"/>
      <w:bookmarkEnd w:id="236"/>
    </w:p>
    <w:p w14:paraId="5350C087">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w:t>
      </w:r>
    </w:p>
    <w:p w14:paraId="11FD5423">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开具符合要求的发票</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w:t>
      </w:r>
    </w:p>
    <w:p w14:paraId="289B005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37" w:name="_Toc19304"/>
      <w:bookmarkStart w:id="238" w:name="_Toc32071"/>
      <w:bookmarkStart w:id="239" w:name="_Toc2846"/>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 xml:space="preserve">5 </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237"/>
      <w:bookmarkEnd w:id="238"/>
      <w:bookmarkEnd w:id="239"/>
    </w:p>
    <w:p w14:paraId="5E98EF61">
      <w:pPr>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w:t>
      </w:r>
    </w:p>
    <w:p w14:paraId="695F929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000000" w:themeColor="text1"/>
          <w:sz w:val="24"/>
          <w:szCs w:val="24"/>
          <w:highlight w:val="none"/>
          <w:u w:val="single"/>
          <w:lang w:val="en-US" w:eastAsia="zh-CN"/>
          <w14:textFill>
            <w14:solidFill>
              <w14:schemeClr w14:val="tx1"/>
            </w14:solidFill>
          </w14:textFill>
        </w:rPr>
        <w:t>滁州市内，</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甲方指定地点</w:t>
      </w:r>
      <w:r>
        <w:rPr>
          <w:rFonts w:hint="eastAsia" w:cs="Times New Roman" w:asciiTheme="minorEastAsia" w:hAnsiTheme="minorEastAsia" w:eastAsiaTheme="minorEastAsia"/>
          <w:color w:val="auto"/>
          <w:sz w:val="24"/>
          <w:szCs w:val="24"/>
          <w:highlight w:val="none"/>
        </w:rPr>
        <w:t>；</w:t>
      </w:r>
    </w:p>
    <w:p w14:paraId="68FDC002">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甲方指定方式</w:t>
      </w:r>
      <w:r>
        <w:rPr>
          <w:rFonts w:hint="eastAsia" w:cs="Times New Roman" w:asciiTheme="minorEastAsia" w:hAnsiTheme="minorEastAsia" w:eastAsiaTheme="minorEastAsia"/>
          <w:color w:val="auto"/>
          <w:sz w:val="24"/>
          <w:szCs w:val="24"/>
          <w:highlight w:val="none"/>
        </w:rPr>
        <w:t>。</w:t>
      </w:r>
    </w:p>
    <w:p w14:paraId="08098B67">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40" w:name="_Toc21423"/>
      <w:bookmarkStart w:id="241" w:name="_Toc27250"/>
      <w:bookmarkStart w:id="242" w:name="_Toc19554"/>
      <w:r>
        <w:rPr>
          <w:rFonts w:hint="eastAsia" w:cs="Times New Roman" w:asciiTheme="minorEastAsia" w:hAnsiTheme="minorEastAsia" w:eastAsiaTheme="minorEastAsia"/>
          <w:b/>
          <w:bCs/>
          <w:color w:val="auto"/>
          <w:sz w:val="24"/>
          <w:szCs w:val="24"/>
          <w:highlight w:val="none"/>
          <w:lang w:val="zh-CN"/>
        </w:rPr>
        <w:t>1.6 违约责任</w:t>
      </w:r>
      <w:bookmarkEnd w:id="240"/>
      <w:bookmarkEnd w:id="241"/>
      <w:bookmarkEnd w:id="242"/>
    </w:p>
    <w:p w14:paraId="5EF21A50">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bookmarkStart w:id="243" w:name="_Toc28375"/>
      <w:bookmarkStart w:id="244" w:name="_Toc16021"/>
      <w:bookmarkStart w:id="245" w:name="_Toc15583"/>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1.6.1除不可抗力外，如果乙方没有按照本合同约定的期限、地点和方式履行，那么甲方可要求乙方支付违约金，违约金按每迟延履行一日的应提供而未提供服务价格的 0.1 %计算，最高限额为本合同总价的10%；迟延履行的违约金计算数额达到前述最高限额之日起，甲方有权在要求乙方支付违约金的同时，书面通知乙方解除本合同；</w:t>
      </w:r>
    </w:p>
    <w:p w14:paraId="12FEA6DB">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1.6.2除不可抗力外，如果甲方没有按照本合同约定的付款方式付款，那么乙方可要求甲方支付违约金，违约金按每迟延付款一日的应付而未付款的 0.1 %计算，最高限额为本合同总价的10%；迟延付款的违约金计算数额达到前述最高限额之日起，乙方有权在要求甲方支付违约金的同时，书面通知甲方解除本合同；</w:t>
      </w:r>
    </w:p>
    <w:p w14:paraId="04E31DD9">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DAB5EDB">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507156B">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319AFD1">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73DB95C4">
      <w:pPr>
        <w:spacing w:line="440" w:lineRule="exact"/>
        <w:ind w:firstLine="435"/>
        <w:rPr>
          <w:rFonts w:hint="eastAsia"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1097ED37">
      <w:pPr>
        <w:spacing w:line="360" w:lineRule="auto"/>
        <w:ind w:firstLine="437"/>
        <w:outlineLvl w:val="2"/>
        <w:rPr>
          <w:rFonts w:cs="Times New Roman" w:asciiTheme="minorEastAsia" w:hAnsiTheme="minorEastAsia" w:eastAsiaTheme="minorEastAsia"/>
          <w:b/>
          <w:bCs/>
          <w:color w:val="auto"/>
          <w:sz w:val="24"/>
          <w:szCs w:val="24"/>
          <w:highlight w:val="none"/>
          <w:lang w:val="zh-CN"/>
        </w:rPr>
      </w:pPr>
      <w:r>
        <w:rPr>
          <w:rFonts w:hint="eastAsia" w:cs="Times New Roman" w:asciiTheme="minorEastAsia" w:hAnsiTheme="minorEastAsia" w:eastAsiaTheme="minorEastAsia"/>
          <w:b/>
          <w:bCs/>
          <w:color w:val="auto"/>
          <w:sz w:val="24"/>
          <w:szCs w:val="24"/>
          <w:highlight w:val="none"/>
          <w:lang w:val="zh-CN"/>
        </w:rPr>
        <w:t>1.7</w:t>
      </w:r>
      <w:r>
        <w:rPr>
          <w:rFonts w:cs="Times New Roman" w:asciiTheme="minorEastAsia" w:hAnsiTheme="minorEastAsia" w:eastAsiaTheme="minorEastAsia"/>
          <w:b/>
          <w:bCs/>
          <w:color w:val="auto"/>
          <w:sz w:val="24"/>
          <w:szCs w:val="24"/>
          <w:highlight w:val="none"/>
          <w:lang w:val="zh-CN"/>
        </w:rPr>
        <w:t xml:space="preserve"> </w:t>
      </w:r>
      <w:r>
        <w:rPr>
          <w:rFonts w:hint="eastAsia" w:cs="Times New Roman" w:asciiTheme="minorEastAsia" w:hAnsiTheme="minorEastAsia" w:eastAsiaTheme="minorEastAsia"/>
          <w:b/>
          <w:bCs/>
          <w:color w:val="auto"/>
          <w:sz w:val="24"/>
          <w:szCs w:val="24"/>
          <w:highlight w:val="none"/>
          <w:lang w:val="zh-CN"/>
        </w:rPr>
        <w:t>合同</w:t>
      </w:r>
      <w:r>
        <w:rPr>
          <w:rFonts w:cs="Times New Roman" w:asciiTheme="minorEastAsia" w:hAnsiTheme="minorEastAsia" w:eastAsiaTheme="minorEastAsia"/>
          <w:b/>
          <w:bCs/>
          <w:color w:val="auto"/>
          <w:sz w:val="24"/>
          <w:szCs w:val="24"/>
          <w:highlight w:val="none"/>
          <w:lang w:val="zh-CN"/>
        </w:rPr>
        <w:t>争议的解决</w:t>
      </w:r>
      <w:bookmarkEnd w:id="243"/>
      <w:bookmarkEnd w:id="244"/>
      <w:bookmarkEnd w:id="245"/>
    </w:p>
    <w:p w14:paraId="3452DE71">
      <w:pPr>
        <w:spacing w:line="440" w:lineRule="exact"/>
        <w:ind w:firstLine="435"/>
        <w:rPr>
          <w:rFonts w:hint="eastAsia" w:cs="Times New Roman" w:asciiTheme="minorEastAsia" w:hAnsiTheme="minorEastAsia" w:eastAsiaTheme="minorEastAsia"/>
          <w:color w:val="auto"/>
          <w:sz w:val="24"/>
          <w:szCs w:val="24"/>
          <w:highlight w:val="none"/>
        </w:rPr>
      </w:pPr>
      <w:bookmarkStart w:id="246" w:name="_Toc7245"/>
      <w:bookmarkStart w:id="247" w:name="_Toc15322"/>
      <w:bookmarkStart w:id="248" w:name="_Toc11173"/>
      <w:r>
        <w:rPr>
          <w:rFonts w:hint="eastAsia" w:cs="Times New Roman" w:asciiTheme="minorEastAsia" w:hAnsiTheme="minorEastAsia" w:eastAsiaTheme="minorEastAsia"/>
          <w:color w:val="auto"/>
          <w:sz w:val="24"/>
          <w:szCs w:val="24"/>
          <w:highlight w:val="none"/>
        </w:rPr>
        <w:t>本合同履行过程中发生的任何争议，双方当事人均可通过和解或者调解解决；不愿和解、调解或者和解、调解不成的，可以选择下列第</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种方式解决：</w:t>
      </w:r>
    </w:p>
    <w:p w14:paraId="29B4B368">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（1）将争议提交</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滁州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仲裁委员会依申请仲裁时其现行有效的仲裁规则裁决；</w:t>
      </w:r>
    </w:p>
    <w:p w14:paraId="4B335D0A">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（2）向</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甲方（采购人）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人民法院起诉。</w:t>
      </w:r>
    </w:p>
    <w:p w14:paraId="22B64E7A">
      <w:pPr>
        <w:spacing w:line="360" w:lineRule="auto"/>
        <w:ind w:firstLine="437"/>
        <w:outlineLvl w:val="2"/>
        <w:rPr>
          <w:rFonts w:cs="Times New Roman" w:asciiTheme="minorEastAsia" w:hAnsiTheme="minorEastAsia" w:eastAsiaTheme="minorEastAsia"/>
          <w:b/>
          <w:bCs/>
          <w:color w:val="auto"/>
          <w:sz w:val="24"/>
          <w:szCs w:val="24"/>
          <w:highlight w:val="none"/>
          <w:lang w:val="zh-CN"/>
        </w:rPr>
      </w:pPr>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 xml:space="preserve"> 合同生效</w:t>
      </w:r>
      <w:bookmarkEnd w:id="246"/>
      <w:bookmarkEnd w:id="247"/>
      <w:bookmarkEnd w:id="248"/>
    </w:p>
    <w:p w14:paraId="7817B442">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28F55F7E">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p>
    <w:p w14:paraId="6443AF89">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p>
    <w:p w14:paraId="54FC3CEF">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p>
    <w:p w14:paraId="653880DD">
      <w:pPr>
        <w:autoSpaceDE w:val="0"/>
        <w:autoSpaceDN w:val="0"/>
        <w:adjustRightInd w:val="0"/>
        <w:spacing w:line="560" w:lineRule="exact"/>
        <w:rPr>
          <w:rFonts w:cs="Times New Roman" w:asciiTheme="minorEastAsia" w:hAnsiTheme="minorEastAsia" w:eastAsiaTheme="minorEastAsia"/>
          <w:bCs/>
          <w:color w:val="auto"/>
          <w:sz w:val="24"/>
          <w:szCs w:val="24"/>
          <w:highlight w:val="none"/>
          <w:lang w:val="zh-CN"/>
        </w:rPr>
      </w:pPr>
      <w:r>
        <w:rPr>
          <w:rFonts w:hint="eastAsia" w:cs="Times New Roman" w:asciiTheme="minorEastAsia" w:hAnsiTheme="minorEastAsia" w:eastAsiaTheme="minorEastAsia"/>
          <w:bCs/>
          <w:color w:val="auto"/>
          <w:sz w:val="24"/>
          <w:szCs w:val="24"/>
          <w:highlight w:val="none"/>
          <w:lang w:val="zh-CN"/>
        </w:rPr>
        <w:t xml:space="preserve">甲 </w:t>
      </w:r>
      <w:r>
        <w:rPr>
          <w:rFonts w:cs="Times New Roman" w:asciiTheme="minorEastAsia" w:hAnsiTheme="minorEastAsia" w:eastAsiaTheme="minorEastAsia"/>
          <w:bCs/>
          <w:color w:val="auto"/>
          <w:sz w:val="24"/>
          <w:szCs w:val="24"/>
          <w:highlight w:val="none"/>
          <w:lang w:val="zh-CN"/>
        </w:rPr>
        <w:t xml:space="preserve">   </w:t>
      </w:r>
      <w:r>
        <w:rPr>
          <w:rFonts w:hint="eastAsia" w:cs="Times New Roman" w:asciiTheme="minorEastAsia" w:hAnsiTheme="minorEastAsia" w:eastAsiaTheme="minorEastAsia"/>
          <w:bCs/>
          <w:color w:val="auto"/>
          <w:sz w:val="24"/>
          <w:szCs w:val="24"/>
          <w:highlight w:val="none"/>
          <w:lang w:val="zh-CN"/>
        </w:rPr>
        <w:t>方：</w:t>
      </w:r>
      <w:r>
        <w:rPr>
          <w:rFonts w:hint="eastAsia" w:cs="Times New Roman" w:asciiTheme="minorEastAsia" w:hAnsiTheme="minorEastAsia" w:eastAsiaTheme="minorEastAsia"/>
          <w:bCs/>
          <w:color w:val="auto"/>
          <w:sz w:val="24"/>
          <w:szCs w:val="24"/>
          <w:highlight w:val="none"/>
          <w:u w:val="single"/>
          <w:lang w:val="zh-CN"/>
        </w:rPr>
        <w:t xml:space="preserve">    （单位盖章）     </w:t>
      </w:r>
      <w:r>
        <w:rPr>
          <w:rFonts w:hint="eastAsia" w:cs="Times New Roman" w:asciiTheme="minorEastAsia" w:hAnsiTheme="minorEastAsia" w:eastAsiaTheme="minorEastAsia"/>
          <w:bCs/>
          <w:color w:val="auto"/>
          <w:sz w:val="24"/>
          <w:szCs w:val="24"/>
          <w:highlight w:val="none"/>
          <w:lang w:val="zh-CN"/>
        </w:rPr>
        <w:t xml:space="preserve">          乙方：</w:t>
      </w:r>
      <w:r>
        <w:rPr>
          <w:rFonts w:hint="eastAsia" w:cs="Times New Roman" w:asciiTheme="minorEastAsia" w:hAnsiTheme="minorEastAsia" w:eastAsiaTheme="minorEastAsia"/>
          <w:bCs/>
          <w:color w:val="auto"/>
          <w:sz w:val="24"/>
          <w:szCs w:val="24"/>
          <w:highlight w:val="none"/>
          <w:u w:val="single"/>
          <w:lang w:val="zh-CN"/>
        </w:rPr>
        <w:t xml:space="preserve">    （单位盖章）     </w:t>
      </w:r>
    </w:p>
    <w:p w14:paraId="24E98A86">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 xml:space="preserve">法定代表人                             </w:t>
      </w:r>
      <w:r>
        <w:rPr>
          <w:rFonts w:cs="Times New Roman" w:asciiTheme="minorEastAsia" w:hAnsiTheme="minorEastAsia" w:eastAsiaTheme="minorEastAsia"/>
          <w:color w:val="auto"/>
          <w:sz w:val="24"/>
          <w:szCs w:val="24"/>
          <w:highlight w:val="none"/>
          <w:lang w:val="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5408796B">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                      或授权代表（签字）：</w:t>
      </w:r>
    </w:p>
    <w:p w14:paraId="57C844F7">
      <w:pPr>
        <w:widowControl/>
        <w:spacing w:line="560" w:lineRule="exact"/>
        <w:jc w:val="left"/>
        <w:rPr>
          <w:rFonts w:cs="Times New Roman" w:asciiTheme="minorEastAsia" w:hAnsiTheme="minorEastAsia" w:eastAsiaTheme="minorEastAsia"/>
          <w:bCs/>
          <w:color w:val="auto"/>
          <w:sz w:val="24"/>
          <w:szCs w:val="24"/>
          <w:highlight w:val="none"/>
        </w:rPr>
      </w:pPr>
      <w:bookmarkStart w:id="249"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日               时间：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日</w:t>
      </w:r>
    </w:p>
    <w:p w14:paraId="496386AD">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w:t>
      </w:r>
      <w:bookmarkStart w:id="250" w:name="_Hlk110099149"/>
      <w:r>
        <w:rPr>
          <w:rFonts w:hint="eastAsia" w:ascii="宋体" w:hAnsi="宋体" w:eastAsia="宋体"/>
          <w:color w:val="auto"/>
          <w:sz w:val="24"/>
          <w:szCs w:val="24"/>
          <w:highlight w:val="none"/>
        </w:rPr>
        <w:t>乙方账户信息</w:t>
      </w:r>
    </w:p>
    <w:p w14:paraId="1264566C">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户名：</w:t>
      </w:r>
      <w:r>
        <w:rPr>
          <w:rFonts w:hint="eastAsia" w:ascii="宋体" w:hAnsi="宋体" w:eastAsia="宋体"/>
          <w:color w:val="auto"/>
          <w:sz w:val="24"/>
          <w:szCs w:val="24"/>
          <w:highlight w:val="none"/>
          <w:u w:val="single"/>
        </w:rPr>
        <w:t xml:space="preserve">            </w:t>
      </w:r>
    </w:p>
    <w:p w14:paraId="58365E19">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账号：</w:t>
      </w:r>
      <w:r>
        <w:rPr>
          <w:rFonts w:hint="eastAsia" w:ascii="宋体" w:hAnsi="宋体" w:eastAsia="宋体"/>
          <w:color w:val="auto"/>
          <w:sz w:val="24"/>
          <w:szCs w:val="24"/>
          <w:highlight w:val="none"/>
          <w:u w:val="single"/>
        </w:rPr>
        <w:t xml:space="preserve">            </w:t>
      </w:r>
    </w:p>
    <w:p w14:paraId="51E3F255">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开户银行：</w:t>
      </w:r>
      <w:r>
        <w:rPr>
          <w:rFonts w:hint="eastAsia" w:ascii="宋体" w:hAnsi="宋体" w:eastAsia="宋体"/>
          <w:color w:val="auto"/>
          <w:sz w:val="24"/>
          <w:szCs w:val="24"/>
          <w:highlight w:val="none"/>
          <w:u w:val="single"/>
        </w:rPr>
        <w:t xml:space="preserve">        </w:t>
      </w:r>
    </w:p>
    <w:bookmarkEnd w:id="250"/>
    <w:p w14:paraId="6F69CE9D">
      <w:pPr>
        <w:widowControl/>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56337CE8">
      <w:pPr>
        <w:spacing w:line="360" w:lineRule="auto"/>
        <w:jc w:val="center"/>
        <w:outlineLvl w:val="1"/>
        <w:rPr>
          <w:rFonts w:asciiTheme="minorEastAsia" w:hAnsiTheme="minorEastAsia" w:eastAsiaTheme="minorEastAsia"/>
          <w:b/>
          <w:color w:val="auto"/>
          <w:sz w:val="24"/>
          <w:highlight w:val="none"/>
        </w:rPr>
      </w:pPr>
      <w:bookmarkStart w:id="251" w:name="_Toc415"/>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249"/>
      <w:bookmarkEnd w:id="251"/>
    </w:p>
    <w:p w14:paraId="507EB3BB">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52" w:name="_Toc28763"/>
      <w:bookmarkStart w:id="253" w:name="_Toc19614"/>
      <w:bookmarkStart w:id="254" w:name="_Toc487900349"/>
      <w:bookmarkStart w:id="255" w:name="_Toc279701240"/>
      <w:bookmarkStart w:id="256" w:name="_Ref467379225"/>
      <w:bookmarkStart w:id="257" w:name="_Ref467378404"/>
      <w:bookmarkStart w:id="258" w:name="_Ref467378463"/>
      <w:bookmarkStart w:id="259" w:name="_Toc259093669"/>
      <w:bookmarkStart w:id="260" w:name="_Ref467379094"/>
      <w:bookmarkStart w:id="261" w:name="_Ref467379109"/>
      <w:bookmarkStart w:id="262" w:name="_Toc16917"/>
      <w:bookmarkStart w:id="263" w:name="_Ref467379195"/>
      <w:bookmarkStart w:id="264" w:name="_Ref467379101"/>
      <w:bookmarkStart w:id="265" w:name="_Ref467379214"/>
      <w:bookmarkStart w:id="266" w:name="_Ref467379205"/>
      <w:bookmarkStart w:id="267" w:name="_Ref467378499"/>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 xml:space="preserve"> 定义</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7497A69E">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46B227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02E92599">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5CA432E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4A9111D2">
      <w:pPr>
        <w:spacing w:line="360" w:lineRule="auto"/>
        <w:ind w:firstLine="435"/>
        <w:rPr>
          <w:rFonts w:cs="Times New Roman" w:asciiTheme="minorEastAsia" w:hAnsiTheme="minorEastAsia" w:eastAsiaTheme="minorEastAsia"/>
          <w:color w:val="auto"/>
          <w:sz w:val="24"/>
          <w:szCs w:val="24"/>
          <w:highlight w:val="none"/>
        </w:rPr>
      </w:pPr>
      <w:bookmarkStart w:id="268"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268"/>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65E2E012">
      <w:pPr>
        <w:spacing w:line="360" w:lineRule="auto"/>
        <w:ind w:firstLine="435"/>
        <w:rPr>
          <w:rFonts w:cs="Times New Roman" w:asciiTheme="minorEastAsia" w:hAnsiTheme="minorEastAsia" w:eastAsiaTheme="minorEastAsia"/>
          <w:color w:val="auto"/>
          <w:sz w:val="24"/>
          <w:szCs w:val="24"/>
          <w:highlight w:val="none"/>
        </w:rPr>
      </w:pPr>
      <w:bookmarkStart w:id="269"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269"/>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F0511BD">
      <w:pPr>
        <w:spacing w:line="360" w:lineRule="auto"/>
        <w:ind w:firstLine="435"/>
        <w:rPr>
          <w:rFonts w:cs="Times New Roman" w:asciiTheme="minorEastAsia" w:hAnsiTheme="minorEastAsia" w:eastAsiaTheme="minorEastAsia"/>
          <w:color w:val="auto"/>
          <w:sz w:val="24"/>
          <w:szCs w:val="24"/>
          <w:highlight w:val="none"/>
        </w:rPr>
      </w:pPr>
      <w:bookmarkStart w:id="270"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270"/>
    </w:p>
    <w:p w14:paraId="620AD3C4">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71" w:name="_Toc27635"/>
      <w:bookmarkStart w:id="272" w:name="_Toc259093670"/>
      <w:bookmarkStart w:id="273" w:name="_Toc279701241"/>
      <w:bookmarkStart w:id="274" w:name="_Toc487900350"/>
      <w:bookmarkStart w:id="275" w:name="_Toc13336"/>
      <w:bookmarkStart w:id="276" w:name="_Toc3250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 技术规范</w:t>
      </w:r>
      <w:bookmarkEnd w:id="271"/>
      <w:bookmarkEnd w:id="272"/>
      <w:bookmarkEnd w:id="273"/>
      <w:bookmarkEnd w:id="274"/>
      <w:bookmarkEnd w:id="275"/>
      <w:bookmarkEnd w:id="276"/>
    </w:p>
    <w:p w14:paraId="39F0BE09">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5F039EA9">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77" w:name="_Toc259093671"/>
      <w:bookmarkStart w:id="278" w:name="_Toc31634"/>
      <w:bookmarkStart w:id="279" w:name="_Toc9829"/>
      <w:bookmarkStart w:id="280" w:name="_Toc487900351"/>
      <w:bookmarkStart w:id="281" w:name="_Toc27853"/>
      <w:bookmarkStart w:id="282" w:name="_Toc27970124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 知识产权</w:t>
      </w:r>
      <w:bookmarkEnd w:id="277"/>
      <w:bookmarkEnd w:id="278"/>
      <w:bookmarkEnd w:id="279"/>
      <w:bookmarkEnd w:id="280"/>
      <w:bookmarkEnd w:id="281"/>
      <w:bookmarkEnd w:id="282"/>
    </w:p>
    <w:p w14:paraId="659BE898">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1B671A8">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8D1B7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283" w:name="_Ref467378541"/>
      <w:bookmarkStart w:id="284" w:name="_Ref467378591"/>
      <w:bookmarkStart w:id="285" w:name="_Ref467379542"/>
      <w:bookmarkStart w:id="286" w:name="_Toc487900354"/>
      <w:bookmarkStart w:id="287" w:name="_Toc279701245"/>
      <w:bookmarkStart w:id="288" w:name="_Ref467379536"/>
      <w:bookmarkStart w:id="289" w:name="_Ref467379527"/>
      <w:bookmarkStart w:id="290" w:name="_Toc259093674"/>
      <w:bookmarkStart w:id="291" w:name="_Toc26182"/>
      <w:bookmarkStart w:id="292" w:name="_Toc19074"/>
      <w:bookmarkStart w:id="293" w:name="_Toc30272"/>
      <w:r>
        <w:rPr>
          <w:rFonts w:hint="eastAsia" w:cs="Times New Roman" w:asciiTheme="minorEastAsia" w:hAnsiTheme="minorEastAsia" w:eastAsiaTheme="minorEastAsia"/>
          <w:b/>
          <w:bCs/>
          <w:color w:val="auto"/>
          <w:sz w:val="24"/>
          <w:szCs w:val="24"/>
          <w:highlight w:val="none"/>
          <w:lang w:val="zh-CN"/>
        </w:rPr>
        <w:t>2.</w:t>
      </w:r>
      <w:bookmarkEnd w:id="283"/>
      <w:bookmarkEnd w:id="284"/>
      <w:bookmarkEnd w:id="285"/>
      <w:bookmarkEnd w:id="286"/>
      <w:bookmarkEnd w:id="287"/>
      <w:bookmarkEnd w:id="288"/>
      <w:bookmarkEnd w:id="289"/>
      <w:bookmarkEnd w:id="290"/>
      <w:r>
        <w:rPr>
          <w:rFonts w:cs="Times New Roman" w:asciiTheme="minorEastAsia" w:hAnsiTheme="minorEastAsia" w:eastAsiaTheme="minorEastAsia"/>
          <w:b/>
          <w:bCs/>
          <w:color w:val="auto"/>
          <w:sz w:val="24"/>
          <w:szCs w:val="24"/>
          <w:highlight w:val="none"/>
          <w:lang w:val="zh-CN"/>
        </w:rPr>
        <w:t xml:space="preserve">4 </w:t>
      </w:r>
      <w:r>
        <w:rPr>
          <w:rFonts w:hint="eastAsia" w:cs="Times New Roman" w:asciiTheme="minorEastAsia" w:hAnsiTheme="minorEastAsia" w:eastAsiaTheme="minorEastAsia"/>
          <w:b/>
          <w:bCs/>
          <w:color w:val="auto"/>
          <w:sz w:val="24"/>
          <w:szCs w:val="24"/>
          <w:highlight w:val="none"/>
          <w:lang w:val="zh-CN"/>
        </w:rPr>
        <w:t>履约检查和问题反馈</w:t>
      </w:r>
      <w:bookmarkEnd w:id="291"/>
      <w:bookmarkEnd w:id="292"/>
      <w:bookmarkEnd w:id="293"/>
    </w:p>
    <w:p w14:paraId="12A3A865">
      <w:pPr>
        <w:spacing w:line="360" w:lineRule="auto"/>
        <w:ind w:firstLine="435"/>
        <w:rPr>
          <w:rFonts w:cs="Times New Roman" w:asciiTheme="minorEastAsia" w:hAnsiTheme="minorEastAsia" w:eastAsiaTheme="minorEastAsia"/>
          <w:color w:val="auto"/>
          <w:sz w:val="24"/>
          <w:szCs w:val="24"/>
          <w:highlight w:val="none"/>
        </w:rPr>
      </w:pPr>
      <w:bookmarkStart w:id="294" w:name="_Toc186431854"/>
      <w:bookmarkStart w:id="295" w:name="_Toc259093676"/>
      <w:bookmarkStart w:id="296" w:name="_Toc279701247"/>
      <w:bookmarkStart w:id="297" w:name="_Ref467379807"/>
      <w:bookmarkStart w:id="298" w:name="_Toc487900357"/>
      <w:bookmarkStart w:id="299" w:name="_Ref467379793"/>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1DE04D49">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294"/>
      <w:bookmarkStart w:id="300" w:name="_Toc186431855"/>
      <w:r>
        <w:rPr>
          <w:rFonts w:hint="eastAsia" w:cs="Times New Roman" w:asciiTheme="minorEastAsia" w:hAnsiTheme="minorEastAsia" w:eastAsiaTheme="minorEastAsia"/>
          <w:color w:val="auto"/>
          <w:sz w:val="24"/>
          <w:szCs w:val="24"/>
          <w:highlight w:val="none"/>
        </w:rPr>
        <w:t>。</w:t>
      </w:r>
    </w:p>
    <w:bookmarkEnd w:id="300"/>
    <w:p w14:paraId="693C2EE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01" w:name="_Toc19219"/>
      <w:bookmarkStart w:id="302" w:name="_Toc7836"/>
      <w:bookmarkStart w:id="303" w:name="_Toc284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结算方式和付款条件</w:t>
      </w:r>
      <w:bookmarkEnd w:id="295"/>
      <w:bookmarkEnd w:id="296"/>
      <w:bookmarkEnd w:id="297"/>
      <w:bookmarkEnd w:id="298"/>
      <w:bookmarkEnd w:id="299"/>
      <w:bookmarkEnd w:id="301"/>
      <w:bookmarkEnd w:id="302"/>
      <w:bookmarkEnd w:id="303"/>
    </w:p>
    <w:p w14:paraId="57EB375C">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5331AB43">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04" w:name="_Ref467379923"/>
      <w:bookmarkStart w:id="305" w:name="_Ref467379863"/>
      <w:bookmarkStart w:id="306" w:name="_Toc259093677"/>
      <w:bookmarkStart w:id="307" w:name="_Ref467379852"/>
      <w:bookmarkStart w:id="308" w:name="_Toc487900358"/>
      <w:bookmarkStart w:id="309" w:name="_Toc279701248"/>
      <w:bookmarkStart w:id="310" w:name="_Toc774"/>
      <w:bookmarkStart w:id="311" w:name="_Toc3225"/>
      <w:bookmarkStart w:id="312" w:name="_Toc1611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技术资料</w:t>
      </w:r>
      <w:bookmarkEnd w:id="304"/>
      <w:bookmarkEnd w:id="305"/>
      <w:bookmarkEnd w:id="306"/>
      <w:bookmarkEnd w:id="307"/>
      <w:bookmarkEnd w:id="308"/>
      <w:bookmarkEnd w:id="309"/>
      <w:r>
        <w:rPr>
          <w:rFonts w:cs="Times New Roman" w:asciiTheme="minorEastAsia" w:hAnsiTheme="minorEastAsia" w:eastAsiaTheme="minorEastAsia"/>
          <w:b/>
          <w:bCs/>
          <w:color w:val="auto"/>
          <w:sz w:val="24"/>
          <w:szCs w:val="24"/>
          <w:highlight w:val="none"/>
          <w:lang w:val="zh-CN"/>
        </w:rPr>
        <w:t>和保密义务</w:t>
      </w:r>
      <w:bookmarkEnd w:id="310"/>
      <w:bookmarkEnd w:id="311"/>
      <w:bookmarkEnd w:id="312"/>
    </w:p>
    <w:p w14:paraId="75E118BF">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60405302">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0713DD83">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121BFC0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13" w:name="_Toc7860"/>
      <w:r>
        <w:rPr>
          <w:rFonts w:cs="Times New Roman" w:asciiTheme="minorEastAsia" w:hAnsiTheme="minorEastAsia" w:eastAsiaTheme="minorEastAsia"/>
          <w:b/>
          <w:bCs/>
          <w:color w:val="auto"/>
          <w:sz w:val="24"/>
          <w:szCs w:val="24"/>
          <w:highlight w:val="none"/>
          <w:lang w:val="zh-CN"/>
        </w:rPr>
        <w:t>2.7 质量保证</w:t>
      </w:r>
      <w:bookmarkEnd w:id="313"/>
    </w:p>
    <w:p w14:paraId="61E5A26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59B4E582">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2868F5CD">
      <w:pPr>
        <w:spacing w:line="360" w:lineRule="auto"/>
        <w:ind w:firstLine="437"/>
        <w:outlineLvl w:val="2"/>
        <w:rPr>
          <w:rFonts w:cs="Times New Roman" w:asciiTheme="minorEastAsia" w:hAnsiTheme="minorEastAsia" w:eastAsiaTheme="minorEastAsia"/>
          <w:b/>
          <w:color w:val="auto"/>
          <w:sz w:val="24"/>
          <w:szCs w:val="24"/>
          <w:highlight w:val="none"/>
        </w:rPr>
      </w:pPr>
      <w:bookmarkStart w:id="314" w:name="_Toc22267"/>
      <w:r>
        <w:rPr>
          <w:rFonts w:hint="eastAsia" w:cs="Times New Roman" w:asciiTheme="minorEastAsia" w:hAnsiTheme="minorEastAsia" w:eastAsiaTheme="minorEastAsia"/>
          <w:b/>
          <w:color w:val="auto"/>
          <w:sz w:val="24"/>
          <w:szCs w:val="24"/>
          <w:highlight w:val="none"/>
        </w:rPr>
        <w:t>2.8 延迟履行</w:t>
      </w:r>
      <w:bookmarkEnd w:id="314"/>
    </w:p>
    <w:p w14:paraId="1F9BDB5D">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315153DF">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15" w:name="_Toc7502"/>
      <w:bookmarkStart w:id="316" w:name="_Toc487900364"/>
      <w:bookmarkStart w:id="317" w:name="_Toc259093683"/>
      <w:bookmarkStart w:id="318" w:name="_Toc279701254"/>
      <w:bookmarkStart w:id="319" w:name="_Ref467378121"/>
      <w:r>
        <w:rPr>
          <w:rFonts w:cs="Times New Roman" w:asciiTheme="minorEastAsia" w:hAnsiTheme="minorEastAsia" w:eastAsiaTheme="minorEastAsia"/>
          <w:b/>
          <w:bCs/>
          <w:color w:val="auto"/>
          <w:sz w:val="24"/>
          <w:szCs w:val="24"/>
          <w:highlight w:val="none"/>
          <w:lang w:val="zh-CN"/>
        </w:rPr>
        <w:t>2.9 合同变更</w:t>
      </w:r>
      <w:bookmarkEnd w:id="315"/>
    </w:p>
    <w:p w14:paraId="02B29871">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75F7EE4F">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320" w:name="_Toc279701259"/>
      <w:bookmarkStart w:id="321" w:name="_Toc487900369"/>
      <w:bookmarkStart w:id="322" w:name="_Toc259093688"/>
    </w:p>
    <w:p w14:paraId="0E75C4B3">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23" w:name="_Toc22955"/>
      <w:bookmarkStart w:id="324" w:name="_Toc15237"/>
      <w:bookmarkStart w:id="325" w:name="_Toc103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合同转让</w:t>
      </w:r>
      <w:bookmarkEnd w:id="320"/>
      <w:bookmarkEnd w:id="321"/>
      <w:bookmarkEnd w:id="322"/>
      <w:r>
        <w:rPr>
          <w:rFonts w:cs="Times New Roman" w:asciiTheme="minorEastAsia" w:hAnsiTheme="minorEastAsia" w:eastAsiaTheme="minorEastAsia"/>
          <w:b/>
          <w:bCs/>
          <w:color w:val="auto"/>
          <w:sz w:val="24"/>
          <w:szCs w:val="24"/>
          <w:highlight w:val="none"/>
          <w:lang w:val="zh-CN"/>
        </w:rPr>
        <w:t>和分包</w:t>
      </w:r>
      <w:bookmarkEnd w:id="323"/>
      <w:bookmarkEnd w:id="324"/>
      <w:bookmarkEnd w:id="325"/>
    </w:p>
    <w:p w14:paraId="7689BA59">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572F50DE">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26" w:name="_Toc13566"/>
      <w:bookmarkStart w:id="327" w:name="_Toc16508"/>
      <w:bookmarkStart w:id="328" w:name="_Toc140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 不可抗力</w:t>
      </w:r>
      <w:bookmarkEnd w:id="326"/>
      <w:bookmarkEnd w:id="327"/>
      <w:bookmarkEnd w:id="328"/>
    </w:p>
    <w:p w14:paraId="3E899B0B">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7A3F2EC5">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7FBF3D7A">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0D6600DA">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175D85B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29" w:name="_Toc6969"/>
      <w:bookmarkStart w:id="330" w:name="_Toc279701255"/>
      <w:bookmarkStart w:id="331" w:name="_Toc487900365"/>
      <w:bookmarkStart w:id="332" w:name="_Toc30676"/>
      <w:bookmarkStart w:id="333" w:name="_Toc259093684"/>
      <w:bookmarkStart w:id="334" w:name="_Toc689"/>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税费</w:t>
      </w:r>
      <w:bookmarkEnd w:id="329"/>
      <w:bookmarkEnd w:id="330"/>
      <w:bookmarkEnd w:id="331"/>
      <w:bookmarkEnd w:id="332"/>
      <w:bookmarkEnd w:id="333"/>
      <w:bookmarkEnd w:id="334"/>
    </w:p>
    <w:p w14:paraId="76F6BAD4">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0FA37650">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35" w:name="_Toc487900368"/>
      <w:bookmarkStart w:id="336" w:name="_Toc7102"/>
      <w:bookmarkStart w:id="337" w:name="_Toc16959"/>
      <w:bookmarkStart w:id="338" w:name="_Toc259093687"/>
      <w:bookmarkStart w:id="339" w:name="_Toc8298"/>
      <w:bookmarkStart w:id="340" w:name="_Toc279701258"/>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乙方破产</w:t>
      </w:r>
      <w:bookmarkEnd w:id="335"/>
      <w:bookmarkEnd w:id="336"/>
      <w:bookmarkEnd w:id="337"/>
      <w:bookmarkEnd w:id="338"/>
      <w:bookmarkEnd w:id="339"/>
      <w:bookmarkEnd w:id="340"/>
    </w:p>
    <w:p w14:paraId="6CFA06ED">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7962F61D">
      <w:pPr>
        <w:spacing w:line="360" w:lineRule="auto"/>
        <w:ind w:firstLine="437"/>
        <w:outlineLvl w:val="2"/>
        <w:rPr>
          <w:rFonts w:cs="Times New Roman" w:asciiTheme="minorEastAsia" w:hAnsiTheme="minorEastAsia" w:eastAsiaTheme="minorEastAsia"/>
          <w:b/>
          <w:color w:val="auto"/>
          <w:sz w:val="24"/>
          <w:szCs w:val="24"/>
          <w:highlight w:val="none"/>
        </w:rPr>
      </w:pPr>
      <w:bookmarkStart w:id="341" w:name="_Toc6134"/>
      <w:bookmarkStart w:id="342" w:name="_Toc15387"/>
      <w:bookmarkStart w:id="343" w:name="_Toc2933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 xml:space="preserve"> 合同中止、终止</w:t>
      </w:r>
      <w:bookmarkEnd w:id="341"/>
      <w:bookmarkEnd w:id="342"/>
      <w:bookmarkEnd w:id="343"/>
    </w:p>
    <w:p w14:paraId="3312FC75">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6AE3046">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30E3C75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344" w:name="_Toc6596"/>
      <w:bookmarkStart w:id="345" w:name="_Toc14563"/>
      <w:bookmarkStart w:id="346" w:name="_Toc112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 xml:space="preserve"> 检验和验收</w:t>
      </w:r>
      <w:bookmarkEnd w:id="344"/>
      <w:bookmarkEnd w:id="345"/>
      <w:bookmarkEnd w:id="346"/>
    </w:p>
    <w:p w14:paraId="1304F7BD">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94049EB">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FAA561E">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316"/>
    <w:bookmarkEnd w:id="317"/>
    <w:bookmarkEnd w:id="318"/>
    <w:bookmarkEnd w:id="319"/>
    <w:p w14:paraId="169BE626">
      <w:pPr>
        <w:spacing w:line="360" w:lineRule="auto"/>
        <w:ind w:firstLine="437"/>
        <w:outlineLvl w:val="2"/>
        <w:rPr>
          <w:rFonts w:cs="Times New Roman" w:asciiTheme="minorEastAsia" w:hAnsiTheme="minorEastAsia" w:eastAsiaTheme="minorEastAsia"/>
          <w:b/>
          <w:bCs/>
          <w:color w:val="auto"/>
          <w:sz w:val="24"/>
          <w:szCs w:val="24"/>
          <w:highlight w:val="none"/>
        </w:rPr>
      </w:pPr>
      <w:bookmarkStart w:id="347" w:name="_Toc18567"/>
      <w:bookmarkStart w:id="348" w:name="_Toc487900373"/>
      <w:bookmarkStart w:id="349" w:name="_Toc279701263"/>
      <w:bookmarkStart w:id="350" w:name="_Toc259093692"/>
      <w:bookmarkStart w:id="351" w:name="_Toc12773"/>
      <w:bookmarkStart w:id="352" w:name="_Toc10330"/>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rPr>
        <w:t xml:space="preserve"> </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347"/>
      <w:bookmarkEnd w:id="348"/>
      <w:bookmarkEnd w:id="349"/>
      <w:bookmarkEnd w:id="350"/>
      <w:bookmarkEnd w:id="351"/>
      <w:bookmarkEnd w:id="352"/>
    </w:p>
    <w:p w14:paraId="4BB2EEE0">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16.1合同使用汉语书就</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299DE32E">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1282AC42">
      <w:pPr>
        <w:spacing w:line="360" w:lineRule="auto"/>
        <w:ind w:firstLine="437"/>
        <w:outlineLvl w:val="2"/>
        <w:rPr>
          <w:rFonts w:cs="Times New Roman" w:asciiTheme="minorEastAsia" w:hAnsiTheme="minorEastAsia" w:eastAsiaTheme="minorEastAsia"/>
          <w:b/>
          <w:color w:val="auto"/>
          <w:sz w:val="24"/>
          <w:szCs w:val="24"/>
          <w:highlight w:val="none"/>
        </w:rPr>
      </w:pPr>
      <w:bookmarkStart w:id="353" w:name="_Toc259093693"/>
      <w:bookmarkStart w:id="354" w:name="_Toc16673"/>
      <w:bookmarkStart w:id="355" w:name="_Toc279701264"/>
      <w:bookmarkStart w:id="356" w:name="_Toc12004"/>
      <w:bookmarkStart w:id="357" w:name="_Toc3148"/>
      <w:bookmarkStart w:id="358"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履约保证金</w:t>
      </w:r>
      <w:bookmarkEnd w:id="353"/>
      <w:bookmarkEnd w:id="354"/>
      <w:bookmarkEnd w:id="355"/>
      <w:bookmarkEnd w:id="356"/>
      <w:bookmarkEnd w:id="357"/>
    </w:p>
    <w:p w14:paraId="466BCB07">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9037367">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6F6053DC">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358"/>
    <w:p w14:paraId="3A4F4F5A">
      <w:pPr>
        <w:spacing w:line="360" w:lineRule="auto"/>
        <w:ind w:firstLine="437"/>
        <w:outlineLvl w:val="2"/>
        <w:rPr>
          <w:rFonts w:cs="Times New Roman" w:asciiTheme="minorEastAsia" w:hAnsiTheme="minorEastAsia" w:eastAsiaTheme="minorEastAsia"/>
          <w:b/>
          <w:color w:val="auto"/>
          <w:sz w:val="24"/>
          <w:szCs w:val="24"/>
          <w:highlight w:val="none"/>
        </w:rPr>
      </w:pPr>
      <w:bookmarkStart w:id="359" w:name="_Toc14001"/>
      <w:bookmarkStart w:id="360" w:name="_Toc6885"/>
      <w:bookmarkStart w:id="361" w:name="_Toc1989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 xml:space="preserve"> 合同份数</w:t>
      </w:r>
      <w:bookmarkEnd w:id="359"/>
      <w:bookmarkEnd w:id="360"/>
      <w:bookmarkEnd w:id="361"/>
    </w:p>
    <w:p w14:paraId="530AB3A3">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583A02A0">
      <w:pPr>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362" w:name="_Toc3736"/>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362"/>
    </w:p>
    <w:p w14:paraId="18A0C98A">
      <w:pPr>
        <w:spacing w:line="360" w:lineRule="auto"/>
        <w:ind w:firstLine="435"/>
        <w:rPr>
          <w:color w:val="auto"/>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1D788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jc w:val="center"/>
        </w:trPr>
        <w:tc>
          <w:tcPr>
            <w:tcW w:w="794" w:type="dxa"/>
            <w:tcBorders>
              <w:left w:val="single" w:color="auto" w:sz="4" w:space="0"/>
            </w:tcBorders>
            <w:vAlign w:val="center"/>
          </w:tcPr>
          <w:p w14:paraId="058ECCAF">
            <w:pPr>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568" w:type="dxa"/>
            <w:vAlign w:val="center"/>
          </w:tcPr>
          <w:p w14:paraId="0D8CEC04">
            <w:pPr>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1F28E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1C6C276">
            <w:pPr>
              <w:spacing w:line="440" w:lineRule="exact"/>
              <w:jc w:val="center"/>
              <w:rPr>
                <w:rFonts w:hint="default" w:cs="Times New Roman" w:asciiTheme="minorEastAsia" w:hAnsiTheme="minorEastAsia" w:eastAsiaTheme="minorEastAsia"/>
                <w:color w:val="auto"/>
                <w:sz w:val="24"/>
                <w:szCs w:val="24"/>
                <w:highlight w:val="none"/>
                <w:lang w:val="en-US" w:eastAsia="zh-CN"/>
              </w:rPr>
            </w:pPr>
            <w:r>
              <w:rPr>
                <w:rFonts w:hint="eastAsia" w:cs="Times New Roman" w:asciiTheme="minorEastAsia" w:hAnsiTheme="minorEastAsia" w:eastAsiaTheme="minorEastAsia"/>
                <w:color w:val="auto"/>
                <w:sz w:val="24"/>
                <w:szCs w:val="24"/>
                <w:highlight w:val="none"/>
                <w:lang w:val="en-US" w:eastAsia="zh-CN"/>
              </w:rPr>
              <w:t>2.5</w:t>
            </w:r>
          </w:p>
        </w:tc>
        <w:tc>
          <w:tcPr>
            <w:tcW w:w="7568" w:type="dxa"/>
            <w:vAlign w:val="center"/>
          </w:tcPr>
          <w:p w14:paraId="255C12B8">
            <w:pPr>
              <w:spacing w:line="440" w:lineRule="exact"/>
              <w:rPr>
                <w:rFonts w:hint="eastAsia" w:cs="Times New Roman" w:asciiTheme="minorEastAsia" w:hAnsiTheme="minorEastAsia" w:eastAsiaTheme="minorEastAsia"/>
                <w:color w:val="auto"/>
                <w:sz w:val="24"/>
                <w:szCs w:val="24"/>
                <w:highlight w:val="none"/>
              </w:rPr>
            </w:pPr>
          </w:p>
        </w:tc>
      </w:tr>
      <w:tr w14:paraId="53E6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E2F78B5">
            <w:pPr>
              <w:spacing w:line="440" w:lineRule="exact"/>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2.11.3</w:t>
            </w:r>
          </w:p>
        </w:tc>
        <w:tc>
          <w:tcPr>
            <w:tcW w:w="7568" w:type="dxa"/>
            <w:vAlign w:val="center"/>
          </w:tcPr>
          <w:p w14:paraId="4433AAB0">
            <w:pPr>
              <w:spacing w:line="440" w:lineRule="exact"/>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因不可抗力致使合同有变更必要的，双方当事人应在不可抗力发生的</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15</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个工作日内以书面形式变更合同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tc>
      </w:tr>
      <w:tr w14:paraId="074D0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09488DC">
            <w:pPr>
              <w:spacing w:line="440" w:lineRule="exact"/>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2.11.4</w:t>
            </w:r>
          </w:p>
        </w:tc>
        <w:tc>
          <w:tcPr>
            <w:tcW w:w="7568" w:type="dxa"/>
            <w:vAlign w:val="center"/>
          </w:tcPr>
          <w:p w14:paraId="656FE64B">
            <w:pPr>
              <w:spacing w:line="440" w:lineRule="exact"/>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受不可抗力影响的一方在不可抗力发生后，应在不可抗力发生的</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个工作日内以书面形式通知对方当事人，并在</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个工作日内，将有关部门出具的证明文件送达对方当事人</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tc>
      </w:tr>
      <w:tr w14:paraId="1C47B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1744F7A5">
            <w:pPr>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000000" w:themeColor="text1"/>
                <w:sz w:val="24"/>
                <w:szCs w:val="24"/>
                <w:highlight w:val="none"/>
                <w14:textFill>
                  <w14:solidFill>
                    <w14:schemeClr w14:val="tx1"/>
                  </w14:solidFill>
                </w14:textFill>
              </w:rPr>
              <w:t>2.15</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仅适用于第1包）</w:t>
            </w:r>
          </w:p>
        </w:tc>
        <w:tc>
          <w:tcPr>
            <w:tcW w:w="7568" w:type="dxa"/>
            <w:vAlign w:val="center"/>
          </w:tcPr>
          <w:p w14:paraId="718A2541">
            <w:pPr>
              <w:spacing w:line="440" w:lineRule="exac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2.15.1</w:t>
            </w:r>
            <w:r>
              <w:rPr>
                <w:rFonts w:hint="eastAsia" w:ascii="宋体" w:hAnsi="宋体" w:eastAsia="宋体" w:cs="宋体"/>
                <w:color w:val="000000"/>
                <w:sz w:val="24"/>
                <w:szCs w:val="24"/>
                <w:highlight w:val="none"/>
                <w:lang w:val="en-US" w:eastAsia="zh-CN"/>
              </w:rPr>
              <w:t>验收：</w:t>
            </w:r>
          </w:p>
          <w:p w14:paraId="3A68FB80">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1）</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甲方自项目建设完成之日起</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按照监理同意验收审查意见，</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5个工作日内</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组织人员或专家验收，项目建设完成时间由甲、乙双方代表共同签字书面确认。</w:t>
            </w:r>
          </w:p>
          <w:p w14:paraId="7A68951A">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2）</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甲方根据招标文件要求按照国家标准、行业标准等相关验收标准进行验收，乙方予以配合。</w:t>
            </w:r>
          </w:p>
          <w:p w14:paraId="51B79585">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项目在验收时，乙方应提供</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相关</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清单等</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纸质材料</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；提供有关操作规程和使用说明书，维护手册、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运维</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所需的各种相关设计、检验、安装、技术性指导等文件和应由乙方提供的必要文件。乙方负责将</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本项目</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的全部有关技术文件（外文应提供有资质的第三方出具的中文翻译资料，下同）、网络拓扑图、资料、测试、验收报告等汇集成册交付甲方。</w:t>
            </w:r>
          </w:p>
          <w:p w14:paraId="2ECA4FA6">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4）</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本项目付款方式中的内容“项目验收合格后”，是指项目</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建设完成全部内容后，</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最终通过甲方组织人员或专家评审验收合格。</w:t>
            </w:r>
          </w:p>
          <w:p w14:paraId="55CB9F9D">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5）按《</w:t>
            </w: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滁州市政务信息化项目建设管理办法的通知</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滁政办秘〔2023〕29号</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）执行。</w:t>
            </w:r>
          </w:p>
          <w:p w14:paraId="7C804BD1">
            <w:pPr>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000000"/>
                <w:sz w:val="24"/>
                <w:szCs w:val="24"/>
                <w:highlight w:val="none"/>
              </w:rPr>
              <w:t>2.15.3验收书的内容以</w:t>
            </w:r>
            <w:r>
              <w:rPr>
                <w:rFonts w:hint="eastAsia" w:ascii="宋体" w:hAnsi="宋体" w:eastAsia="宋体" w:cs="宋体"/>
                <w:color w:val="000000"/>
                <w:sz w:val="24"/>
                <w:szCs w:val="24"/>
                <w:highlight w:val="none"/>
                <w:lang w:val="en-US" w:eastAsia="zh-CN"/>
              </w:rPr>
              <w:t>考核结论</w:t>
            </w:r>
            <w:r>
              <w:rPr>
                <w:rFonts w:hint="eastAsia" w:ascii="宋体" w:hAnsi="宋体" w:eastAsia="宋体" w:cs="宋体"/>
                <w:color w:val="000000"/>
                <w:sz w:val="24"/>
                <w:szCs w:val="24"/>
                <w:highlight w:val="none"/>
              </w:rPr>
              <w:t>作为结算依据。</w:t>
            </w:r>
          </w:p>
        </w:tc>
      </w:tr>
      <w:tr w14:paraId="6B968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54196A3E">
            <w:pPr>
              <w:spacing w:line="56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olor w:val="auto"/>
                <w:sz w:val="24"/>
                <w:highlight w:val="none"/>
              </w:rPr>
              <w:t>2.17</w:t>
            </w:r>
          </w:p>
        </w:tc>
        <w:tc>
          <w:tcPr>
            <w:tcW w:w="7568" w:type="dxa"/>
            <w:vAlign w:val="center"/>
          </w:tcPr>
          <w:p w14:paraId="1D79F75E">
            <w:pPr>
              <w:spacing w:line="440" w:lineRule="exact"/>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本项目免收</w:t>
            </w:r>
            <w:r>
              <w:rPr>
                <w:rFonts w:hint="eastAsia" w:cs="Times New Roman" w:asciiTheme="minorEastAsia" w:hAnsiTheme="minorEastAsia" w:eastAsiaTheme="minorEastAsia"/>
                <w:color w:val="auto"/>
                <w:sz w:val="24"/>
                <w:szCs w:val="24"/>
                <w:highlight w:val="none"/>
                <w:lang w:val="zh-CN"/>
              </w:rPr>
              <w:t>履约保证金。</w:t>
            </w:r>
          </w:p>
        </w:tc>
      </w:tr>
      <w:tr w14:paraId="2184B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35B81A69">
            <w:pPr>
              <w:spacing w:line="440" w:lineRule="exact"/>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2.18</w:t>
            </w:r>
          </w:p>
        </w:tc>
        <w:tc>
          <w:tcPr>
            <w:tcW w:w="7568" w:type="dxa"/>
            <w:vAlign w:val="center"/>
          </w:tcPr>
          <w:p w14:paraId="2B14A565">
            <w:pPr>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1EC94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16F535EC">
            <w:pPr>
              <w:spacing w:line="440" w:lineRule="exact"/>
              <w:jc w:val="center"/>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w:t>
            </w:r>
          </w:p>
        </w:tc>
        <w:tc>
          <w:tcPr>
            <w:tcW w:w="7568" w:type="dxa"/>
            <w:vAlign w:val="center"/>
          </w:tcPr>
          <w:p w14:paraId="2BFD6F97">
            <w:pPr>
              <w:spacing w:line="440" w:lineRule="exact"/>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其他约定事项和要求</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p w14:paraId="7A06A878">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3.1</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乙方负责保证施工现场安全，施工过程中乙方因自身原因发生的一切安全事故与甲方无关，由乙方自行负责。乙方在施工过程中造成甲方人员、财产损失的，应由乙方承担一切责任。</w:t>
            </w:r>
          </w:p>
          <w:p w14:paraId="00D074FE">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3.2乙方按照投标文件内容，按时派出项目人员到甲方指定地点驻场启动项目建设直至项目验收完成。项目建设过程中，乙方不得随意撤换项目经理和主要技术人员，如要更换，必须提前书面征得甲方同意，并做好相关的移交工作。如甲方要求乙方更换项目经理和技术人员的，乙方应按照甲方要求进行更换。</w:t>
            </w:r>
          </w:p>
          <w:p w14:paraId="3AD158E5">
            <w:pPr>
              <w:spacing w:line="440" w:lineRule="exact"/>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3.3乙方须配合完成本项目软件测评和安全测评的工作。该软件测评和安全测评须满足项目的验收要求，并由采购人指定的具备相关资质的第三方测评机构完成。</w:t>
            </w:r>
          </w:p>
          <w:p w14:paraId="26D70F72">
            <w:pPr>
              <w:spacing w:line="440" w:lineRule="exact"/>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3.4</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乙方需确保</w:t>
            </w:r>
            <w:r>
              <w:rPr>
                <w:rFonts w:hint="eastAsia" w:ascii="宋体" w:hAnsi="宋体" w:eastAsia="宋体"/>
                <w:bCs/>
                <w:sz w:val="24"/>
                <w:szCs w:val="18"/>
                <w:highlight w:val="none"/>
                <w:lang w:val="en-US" w:eastAsia="zh-CN"/>
              </w:rPr>
              <w:t>项目采用安全可靠的软硬件产品，落实国产化要求</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p w14:paraId="00D2557F">
            <w:pPr>
              <w:spacing w:line="440" w:lineRule="exact"/>
              <w:rPr>
                <w:rFonts w:hint="eastAsia" w:ascii="宋体" w:hAnsi="宋体" w:eastAsia="宋体"/>
                <w:bCs/>
                <w:sz w:val="24"/>
                <w:szCs w:val="18"/>
                <w:highlight w:val="none"/>
                <w:lang w:val="en-US" w:eastAsia="zh-CN"/>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3.5</w:t>
            </w:r>
            <w:r>
              <w:rPr>
                <w:rFonts w:hint="eastAsia" w:ascii="宋体" w:hAnsi="宋体" w:eastAsia="宋体"/>
                <w:bCs/>
                <w:sz w:val="24"/>
                <w:szCs w:val="18"/>
                <w:highlight w:val="none"/>
                <w:lang w:val="en-US" w:eastAsia="zh-CN"/>
              </w:rPr>
              <w:t>项目建设完成后所形成的项目成果(如设计文件、源代码、测试文档、数据资源、数据接口、定制软件等)及相关知识产权归甲方(代政府管理)。乙方须按照甲方要求在项目竣工和运维期结束时分别移交项目在开发和使用期间产生的成果资料。</w:t>
            </w:r>
          </w:p>
          <w:p w14:paraId="1F673399">
            <w:pPr>
              <w:spacing w:line="440" w:lineRule="exact"/>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3.6乙方确保所提供的产品具有合法的知识产权，如提供的产品因侵犯第三方的知识产权而引起的法律责任由乙方承担，造成甲方损失的，损失全部由乙方承担。</w:t>
            </w:r>
          </w:p>
          <w:p w14:paraId="468509E5">
            <w:pPr>
              <w:spacing w:line="440" w:lineRule="exact"/>
              <w:rPr>
                <w:rFonts w:hint="eastAsia" w:ascii="宋体" w:hAnsi="宋体" w:eastAsia="宋体"/>
                <w:bCs/>
                <w:sz w:val="24"/>
                <w:szCs w:val="18"/>
                <w:highlight w:val="none"/>
                <w:lang w:val="en-US" w:eastAsia="zh-CN"/>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3.7</w:t>
            </w:r>
            <w:r>
              <w:rPr>
                <w:rFonts w:hint="eastAsia" w:ascii="宋体" w:hAnsi="宋体" w:eastAsia="宋体"/>
                <w:bCs/>
                <w:sz w:val="24"/>
                <w:szCs w:val="18"/>
                <w:highlight w:val="none"/>
                <w:lang w:val="en-US" w:eastAsia="zh-CN"/>
              </w:rPr>
              <w:t>政务信息系统应当充分依托电子政务网络资源、政务云服务资源及其他可共享利用的基础设施资源，依托全省一体化数据基础平台进行资源申请、组件复用、代码上传、数据入湖、三端发布等全流程开发部署。乙方配合甲方完成数据架构梳理、目录编制、资源挂载、数据入湖等数据工作。</w:t>
            </w:r>
          </w:p>
          <w:p w14:paraId="53DFCE28">
            <w:pPr>
              <w:spacing w:line="440" w:lineRule="exact"/>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3.8免费维护期3年。在运维期内乙方须无条件免费进行日常性的功能完善及数据治理、接口开发、系统对接等需求，由双方确认后实施。</w:t>
            </w:r>
          </w:p>
          <w:p w14:paraId="6B3AA9BF">
            <w:pPr>
              <w:spacing w:line="440" w:lineRule="exact"/>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3.9甲方对乙方提供的服务功能、性能、安全情况进行测试或评估，乙方须无条件配合完成。</w:t>
            </w:r>
          </w:p>
          <w:p w14:paraId="0EE2AE93">
            <w:pPr>
              <w:spacing w:line="440" w:lineRule="exact"/>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3.10软件开发过程中，乙方不得随意撤换项目经理和主要技术人员，如要更换，必须提前书面征得甲方同意，并做好相关的移交工作。如甲方要求乙方更换项目经理和技术人员，乙方应按照甲方要求进行更换。</w:t>
            </w:r>
          </w:p>
          <w:p w14:paraId="04DFB79F">
            <w:pPr>
              <w:spacing w:line="440" w:lineRule="exact"/>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3.11乙方应按照甲方需求免费提供技术培训和维护响应服务，确保系统各个功能模块正常安全运行。</w:t>
            </w:r>
          </w:p>
          <w:p w14:paraId="6A0AA79E">
            <w:pPr>
              <w:spacing w:line="440" w:lineRule="exact"/>
              <w:rPr>
                <w:rFonts w:hint="eastAsia"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3.12乙方应认真履行保密义务，签订保密协议，未征得甲方同意，不得复制、泄露、销售在项目建设过程中接触到的项目信息资料和技术成果。</w:t>
            </w:r>
          </w:p>
          <w:p w14:paraId="0456D83E">
            <w:pPr>
              <w:spacing w:line="440" w:lineRule="exact"/>
              <w:rPr>
                <w:rFonts w:hint="default" w:ascii="宋体" w:hAnsi="宋体" w:eastAsia="宋体"/>
                <w:bCs/>
                <w:sz w:val="24"/>
                <w:szCs w:val="18"/>
                <w:highlight w:val="none"/>
                <w:lang w:val="en-US" w:eastAsia="zh-CN"/>
              </w:rPr>
            </w:pPr>
            <w:r>
              <w:rPr>
                <w:rFonts w:hint="eastAsia" w:ascii="宋体" w:hAnsi="宋体" w:eastAsia="宋体"/>
                <w:bCs/>
                <w:sz w:val="24"/>
                <w:szCs w:val="18"/>
                <w:highlight w:val="none"/>
                <w:lang w:val="en-US" w:eastAsia="zh-CN"/>
              </w:rPr>
              <w:t>3.13乙方维护期内应根据甲方要求免费配合系统迁移一次。</w:t>
            </w:r>
          </w:p>
          <w:p w14:paraId="6B0B4CDE">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3.14</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的需求在开发期和试运行期内，仍有可能不断完善，</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须在采购需求或政策法规范围内，随着</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需求的变动随时做出</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响</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应，修改应用软件或重新开发直至满足</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要求。正式验收通过后，若有需求变动，在免费维护期内，仍应免费按</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需求对整个系统做出相应修改，以满足</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的需求。调整和修改产生的所有费用均计入本</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项目合同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总价内</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p w14:paraId="1274A5D8">
            <w:pPr>
              <w:spacing w:line="440" w:lineRule="exact"/>
              <w:rPr>
                <w:rFonts w:hint="eastAsia" w:ascii="宋体" w:hAnsi="宋体" w:eastAsia="宋体" w:cs="宋体"/>
                <w:color w:val="auto"/>
                <w:sz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以上要求作为项目完成后的验收事项。</w:t>
            </w:r>
          </w:p>
        </w:tc>
      </w:tr>
      <w:tr w14:paraId="40783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1403EDFE">
            <w:pPr>
              <w:spacing w:line="440" w:lineRule="exact"/>
              <w:jc w:val="center"/>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4</w:t>
            </w:r>
          </w:p>
        </w:tc>
        <w:tc>
          <w:tcPr>
            <w:tcW w:w="7568" w:type="dxa"/>
            <w:vAlign w:val="center"/>
          </w:tcPr>
          <w:p w14:paraId="6C103721">
            <w:pPr>
              <w:spacing w:line="440" w:lineRule="exact"/>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技术服务</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p w14:paraId="52026731">
            <w:pPr>
              <w:spacing w:line="440" w:lineRule="exact"/>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4</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.1乙方应向甲方提供全方位、及时而有效的技术支持和服务。</w:t>
            </w:r>
          </w:p>
          <w:p w14:paraId="3BBB55CA">
            <w:pPr>
              <w:spacing w:line="440" w:lineRule="exact"/>
              <w:rPr>
                <w:rFonts w:hint="eastAsia" w:ascii="宋体" w:hAnsi="宋体" w:eastAsia="宋体" w:cs="宋体"/>
                <w:color w:val="auto"/>
                <w:sz w:val="24"/>
                <w:highlight w:val="none"/>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4</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.2乙方负责供货、运输、安装、调试、系统集成和售后服务等。</w:t>
            </w:r>
          </w:p>
        </w:tc>
      </w:tr>
      <w:tr w14:paraId="585EF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B1C5D38">
            <w:pPr>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446CF1FF">
            <w:pPr>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bl>
    <w:p w14:paraId="5B976A58">
      <w:pPr>
        <w:spacing w:line="360" w:lineRule="auto"/>
        <w:rPr>
          <w:rFonts w:asciiTheme="minorEastAsia" w:hAnsiTheme="minorEastAsia" w:eastAsiaTheme="minorEastAsia"/>
          <w:color w:val="auto"/>
          <w:sz w:val="24"/>
          <w:highlight w:val="none"/>
        </w:rPr>
      </w:pPr>
    </w:p>
    <w:p w14:paraId="00682FA4">
      <w:pPr>
        <w:widowControl/>
        <w:jc w:val="left"/>
        <w:rPr>
          <w:rFonts w:asciiTheme="minorEastAsia" w:hAnsiTheme="minorEastAsia" w:eastAsiaTheme="minorEastAsia"/>
          <w:color w:val="auto"/>
          <w:sz w:val="24"/>
          <w:highlight w:val="none"/>
        </w:rPr>
      </w:pPr>
    </w:p>
    <w:p w14:paraId="753CDB26">
      <w:pPr>
        <w:pStyle w:val="10"/>
        <w:rPr>
          <w:rFonts w:hint="default"/>
          <w:color w:val="auto"/>
          <w:highlight w:val="none"/>
          <w:lang w:val="en-US" w:eastAsia="zh-CN"/>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p>
    <w:p w14:paraId="2CA04603">
      <w:pPr>
        <w:pStyle w:val="10"/>
        <w:rPr>
          <w:color w:val="auto"/>
          <w:highlight w:val="none"/>
        </w:rPr>
      </w:pPr>
    </w:p>
    <w:bookmarkEnd w:id="219"/>
    <w:p w14:paraId="439601A3">
      <w:pPr>
        <w:spacing w:line="360" w:lineRule="auto"/>
        <w:jc w:val="center"/>
        <w:outlineLvl w:val="0"/>
        <w:rPr>
          <w:rFonts w:asciiTheme="minorEastAsia" w:hAnsiTheme="minorEastAsia" w:eastAsiaTheme="minorEastAsia"/>
          <w:b/>
          <w:color w:val="auto"/>
          <w:sz w:val="28"/>
          <w:highlight w:val="none"/>
        </w:rPr>
      </w:pPr>
      <w:bookmarkStart w:id="363" w:name="_Toc13555"/>
      <w:r>
        <w:rPr>
          <w:rFonts w:hint="eastAsia" w:asciiTheme="minorEastAsia" w:hAnsiTheme="minorEastAsia" w:eastAsiaTheme="minorEastAsia"/>
          <w:b/>
          <w:color w:val="auto"/>
          <w:sz w:val="28"/>
          <w:highlight w:val="none"/>
        </w:rPr>
        <w:t>第六章  投标文件格式</w:t>
      </w:r>
      <w:bookmarkEnd w:id="363"/>
    </w:p>
    <w:p w14:paraId="79597E13">
      <w:pPr>
        <w:spacing w:line="900" w:lineRule="exact"/>
        <w:jc w:val="center"/>
        <w:rPr>
          <w:rFonts w:asciiTheme="minorEastAsia" w:hAnsiTheme="minorEastAsia" w:eastAsiaTheme="minorEastAsia"/>
          <w:b/>
          <w:color w:val="auto"/>
          <w:sz w:val="72"/>
          <w:highlight w:val="none"/>
        </w:rPr>
      </w:pPr>
    </w:p>
    <w:p w14:paraId="56E694CC">
      <w:pPr>
        <w:spacing w:line="900" w:lineRule="exact"/>
        <w:jc w:val="center"/>
        <w:outlineLvl w:val="1"/>
        <w:rPr>
          <w:rFonts w:asciiTheme="minorEastAsia" w:hAnsiTheme="minorEastAsia" w:eastAsiaTheme="minorEastAsia"/>
          <w:b/>
          <w:color w:val="auto"/>
          <w:sz w:val="72"/>
          <w:highlight w:val="none"/>
        </w:rPr>
      </w:pPr>
      <w:bookmarkStart w:id="364" w:name="_Toc5119"/>
      <w:r>
        <w:rPr>
          <w:rFonts w:hint="eastAsia" w:asciiTheme="minorEastAsia" w:hAnsiTheme="minorEastAsia" w:eastAsiaTheme="minorEastAsia"/>
          <w:b/>
          <w:color w:val="auto"/>
          <w:sz w:val="72"/>
          <w:highlight w:val="none"/>
        </w:rPr>
        <w:t>投</w:t>
      </w:r>
      <w:bookmarkEnd w:id="364"/>
    </w:p>
    <w:p w14:paraId="23DE6C19">
      <w:pPr>
        <w:spacing w:line="900" w:lineRule="exact"/>
        <w:jc w:val="center"/>
        <w:rPr>
          <w:rFonts w:asciiTheme="minorEastAsia" w:hAnsiTheme="minorEastAsia" w:eastAsiaTheme="minorEastAsia"/>
          <w:b/>
          <w:color w:val="auto"/>
          <w:sz w:val="72"/>
          <w:highlight w:val="none"/>
        </w:rPr>
      </w:pPr>
    </w:p>
    <w:p w14:paraId="594B3027">
      <w:pPr>
        <w:spacing w:line="900" w:lineRule="exact"/>
        <w:jc w:val="center"/>
        <w:outlineLvl w:val="1"/>
        <w:rPr>
          <w:rFonts w:asciiTheme="minorEastAsia" w:hAnsiTheme="minorEastAsia" w:eastAsiaTheme="minorEastAsia"/>
          <w:b/>
          <w:color w:val="auto"/>
          <w:sz w:val="72"/>
          <w:highlight w:val="none"/>
        </w:rPr>
      </w:pPr>
      <w:bookmarkStart w:id="365" w:name="_Toc4782"/>
      <w:r>
        <w:rPr>
          <w:rFonts w:hint="eastAsia" w:asciiTheme="minorEastAsia" w:hAnsiTheme="minorEastAsia" w:eastAsiaTheme="minorEastAsia"/>
          <w:b/>
          <w:color w:val="auto"/>
          <w:sz w:val="72"/>
          <w:highlight w:val="none"/>
        </w:rPr>
        <w:t>标</w:t>
      </w:r>
      <w:bookmarkEnd w:id="365"/>
    </w:p>
    <w:p w14:paraId="19732311">
      <w:pPr>
        <w:spacing w:line="900" w:lineRule="exact"/>
        <w:jc w:val="center"/>
        <w:rPr>
          <w:rFonts w:asciiTheme="minorEastAsia" w:hAnsiTheme="minorEastAsia" w:eastAsiaTheme="minorEastAsia"/>
          <w:b/>
          <w:color w:val="auto"/>
          <w:sz w:val="72"/>
          <w:highlight w:val="none"/>
        </w:rPr>
      </w:pPr>
    </w:p>
    <w:p w14:paraId="0D8B13D4">
      <w:pPr>
        <w:spacing w:line="900" w:lineRule="exact"/>
        <w:jc w:val="center"/>
        <w:outlineLvl w:val="1"/>
        <w:rPr>
          <w:rFonts w:asciiTheme="minorEastAsia" w:hAnsiTheme="minorEastAsia" w:eastAsiaTheme="minorEastAsia"/>
          <w:b/>
          <w:color w:val="auto"/>
          <w:sz w:val="72"/>
          <w:highlight w:val="none"/>
        </w:rPr>
      </w:pPr>
      <w:bookmarkStart w:id="366" w:name="_Toc19607"/>
      <w:r>
        <w:rPr>
          <w:rFonts w:hint="eastAsia" w:asciiTheme="minorEastAsia" w:hAnsiTheme="minorEastAsia" w:eastAsiaTheme="minorEastAsia"/>
          <w:b/>
          <w:color w:val="auto"/>
          <w:sz w:val="72"/>
          <w:highlight w:val="none"/>
        </w:rPr>
        <w:t>文</w:t>
      </w:r>
      <w:bookmarkEnd w:id="366"/>
    </w:p>
    <w:p w14:paraId="4E4009CC">
      <w:pPr>
        <w:spacing w:line="900" w:lineRule="exact"/>
        <w:jc w:val="center"/>
        <w:rPr>
          <w:rFonts w:asciiTheme="minorEastAsia" w:hAnsiTheme="minorEastAsia" w:eastAsiaTheme="minorEastAsia"/>
          <w:b/>
          <w:color w:val="auto"/>
          <w:sz w:val="72"/>
          <w:highlight w:val="none"/>
        </w:rPr>
      </w:pPr>
    </w:p>
    <w:p w14:paraId="710DFDFA">
      <w:pPr>
        <w:jc w:val="center"/>
        <w:outlineLvl w:val="1"/>
        <w:rPr>
          <w:rFonts w:asciiTheme="minorEastAsia" w:hAnsiTheme="minorEastAsia" w:eastAsiaTheme="minorEastAsia"/>
          <w:b/>
          <w:color w:val="auto"/>
          <w:sz w:val="72"/>
          <w:highlight w:val="none"/>
        </w:rPr>
      </w:pPr>
      <w:bookmarkStart w:id="367" w:name="_Toc8365"/>
      <w:r>
        <w:rPr>
          <w:rFonts w:hint="eastAsia" w:asciiTheme="minorEastAsia" w:hAnsiTheme="minorEastAsia" w:eastAsiaTheme="minorEastAsia"/>
          <w:b/>
          <w:color w:val="auto"/>
          <w:sz w:val="72"/>
          <w:highlight w:val="none"/>
        </w:rPr>
        <w:t>件</w:t>
      </w:r>
      <w:bookmarkEnd w:id="367"/>
    </w:p>
    <w:p w14:paraId="3A53DCD9">
      <w:pPr>
        <w:spacing w:before="156" w:beforeLines="50" w:after="156" w:afterLines="50"/>
        <w:jc w:val="center"/>
        <w:outlineLvl w:val="9"/>
        <w:rPr>
          <w:rFonts w:asciiTheme="minorEastAsia" w:hAnsiTheme="minorEastAsia" w:eastAsiaTheme="minorEastAsia"/>
          <w:b/>
          <w:color w:val="auto"/>
          <w:sz w:val="32"/>
          <w:szCs w:val="32"/>
          <w:highlight w:val="none"/>
        </w:rPr>
      </w:pPr>
      <w:r>
        <w:rPr>
          <w:rFonts w:hint="eastAsia" w:asciiTheme="minorEastAsia" w:hAnsiTheme="minorEastAsia" w:eastAsiaTheme="minorEastAsia"/>
          <w:b/>
          <w:color w:val="auto"/>
          <w:sz w:val="32"/>
          <w:szCs w:val="32"/>
          <w:highlight w:val="none"/>
        </w:rPr>
        <w:t>【第</w:t>
      </w:r>
      <w:r>
        <w:rPr>
          <w:rFonts w:hint="eastAsia" w:asciiTheme="minorEastAsia" w:hAnsiTheme="minorEastAsia" w:eastAsiaTheme="minorEastAsia"/>
          <w:b/>
          <w:color w:val="auto"/>
          <w:sz w:val="32"/>
          <w:szCs w:val="32"/>
          <w:highlight w:val="none"/>
          <w:u w:val="single"/>
        </w:rPr>
        <w:t xml:space="preserve">   </w:t>
      </w:r>
      <w:r>
        <w:rPr>
          <w:rFonts w:hint="eastAsia" w:asciiTheme="minorEastAsia" w:hAnsiTheme="minorEastAsia" w:eastAsiaTheme="minorEastAsia"/>
          <w:b/>
          <w:color w:val="auto"/>
          <w:sz w:val="32"/>
          <w:szCs w:val="32"/>
          <w:highlight w:val="none"/>
        </w:rPr>
        <w:t>包】</w:t>
      </w:r>
    </w:p>
    <w:p w14:paraId="74918909">
      <w:pPr>
        <w:pStyle w:val="4"/>
        <w:rPr>
          <w:color w:val="auto"/>
          <w:highlight w:val="none"/>
        </w:rPr>
      </w:pPr>
    </w:p>
    <w:p w14:paraId="496AA64C">
      <w:pPr>
        <w:spacing w:after="156" w:afterLines="50" w:line="500" w:lineRule="exact"/>
        <w:jc w:val="center"/>
        <w:rPr>
          <w:rFonts w:asciiTheme="minorEastAsia" w:hAnsiTheme="minorEastAsia" w:eastAsiaTheme="minorEastAsia"/>
          <w:b/>
          <w:color w:val="auto"/>
          <w:sz w:val="28"/>
          <w:szCs w:val="28"/>
          <w:highlight w:val="none"/>
        </w:rPr>
      </w:pPr>
    </w:p>
    <w:p w14:paraId="41B39B85">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E70846D">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BBFE7B7">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E7B8C2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368" w:name="_Toc8037"/>
      <w:bookmarkStart w:id="369"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368"/>
      <w:bookmarkEnd w:id="369"/>
    </w:p>
    <w:p w14:paraId="7926113D">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4DF584EB">
      <w:pPr>
        <w:spacing w:line="360" w:lineRule="auto"/>
        <w:jc w:val="center"/>
        <w:outlineLvl w:val="1"/>
        <w:rPr>
          <w:rFonts w:asciiTheme="minorEastAsia" w:hAnsiTheme="minorEastAsia" w:eastAsiaTheme="minorEastAsia"/>
          <w:b/>
          <w:color w:val="auto"/>
          <w:sz w:val="24"/>
          <w:highlight w:val="none"/>
        </w:rPr>
      </w:pPr>
      <w:bookmarkStart w:id="370" w:name="_Toc28960"/>
      <w:bookmarkStart w:id="371" w:name="_Toc17986"/>
      <w:r>
        <w:rPr>
          <w:rFonts w:hint="eastAsia" w:asciiTheme="minorEastAsia" w:hAnsiTheme="minorEastAsia" w:eastAsiaTheme="minorEastAsia"/>
          <w:b/>
          <w:color w:val="auto"/>
          <w:sz w:val="24"/>
          <w:highlight w:val="none"/>
        </w:rPr>
        <w:t>一、开标一览表</w:t>
      </w:r>
      <w:bookmarkEnd w:id="370"/>
      <w:bookmarkEnd w:id="37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0098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2186B710">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2ED8632">
            <w:pPr>
              <w:spacing w:line="360" w:lineRule="exact"/>
              <w:jc w:val="center"/>
              <w:rPr>
                <w:rFonts w:asciiTheme="minorEastAsia" w:hAnsiTheme="minorEastAsia" w:eastAsiaTheme="minorEastAsia"/>
                <w:bCs/>
                <w:color w:val="auto"/>
                <w:sz w:val="24"/>
                <w:highlight w:val="none"/>
                <w:u w:val="single"/>
              </w:rPr>
            </w:pPr>
          </w:p>
        </w:tc>
      </w:tr>
      <w:tr w14:paraId="4953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4B9028C7">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648E5C20">
            <w:pPr>
              <w:spacing w:line="360" w:lineRule="auto"/>
              <w:rPr>
                <w:rFonts w:asciiTheme="minorEastAsia" w:hAnsiTheme="minorEastAsia" w:eastAsiaTheme="minorEastAsia"/>
                <w:color w:val="auto"/>
                <w:sz w:val="24"/>
                <w:highlight w:val="none"/>
              </w:rPr>
            </w:pPr>
          </w:p>
        </w:tc>
      </w:tr>
      <w:tr w14:paraId="5BA0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4365F4B6">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6218" w:type="dxa"/>
            <w:tcBorders>
              <w:top w:val="nil"/>
            </w:tcBorders>
            <w:vAlign w:val="center"/>
          </w:tcPr>
          <w:p w14:paraId="21570E20">
            <w:pPr>
              <w:widowControl/>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第</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包</w:t>
            </w:r>
          </w:p>
        </w:tc>
      </w:tr>
      <w:tr w14:paraId="2096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98225B">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w:t>
            </w:r>
            <w:r>
              <w:rPr>
                <w:rFonts w:hint="eastAsia" w:asciiTheme="minorEastAsia" w:hAnsiTheme="minorEastAsia" w:eastAsiaTheme="minorEastAsia"/>
                <w:b/>
                <w:color w:val="auto"/>
                <w:sz w:val="24"/>
                <w:highlight w:val="none"/>
                <w:lang w:val="en-US" w:eastAsia="zh-CN"/>
              </w:rPr>
              <w:t>单价</w:t>
            </w:r>
            <w:r>
              <w:rPr>
                <w:rFonts w:hint="eastAsia" w:asciiTheme="minorEastAsia" w:hAnsiTheme="minorEastAsia" w:eastAsiaTheme="minorEastAsia"/>
                <w:b/>
                <w:color w:val="auto"/>
                <w:sz w:val="24"/>
                <w:highlight w:val="none"/>
              </w:rPr>
              <w:t>报价</w:t>
            </w:r>
          </w:p>
        </w:tc>
        <w:tc>
          <w:tcPr>
            <w:tcW w:w="6218" w:type="dxa"/>
            <w:tcBorders>
              <w:top w:val="nil"/>
            </w:tcBorders>
            <w:vAlign w:val="center"/>
          </w:tcPr>
          <w:p w14:paraId="00274415">
            <w:pPr>
              <w:keepNext w:val="0"/>
              <w:keepLines w:val="0"/>
              <w:pageBreakBefore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427922AD">
            <w:pPr>
              <w:spacing w:line="360" w:lineRule="auto"/>
              <w:ind w:right="-670" w:rightChars="0"/>
              <w:rPr>
                <w:rFonts w:hint="eastAsia"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6CC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16EC10B8">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0EEA2950">
            <w:pPr>
              <w:spacing w:line="360" w:lineRule="auto"/>
              <w:jc w:val="left"/>
              <w:rPr>
                <w:rFonts w:asciiTheme="minorEastAsia" w:hAnsiTheme="minorEastAsia" w:eastAsiaTheme="minorEastAsia"/>
                <w:color w:val="auto"/>
                <w:sz w:val="24"/>
                <w:szCs w:val="28"/>
                <w:highlight w:val="none"/>
              </w:rPr>
            </w:pPr>
          </w:p>
        </w:tc>
      </w:tr>
    </w:tbl>
    <w:p w14:paraId="5BFC090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47CAA6">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3FB42AC">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1B6B2A0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0B73601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38CA1B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575F995C">
      <w:pPr>
        <w:spacing w:line="360" w:lineRule="auto"/>
        <w:jc w:val="center"/>
        <w:outlineLvl w:val="1"/>
        <w:rPr>
          <w:rFonts w:asciiTheme="minorEastAsia" w:hAnsiTheme="minorEastAsia" w:eastAsiaTheme="minorEastAsia"/>
          <w:b/>
          <w:color w:val="auto"/>
          <w:sz w:val="24"/>
          <w:highlight w:val="none"/>
        </w:rPr>
      </w:pPr>
      <w:bookmarkStart w:id="372" w:name="_Toc6120"/>
      <w:bookmarkStart w:id="373" w:name="_Toc6441"/>
      <w:r>
        <w:rPr>
          <w:rFonts w:hint="eastAsia" w:asciiTheme="minorEastAsia" w:hAnsiTheme="minorEastAsia" w:eastAsiaTheme="minorEastAsia"/>
          <w:b/>
          <w:color w:val="auto"/>
          <w:sz w:val="24"/>
          <w:highlight w:val="none"/>
        </w:rPr>
        <w:t>二、投标函</w:t>
      </w:r>
      <w:bookmarkEnd w:id="372"/>
      <w:bookmarkEnd w:id="373"/>
    </w:p>
    <w:p w14:paraId="6EE30C75">
      <w:pPr>
        <w:pStyle w:val="16"/>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AC6C4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5A1F23B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60E454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6BA7CE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D7960A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1B87BCCD">
      <w:pPr>
        <w:spacing w:line="360" w:lineRule="auto"/>
        <w:ind w:firstLine="4800" w:firstLineChars="2000"/>
        <w:rPr>
          <w:rFonts w:ascii="宋体" w:hAnsi="宋体" w:eastAsia="宋体"/>
          <w:color w:val="auto"/>
          <w:sz w:val="24"/>
          <w:highlight w:val="none"/>
        </w:rPr>
      </w:pPr>
    </w:p>
    <w:p w14:paraId="32F93F4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65BDB70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A071C0E">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130C562D">
      <w:pPr>
        <w:spacing w:line="360" w:lineRule="auto"/>
        <w:jc w:val="center"/>
        <w:outlineLvl w:val="1"/>
        <w:rPr>
          <w:rFonts w:hint="eastAsia" w:asciiTheme="minorEastAsia" w:hAnsiTheme="minorEastAsia" w:eastAsiaTheme="minorEastAsia"/>
          <w:b/>
          <w:color w:val="auto"/>
          <w:sz w:val="24"/>
          <w:highlight w:val="none"/>
        </w:rPr>
      </w:pPr>
      <w:bookmarkStart w:id="374" w:name="_Toc18881"/>
      <w:r>
        <w:rPr>
          <w:rFonts w:hint="eastAsia" w:asciiTheme="minorEastAsia" w:hAnsiTheme="minorEastAsia" w:eastAsiaTheme="minorEastAsia"/>
          <w:b/>
          <w:color w:val="auto"/>
          <w:sz w:val="24"/>
          <w:highlight w:val="none"/>
          <w:lang w:val="en-US" w:eastAsia="zh-CN"/>
        </w:rPr>
        <w:t>三．投标人资格声明书</w:t>
      </w:r>
      <w:bookmarkEnd w:id="374"/>
      <w:r>
        <w:rPr>
          <w:rFonts w:hint="eastAsia" w:asciiTheme="minorEastAsia" w:hAnsiTheme="minorEastAsia" w:eastAsiaTheme="minorEastAsia"/>
          <w:b/>
          <w:color w:val="auto"/>
          <w:sz w:val="24"/>
          <w:highlight w:val="none"/>
          <w:lang w:val="en-US" w:eastAsia="zh-CN"/>
        </w:rPr>
        <w:t xml:space="preserve"> </w:t>
      </w:r>
    </w:p>
    <w:p w14:paraId="2DE3D358">
      <w:pPr>
        <w:pStyle w:val="16"/>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364997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380FB8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98317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25D7741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158FBB5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05791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（五）我单位不属于政府采购法律、行政法规规定的公益一类事业单位、或使用事业编制且由财政拨款保障的群团组织（仅适用于政府购买服务项目）； </w:t>
      </w:r>
    </w:p>
    <w:p w14:paraId="6C0B82D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050C83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4F82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BEF53C6">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60F6205F">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30F33CFC">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4C35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0B4611D">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0245A387">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089F7AA1">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5123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4A33840">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4E1EBD5B">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11986B2B">
            <w:pPr>
              <w:pStyle w:val="10"/>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AD86B5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0883B07D">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E57D513">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DD37091">
      <w:pPr>
        <w:rPr>
          <w:rFonts w:hint="eastAsia" w:asciiTheme="minorEastAsia" w:hAnsiTheme="minorEastAsia" w:eastAsiaTheme="minorEastAsia"/>
          <w:b/>
          <w:color w:val="auto"/>
          <w:sz w:val="24"/>
          <w:highlight w:val="none"/>
        </w:rPr>
      </w:pPr>
      <w:bookmarkStart w:id="375" w:name="_Toc11607"/>
      <w:r>
        <w:rPr>
          <w:rFonts w:hint="eastAsia" w:asciiTheme="minorEastAsia" w:hAnsiTheme="minorEastAsia" w:eastAsiaTheme="minorEastAsia"/>
          <w:b/>
          <w:color w:val="auto"/>
          <w:sz w:val="24"/>
          <w:highlight w:val="none"/>
        </w:rPr>
        <w:br w:type="page"/>
      </w:r>
    </w:p>
    <w:p w14:paraId="2608ED54">
      <w:pPr>
        <w:spacing w:line="360" w:lineRule="auto"/>
        <w:jc w:val="center"/>
        <w:outlineLvl w:val="1"/>
        <w:rPr>
          <w:rFonts w:asciiTheme="minorEastAsia" w:hAnsiTheme="minorEastAsia" w:eastAsiaTheme="minorEastAsia"/>
          <w:b/>
          <w:color w:val="auto"/>
          <w:sz w:val="24"/>
          <w:highlight w:val="none"/>
        </w:rPr>
      </w:pPr>
      <w:bookmarkStart w:id="376" w:name="_Toc24583"/>
      <w:r>
        <w:rPr>
          <w:rFonts w:hint="eastAsia" w:asciiTheme="minorEastAsia" w:hAnsiTheme="minorEastAsia" w:eastAsiaTheme="minorEastAsia"/>
          <w:b/>
          <w:color w:val="auto"/>
          <w:sz w:val="24"/>
          <w:highlight w:val="none"/>
        </w:rPr>
        <w:t>四、授权书</w:t>
      </w:r>
      <w:bookmarkEnd w:id="375"/>
      <w:bookmarkEnd w:id="376"/>
    </w:p>
    <w:p w14:paraId="59B5AD77">
      <w:pPr>
        <w:pStyle w:val="14"/>
        <w:snapToGrid w:val="0"/>
        <w:spacing w:line="360" w:lineRule="auto"/>
        <w:ind w:firstLine="480" w:firstLineChars="200"/>
        <w:jc w:val="left"/>
        <w:rPr>
          <w:rFonts w:hAnsi="宋体" w:eastAsia="宋体"/>
          <w:color w:val="auto"/>
          <w:sz w:val="24"/>
          <w:szCs w:val="28"/>
          <w:highlight w:val="none"/>
        </w:rPr>
      </w:pPr>
    </w:p>
    <w:p w14:paraId="339D05F9">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40CFDB4">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6EA779B">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6CB61C1D">
      <w:pPr>
        <w:spacing w:line="360" w:lineRule="auto"/>
        <w:ind w:firstLine="435"/>
        <w:rPr>
          <w:rFonts w:asciiTheme="minorEastAsia" w:hAnsiTheme="minorEastAsia" w:eastAsiaTheme="minorEastAsia"/>
          <w:color w:val="auto"/>
          <w:sz w:val="24"/>
          <w:highlight w:val="none"/>
        </w:rPr>
      </w:pPr>
    </w:p>
    <w:p w14:paraId="10433D13">
      <w:pPr>
        <w:spacing w:line="360" w:lineRule="auto"/>
        <w:ind w:firstLine="435"/>
        <w:rPr>
          <w:rFonts w:asciiTheme="minorEastAsia" w:hAnsiTheme="minorEastAsia" w:eastAsiaTheme="minorEastAsia"/>
          <w:color w:val="auto"/>
          <w:sz w:val="24"/>
          <w:highlight w:val="none"/>
        </w:rPr>
      </w:pPr>
    </w:p>
    <w:p w14:paraId="363E9BB4">
      <w:pPr>
        <w:spacing w:line="360" w:lineRule="auto"/>
        <w:ind w:firstLine="435"/>
        <w:rPr>
          <w:rFonts w:asciiTheme="minorEastAsia" w:hAnsiTheme="minorEastAsia" w:eastAsiaTheme="minorEastAsia"/>
          <w:color w:val="auto"/>
          <w:sz w:val="24"/>
          <w:highlight w:val="none"/>
        </w:rPr>
      </w:pPr>
    </w:p>
    <w:p w14:paraId="37282361">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4DD36C2">
      <w:pPr>
        <w:spacing w:line="360" w:lineRule="auto"/>
        <w:ind w:firstLine="435"/>
        <w:rPr>
          <w:rFonts w:hAnsi="宋体" w:eastAsia="宋体"/>
          <w:color w:val="auto"/>
          <w:sz w:val="24"/>
          <w:szCs w:val="28"/>
          <w:highlight w:val="none"/>
          <w:lang w:val="zh-CN"/>
        </w:rPr>
      </w:pPr>
    </w:p>
    <w:p w14:paraId="3B2292A7">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7BA59ACE">
      <w:pPr>
        <w:spacing w:line="360" w:lineRule="auto"/>
        <w:rPr>
          <w:rFonts w:ascii="宋体" w:hAnsi="宋体" w:eastAsia="宋体"/>
          <w:color w:val="auto"/>
          <w:sz w:val="24"/>
          <w:szCs w:val="28"/>
          <w:highlight w:val="none"/>
        </w:rPr>
      </w:pPr>
    </w:p>
    <w:p w14:paraId="4D5F5FE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823F3A9">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E66AEC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034816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5F30EC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1D40B6A8">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7541BFD">
      <w:pPr>
        <w:spacing w:line="360" w:lineRule="auto"/>
        <w:jc w:val="center"/>
        <w:outlineLvl w:val="1"/>
        <w:rPr>
          <w:rFonts w:hint="eastAsia" w:asciiTheme="minorEastAsia" w:hAnsiTheme="minorEastAsia" w:eastAsiaTheme="minorEastAsia"/>
          <w:b/>
          <w:color w:val="auto"/>
          <w:sz w:val="24"/>
          <w:highlight w:val="none"/>
          <w:lang w:eastAsia="zh-CN"/>
        </w:rPr>
      </w:pPr>
      <w:bookmarkStart w:id="377" w:name="_Toc32226"/>
      <w:bookmarkStart w:id="378" w:name="_Toc31027"/>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投标分项报价表</w:t>
      </w:r>
      <w:bookmarkEnd w:id="377"/>
      <w:bookmarkEnd w:id="378"/>
    </w:p>
    <w:p w14:paraId="00E9A88E">
      <w:pPr>
        <w:pStyle w:val="55"/>
        <w:jc w:val="left"/>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5-1货物部分</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323"/>
        <w:gridCol w:w="1316"/>
        <w:gridCol w:w="1316"/>
        <w:gridCol w:w="672"/>
        <w:gridCol w:w="672"/>
        <w:gridCol w:w="940"/>
        <w:gridCol w:w="940"/>
        <w:gridCol w:w="670"/>
      </w:tblGrid>
      <w:tr w14:paraId="7162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2EFC9074">
            <w:pPr>
              <w:pStyle w:val="47"/>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noWrap w:val="0"/>
            <w:vAlign w:val="center"/>
          </w:tcPr>
          <w:p w14:paraId="763D24CC">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noWrap w:val="0"/>
            <w:vAlign w:val="center"/>
          </w:tcPr>
          <w:p w14:paraId="207B5FF7">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68585064">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noWrap w:val="0"/>
            <w:vAlign w:val="center"/>
          </w:tcPr>
          <w:p w14:paraId="18447435">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598CEE7A">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noWrap w:val="0"/>
            <w:vAlign w:val="center"/>
          </w:tcPr>
          <w:p w14:paraId="3B9DCA38">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noWrap w:val="0"/>
            <w:vAlign w:val="center"/>
          </w:tcPr>
          <w:p w14:paraId="05586257">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noWrap w:val="0"/>
            <w:vAlign w:val="center"/>
          </w:tcPr>
          <w:p w14:paraId="190170C2">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5B556632">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551" w:type="pct"/>
            <w:noWrap w:val="0"/>
            <w:vAlign w:val="center"/>
          </w:tcPr>
          <w:p w14:paraId="6BC6009D">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16195B52">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393" w:type="pct"/>
            <w:noWrap w:val="0"/>
            <w:vAlign w:val="center"/>
          </w:tcPr>
          <w:p w14:paraId="36B58B8C">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6704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55BDFB46">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776" w:type="pct"/>
            <w:noWrap w:val="0"/>
            <w:vAlign w:val="top"/>
          </w:tcPr>
          <w:p w14:paraId="393959AB">
            <w:pPr>
              <w:rPr>
                <w:rFonts w:ascii="宋体" w:hAnsi="宋体" w:eastAsia="宋体"/>
                <w:color w:val="auto"/>
                <w:sz w:val="24"/>
                <w:highlight w:val="none"/>
              </w:rPr>
            </w:pPr>
          </w:p>
        </w:tc>
        <w:tc>
          <w:tcPr>
            <w:tcW w:w="772" w:type="pct"/>
            <w:noWrap w:val="0"/>
            <w:vAlign w:val="top"/>
          </w:tcPr>
          <w:p w14:paraId="0326F276">
            <w:pPr>
              <w:rPr>
                <w:rFonts w:ascii="宋体" w:hAnsi="宋体" w:eastAsia="宋体"/>
                <w:color w:val="auto"/>
                <w:sz w:val="24"/>
                <w:highlight w:val="none"/>
              </w:rPr>
            </w:pPr>
          </w:p>
        </w:tc>
        <w:tc>
          <w:tcPr>
            <w:tcW w:w="772" w:type="pct"/>
            <w:noWrap w:val="0"/>
            <w:vAlign w:val="top"/>
          </w:tcPr>
          <w:p w14:paraId="61BDC6A3">
            <w:pPr>
              <w:rPr>
                <w:rFonts w:ascii="宋体" w:hAnsi="宋体" w:eastAsia="宋体"/>
                <w:color w:val="auto"/>
                <w:sz w:val="24"/>
                <w:highlight w:val="none"/>
              </w:rPr>
            </w:pPr>
          </w:p>
        </w:tc>
        <w:tc>
          <w:tcPr>
            <w:tcW w:w="394" w:type="pct"/>
            <w:noWrap w:val="0"/>
            <w:vAlign w:val="top"/>
          </w:tcPr>
          <w:p w14:paraId="39626081">
            <w:pPr>
              <w:rPr>
                <w:rFonts w:ascii="宋体" w:hAnsi="宋体" w:eastAsia="宋体"/>
                <w:color w:val="auto"/>
                <w:sz w:val="24"/>
                <w:highlight w:val="none"/>
              </w:rPr>
            </w:pPr>
          </w:p>
        </w:tc>
        <w:tc>
          <w:tcPr>
            <w:tcW w:w="394" w:type="pct"/>
            <w:noWrap w:val="0"/>
            <w:vAlign w:val="top"/>
          </w:tcPr>
          <w:p w14:paraId="695FA1F6">
            <w:pPr>
              <w:rPr>
                <w:rFonts w:ascii="宋体" w:hAnsi="宋体" w:eastAsia="宋体"/>
                <w:color w:val="auto"/>
                <w:sz w:val="24"/>
                <w:highlight w:val="none"/>
              </w:rPr>
            </w:pPr>
          </w:p>
        </w:tc>
        <w:tc>
          <w:tcPr>
            <w:tcW w:w="551" w:type="pct"/>
            <w:noWrap w:val="0"/>
            <w:vAlign w:val="top"/>
          </w:tcPr>
          <w:p w14:paraId="5F237D89">
            <w:pPr>
              <w:rPr>
                <w:rFonts w:ascii="宋体" w:hAnsi="宋体" w:eastAsia="宋体"/>
                <w:color w:val="auto"/>
                <w:sz w:val="24"/>
                <w:highlight w:val="none"/>
              </w:rPr>
            </w:pPr>
          </w:p>
        </w:tc>
        <w:tc>
          <w:tcPr>
            <w:tcW w:w="551" w:type="pct"/>
            <w:noWrap w:val="0"/>
            <w:vAlign w:val="top"/>
          </w:tcPr>
          <w:p w14:paraId="32658EF0">
            <w:pPr>
              <w:rPr>
                <w:rFonts w:ascii="宋体" w:hAnsi="宋体" w:eastAsia="宋体"/>
                <w:color w:val="auto"/>
                <w:sz w:val="24"/>
                <w:highlight w:val="none"/>
              </w:rPr>
            </w:pPr>
          </w:p>
        </w:tc>
        <w:tc>
          <w:tcPr>
            <w:tcW w:w="393" w:type="pct"/>
            <w:noWrap w:val="0"/>
            <w:vAlign w:val="top"/>
          </w:tcPr>
          <w:p w14:paraId="318C3301">
            <w:pPr>
              <w:rPr>
                <w:rFonts w:ascii="宋体" w:hAnsi="宋体" w:eastAsia="宋体"/>
                <w:color w:val="auto"/>
                <w:sz w:val="24"/>
                <w:highlight w:val="none"/>
              </w:rPr>
            </w:pPr>
          </w:p>
        </w:tc>
      </w:tr>
      <w:tr w14:paraId="1483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3D619128">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776" w:type="pct"/>
            <w:noWrap w:val="0"/>
            <w:vAlign w:val="top"/>
          </w:tcPr>
          <w:p w14:paraId="0082B46D">
            <w:pPr>
              <w:rPr>
                <w:rFonts w:ascii="宋体" w:hAnsi="宋体" w:eastAsia="宋体"/>
                <w:color w:val="auto"/>
                <w:sz w:val="24"/>
                <w:highlight w:val="none"/>
              </w:rPr>
            </w:pPr>
          </w:p>
        </w:tc>
        <w:tc>
          <w:tcPr>
            <w:tcW w:w="772" w:type="pct"/>
            <w:noWrap w:val="0"/>
            <w:vAlign w:val="top"/>
          </w:tcPr>
          <w:p w14:paraId="53C5DDB6">
            <w:pPr>
              <w:rPr>
                <w:rFonts w:ascii="宋体" w:hAnsi="宋体" w:eastAsia="宋体"/>
                <w:color w:val="auto"/>
                <w:sz w:val="24"/>
                <w:highlight w:val="none"/>
              </w:rPr>
            </w:pPr>
          </w:p>
        </w:tc>
        <w:tc>
          <w:tcPr>
            <w:tcW w:w="772" w:type="pct"/>
            <w:noWrap w:val="0"/>
            <w:vAlign w:val="top"/>
          </w:tcPr>
          <w:p w14:paraId="64FFB1D6">
            <w:pPr>
              <w:rPr>
                <w:rFonts w:ascii="宋体" w:hAnsi="宋体" w:eastAsia="宋体"/>
                <w:color w:val="auto"/>
                <w:sz w:val="24"/>
                <w:highlight w:val="none"/>
              </w:rPr>
            </w:pPr>
          </w:p>
        </w:tc>
        <w:tc>
          <w:tcPr>
            <w:tcW w:w="394" w:type="pct"/>
            <w:noWrap w:val="0"/>
            <w:vAlign w:val="top"/>
          </w:tcPr>
          <w:p w14:paraId="3D665543">
            <w:pPr>
              <w:rPr>
                <w:rFonts w:ascii="宋体" w:hAnsi="宋体" w:eastAsia="宋体"/>
                <w:color w:val="auto"/>
                <w:sz w:val="24"/>
                <w:highlight w:val="none"/>
              </w:rPr>
            </w:pPr>
          </w:p>
        </w:tc>
        <w:tc>
          <w:tcPr>
            <w:tcW w:w="394" w:type="pct"/>
            <w:noWrap w:val="0"/>
            <w:vAlign w:val="top"/>
          </w:tcPr>
          <w:p w14:paraId="08138B37">
            <w:pPr>
              <w:rPr>
                <w:rFonts w:ascii="宋体" w:hAnsi="宋体" w:eastAsia="宋体"/>
                <w:color w:val="auto"/>
                <w:sz w:val="24"/>
                <w:highlight w:val="none"/>
              </w:rPr>
            </w:pPr>
          </w:p>
        </w:tc>
        <w:tc>
          <w:tcPr>
            <w:tcW w:w="551" w:type="pct"/>
            <w:noWrap w:val="0"/>
            <w:vAlign w:val="top"/>
          </w:tcPr>
          <w:p w14:paraId="7BD674D1">
            <w:pPr>
              <w:rPr>
                <w:rFonts w:ascii="宋体" w:hAnsi="宋体" w:eastAsia="宋体"/>
                <w:color w:val="auto"/>
                <w:sz w:val="24"/>
                <w:highlight w:val="none"/>
              </w:rPr>
            </w:pPr>
          </w:p>
        </w:tc>
        <w:tc>
          <w:tcPr>
            <w:tcW w:w="551" w:type="pct"/>
            <w:noWrap w:val="0"/>
            <w:vAlign w:val="top"/>
          </w:tcPr>
          <w:p w14:paraId="3695729B">
            <w:pPr>
              <w:rPr>
                <w:rFonts w:ascii="宋体" w:hAnsi="宋体" w:eastAsia="宋体"/>
                <w:color w:val="auto"/>
                <w:sz w:val="24"/>
                <w:highlight w:val="none"/>
              </w:rPr>
            </w:pPr>
          </w:p>
        </w:tc>
        <w:tc>
          <w:tcPr>
            <w:tcW w:w="393" w:type="pct"/>
            <w:noWrap w:val="0"/>
            <w:vAlign w:val="top"/>
          </w:tcPr>
          <w:p w14:paraId="6218C42F">
            <w:pPr>
              <w:rPr>
                <w:rFonts w:ascii="宋体" w:hAnsi="宋体" w:eastAsia="宋体"/>
                <w:color w:val="auto"/>
                <w:sz w:val="24"/>
                <w:highlight w:val="none"/>
              </w:rPr>
            </w:pPr>
          </w:p>
        </w:tc>
      </w:tr>
      <w:tr w14:paraId="124F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37DEE3">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776" w:type="pct"/>
            <w:noWrap w:val="0"/>
            <w:vAlign w:val="top"/>
          </w:tcPr>
          <w:p w14:paraId="234BB26C">
            <w:pPr>
              <w:rPr>
                <w:rFonts w:ascii="宋体" w:hAnsi="宋体" w:eastAsia="宋体"/>
                <w:color w:val="auto"/>
                <w:sz w:val="24"/>
                <w:highlight w:val="none"/>
              </w:rPr>
            </w:pPr>
          </w:p>
        </w:tc>
        <w:tc>
          <w:tcPr>
            <w:tcW w:w="772" w:type="pct"/>
            <w:noWrap w:val="0"/>
            <w:vAlign w:val="top"/>
          </w:tcPr>
          <w:p w14:paraId="2FE1BF32">
            <w:pPr>
              <w:rPr>
                <w:rFonts w:ascii="宋体" w:hAnsi="宋体" w:eastAsia="宋体"/>
                <w:color w:val="auto"/>
                <w:sz w:val="24"/>
                <w:highlight w:val="none"/>
              </w:rPr>
            </w:pPr>
          </w:p>
        </w:tc>
        <w:tc>
          <w:tcPr>
            <w:tcW w:w="772" w:type="pct"/>
            <w:noWrap w:val="0"/>
            <w:vAlign w:val="top"/>
          </w:tcPr>
          <w:p w14:paraId="40D062CC">
            <w:pPr>
              <w:rPr>
                <w:rFonts w:ascii="宋体" w:hAnsi="宋体" w:eastAsia="宋体"/>
                <w:color w:val="auto"/>
                <w:sz w:val="24"/>
                <w:highlight w:val="none"/>
              </w:rPr>
            </w:pPr>
          </w:p>
        </w:tc>
        <w:tc>
          <w:tcPr>
            <w:tcW w:w="394" w:type="pct"/>
            <w:noWrap w:val="0"/>
            <w:vAlign w:val="top"/>
          </w:tcPr>
          <w:p w14:paraId="09285763">
            <w:pPr>
              <w:rPr>
                <w:rFonts w:ascii="宋体" w:hAnsi="宋体" w:eastAsia="宋体"/>
                <w:color w:val="auto"/>
                <w:sz w:val="24"/>
                <w:highlight w:val="none"/>
              </w:rPr>
            </w:pPr>
          </w:p>
        </w:tc>
        <w:tc>
          <w:tcPr>
            <w:tcW w:w="394" w:type="pct"/>
            <w:noWrap w:val="0"/>
            <w:vAlign w:val="top"/>
          </w:tcPr>
          <w:p w14:paraId="4168BF26">
            <w:pPr>
              <w:rPr>
                <w:rFonts w:ascii="宋体" w:hAnsi="宋体" w:eastAsia="宋体"/>
                <w:color w:val="auto"/>
                <w:sz w:val="24"/>
                <w:highlight w:val="none"/>
              </w:rPr>
            </w:pPr>
          </w:p>
        </w:tc>
        <w:tc>
          <w:tcPr>
            <w:tcW w:w="551" w:type="pct"/>
            <w:noWrap w:val="0"/>
            <w:vAlign w:val="top"/>
          </w:tcPr>
          <w:p w14:paraId="113DF9A7">
            <w:pPr>
              <w:rPr>
                <w:rFonts w:ascii="宋体" w:hAnsi="宋体" w:eastAsia="宋体"/>
                <w:color w:val="auto"/>
                <w:sz w:val="24"/>
                <w:highlight w:val="none"/>
              </w:rPr>
            </w:pPr>
          </w:p>
        </w:tc>
        <w:tc>
          <w:tcPr>
            <w:tcW w:w="551" w:type="pct"/>
            <w:noWrap w:val="0"/>
            <w:vAlign w:val="top"/>
          </w:tcPr>
          <w:p w14:paraId="50BA374B">
            <w:pPr>
              <w:rPr>
                <w:rFonts w:ascii="宋体" w:hAnsi="宋体" w:eastAsia="宋体"/>
                <w:color w:val="auto"/>
                <w:sz w:val="24"/>
                <w:highlight w:val="none"/>
              </w:rPr>
            </w:pPr>
          </w:p>
        </w:tc>
        <w:tc>
          <w:tcPr>
            <w:tcW w:w="393" w:type="pct"/>
            <w:noWrap w:val="0"/>
            <w:vAlign w:val="top"/>
          </w:tcPr>
          <w:p w14:paraId="4E1E6528">
            <w:pPr>
              <w:rPr>
                <w:rFonts w:ascii="宋体" w:hAnsi="宋体" w:eastAsia="宋体"/>
                <w:color w:val="auto"/>
                <w:sz w:val="24"/>
                <w:highlight w:val="none"/>
              </w:rPr>
            </w:pPr>
          </w:p>
        </w:tc>
      </w:tr>
      <w:tr w14:paraId="0443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05B2CBBC">
            <w:pPr>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776" w:type="pct"/>
            <w:noWrap w:val="0"/>
            <w:vAlign w:val="top"/>
          </w:tcPr>
          <w:p w14:paraId="75434EAE">
            <w:pPr>
              <w:rPr>
                <w:rFonts w:ascii="宋体" w:hAnsi="宋体" w:eastAsia="宋体"/>
                <w:color w:val="auto"/>
                <w:sz w:val="24"/>
                <w:highlight w:val="none"/>
              </w:rPr>
            </w:pPr>
          </w:p>
        </w:tc>
        <w:tc>
          <w:tcPr>
            <w:tcW w:w="772" w:type="pct"/>
            <w:noWrap w:val="0"/>
            <w:vAlign w:val="top"/>
          </w:tcPr>
          <w:p w14:paraId="0BE4087A">
            <w:pPr>
              <w:rPr>
                <w:rFonts w:ascii="宋体" w:hAnsi="宋体" w:eastAsia="宋体"/>
                <w:color w:val="auto"/>
                <w:sz w:val="24"/>
                <w:highlight w:val="none"/>
              </w:rPr>
            </w:pPr>
          </w:p>
        </w:tc>
        <w:tc>
          <w:tcPr>
            <w:tcW w:w="772" w:type="pct"/>
            <w:noWrap w:val="0"/>
            <w:vAlign w:val="top"/>
          </w:tcPr>
          <w:p w14:paraId="7E60CD8F">
            <w:pPr>
              <w:rPr>
                <w:rFonts w:ascii="宋体" w:hAnsi="宋体" w:eastAsia="宋体"/>
                <w:color w:val="auto"/>
                <w:sz w:val="24"/>
                <w:highlight w:val="none"/>
              </w:rPr>
            </w:pPr>
          </w:p>
        </w:tc>
        <w:tc>
          <w:tcPr>
            <w:tcW w:w="394" w:type="pct"/>
            <w:noWrap w:val="0"/>
            <w:vAlign w:val="top"/>
          </w:tcPr>
          <w:p w14:paraId="0F90160C">
            <w:pPr>
              <w:rPr>
                <w:rFonts w:ascii="宋体" w:hAnsi="宋体" w:eastAsia="宋体"/>
                <w:color w:val="auto"/>
                <w:sz w:val="24"/>
                <w:highlight w:val="none"/>
              </w:rPr>
            </w:pPr>
          </w:p>
        </w:tc>
        <w:tc>
          <w:tcPr>
            <w:tcW w:w="394" w:type="pct"/>
            <w:noWrap w:val="0"/>
            <w:vAlign w:val="top"/>
          </w:tcPr>
          <w:p w14:paraId="0199CD2F">
            <w:pPr>
              <w:rPr>
                <w:rFonts w:ascii="宋体" w:hAnsi="宋体" w:eastAsia="宋体"/>
                <w:color w:val="auto"/>
                <w:sz w:val="24"/>
                <w:highlight w:val="none"/>
              </w:rPr>
            </w:pPr>
          </w:p>
        </w:tc>
        <w:tc>
          <w:tcPr>
            <w:tcW w:w="551" w:type="pct"/>
            <w:noWrap w:val="0"/>
            <w:vAlign w:val="top"/>
          </w:tcPr>
          <w:p w14:paraId="5458B74F">
            <w:pPr>
              <w:rPr>
                <w:rFonts w:ascii="宋体" w:hAnsi="宋体" w:eastAsia="宋体"/>
                <w:color w:val="auto"/>
                <w:sz w:val="24"/>
                <w:highlight w:val="none"/>
              </w:rPr>
            </w:pPr>
          </w:p>
        </w:tc>
        <w:tc>
          <w:tcPr>
            <w:tcW w:w="551" w:type="pct"/>
            <w:noWrap w:val="0"/>
            <w:vAlign w:val="top"/>
          </w:tcPr>
          <w:p w14:paraId="6B55A6F7">
            <w:pPr>
              <w:rPr>
                <w:rFonts w:ascii="宋体" w:hAnsi="宋体" w:eastAsia="宋体"/>
                <w:color w:val="auto"/>
                <w:sz w:val="24"/>
                <w:highlight w:val="none"/>
              </w:rPr>
            </w:pPr>
          </w:p>
        </w:tc>
        <w:tc>
          <w:tcPr>
            <w:tcW w:w="393" w:type="pct"/>
            <w:noWrap w:val="0"/>
            <w:vAlign w:val="top"/>
          </w:tcPr>
          <w:p w14:paraId="48005C52">
            <w:pPr>
              <w:rPr>
                <w:rFonts w:ascii="宋体" w:hAnsi="宋体" w:eastAsia="宋体"/>
                <w:color w:val="auto"/>
                <w:sz w:val="24"/>
                <w:highlight w:val="none"/>
              </w:rPr>
            </w:pPr>
          </w:p>
        </w:tc>
      </w:tr>
      <w:tr w14:paraId="39A0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4" w:type="pct"/>
            <w:gridSpan w:val="7"/>
            <w:noWrap w:val="0"/>
            <w:vAlign w:val="center"/>
          </w:tcPr>
          <w:p w14:paraId="11FB4891">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945" w:type="pct"/>
            <w:gridSpan w:val="2"/>
            <w:noWrap w:val="0"/>
            <w:vAlign w:val="top"/>
          </w:tcPr>
          <w:p w14:paraId="41F88EC6">
            <w:pPr>
              <w:rPr>
                <w:rFonts w:ascii="宋体" w:hAnsi="宋体" w:eastAsia="宋体"/>
                <w:color w:val="auto"/>
                <w:sz w:val="24"/>
                <w:highlight w:val="none"/>
              </w:rPr>
            </w:pPr>
          </w:p>
        </w:tc>
      </w:tr>
    </w:tbl>
    <w:p w14:paraId="4E485F86">
      <w:pPr>
        <w:pStyle w:val="55"/>
        <w:jc w:val="both"/>
        <w:rPr>
          <w:rFonts w:hint="default" w:ascii="宋体" w:hAnsi="宋体" w:eastAsia="宋体"/>
          <w:b/>
          <w:bCs/>
          <w:i/>
          <w:iCs/>
          <w:color w:val="auto"/>
          <w:highlight w:val="none"/>
          <w:lang w:val="en-US" w:eastAsia="zh-CN"/>
        </w:rPr>
      </w:pPr>
      <w:r>
        <w:rPr>
          <w:rFonts w:hint="eastAsia" w:ascii="宋体" w:hAnsi="宋体" w:eastAsia="宋体"/>
          <w:b/>
          <w:bCs/>
          <w:color w:val="auto"/>
          <w:highlight w:val="none"/>
          <w:lang w:val="en-US" w:eastAsia="zh-CN"/>
        </w:rPr>
        <w:t>5-2服务部分</w:t>
      </w:r>
      <w:r>
        <w:rPr>
          <w:rFonts w:hint="eastAsia" w:ascii="宋体" w:hAnsi="宋体" w:eastAsia="宋体"/>
          <w:b/>
          <w:bCs/>
          <w:i/>
          <w:iCs/>
          <w:color w:val="auto"/>
          <w:highlight w:val="none"/>
        </w:rPr>
        <w:t>（仅供参考，投标人可自行制作格式）</w:t>
      </w:r>
    </w:p>
    <w:tbl>
      <w:tblPr>
        <w:tblStyle w:val="2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6"/>
      </w:tblGrid>
      <w:tr w14:paraId="7C02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56EBC93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noWrap w:val="0"/>
            <w:vAlign w:val="center"/>
          </w:tcPr>
          <w:p w14:paraId="7409273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noWrap w:val="0"/>
            <w:vAlign w:val="center"/>
          </w:tcPr>
          <w:p w14:paraId="0C9AA4F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noWrap w:val="0"/>
            <w:vAlign w:val="center"/>
          </w:tcPr>
          <w:p w14:paraId="1441059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noWrap w:val="0"/>
            <w:vAlign w:val="center"/>
          </w:tcPr>
          <w:p w14:paraId="263570D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小计（元）</w:t>
            </w:r>
          </w:p>
        </w:tc>
      </w:tr>
      <w:tr w14:paraId="1DB8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3D7C6A7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noWrap w:val="0"/>
            <w:vAlign w:val="center"/>
          </w:tcPr>
          <w:p w14:paraId="2ED7BD1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szCs w:val="24"/>
                <w:highlight w:val="none"/>
              </w:rPr>
            </w:pPr>
          </w:p>
        </w:tc>
        <w:tc>
          <w:tcPr>
            <w:tcW w:w="796" w:type="pct"/>
            <w:noWrap w:val="0"/>
            <w:vAlign w:val="center"/>
          </w:tcPr>
          <w:p w14:paraId="5DA260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olor w:val="auto"/>
                <w:sz w:val="24"/>
                <w:highlight w:val="none"/>
                <w:lang w:val="en-US" w:eastAsia="zh-CN"/>
              </w:rPr>
            </w:pPr>
          </w:p>
        </w:tc>
        <w:tc>
          <w:tcPr>
            <w:tcW w:w="996" w:type="pct"/>
            <w:noWrap w:val="0"/>
            <w:vAlign w:val="center"/>
          </w:tcPr>
          <w:p w14:paraId="24CFBC9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4A0DCF0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0F6C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4ED06DF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noWrap w:val="0"/>
            <w:vAlign w:val="center"/>
          </w:tcPr>
          <w:p w14:paraId="3F6AB34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szCs w:val="24"/>
                <w:highlight w:val="none"/>
              </w:rPr>
            </w:pPr>
          </w:p>
        </w:tc>
        <w:tc>
          <w:tcPr>
            <w:tcW w:w="796" w:type="pct"/>
            <w:noWrap w:val="0"/>
            <w:vAlign w:val="center"/>
          </w:tcPr>
          <w:p w14:paraId="5A1C03C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olor w:val="auto"/>
                <w:sz w:val="24"/>
                <w:highlight w:val="none"/>
                <w:lang w:val="en-US" w:eastAsia="zh-CN"/>
              </w:rPr>
            </w:pPr>
          </w:p>
        </w:tc>
        <w:tc>
          <w:tcPr>
            <w:tcW w:w="996" w:type="pct"/>
            <w:noWrap w:val="0"/>
            <w:vAlign w:val="center"/>
          </w:tcPr>
          <w:p w14:paraId="4286143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1F9F41A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715B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61F4DF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noWrap w:val="0"/>
            <w:vAlign w:val="center"/>
          </w:tcPr>
          <w:p w14:paraId="2A230F3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szCs w:val="24"/>
                <w:highlight w:val="none"/>
              </w:rPr>
            </w:pPr>
          </w:p>
        </w:tc>
        <w:tc>
          <w:tcPr>
            <w:tcW w:w="796" w:type="pct"/>
            <w:noWrap w:val="0"/>
            <w:vAlign w:val="center"/>
          </w:tcPr>
          <w:p w14:paraId="01341F3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olor w:val="auto"/>
                <w:sz w:val="24"/>
                <w:highlight w:val="none"/>
                <w:lang w:val="en-US" w:eastAsia="zh-CN"/>
              </w:rPr>
            </w:pPr>
          </w:p>
        </w:tc>
        <w:tc>
          <w:tcPr>
            <w:tcW w:w="996" w:type="pct"/>
            <w:noWrap w:val="0"/>
            <w:vAlign w:val="center"/>
          </w:tcPr>
          <w:p w14:paraId="1B4FAEC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2D94875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4D3F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229B00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ascii="宋体" w:hAnsi="宋体" w:eastAsia="宋体"/>
                <w:color w:val="auto"/>
                <w:sz w:val="24"/>
                <w:highlight w:val="none"/>
              </w:rPr>
              <w:t>…</w:t>
            </w:r>
          </w:p>
        </w:tc>
        <w:tc>
          <w:tcPr>
            <w:tcW w:w="1824" w:type="pct"/>
            <w:noWrap w:val="0"/>
            <w:vAlign w:val="center"/>
          </w:tcPr>
          <w:p w14:paraId="0019EEC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B4150A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176071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5AE30D9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0E91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6E4F000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noWrap w:val="0"/>
            <w:vAlign w:val="center"/>
          </w:tcPr>
          <w:p w14:paraId="7803510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659D5255">
      <w:pPr>
        <w:spacing w:line="360" w:lineRule="auto"/>
        <w:ind w:firstLine="435"/>
        <w:jc w:val="right"/>
        <w:rPr>
          <w:rFonts w:hint="eastAsia" w:ascii="宋体" w:hAnsi="宋体" w:eastAsia="宋体"/>
          <w:b/>
          <w:bCs/>
          <w:color w:val="auto"/>
          <w:highlight w:val="none"/>
          <w:lang w:val="en-US" w:eastAsia="zh-CN"/>
        </w:rPr>
      </w:pPr>
      <w:r>
        <w:rPr>
          <w:rFonts w:hint="eastAsia" w:ascii="宋体" w:hAnsi="宋体" w:eastAsia="宋体"/>
          <w:bCs/>
          <w:color w:val="auto"/>
          <w:sz w:val="24"/>
          <w:szCs w:val="28"/>
          <w:highlight w:val="none"/>
          <w:u w:val="single"/>
        </w:rPr>
        <w:t xml:space="preserve">       </w:t>
      </w:r>
    </w:p>
    <w:p w14:paraId="085BCE43">
      <w:pPr>
        <w:pStyle w:val="55"/>
        <w:jc w:val="both"/>
        <w:rPr>
          <w:rFonts w:hint="eastAsia" w:ascii="宋体" w:hAnsi="宋体" w:eastAsia="宋体"/>
          <w:b/>
          <w:bCs/>
          <w:color w:val="auto"/>
          <w:highlight w:val="none"/>
          <w:lang w:val="en-US" w:eastAsia="zh-CN"/>
        </w:rPr>
      </w:pPr>
      <w:r>
        <w:rPr>
          <w:rFonts w:hint="eastAsia" w:ascii="宋体" w:hAnsi="宋体" w:eastAsia="宋体"/>
          <w:b/>
          <w:bCs/>
          <w:color w:val="auto"/>
          <w:highlight w:val="none"/>
          <w:lang w:val="en-US" w:eastAsia="zh-CN"/>
        </w:rPr>
        <w:t>5-3 符合本国产品标准的产品成本之和占比</w:t>
      </w:r>
    </w:p>
    <w:tbl>
      <w:tblPr>
        <w:tblStyle w:val="29"/>
        <w:tblW w:w="8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9"/>
        <w:gridCol w:w="1554"/>
      </w:tblGrid>
      <w:tr w14:paraId="5DDD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7309" w:type="dxa"/>
            <w:noWrap w:val="0"/>
            <w:vAlign w:val="top"/>
          </w:tcPr>
          <w:p w14:paraId="0D5E58D6">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rPr>
              <w:t>本公司（单位）提供的符合本国产品标准的产品成本之和占提供的全部产品成本之和的比例</w:t>
            </w:r>
          </w:p>
        </w:tc>
        <w:tc>
          <w:tcPr>
            <w:tcW w:w="1554" w:type="dxa"/>
            <w:noWrap w:val="0"/>
            <w:vAlign w:val="top"/>
          </w:tcPr>
          <w:p w14:paraId="0BDDA1D8">
            <w:pPr>
              <w:spacing w:line="360" w:lineRule="auto"/>
              <w:rPr>
                <w:rFonts w:hint="eastAsia" w:ascii="宋体" w:hAnsi="宋体" w:eastAsia="宋体" w:cs="宋体"/>
                <w:color w:val="auto"/>
                <w:sz w:val="24"/>
                <w:szCs w:val="24"/>
                <w:highlight w:val="none"/>
                <w:u w:val="single"/>
                <w:lang w:val="en-US" w:eastAsia="zh-CN"/>
              </w:rPr>
            </w:pPr>
          </w:p>
          <w:p w14:paraId="6024CEC5">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6A14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8863" w:type="dxa"/>
            <w:gridSpan w:val="2"/>
            <w:noWrap w:val="0"/>
            <w:vAlign w:val="top"/>
          </w:tcPr>
          <w:p w14:paraId="1851F66A">
            <w:pPr>
              <w:tabs>
                <w:tab w:val="left" w:pos="4620"/>
              </w:tabs>
              <w:spacing w:line="360" w:lineRule="auto"/>
              <w:jc w:val="left"/>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1D1308D9">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1.投标人为该采购项目或者采购包提供的符合本国产品标准的产品成本之和占该投标人提供的全部产品成本之和的比例达到80%以上时，对该投标人提供的全部产品给予价格评审优惠。</w:t>
            </w:r>
          </w:p>
          <w:p w14:paraId="1CD91A71">
            <w:pPr>
              <w:spacing w:line="360" w:lineRule="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01384E5F">
            <w:pPr>
              <w:spacing w:line="360" w:lineRule="auto"/>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w:t>
            </w:r>
            <w:r>
              <w:rPr>
                <w:rFonts w:hint="eastAsia" w:ascii="宋体" w:hAnsi="宋体" w:eastAsia="宋体" w:cs="宋体"/>
                <w:b w:val="0"/>
                <w:bCs/>
                <w:color w:val="auto"/>
                <w:kern w:val="2"/>
                <w:sz w:val="21"/>
                <w:szCs w:val="21"/>
                <w:highlight w:val="none"/>
                <w:lang w:val="en-US" w:eastAsia="zh-CN" w:bidi="ar"/>
              </w:rPr>
              <w:t>上表中全部产品成本之和是指表5-1和表5-2包含的全部货物、服务产品成本之和。</w:t>
            </w:r>
          </w:p>
        </w:tc>
      </w:tr>
    </w:tbl>
    <w:p w14:paraId="086BF167">
      <w:pPr>
        <w:spacing w:line="360" w:lineRule="auto"/>
        <w:rPr>
          <w:rFonts w:hint="eastAsia" w:ascii="宋体" w:hAnsi="宋体" w:eastAsia="宋体"/>
          <w:b/>
          <w:bCs/>
          <w:color w:val="auto"/>
          <w:sz w:val="21"/>
          <w:szCs w:val="21"/>
          <w:highlight w:val="none"/>
          <w:lang w:eastAsia="zh-CN"/>
        </w:rPr>
      </w:pPr>
    </w:p>
    <w:p w14:paraId="2B116089">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B202882">
      <w:pPr>
        <w:tabs>
          <w:tab w:val="left" w:pos="630"/>
        </w:tabs>
        <w:spacing w:line="360" w:lineRule="auto"/>
        <w:ind w:firstLine="4800" w:firstLineChars="2000"/>
        <w:jc w:val="center"/>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5EE7940">
      <w:pPr>
        <w:spacing w:line="360" w:lineRule="auto"/>
        <w:rPr>
          <w:rFonts w:hint="eastAsia" w:ascii="宋体" w:hAnsi="宋体" w:eastAsia="宋体"/>
          <w:b/>
          <w:bCs/>
          <w:color w:val="auto"/>
          <w:sz w:val="21"/>
          <w:szCs w:val="21"/>
          <w:highlight w:val="none"/>
          <w:lang w:eastAsia="zh-CN"/>
        </w:rPr>
      </w:pPr>
      <w:r>
        <w:rPr>
          <w:rFonts w:hint="eastAsia" w:ascii="宋体" w:hAnsi="宋体" w:eastAsia="宋体"/>
          <w:b/>
          <w:bCs/>
          <w:color w:val="auto"/>
          <w:sz w:val="21"/>
          <w:szCs w:val="21"/>
          <w:highlight w:val="none"/>
          <w:lang w:eastAsia="zh-CN"/>
        </w:rPr>
        <w:t>注：</w:t>
      </w:r>
    </w:p>
    <w:p w14:paraId="6AAACBAE">
      <w:pPr>
        <w:spacing w:line="360" w:lineRule="auto"/>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1.表5-1</w:t>
      </w:r>
      <w:r>
        <w:rPr>
          <w:rFonts w:hint="eastAsia" w:ascii="宋体" w:hAnsi="宋体" w:eastAsia="宋体"/>
          <w:color w:val="auto"/>
          <w:sz w:val="21"/>
          <w:szCs w:val="21"/>
          <w:highlight w:val="none"/>
        </w:rPr>
        <w:t>中须明确列出所投产品的货物名称、品牌、型号规格、原产地及生产厂商，否则可能导致</w:t>
      </w:r>
      <w:r>
        <w:rPr>
          <w:rFonts w:hint="eastAsia" w:ascii="宋体" w:hAnsi="宋体" w:eastAsia="宋体"/>
          <w:b/>
          <w:bCs/>
          <w:color w:val="auto"/>
          <w:sz w:val="21"/>
          <w:szCs w:val="21"/>
          <w:highlight w:val="none"/>
        </w:rPr>
        <w:t>投标无效</w:t>
      </w:r>
      <w:r>
        <w:rPr>
          <w:rFonts w:hint="eastAsia" w:ascii="宋体" w:hAnsi="宋体" w:eastAsia="宋体"/>
          <w:b/>
          <w:bCs/>
          <w:color w:val="auto"/>
          <w:sz w:val="21"/>
          <w:szCs w:val="21"/>
          <w:highlight w:val="none"/>
          <w:lang w:eastAsia="zh-CN"/>
        </w:rPr>
        <w:t>。</w:t>
      </w:r>
    </w:p>
    <w:p w14:paraId="73139860">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2.上述报价为投标人完成本项目内容的全部费用（总报价为表5-1和表5-2合计金额之和），</w:t>
      </w:r>
      <w:r>
        <w:rPr>
          <w:rFonts w:hint="eastAsia" w:ascii="宋体" w:hAnsi="宋体" w:eastAsia="宋体"/>
          <w:color w:val="auto"/>
          <w:sz w:val="21"/>
          <w:szCs w:val="21"/>
          <w:highlight w:val="none"/>
        </w:rPr>
        <w:t>如有漏项或缺项，</w:t>
      </w:r>
      <w:r>
        <w:rPr>
          <w:rFonts w:hint="eastAsia" w:ascii="宋体" w:hAnsi="宋体" w:eastAsia="宋体"/>
          <w:color w:val="auto"/>
          <w:sz w:val="21"/>
          <w:szCs w:val="21"/>
          <w:highlight w:val="none"/>
          <w:lang w:val="en-US" w:eastAsia="zh-CN"/>
        </w:rPr>
        <w:t>自行</w:t>
      </w:r>
      <w:r>
        <w:rPr>
          <w:rFonts w:hint="eastAsia" w:ascii="宋体" w:hAnsi="宋体" w:eastAsia="宋体"/>
          <w:color w:val="auto"/>
          <w:sz w:val="21"/>
          <w:szCs w:val="21"/>
          <w:highlight w:val="none"/>
        </w:rPr>
        <w:t>承担全部责任。</w:t>
      </w:r>
    </w:p>
    <w:p w14:paraId="70600B32">
      <w:pPr>
        <w:pStyle w:val="10"/>
        <w:rPr>
          <w:rFonts w:hint="eastAsia" w:asciiTheme="minorEastAsia" w:hAnsiTheme="minorEastAsia" w:eastAsiaTheme="minorEastAsia"/>
          <w:color w:val="auto"/>
          <w:sz w:val="24"/>
          <w:highlight w:val="none"/>
        </w:rPr>
      </w:pPr>
    </w:p>
    <w:p w14:paraId="02CAC5BD">
      <w:pPr>
        <w:rPr>
          <w:rFonts w:hint="eastAsia" w:asciiTheme="minorEastAsia" w:hAnsiTheme="minorEastAsia" w:eastAsiaTheme="minorEastAsia"/>
          <w:b/>
          <w:color w:val="auto"/>
          <w:sz w:val="24"/>
          <w:highlight w:val="none"/>
        </w:rPr>
      </w:pPr>
      <w:bookmarkStart w:id="379" w:name="_Toc20329"/>
      <w:r>
        <w:rPr>
          <w:rFonts w:hint="eastAsia" w:asciiTheme="minorEastAsia" w:hAnsiTheme="minorEastAsia" w:eastAsiaTheme="minorEastAsia"/>
          <w:b/>
          <w:color w:val="auto"/>
          <w:sz w:val="24"/>
          <w:highlight w:val="none"/>
        </w:rPr>
        <w:br w:type="page"/>
      </w:r>
    </w:p>
    <w:p w14:paraId="1A583DFB">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380" w:name="_Toc15209"/>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、投标响应表</w:t>
      </w:r>
      <w:bookmarkEnd w:id="379"/>
      <w:bookmarkEnd w:id="380"/>
    </w:p>
    <w:p w14:paraId="199E2FBC">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BA7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BEF5812">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73507CD">
            <w:pPr>
              <w:pStyle w:val="14"/>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2F233813">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52EDD018">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1E1FC192">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D70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7F54FF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67FED076">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7D0C8DEB">
            <w:pPr>
              <w:jc w:val="center"/>
              <w:rPr>
                <w:rFonts w:asciiTheme="minorEastAsia" w:hAnsiTheme="minorEastAsia" w:eastAsiaTheme="minorEastAsia"/>
                <w:color w:val="auto"/>
                <w:sz w:val="24"/>
                <w:highlight w:val="none"/>
              </w:rPr>
            </w:pPr>
          </w:p>
        </w:tc>
        <w:tc>
          <w:tcPr>
            <w:tcW w:w="1510" w:type="pct"/>
            <w:vAlign w:val="center"/>
          </w:tcPr>
          <w:p w14:paraId="7F7725D2">
            <w:pPr>
              <w:jc w:val="center"/>
              <w:rPr>
                <w:rFonts w:asciiTheme="minorEastAsia" w:hAnsiTheme="minorEastAsia" w:eastAsiaTheme="minorEastAsia"/>
                <w:color w:val="auto"/>
                <w:sz w:val="24"/>
                <w:highlight w:val="none"/>
              </w:rPr>
            </w:pPr>
          </w:p>
        </w:tc>
        <w:tc>
          <w:tcPr>
            <w:tcW w:w="475" w:type="pct"/>
            <w:vAlign w:val="center"/>
          </w:tcPr>
          <w:p w14:paraId="61CDA785">
            <w:pPr>
              <w:jc w:val="center"/>
              <w:rPr>
                <w:rFonts w:asciiTheme="minorEastAsia" w:hAnsiTheme="minorEastAsia" w:eastAsiaTheme="minorEastAsia"/>
                <w:color w:val="auto"/>
                <w:sz w:val="24"/>
                <w:highlight w:val="none"/>
              </w:rPr>
            </w:pPr>
          </w:p>
        </w:tc>
      </w:tr>
      <w:tr w14:paraId="258D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A0199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160721C5">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7D3FD275">
            <w:pPr>
              <w:jc w:val="center"/>
              <w:rPr>
                <w:rFonts w:asciiTheme="minorEastAsia" w:hAnsiTheme="minorEastAsia" w:eastAsiaTheme="minorEastAsia"/>
                <w:color w:val="auto"/>
                <w:sz w:val="24"/>
                <w:highlight w:val="none"/>
              </w:rPr>
            </w:pPr>
          </w:p>
        </w:tc>
        <w:tc>
          <w:tcPr>
            <w:tcW w:w="1510" w:type="pct"/>
            <w:vAlign w:val="center"/>
          </w:tcPr>
          <w:p w14:paraId="78FD1684">
            <w:pPr>
              <w:jc w:val="center"/>
              <w:rPr>
                <w:rFonts w:asciiTheme="minorEastAsia" w:hAnsiTheme="minorEastAsia" w:eastAsiaTheme="minorEastAsia"/>
                <w:color w:val="auto"/>
                <w:sz w:val="24"/>
                <w:highlight w:val="none"/>
              </w:rPr>
            </w:pPr>
          </w:p>
        </w:tc>
        <w:tc>
          <w:tcPr>
            <w:tcW w:w="475" w:type="pct"/>
            <w:vAlign w:val="center"/>
          </w:tcPr>
          <w:p w14:paraId="20710ED5">
            <w:pPr>
              <w:jc w:val="center"/>
              <w:rPr>
                <w:rFonts w:asciiTheme="minorEastAsia" w:hAnsiTheme="minorEastAsia" w:eastAsiaTheme="minorEastAsia"/>
                <w:color w:val="auto"/>
                <w:sz w:val="24"/>
                <w:highlight w:val="none"/>
              </w:rPr>
            </w:pPr>
          </w:p>
        </w:tc>
      </w:tr>
      <w:tr w14:paraId="7404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8E9E9E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36975CD8">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15D4F344">
            <w:pPr>
              <w:jc w:val="center"/>
              <w:rPr>
                <w:rFonts w:asciiTheme="minorEastAsia" w:hAnsiTheme="minorEastAsia" w:eastAsiaTheme="minorEastAsia"/>
                <w:color w:val="auto"/>
                <w:sz w:val="24"/>
                <w:highlight w:val="none"/>
              </w:rPr>
            </w:pPr>
          </w:p>
        </w:tc>
        <w:tc>
          <w:tcPr>
            <w:tcW w:w="1510" w:type="pct"/>
            <w:vAlign w:val="center"/>
          </w:tcPr>
          <w:p w14:paraId="4A9BD2CF">
            <w:pPr>
              <w:pStyle w:val="55"/>
              <w:jc w:val="center"/>
              <w:rPr>
                <w:rFonts w:asciiTheme="minorEastAsia" w:hAnsiTheme="minorEastAsia" w:eastAsiaTheme="minorEastAsia"/>
                <w:color w:val="auto"/>
                <w:highlight w:val="none"/>
              </w:rPr>
            </w:pPr>
          </w:p>
        </w:tc>
        <w:tc>
          <w:tcPr>
            <w:tcW w:w="475" w:type="pct"/>
            <w:vAlign w:val="center"/>
          </w:tcPr>
          <w:p w14:paraId="2CE6459F">
            <w:pPr>
              <w:jc w:val="center"/>
              <w:rPr>
                <w:rFonts w:asciiTheme="minorEastAsia" w:hAnsiTheme="minorEastAsia" w:eastAsiaTheme="minorEastAsia"/>
                <w:color w:val="auto"/>
                <w:sz w:val="24"/>
                <w:highlight w:val="none"/>
              </w:rPr>
            </w:pPr>
          </w:p>
        </w:tc>
      </w:tr>
      <w:tr w14:paraId="233B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1243FC5">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p>
        </w:tc>
        <w:tc>
          <w:tcPr>
            <w:tcW w:w="1916" w:type="dxa"/>
            <w:vAlign w:val="center"/>
          </w:tcPr>
          <w:p w14:paraId="6AE1A1C2">
            <w:pPr>
              <w:jc w:val="center"/>
              <w:rPr>
                <w:rFonts w:hint="eastAsia" w:ascii="宋体" w:hAnsi="宋体" w:eastAsia="宋体"/>
                <w:color w:val="auto"/>
                <w:sz w:val="24"/>
                <w:highlight w:val="none"/>
              </w:rPr>
            </w:pPr>
            <w:r>
              <w:rPr>
                <w:rFonts w:hint="eastAsia" w:ascii="宋体" w:hAnsi="宋体" w:eastAsia="宋体"/>
                <w:sz w:val="24"/>
                <w:highlight w:val="none"/>
              </w:rPr>
              <w:t>“采购需求”所列的所有内容</w:t>
            </w:r>
          </w:p>
        </w:tc>
        <w:tc>
          <w:tcPr>
            <w:tcW w:w="1465" w:type="pct"/>
            <w:vAlign w:val="center"/>
          </w:tcPr>
          <w:p w14:paraId="64B5D402">
            <w:pPr>
              <w:jc w:val="center"/>
              <w:rPr>
                <w:rFonts w:asciiTheme="minorEastAsia" w:hAnsiTheme="minorEastAsia" w:eastAsiaTheme="minorEastAsia"/>
                <w:color w:val="auto"/>
                <w:sz w:val="24"/>
                <w:highlight w:val="none"/>
              </w:rPr>
            </w:pPr>
          </w:p>
        </w:tc>
        <w:tc>
          <w:tcPr>
            <w:tcW w:w="1510" w:type="pct"/>
            <w:vAlign w:val="center"/>
          </w:tcPr>
          <w:p w14:paraId="5D362A46">
            <w:pPr>
              <w:pStyle w:val="55"/>
              <w:jc w:val="center"/>
              <w:rPr>
                <w:rFonts w:asciiTheme="minorEastAsia" w:hAnsiTheme="minorEastAsia" w:eastAsiaTheme="minorEastAsia"/>
                <w:color w:val="auto"/>
                <w:highlight w:val="none"/>
              </w:rPr>
            </w:pPr>
          </w:p>
        </w:tc>
        <w:tc>
          <w:tcPr>
            <w:tcW w:w="475" w:type="pct"/>
            <w:vAlign w:val="center"/>
          </w:tcPr>
          <w:p w14:paraId="43950CBF">
            <w:pPr>
              <w:jc w:val="center"/>
              <w:rPr>
                <w:rFonts w:asciiTheme="minorEastAsia" w:hAnsiTheme="minorEastAsia" w:eastAsiaTheme="minorEastAsia"/>
                <w:color w:val="auto"/>
                <w:sz w:val="24"/>
                <w:highlight w:val="none"/>
              </w:rPr>
            </w:pPr>
          </w:p>
        </w:tc>
      </w:tr>
      <w:tr w14:paraId="386B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4AED33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16C125EB">
            <w:pPr>
              <w:jc w:val="center"/>
              <w:rPr>
                <w:rFonts w:ascii="宋体" w:hAnsi="宋体" w:eastAsia="宋体"/>
                <w:color w:val="auto"/>
                <w:sz w:val="24"/>
                <w:highlight w:val="none"/>
              </w:rPr>
            </w:pPr>
          </w:p>
        </w:tc>
        <w:tc>
          <w:tcPr>
            <w:tcW w:w="1465" w:type="pct"/>
            <w:vAlign w:val="center"/>
          </w:tcPr>
          <w:p w14:paraId="72349193">
            <w:pPr>
              <w:jc w:val="center"/>
              <w:rPr>
                <w:rFonts w:asciiTheme="minorEastAsia" w:hAnsiTheme="minorEastAsia" w:eastAsiaTheme="minorEastAsia"/>
                <w:color w:val="auto"/>
                <w:sz w:val="24"/>
                <w:highlight w:val="none"/>
              </w:rPr>
            </w:pPr>
          </w:p>
        </w:tc>
        <w:tc>
          <w:tcPr>
            <w:tcW w:w="1510" w:type="pct"/>
            <w:vAlign w:val="center"/>
          </w:tcPr>
          <w:p w14:paraId="3EB53206">
            <w:pPr>
              <w:jc w:val="center"/>
              <w:rPr>
                <w:rFonts w:asciiTheme="minorEastAsia" w:hAnsiTheme="minorEastAsia" w:eastAsiaTheme="minorEastAsia"/>
                <w:color w:val="auto"/>
                <w:sz w:val="24"/>
                <w:highlight w:val="none"/>
              </w:rPr>
            </w:pPr>
          </w:p>
        </w:tc>
        <w:tc>
          <w:tcPr>
            <w:tcW w:w="475" w:type="pct"/>
            <w:vAlign w:val="center"/>
          </w:tcPr>
          <w:p w14:paraId="5B897783">
            <w:pPr>
              <w:jc w:val="center"/>
              <w:rPr>
                <w:rFonts w:asciiTheme="minorEastAsia" w:hAnsiTheme="minorEastAsia" w:eastAsiaTheme="minorEastAsia"/>
                <w:color w:val="auto"/>
                <w:sz w:val="24"/>
                <w:highlight w:val="none"/>
              </w:rPr>
            </w:pPr>
          </w:p>
        </w:tc>
      </w:tr>
    </w:tbl>
    <w:p w14:paraId="0E2593B0">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3D6C331">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578533F">
      <w:pPr>
        <w:pStyle w:val="16"/>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582579DF">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81" w:name="_Toc23068"/>
      <w:r>
        <w:rPr>
          <w:rFonts w:hint="eastAsia" w:asciiTheme="minorEastAsia" w:hAnsiTheme="minorEastAsia" w:eastAsiaTheme="minorEastAsia"/>
          <w:b/>
          <w:color w:val="auto"/>
          <w:sz w:val="24"/>
          <w:highlight w:val="none"/>
          <w:lang w:val="en-US" w:eastAsia="zh-CN"/>
        </w:rPr>
        <w:t>七、中小企业声明函</w:t>
      </w:r>
      <w:bookmarkEnd w:id="381"/>
    </w:p>
    <w:p w14:paraId="316FF833">
      <w:pPr>
        <w:pStyle w:val="1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27EB6084">
      <w:pPr>
        <w:rPr>
          <w:rFonts w:asciiTheme="minorEastAsia" w:hAnsiTheme="minorEastAsia" w:eastAsiaTheme="minorEastAsia"/>
          <w:color w:val="auto"/>
          <w:sz w:val="24"/>
          <w:szCs w:val="24"/>
          <w:highlight w:val="none"/>
        </w:rPr>
      </w:pPr>
    </w:p>
    <w:p w14:paraId="46E7AACF">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346A5AE8">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85C87C">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CC8E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52C731A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70FAEF75">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496CC50">
      <w:pPr>
        <w:spacing w:line="360" w:lineRule="auto"/>
        <w:ind w:firstLine="435"/>
        <w:rPr>
          <w:rFonts w:asciiTheme="minorEastAsia" w:hAnsiTheme="minorEastAsia" w:eastAsiaTheme="minorEastAsia"/>
          <w:color w:val="auto"/>
          <w:sz w:val="24"/>
          <w:szCs w:val="24"/>
          <w:highlight w:val="none"/>
        </w:rPr>
      </w:pPr>
    </w:p>
    <w:p w14:paraId="17A5C36D">
      <w:pPr>
        <w:spacing w:line="360" w:lineRule="auto"/>
        <w:ind w:firstLine="435"/>
        <w:rPr>
          <w:rFonts w:asciiTheme="minorEastAsia" w:hAnsiTheme="minorEastAsia" w:eastAsiaTheme="minorEastAsia"/>
          <w:color w:val="auto"/>
          <w:sz w:val="24"/>
          <w:szCs w:val="24"/>
          <w:highlight w:val="none"/>
        </w:rPr>
      </w:pPr>
    </w:p>
    <w:p w14:paraId="0B6E7A0A">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DBC376D">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44DB1DE9">
      <w:pPr>
        <w:tabs>
          <w:tab w:val="left" w:pos="4620"/>
        </w:tabs>
        <w:spacing w:line="360" w:lineRule="auto"/>
        <w:jc w:val="left"/>
        <w:rPr>
          <w:rFonts w:asciiTheme="minorEastAsia" w:hAnsiTheme="minorEastAsia" w:eastAsiaTheme="minorEastAsia"/>
          <w:color w:val="auto"/>
          <w:sz w:val="24"/>
          <w:szCs w:val="24"/>
          <w:highlight w:val="none"/>
        </w:rPr>
      </w:pPr>
    </w:p>
    <w:p w14:paraId="1061288D">
      <w:pPr>
        <w:tabs>
          <w:tab w:val="left" w:pos="4620"/>
        </w:tabs>
        <w:spacing w:line="360" w:lineRule="auto"/>
        <w:jc w:val="left"/>
        <w:rPr>
          <w:rFonts w:asciiTheme="minorEastAsia" w:hAnsiTheme="minorEastAsia" w:eastAsiaTheme="minorEastAsia"/>
          <w:color w:val="auto"/>
          <w:sz w:val="24"/>
          <w:szCs w:val="24"/>
          <w:highlight w:val="none"/>
        </w:rPr>
      </w:pPr>
    </w:p>
    <w:p w14:paraId="63D59671">
      <w:pPr>
        <w:tabs>
          <w:tab w:val="left" w:pos="4620"/>
        </w:tabs>
        <w:spacing w:line="360" w:lineRule="auto"/>
        <w:jc w:val="left"/>
        <w:rPr>
          <w:rFonts w:asciiTheme="minorEastAsia" w:hAnsiTheme="minorEastAsia" w:eastAsiaTheme="minorEastAsia"/>
          <w:color w:val="auto"/>
          <w:sz w:val="24"/>
          <w:szCs w:val="24"/>
          <w:highlight w:val="none"/>
        </w:rPr>
      </w:pPr>
    </w:p>
    <w:p w14:paraId="3FFD7722">
      <w:pPr>
        <w:tabs>
          <w:tab w:val="left" w:pos="4620"/>
        </w:tabs>
        <w:spacing w:line="360" w:lineRule="auto"/>
        <w:jc w:val="left"/>
        <w:rPr>
          <w:rFonts w:asciiTheme="minorEastAsia" w:hAnsiTheme="minorEastAsia" w:eastAsiaTheme="minorEastAsia"/>
          <w:color w:val="auto"/>
          <w:sz w:val="24"/>
          <w:szCs w:val="24"/>
          <w:highlight w:val="none"/>
        </w:rPr>
      </w:pPr>
    </w:p>
    <w:p w14:paraId="4FC974C4">
      <w:pPr>
        <w:tabs>
          <w:tab w:val="left" w:pos="4620"/>
        </w:tabs>
        <w:spacing w:line="360" w:lineRule="auto"/>
        <w:jc w:val="left"/>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54DE0B4">
      <w:pPr>
        <w:tabs>
          <w:tab w:val="left" w:pos="4620"/>
        </w:tabs>
        <w:spacing w:line="360" w:lineRule="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BC0D33">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4B949D76">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72CF6283">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0348D98D">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16618BFB">
      <w:pPr>
        <w:pStyle w:val="10"/>
        <w:rPr>
          <w:rFonts w:hint="eastAsia" w:asciiTheme="minorEastAsia" w:hAnsiTheme="minorEastAsia" w:eastAsiaTheme="minorEastAsia"/>
          <w:b/>
          <w:bCs/>
          <w:color w:val="auto"/>
          <w:szCs w:val="24"/>
          <w:highlight w:val="none"/>
        </w:rPr>
      </w:pPr>
    </w:p>
    <w:p w14:paraId="2E863C68">
      <w:pPr>
        <w:rPr>
          <w:rFonts w:hint="eastAsia" w:asciiTheme="minorEastAsia" w:hAnsiTheme="minorEastAsia" w:eastAsiaTheme="minorEastAsia"/>
          <w:b/>
          <w:color w:val="auto"/>
          <w:sz w:val="24"/>
          <w:highlight w:val="none"/>
        </w:rPr>
      </w:pPr>
      <w:bookmarkStart w:id="382" w:name="_Toc16713"/>
      <w:r>
        <w:rPr>
          <w:rFonts w:hint="eastAsia" w:asciiTheme="minorEastAsia" w:hAnsiTheme="minorEastAsia" w:eastAsiaTheme="minorEastAsia"/>
          <w:b/>
          <w:color w:val="auto"/>
          <w:sz w:val="24"/>
          <w:highlight w:val="none"/>
        </w:rPr>
        <w:br w:type="page"/>
      </w:r>
    </w:p>
    <w:p w14:paraId="3723B3C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83" w:name="_Toc17315"/>
      <w:r>
        <w:rPr>
          <w:rFonts w:hint="eastAsia" w:asciiTheme="minorEastAsia" w:hAnsiTheme="minorEastAsia" w:eastAsiaTheme="minorEastAsia"/>
          <w:b/>
          <w:color w:val="auto"/>
          <w:sz w:val="24"/>
          <w:highlight w:val="none"/>
          <w:lang w:val="en-US" w:eastAsia="zh-CN"/>
        </w:rPr>
        <w:t>八、残疾人福利性单位声明函</w:t>
      </w:r>
      <w:bookmarkEnd w:id="382"/>
      <w:bookmarkEnd w:id="383"/>
    </w:p>
    <w:p w14:paraId="09AA703C">
      <w:pPr>
        <w:pStyle w:val="1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2E5FD5C9">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411E6FCE">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36D1D3E8">
      <w:pPr>
        <w:spacing w:line="360" w:lineRule="auto"/>
        <w:ind w:firstLine="4228" w:firstLineChars="1762"/>
        <w:rPr>
          <w:rFonts w:asciiTheme="minorEastAsia" w:hAnsiTheme="minorEastAsia" w:eastAsiaTheme="minorEastAsia"/>
          <w:color w:val="auto"/>
          <w:sz w:val="24"/>
          <w:szCs w:val="24"/>
          <w:highlight w:val="none"/>
        </w:rPr>
      </w:pPr>
    </w:p>
    <w:p w14:paraId="5C695D0C">
      <w:pPr>
        <w:spacing w:line="360" w:lineRule="auto"/>
        <w:ind w:firstLine="4228" w:firstLineChars="1762"/>
        <w:rPr>
          <w:rFonts w:asciiTheme="minorEastAsia" w:hAnsiTheme="minorEastAsia" w:eastAsiaTheme="minorEastAsia"/>
          <w:color w:val="auto"/>
          <w:sz w:val="24"/>
          <w:szCs w:val="24"/>
          <w:highlight w:val="none"/>
        </w:rPr>
      </w:pPr>
    </w:p>
    <w:p w14:paraId="328AC406">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BC2F0EA">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2CB6C156">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28D45A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384" w:name="_Toc300210382"/>
      <w:bookmarkStart w:id="385" w:name="_Toc457768004"/>
      <w:bookmarkStart w:id="386" w:name="_Toc520299348"/>
      <w:bookmarkStart w:id="387" w:name="_Toc23860"/>
      <w:bookmarkStart w:id="388" w:name="_Toc26536"/>
      <w:bookmarkStart w:id="389" w:name="_Hlk11701496"/>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662D0BC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C35CD48">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1261A17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65ED92F9">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1F960B80">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2DDF7A0">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669C2D14">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7A72A5D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070E435D">
      <w:pPr>
        <w:tabs>
          <w:tab w:val="left" w:pos="4620"/>
        </w:tabs>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r>
        <w:rPr>
          <w:rFonts w:hint="eastAsia" w:ascii="宋体" w:hAnsi="宋体" w:eastAsia="宋体"/>
          <w:b w:val="0"/>
          <w:bCs/>
          <w:color w:val="auto"/>
          <w:szCs w:val="24"/>
          <w:highlight w:val="none"/>
          <w:lang w:eastAsia="zh-CN"/>
        </w:rPr>
        <w:t>1.产品如有型号，请在“产品名称”栏一并填写。</w:t>
      </w:r>
    </w:p>
    <w:p w14:paraId="00FF2818">
      <w:pPr>
        <w:tabs>
          <w:tab w:val="left" w:pos="4620"/>
        </w:tabs>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3712D6E2">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 xml:space="preserve">  /  </w:t>
      </w:r>
      <w:r>
        <w:rPr>
          <w:rFonts w:hint="eastAsia" w:ascii="宋体" w:hAnsi="宋体" w:eastAsia="宋体" w:cs="Times New Roman"/>
          <w:b w:val="0"/>
          <w:bCs/>
          <w:color w:val="auto"/>
          <w:szCs w:val="24"/>
          <w:highlight w:val="none"/>
          <w:lang w:val="en-US" w:eastAsia="zh-CN"/>
        </w:rPr>
        <w:t>的，无需填写。</w:t>
      </w:r>
    </w:p>
    <w:p w14:paraId="0B8B1D81">
      <w:pPr>
        <w:tabs>
          <w:tab w:val="left" w:pos="4620"/>
        </w:tabs>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4D1D2A22">
      <w:pPr>
        <w:spacing w:line="360" w:lineRule="auto"/>
        <w:jc w:val="left"/>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1637561">
      <w:pPr>
        <w:rPr>
          <w:rFonts w:hint="eastAsia" w:ascii="宋体" w:hAnsi="宋体" w:eastAsia="宋体" w:cs="Times New Roman"/>
          <w:b w:val="0"/>
          <w:bCs/>
          <w:color w:val="auto"/>
          <w:sz w:val="21"/>
          <w:szCs w:val="21"/>
          <w:highlight w:val="none"/>
          <w:lang w:val="en-US" w:eastAsia="zh-CN"/>
        </w:rPr>
      </w:pPr>
    </w:p>
    <w:p w14:paraId="32FEB19F">
      <w:pPr>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十、</w:t>
      </w:r>
      <w:bookmarkEnd w:id="384"/>
      <w:bookmarkEnd w:id="385"/>
      <w:bookmarkEnd w:id="386"/>
      <w:r>
        <w:rPr>
          <w:rFonts w:hint="eastAsia" w:asciiTheme="minorEastAsia" w:hAnsiTheme="minorEastAsia" w:eastAsiaTheme="minorEastAsia"/>
          <w:b/>
          <w:color w:val="auto"/>
          <w:sz w:val="24"/>
          <w:highlight w:val="none"/>
          <w:lang w:val="en-US" w:eastAsia="zh-CN"/>
        </w:rPr>
        <w:t>诚信履约承诺函</w:t>
      </w:r>
      <w:bookmarkEnd w:id="387"/>
      <w:bookmarkEnd w:id="388"/>
    </w:p>
    <w:p w14:paraId="39C76E7A">
      <w:pPr>
        <w:spacing w:line="360" w:lineRule="auto"/>
        <w:rPr>
          <w:rFonts w:asciiTheme="minorEastAsia" w:hAnsiTheme="minorEastAsia" w:eastAsiaTheme="minorEastAsia"/>
          <w:b/>
          <w:bCs/>
          <w:color w:val="auto"/>
          <w:sz w:val="24"/>
          <w:highlight w:val="none"/>
        </w:rPr>
      </w:pPr>
    </w:p>
    <w:p w14:paraId="2B54791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BA21B0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34FE63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53B7EB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6730F35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D58121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F11787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610F212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1DCF637">
      <w:pPr>
        <w:spacing w:line="360" w:lineRule="auto"/>
        <w:rPr>
          <w:rFonts w:asciiTheme="minorEastAsia" w:hAnsiTheme="minorEastAsia" w:eastAsiaTheme="minorEastAsia"/>
          <w:bCs/>
          <w:color w:val="auto"/>
          <w:sz w:val="24"/>
          <w:highlight w:val="none"/>
        </w:rPr>
      </w:pPr>
    </w:p>
    <w:p w14:paraId="6E828A59">
      <w:pPr>
        <w:spacing w:line="360" w:lineRule="auto"/>
        <w:rPr>
          <w:rFonts w:asciiTheme="minorEastAsia" w:hAnsiTheme="minorEastAsia" w:eastAsiaTheme="minorEastAsia"/>
          <w:bCs/>
          <w:color w:val="auto"/>
          <w:sz w:val="24"/>
          <w:highlight w:val="none"/>
        </w:rPr>
      </w:pPr>
    </w:p>
    <w:p w14:paraId="6767BAE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794567">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632C113">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389"/>
    <w:p w14:paraId="77C1016F">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90" w:name="_Toc32633"/>
      <w:bookmarkStart w:id="391" w:name="_Toc31807"/>
      <w:r>
        <w:rPr>
          <w:rFonts w:hint="eastAsia" w:asciiTheme="minorEastAsia" w:hAnsiTheme="minorEastAsia" w:eastAsiaTheme="minorEastAsia"/>
          <w:b/>
          <w:color w:val="auto"/>
          <w:sz w:val="24"/>
          <w:highlight w:val="none"/>
          <w:lang w:val="en-US" w:eastAsia="zh-CN"/>
        </w:rPr>
        <w:t>十一、其他相关证明材料</w:t>
      </w:r>
      <w:bookmarkEnd w:id="390"/>
      <w:bookmarkEnd w:id="391"/>
    </w:p>
    <w:p w14:paraId="4B4C3C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34805960">
      <w:pPr>
        <w:spacing w:line="360" w:lineRule="auto"/>
        <w:ind w:firstLine="480" w:firstLineChars="200"/>
        <w:rPr>
          <w:rFonts w:asciiTheme="minorEastAsia" w:hAnsiTheme="minorEastAsia" w:eastAsiaTheme="minorEastAsia"/>
          <w:color w:val="auto"/>
          <w:sz w:val="24"/>
          <w:highlight w:val="none"/>
        </w:rPr>
      </w:pPr>
    </w:p>
    <w:p w14:paraId="4A557BD2">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D47B6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，如营业执照、证书</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技术标方案</w:t>
      </w:r>
      <w:r>
        <w:rPr>
          <w:rFonts w:asciiTheme="minorEastAsia" w:hAnsiTheme="minorEastAsia" w:eastAsiaTheme="minorEastAsia"/>
          <w:color w:val="auto"/>
          <w:sz w:val="24"/>
          <w:highlight w:val="none"/>
        </w:rPr>
        <w:t>等，应将上述证明材料制作成扫描件上传。</w:t>
      </w:r>
    </w:p>
    <w:p w14:paraId="6B55822E">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7E880C61">
      <w:pPr>
        <w:spacing w:line="360" w:lineRule="auto"/>
        <w:jc w:val="center"/>
        <w:outlineLvl w:val="0"/>
        <w:rPr>
          <w:rFonts w:ascii="宋体" w:hAnsi="宋体" w:eastAsia="宋体"/>
          <w:b/>
          <w:bCs/>
          <w:color w:val="auto"/>
          <w:sz w:val="28"/>
          <w:highlight w:val="none"/>
        </w:rPr>
      </w:pPr>
      <w:bookmarkStart w:id="392" w:name="_Toc6435"/>
      <w:bookmarkStart w:id="393"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392"/>
      <w:bookmarkEnd w:id="393"/>
    </w:p>
    <w:p w14:paraId="586AA144">
      <w:pPr>
        <w:spacing w:line="360" w:lineRule="auto"/>
        <w:jc w:val="center"/>
        <w:outlineLvl w:val="1"/>
        <w:rPr>
          <w:rFonts w:ascii="仿宋" w:hAnsi="仿宋" w:eastAsia="仿宋" w:cs="仿宋"/>
          <w:b/>
          <w:bCs/>
          <w:color w:val="auto"/>
          <w:sz w:val="32"/>
          <w:szCs w:val="44"/>
          <w:highlight w:val="none"/>
        </w:rPr>
      </w:pPr>
      <w:bookmarkStart w:id="394" w:name="_Toc6955"/>
      <w:bookmarkStart w:id="395" w:name="_Toc27159"/>
      <w:r>
        <w:rPr>
          <w:rFonts w:hint="eastAsia" w:ascii="仿宋" w:hAnsi="仿宋" w:eastAsia="仿宋" w:cs="仿宋"/>
          <w:b/>
          <w:bCs/>
          <w:color w:val="auto"/>
          <w:sz w:val="32"/>
          <w:szCs w:val="44"/>
          <w:highlight w:val="none"/>
        </w:rPr>
        <w:t>询问函范本</w:t>
      </w:r>
      <w:bookmarkEnd w:id="394"/>
      <w:bookmarkEnd w:id="395"/>
    </w:p>
    <w:p w14:paraId="5B8D074F">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782570A">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6AD3240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68B09D69">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396" w:name="_Toc13899"/>
      <w:r>
        <w:rPr>
          <w:rFonts w:hint="eastAsia" w:cs="仿宋" w:asciiTheme="minorEastAsia" w:hAnsiTheme="minorEastAsia" w:eastAsiaTheme="minorEastAsia"/>
          <w:color w:val="auto"/>
          <w:sz w:val="24"/>
          <w:szCs w:val="24"/>
          <w:highlight w:val="none"/>
        </w:rPr>
        <w:t>一、(事项一)</w:t>
      </w:r>
      <w:bookmarkEnd w:id="396"/>
    </w:p>
    <w:p w14:paraId="1150BDD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400B1F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6D534D8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D427DFC">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397" w:name="_Toc3352"/>
      <w:r>
        <w:rPr>
          <w:rFonts w:hint="eastAsia" w:cs="仿宋" w:asciiTheme="minorEastAsia" w:hAnsiTheme="minorEastAsia" w:eastAsiaTheme="minorEastAsia"/>
          <w:color w:val="auto"/>
          <w:sz w:val="24"/>
          <w:szCs w:val="24"/>
          <w:highlight w:val="none"/>
        </w:rPr>
        <w:t>二、(事项二)</w:t>
      </w:r>
      <w:bookmarkEnd w:id="397"/>
    </w:p>
    <w:p w14:paraId="0F18CCE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DE7DDB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15661697">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310ECCA4">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43164BFF">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1F5ECB00">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12428EAC">
      <w:pPr>
        <w:jc w:val="center"/>
        <w:outlineLvl w:val="1"/>
        <w:rPr>
          <w:rFonts w:ascii="仿宋" w:hAnsi="仿宋" w:eastAsia="仿宋" w:cs="仿宋"/>
          <w:b/>
          <w:bCs/>
          <w:color w:val="auto"/>
          <w:sz w:val="32"/>
          <w:szCs w:val="44"/>
          <w:highlight w:val="none"/>
        </w:rPr>
      </w:pPr>
      <w:bookmarkStart w:id="398" w:name="_Toc1575"/>
      <w:bookmarkStart w:id="399" w:name="_Toc857"/>
      <w:r>
        <w:rPr>
          <w:rFonts w:hint="eastAsia" w:ascii="仿宋" w:hAnsi="仿宋" w:eastAsia="仿宋" w:cs="仿宋"/>
          <w:b/>
          <w:bCs/>
          <w:color w:val="auto"/>
          <w:sz w:val="32"/>
          <w:szCs w:val="44"/>
          <w:highlight w:val="none"/>
        </w:rPr>
        <w:t>质疑函范本</w:t>
      </w:r>
      <w:bookmarkEnd w:id="398"/>
      <w:bookmarkEnd w:id="399"/>
    </w:p>
    <w:p w14:paraId="2CEDD623">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400" w:name="_Toc21381"/>
      <w:r>
        <w:rPr>
          <w:rFonts w:hint="eastAsia" w:cs="仿宋" w:asciiTheme="minorEastAsia" w:hAnsiTheme="minorEastAsia" w:eastAsiaTheme="minorEastAsia"/>
          <w:b/>
          <w:bCs/>
          <w:color w:val="auto"/>
          <w:sz w:val="24"/>
          <w:szCs w:val="24"/>
          <w:highlight w:val="none"/>
        </w:rPr>
        <w:t>一、质疑供应商基本信息</w:t>
      </w:r>
      <w:bookmarkEnd w:id="400"/>
    </w:p>
    <w:p w14:paraId="3AF75A0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1BBA3E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7C861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44C1EE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AC775C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2B3296B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FA6021B">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401" w:name="_Toc28415"/>
      <w:r>
        <w:rPr>
          <w:rFonts w:hint="eastAsia" w:cs="仿宋" w:asciiTheme="minorEastAsia" w:hAnsiTheme="minorEastAsia" w:eastAsiaTheme="minorEastAsia"/>
          <w:b/>
          <w:bCs/>
          <w:color w:val="auto"/>
          <w:sz w:val="24"/>
          <w:szCs w:val="24"/>
          <w:highlight w:val="none"/>
        </w:rPr>
        <w:t>二、质疑项目基本情况</w:t>
      </w:r>
      <w:bookmarkEnd w:id="401"/>
    </w:p>
    <w:p w14:paraId="04D8733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F96638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733760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79F7BF9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A2FFB76">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402" w:name="_Toc19014"/>
      <w:r>
        <w:rPr>
          <w:rFonts w:hint="eastAsia" w:cs="仿宋" w:asciiTheme="minorEastAsia" w:hAnsiTheme="minorEastAsia" w:eastAsiaTheme="minorEastAsia"/>
          <w:b/>
          <w:bCs/>
          <w:color w:val="auto"/>
          <w:sz w:val="24"/>
          <w:szCs w:val="24"/>
          <w:highlight w:val="none"/>
        </w:rPr>
        <w:t>三、质疑事项具体内容</w:t>
      </w:r>
      <w:bookmarkEnd w:id="402"/>
    </w:p>
    <w:p w14:paraId="1B26424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33F0C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2B16E91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C2633F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0BDA5FB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16A231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08D903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7A65381">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403" w:name="_Toc17919"/>
      <w:r>
        <w:rPr>
          <w:rFonts w:hint="eastAsia" w:cs="仿宋" w:asciiTheme="minorEastAsia" w:hAnsiTheme="minorEastAsia" w:eastAsiaTheme="minorEastAsia"/>
          <w:b/>
          <w:bCs/>
          <w:color w:val="auto"/>
          <w:sz w:val="24"/>
          <w:szCs w:val="24"/>
          <w:highlight w:val="none"/>
        </w:rPr>
        <w:t>四、与质疑事项相关的质疑请求</w:t>
      </w:r>
      <w:bookmarkEnd w:id="403"/>
    </w:p>
    <w:p w14:paraId="2E1151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091BDC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E4145EB">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AFBD08C">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52DF422">
      <w:pPr>
        <w:outlineLvl w:val="0"/>
        <w:rPr>
          <w:rFonts w:asciiTheme="minorEastAsia" w:hAnsiTheme="minorEastAsia" w:eastAsiaTheme="minorEastAsia"/>
          <w:b/>
          <w:color w:val="auto"/>
          <w:sz w:val="28"/>
          <w:szCs w:val="32"/>
          <w:highlight w:val="none"/>
        </w:rPr>
      </w:pPr>
      <w:bookmarkStart w:id="404" w:name="_Toc9754"/>
      <w:bookmarkStart w:id="405" w:name="_Toc22239"/>
      <w:r>
        <w:rPr>
          <w:rFonts w:hint="eastAsia" w:asciiTheme="minorEastAsia" w:hAnsiTheme="minorEastAsia" w:eastAsiaTheme="minorEastAsia"/>
          <w:b/>
          <w:color w:val="auto"/>
          <w:sz w:val="28"/>
          <w:szCs w:val="32"/>
          <w:highlight w:val="none"/>
        </w:rPr>
        <w:t>质疑函制作说明：</w:t>
      </w:r>
      <w:bookmarkEnd w:id="404"/>
      <w:bookmarkEnd w:id="405"/>
    </w:p>
    <w:p w14:paraId="0E89B6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7FBD9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A0BDB3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227F2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44F6AC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AA4C873">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B513758-095E-4044-80D9-C221DC85B4BF}"/>
  </w:font>
  <w:font w:name="Arial">
    <w:panose1 w:val="020B0604020202020204"/>
    <w:charset w:val="01"/>
    <w:family w:val="swiss"/>
    <w:pitch w:val="default"/>
    <w:sig w:usb0="E0002EFF" w:usb1="C000785B" w:usb2="00000009" w:usb3="00000000" w:csb0="400001FF" w:csb1="FFFF0000"/>
    <w:embedRegular r:id="rId2" w:fontKey="{9434F1D9-77DD-4E29-8A10-1648CB03717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90D8C721-4EC2-483D-99D2-E1579DE5426D}"/>
  </w:font>
  <w:font w:name="仿宋_GB2312">
    <w:panose1 w:val="02010609030101010101"/>
    <w:charset w:val="86"/>
    <w:family w:val="modern"/>
    <w:pitch w:val="default"/>
    <w:sig w:usb0="00000001" w:usb1="080E0000" w:usb2="00000000" w:usb3="00000000" w:csb0="00040000" w:csb1="00000000"/>
    <w:embedRegular r:id="rId4" w:fontKey="{2D18D421-20CF-48CB-97BA-8C30761F4688}"/>
  </w:font>
  <w:font w:name="@微软简标宋">
    <w:altName w:val="宋体"/>
    <w:panose1 w:val="00000000000000000000"/>
    <w:charset w:val="86"/>
    <w:family w:val="auto"/>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embedRegular r:id="rId5" w:fontKey="{B35BEBB4-7804-4E21-8EBB-020E49A859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10847">
    <w:pPr>
      <w:pStyle w:val="19"/>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0F3D">
    <w:pPr>
      <w:pStyle w:val="1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1D80C">
                          <w:pPr>
                            <w:pStyle w:val="1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lang w:val="en-US" w:eastAsia="zh-CN"/>
                            </w:rPr>
                            <w:t>116</w:t>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E71D80C">
                    <w:pPr>
                      <w:pStyle w:val="19"/>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lang w:val="en-US" w:eastAsia="zh-CN"/>
                      </w:rPr>
                      <w:t>116</w:t>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E434">
    <w:pPr>
      <w:pStyle w:val="20"/>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E9969">
    <w:pPr>
      <w:pStyle w:val="20"/>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pStyle w:val="6"/>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C61F7"/>
    <w:rsid w:val="002D1258"/>
    <w:rsid w:val="002D128A"/>
    <w:rsid w:val="002D2965"/>
    <w:rsid w:val="002D3D02"/>
    <w:rsid w:val="002D4CB5"/>
    <w:rsid w:val="002D684B"/>
    <w:rsid w:val="002E3B26"/>
    <w:rsid w:val="002E4AB8"/>
    <w:rsid w:val="002E6413"/>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3B3E"/>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075ED9"/>
    <w:rsid w:val="01135223"/>
    <w:rsid w:val="012201F6"/>
    <w:rsid w:val="013B2B96"/>
    <w:rsid w:val="015B4FE6"/>
    <w:rsid w:val="01784E3E"/>
    <w:rsid w:val="01790506"/>
    <w:rsid w:val="017936BE"/>
    <w:rsid w:val="01877B89"/>
    <w:rsid w:val="01AB2528"/>
    <w:rsid w:val="02056D00"/>
    <w:rsid w:val="0214602E"/>
    <w:rsid w:val="024270D6"/>
    <w:rsid w:val="026A5188"/>
    <w:rsid w:val="02A922FF"/>
    <w:rsid w:val="02C73530"/>
    <w:rsid w:val="02C95F7F"/>
    <w:rsid w:val="03486B27"/>
    <w:rsid w:val="03887BE8"/>
    <w:rsid w:val="03EE0393"/>
    <w:rsid w:val="040A094E"/>
    <w:rsid w:val="04155920"/>
    <w:rsid w:val="04A171B4"/>
    <w:rsid w:val="04B35139"/>
    <w:rsid w:val="04C9495C"/>
    <w:rsid w:val="04D05CEB"/>
    <w:rsid w:val="04DF4603"/>
    <w:rsid w:val="04E36C96"/>
    <w:rsid w:val="050720BA"/>
    <w:rsid w:val="05237BC9"/>
    <w:rsid w:val="056800F4"/>
    <w:rsid w:val="056F201D"/>
    <w:rsid w:val="0580501B"/>
    <w:rsid w:val="05996C5D"/>
    <w:rsid w:val="05B664D4"/>
    <w:rsid w:val="05BB42A5"/>
    <w:rsid w:val="05BC001D"/>
    <w:rsid w:val="06565D7C"/>
    <w:rsid w:val="069B5E85"/>
    <w:rsid w:val="06A57F83"/>
    <w:rsid w:val="06D7510F"/>
    <w:rsid w:val="07076C01"/>
    <w:rsid w:val="070B125C"/>
    <w:rsid w:val="071C12AC"/>
    <w:rsid w:val="074E231E"/>
    <w:rsid w:val="0779529F"/>
    <w:rsid w:val="07A934B3"/>
    <w:rsid w:val="08193505"/>
    <w:rsid w:val="08320A23"/>
    <w:rsid w:val="08B15E54"/>
    <w:rsid w:val="0980799C"/>
    <w:rsid w:val="09931868"/>
    <w:rsid w:val="099E2A5B"/>
    <w:rsid w:val="09B23C11"/>
    <w:rsid w:val="09F60351"/>
    <w:rsid w:val="0A0C2A9D"/>
    <w:rsid w:val="0A0F6376"/>
    <w:rsid w:val="0A1E463F"/>
    <w:rsid w:val="0A353CEA"/>
    <w:rsid w:val="0A6A18DB"/>
    <w:rsid w:val="0AB5234F"/>
    <w:rsid w:val="0AC21FF6"/>
    <w:rsid w:val="0ACA278E"/>
    <w:rsid w:val="0AD6392F"/>
    <w:rsid w:val="0AEF3828"/>
    <w:rsid w:val="0B022069"/>
    <w:rsid w:val="0BBB665B"/>
    <w:rsid w:val="0C00473A"/>
    <w:rsid w:val="0C33303B"/>
    <w:rsid w:val="0C686809"/>
    <w:rsid w:val="0CB7664E"/>
    <w:rsid w:val="0CF14A50"/>
    <w:rsid w:val="0D2C2CB9"/>
    <w:rsid w:val="0D6F4C9E"/>
    <w:rsid w:val="0DA87805"/>
    <w:rsid w:val="0DC67C8B"/>
    <w:rsid w:val="0DCE3168"/>
    <w:rsid w:val="0DEB14A0"/>
    <w:rsid w:val="0DF041EC"/>
    <w:rsid w:val="0DFE5677"/>
    <w:rsid w:val="0E06277D"/>
    <w:rsid w:val="0E3E3CC5"/>
    <w:rsid w:val="0E6047C3"/>
    <w:rsid w:val="0E6A6868"/>
    <w:rsid w:val="0E816EC5"/>
    <w:rsid w:val="0EA512A6"/>
    <w:rsid w:val="0EC75A69"/>
    <w:rsid w:val="0EEA6FC1"/>
    <w:rsid w:val="0F4277C2"/>
    <w:rsid w:val="0F490B74"/>
    <w:rsid w:val="0F543075"/>
    <w:rsid w:val="0F5B4403"/>
    <w:rsid w:val="0F954485"/>
    <w:rsid w:val="0FBF344F"/>
    <w:rsid w:val="10505F32"/>
    <w:rsid w:val="105A27E6"/>
    <w:rsid w:val="106A6894"/>
    <w:rsid w:val="107531FC"/>
    <w:rsid w:val="10962101"/>
    <w:rsid w:val="10A122E9"/>
    <w:rsid w:val="10A96E44"/>
    <w:rsid w:val="11553F80"/>
    <w:rsid w:val="118732D1"/>
    <w:rsid w:val="11967974"/>
    <w:rsid w:val="119B0711"/>
    <w:rsid w:val="11CB5870"/>
    <w:rsid w:val="11F56D91"/>
    <w:rsid w:val="120C3683"/>
    <w:rsid w:val="12197477"/>
    <w:rsid w:val="12541CFA"/>
    <w:rsid w:val="126A32DB"/>
    <w:rsid w:val="12706417"/>
    <w:rsid w:val="12F933E5"/>
    <w:rsid w:val="132D7EA5"/>
    <w:rsid w:val="1340228E"/>
    <w:rsid w:val="13497394"/>
    <w:rsid w:val="13587E2C"/>
    <w:rsid w:val="13734A09"/>
    <w:rsid w:val="13B30501"/>
    <w:rsid w:val="13C83D0C"/>
    <w:rsid w:val="13E440E6"/>
    <w:rsid w:val="13F1732F"/>
    <w:rsid w:val="13FF2FD4"/>
    <w:rsid w:val="14321BC3"/>
    <w:rsid w:val="14537D9F"/>
    <w:rsid w:val="1466407E"/>
    <w:rsid w:val="14834E28"/>
    <w:rsid w:val="148E7D65"/>
    <w:rsid w:val="14DE5E10"/>
    <w:rsid w:val="151D4243"/>
    <w:rsid w:val="15231BF9"/>
    <w:rsid w:val="154512F6"/>
    <w:rsid w:val="15455939"/>
    <w:rsid w:val="15717AE6"/>
    <w:rsid w:val="15883A78"/>
    <w:rsid w:val="158C3C38"/>
    <w:rsid w:val="15AD29D2"/>
    <w:rsid w:val="16027CCE"/>
    <w:rsid w:val="162B0FD3"/>
    <w:rsid w:val="165A6653"/>
    <w:rsid w:val="169C639C"/>
    <w:rsid w:val="16D41229"/>
    <w:rsid w:val="170C1B2B"/>
    <w:rsid w:val="171516A8"/>
    <w:rsid w:val="172F4AF3"/>
    <w:rsid w:val="177C43B7"/>
    <w:rsid w:val="179B7A92"/>
    <w:rsid w:val="179F5278"/>
    <w:rsid w:val="17FF44C5"/>
    <w:rsid w:val="18135B13"/>
    <w:rsid w:val="182D32A9"/>
    <w:rsid w:val="18545973"/>
    <w:rsid w:val="18F03E0E"/>
    <w:rsid w:val="19467ED2"/>
    <w:rsid w:val="194F2935"/>
    <w:rsid w:val="195C4203"/>
    <w:rsid w:val="19AC41D9"/>
    <w:rsid w:val="1A3B68AA"/>
    <w:rsid w:val="1A3E1C1E"/>
    <w:rsid w:val="1A6802CD"/>
    <w:rsid w:val="1A7D5B75"/>
    <w:rsid w:val="1B043C16"/>
    <w:rsid w:val="1B377E16"/>
    <w:rsid w:val="1B835B95"/>
    <w:rsid w:val="1BF754B3"/>
    <w:rsid w:val="1BFB31F6"/>
    <w:rsid w:val="1C141836"/>
    <w:rsid w:val="1C975251"/>
    <w:rsid w:val="1D0370D0"/>
    <w:rsid w:val="1D0E5DB7"/>
    <w:rsid w:val="1D320E99"/>
    <w:rsid w:val="1DE0470B"/>
    <w:rsid w:val="1E086516"/>
    <w:rsid w:val="1E497CC4"/>
    <w:rsid w:val="1E6B6A14"/>
    <w:rsid w:val="1F06438B"/>
    <w:rsid w:val="1F0B3750"/>
    <w:rsid w:val="1F10520A"/>
    <w:rsid w:val="1F3507CD"/>
    <w:rsid w:val="1F63358C"/>
    <w:rsid w:val="1F6F0182"/>
    <w:rsid w:val="1F9757E1"/>
    <w:rsid w:val="1FC234F7"/>
    <w:rsid w:val="1FE741BD"/>
    <w:rsid w:val="201725C8"/>
    <w:rsid w:val="20550D9A"/>
    <w:rsid w:val="20732AA8"/>
    <w:rsid w:val="21374CD0"/>
    <w:rsid w:val="21714B53"/>
    <w:rsid w:val="21876DAF"/>
    <w:rsid w:val="218E2416"/>
    <w:rsid w:val="21AE2AB8"/>
    <w:rsid w:val="21CD4745"/>
    <w:rsid w:val="223C6316"/>
    <w:rsid w:val="22573F07"/>
    <w:rsid w:val="226915FE"/>
    <w:rsid w:val="227422F7"/>
    <w:rsid w:val="22A807F7"/>
    <w:rsid w:val="22E14C32"/>
    <w:rsid w:val="230D4609"/>
    <w:rsid w:val="23102FE9"/>
    <w:rsid w:val="231132FF"/>
    <w:rsid w:val="232802D3"/>
    <w:rsid w:val="23406828"/>
    <w:rsid w:val="23857578"/>
    <w:rsid w:val="2398757C"/>
    <w:rsid w:val="23D700A4"/>
    <w:rsid w:val="23F63A81"/>
    <w:rsid w:val="240C7E61"/>
    <w:rsid w:val="246E5D54"/>
    <w:rsid w:val="248B0E8F"/>
    <w:rsid w:val="249C5A60"/>
    <w:rsid w:val="24A45984"/>
    <w:rsid w:val="24B97929"/>
    <w:rsid w:val="25010871"/>
    <w:rsid w:val="2520252D"/>
    <w:rsid w:val="25280C02"/>
    <w:rsid w:val="25862025"/>
    <w:rsid w:val="25BB0040"/>
    <w:rsid w:val="25F70700"/>
    <w:rsid w:val="26064C71"/>
    <w:rsid w:val="26163BC1"/>
    <w:rsid w:val="262221C3"/>
    <w:rsid w:val="268C786C"/>
    <w:rsid w:val="26E86A6C"/>
    <w:rsid w:val="26EA27E4"/>
    <w:rsid w:val="27036533"/>
    <w:rsid w:val="272C4678"/>
    <w:rsid w:val="27AC1848"/>
    <w:rsid w:val="281F201A"/>
    <w:rsid w:val="285F40CA"/>
    <w:rsid w:val="286C19CA"/>
    <w:rsid w:val="2886791B"/>
    <w:rsid w:val="28A40771"/>
    <w:rsid w:val="28C01ECB"/>
    <w:rsid w:val="28EC3ECC"/>
    <w:rsid w:val="290611F3"/>
    <w:rsid w:val="298A1EB4"/>
    <w:rsid w:val="298E56A9"/>
    <w:rsid w:val="29AE7AF9"/>
    <w:rsid w:val="29B26D29"/>
    <w:rsid w:val="29BF71E3"/>
    <w:rsid w:val="29CE6480"/>
    <w:rsid w:val="29D3130E"/>
    <w:rsid w:val="29DF4157"/>
    <w:rsid w:val="29E90B31"/>
    <w:rsid w:val="2A0B0AA8"/>
    <w:rsid w:val="2A127B63"/>
    <w:rsid w:val="2A2658E2"/>
    <w:rsid w:val="2A3F7F63"/>
    <w:rsid w:val="2A44220C"/>
    <w:rsid w:val="2A583915"/>
    <w:rsid w:val="2A75089E"/>
    <w:rsid w:val="2A8D770F"/>
    <w:rsid w:val="2A9E7B6E"/>
    <w:rsid w:val="2AAA4765"/>
    <w:rsid w:val="2AAA7CD3"/>
    <w:rsid w:val="2AC21606"/>
    <w:rsid w:val="2AF63C5E"/>
    <w:rsid w:val="2B612949"/>
    <w:rsid w:val="2B7E7608"/>
    <w:rsid w:val="2B7F04E9"/>
    <w:rsid w:val="2BDE3F9A"/>
    <w:rsid w:val="2C0E2AD1"/>
    <w:rsid w:val="2C305555"/>
    <w:rsid w:val="2C324425"/>
    <w:rsid w:val="2C5A5D16"/>
    <w:rsid w:val="2C666469"/>
    <w:rsid w:val="2C9A21B9"/>
    <w:rsid w:val="2C9A4365"/>
    <w:rsid w:val="2CB52F4D"/>
    <w:rsid w:val="2CE20523"/>
    <w:rsid w:val="2CE3435C"/>
    <w:rsid w:val="2D1265F1"/>
    <w:rsid w:val="2D496D68"/>
    <w:rsid w:val="2D4F15F3"/>
    <w:rsid w:val="2D577E34"/>
    <w:rsid w:val="2D5A6E02"/>
    <w:rsid w:val="2D7D7F0E"/>
    <w:rsid w:val="2DAE631A"/>
    <w:rsid w:val="2DDB79AB"/>
    <w:rsid w:val="2DF67CC1"/>
    <w:rsid w:val="2E0561E7"/>
    <w:rsid w:val="2E0C3645"/>
    <w:rsid w:val="2E5F7614"/>
    <w:rsid w:val="2E6670FA"/>
    <w:rsid w:val="2E6672CB"/>
    <w:rsid w:val="2E7A48DE"/>
    <w:rsid w:val="2E896A73"/>
    <w:rsid w:val="2EDC3ED8"/>
    <w:rsid w:val="2F2D046C"/>
    <w:rsid w:val="2F326AD7"/>
    <w:rsid w:val="2F6351B4"/>
    <w:rsid w:val="2FCF199E"/>
    <w:rsid w:val="2FEC137B"/>
    <w:rsid w:val="30483E83"/>
    <w:rsid w:val="3058256D"/>
    <w:rsid w:val="30AA0E97"/>
    <w:rsid w:val="31456D60"/>
    <w:rsid w:val="319B41BE"/>
    <w:rsid w:val="327411B4"/>
    <w:rsid w:val="32C128BF"/>
    <w:rsid w:val="32D103B5"/>
    <w:rsid w:val="32DC173E"/>
    <w:rsid w:val="334E4CD8"/>
    <w:rsid w:val="33F94067"/>
    <w:rsid w:val="340F5D34"/>
    <w:rsid w:val="34256C0A"/>
    <w:rsid w:val="343C0775"/>
    <w:rsid w:val="343E7AF6"/>
    <w:rsid w:val="34790D04"/>
    <w:rsid w:val="34AA76A9"/>
    <w:rsid w:val="34D32B0A"/>
    <w:rsid w:val="353935F0"/>
    <w:rsid w:val="35483E9F"/>
    <w:rsid w:val="356C50EC"/>
    <w:rsid w:val="35844AF3"/>
    <w:rsid w:val="35A3428A"/>
    <w:rsid w:val="35D11805"/>
    <w:rsid w:val="361108CD"/>
    <w:rsid w:val="361606F6"/>
    <w:rsid w:val="36317AE8"/>
    <w:rsid w:val="36483E35"/>
    <w:rsid w:val="364F7B1C"/>
    <w:rsid w:val="36643C02"/>
    <w:rsid w:val="36A504D3"/>
    <w:rsid w:val="3700166C"/>
    <w:rsid w:val="371C0798"/>
    <w:rsid w:val="3727617F"/>
    <w:rsid w:val="372866BE"/>
    <w:rsid w:val="37365F54"/>
    <w:rsid w:val="375969FE"/>
    <w:rsid w:val="37887291"/>
    <w:rsid w:val="37CE75B8"/>
    <w:rsid w:val="383218F5"/>
    <w:rsid w:val="38543F62"/>
    <w:rsid w:val="385B31D3"/>
    <w:rsid w:val="38694EE9"/>
    <w:rsid w:val="38B95B73"/>
    <w:rsid w:val="38C1701F"/>
    <w:rsid w:val="392A491E"/>
    <w:rsid w:val="393C6E91"/>
    <w:rsid w:val="39495F16"/>
    <w:rsid w:val="394F51A8"/>
    <w:rsid w:val="398B69FB"/>
    <w:rsid w:val="39A44A75"/>
    <w:rsid w:val="39D76BF8"/>
    <w:rsid w:val="3A971EE4"/>
    <w:rsid w:val="3AA007DD"/>
    <w:rsid w:val="3AC37AD7"/>
    <w:rsid w:val="3AE724D1"/>
    <w:rsid w:val="3AF92B9E"/>
    <w:rsid w:val="3AFE23B6"/>
    <w:rsid w:val="3B135A0E"/>
    <w:rsid w:val="3B1D68BB"/>
    <w:rsid w:val="3B365CC9"/>
    <w:rsid w:val="3B9A7B88"/>
    <w:rsid w:val="3BB865B6"/>
    <w:rsid w:val="3BC114FF"/>
    <w:rsid w:val="3BD31641"/>
    <w:rsid w:val="3BE850ED"/>
    <w:rsid w:val="3BF35840"/>
    <w:rsid w:val="3BF53366"/>
    <w:rsid w:val="3C2660C6"/>
    <w:rsid w:val="3CCF42AD"/>
    <w:rsid w:val="3CF33D4F"/>
    <w:rsid w:val="3D2C7AC8"/>
    <w:rsid w:val="3D4F6AA6"/>
    <w:rsid w:val="3D5F13DF"/>
    <w:rsid w:val="3D855D12"/>
    <w:rsid w:val="3D8B42FF"/>
    <w:rsid w:val="3D8C02DD"/>
    <w:rsid w:val="3DC20089"/>
    <w:rsid w:val="3DCE20C0"/>
    <w:rsid w:val="3DCE3E6E"/>
    <w:rsid w:val="3DD0481B"/>
    <w:rsid w:val="3DF36A6E"/>
    <w:rsid w:val="3DFD2E10"/>
    <w:rsid w:val="3E28252D"/>
    <w:rsid w:val="3E5C150D"/>
    <w:rsid w:val="3EC01D7A"/>
    <w:rsid w:val="3F1138E1"/>
    <w:rsid w:val="3F11495A"/>
    <w:rsid w:val="3F1C50AD"/>
    <w:rsid w:val="3F282217"/>
    <w:rsid w:val="3F402B4A"/>
    <w:rsid w:val="3F6C2C66"/>
    <w:rsid w:val="3F792F1E"/>
    <w:rsid w:val="3F870779"/>
    <w:rsid w:val="402B37FA"/>
    <w:rsid w:val="40824826"/>
    <w:rsid w:val="40970E8F"/>
    <w:rsid w:val="40B05AAD"/>
    <w:rsid w:val="40E63923"/>
    <w:rsid w:val="411B386E"/>
    <w:rsid w:val="411E155D"/>
    <w:rsid w:val="413466DE"/>
    <w:rsid w:val="41366BDA"/>
    <w:rsid w:val="413B4C25"/>
    <w:rsid w:val="4140333C"/>
    <w:rsid w:val="41436921"/>
    <w:rsid w:val="415E19AD"/>
    <w:rsid w:val="41700A39"/>
    <w:rsid w:val="418F019B"/>
    <w:rsid w:val="41986C6D"/>
    <w:rsid w:val="41D66526"/>
    <w:rsid w:val="41E67182"/>
    <w:rsid w:val="42545C34"/>
    <w:rsid w:val="4268258C"/>
    <w:rsid w:val="428A3F13"/>
    <w:rsid w:val="42B443F4"/>
    <w:rsid w:val="42CC6446"/>
    <w:rsid w:val="42CF2330"/>
    <w:rsid w:val="42EF6D61"/>
    <w:rsid w:val="42F43FD4"/>
    <w:rsid w:val="433B67EB"/>
    <w:rsid w:val="437454B8"/>
    <w:rsid w:val="43811983"/>
    <w:rsid w:val="43A15B81"/>
    <w:rsid w:val="43A91E5B"/>
    <w:rsid w:val="43BB24AE"/>
    <w:rsid w:val="44051025"/>
    <w:rsid w:val="44185ABF"/>
    <w:rsid w:val="44330E67"/>
    <w:rsid w:val="446D77B7"/>
    <w:rsid w:val="448E25A9"/>
    <w:rsid w:val="44A92F3F"/>
    <w:rsid w:val="44BC3308"/>
    <w:rsid w:val="44E4666D"/>
    <w:rsid w:val="44F52628"/>
    <w:rsid w:val="45060392"/>
    <w:rsid w:val="45827F5F"/>
    <w:rsid w:val="4594599D"/>
    <w:rsid w:val="45BA48DB"/>
    <w:rsid w:val="45BE11FB"/>
    <w:rsid w:val="45DC07AB"/>
    <w:rsid w:val="45EC3A2B"/>
    <w:rsid w:val="463A3650"/>
    <w:rsid w:val="467D4684"/>
    <w:rsid w:val="468A0B4E"/>
    <w:rsid w:val="469F0116"/>
    <w:rsid w:val="46C77447"/>
    <w:rsid w:val="46DC584E"/>
    <w:rsid w:val="46EA47AC"/>
    <w:rsid w:val="475259B7"/>
    <w:rsid w:val="47C931CF"/>
    <w:rsid w:val="47D604EF"/>
    <w:rsid w:val="47D72A0D"/>
    <w:rsid w:val="481D7ECC"/>
    <w:rsid w:val="485F78D6"/>
    <w:rsid w:val="48831CF9"/>
    <w:rsid w:val="48C20A74"/>
    <w:rsid w:val="48D3271B"/>
    <w:rsid w:val="491A440C"/>
    <w:rsid w:val="49486D5B"/>
    <w:rsid w:val="494871CB"/>
    <w:rsid w:val="4951655A"/>
    <w:rsid w:val="49A165B8"/>
    <w:rsid w:val="49B1408D"/>
    <w:rsid w:val="49D46CB0"/>
    <w:rsid w:val="4A0550BC"/>
    <w:rsid w:val="4A0D5D1E"/>
    <w:rsid w:val="4A34071C"/>
    <w:rsid w:val="4A392FB7"/>
    <w:rsid w:val="4A48543B"/>
    <w:rsid w:val="4A5D4EF8"/>
    <w:rsid w:val="4A7D4FD2"/>
    <w:rsid w:val="4A913C9A"/>
    <w:rsid w:val="4AE22D2F"/>
    <w:rsid w:val="4B1F70AC"/>
    <w:rsid w:val="4B240F94"/>
    <w:rsid w:val="4B386AE5"/>
    <w:rsid w:val="4B3F45FD"/>
    <w:rsid w:val="4BA75287"/>
    <w:rsid w:val="4BED70D6"/>
    <w:rsid w:val="4C3C565C"/>
    <w:rsid w:val="4C870CFC"/>
    <w:rsid w:val="4C936C5D"/>
    <w:rsid w:val="4C9433ED"/>
    <w:rsid w:val="4CCC79C7"/>
    <w:rsid w:val="4D25224F"/>
    <w:rsid w:val="4D25632A"/>
    <w:rsid w:val="4D7555C7"/>
    <w:rsid w:val="4DF23BA9"/>
    <w:rsid w:val="4E110FEE"/>
    <w:rsid w:val="4E1B3100"/>
    <w:rsid w:val="4E2875CB"/>
    <w:rsid w:val="4E2D4BE1"/>
    <w:rsid w:val="4E843E1F"/>
    <w:rsid w:val="4EAE6DA0"/>
    <w:rsid w:val="4EB42C0C"/>
    <w:rsid w:val="4EC245E1"/>
    <w:rsid w:val="4F8222BE"/>
    <w:rsid w:val="4FD037EF"/>
    <w:rsid w:val="4FE305A5"/>
    <w:rsid w:val="50131BB5"/>
    <w:rsid w:val="5016514B"/>
    <w:rsid w:val="502857C7"/>
    <w:rsid w:val="50476D3D"/>
    <w:rsid w:val="50BE4216"/>
    <w:rsid w:val="50F72CFD"/>
    <w:rsid w:val="51220372"/>
    <w:rsid w:val="51CB1C78"/>
    <w:rsid w:val="51DB6702"/>
    <w:rsid w:val="51FD6A51"/>
    <w:rsid w:val="526B680A"/>
    <w:rsid w:val="528648C0"/>
    <w:rsid w:val="52C90BE7"/>
    <w:rsid w:val="52DD7039"/>
    <w:rsid w:val="53150D15"/>
    <w:rsid w:val="5352083E"/>
    <w:rsid w:val="535B3F9E"/>
    <w:rsid w:val="539120D6"/>
    <w:rsid w:val="54183C3E"/>
    <w:rsid w:val="541A5D30"/>
    <w:rsid w:val="545C7862"/>
    <w:rsid w:val="545E3D46"/>
    <w:rsid w:val="54F10566"/>
    <w:rsid w:val="54F24195"/>
    <w:rsid w:val="55086FD1"/>
    <w:rsid w:val="550C37A2"/>
    <w:rsid w:val="55100392"/>
    <w:rsid w:val="5516017D"/>
    <w:rsid w:val="553E632F"/>
    <w:rsid w:val="555146E8"/>
    <w:rsid w:val="55B31E70"/>
    <w:rsid w:val="55DF0EB7"/>
    <w:rsid w:val="55F068CD"/>
    <w:rsid w:val="56075D18"/>
    <w:rsid w:val="566C3136"/>
    <w:rsid w:val="568D04F2"/>
    <w:rsid w:val="56927CD7"/>
    <w:rsid w:val="56C84568"/>
    <w:rsid w:val="56DE4CCA"/>
    <w:rsid w:val="57244AC3"/>
    <w:rsid w:val="574D00A2"/>
    <w:rsid w:val="577B7287"/>
    <w:rsid w:val="57A0343C"/>
    <w:rsid w:val="57C02622"/>
    <w:rsid w:val="57D85BBE"/>
    <w:rsid w:val="58022C3B"/>
    <w:rsid w:val="58496ABB"/>
    <w:rsid w:val="586E26D1"/>
    <w:rsid w:val="588D6DD7"/>
    <w:rsid w:val="58943156"/>
    <w:rsid w:val="58B46E15"/>
    <w:rsid w:val="59376914"/>
    <w:rsid w:val="5954639F"/>
    <w:rsid w:val="59703D5A"/>
    <w:rsid w:val="597638E0"/>
    <w:rsid w:val="59773AF7"/>
    <w:rsid w:val="59973856"/>
    <w:rsid w:val="59B0739D"/>
    <w:rsid w:val="59B368E2"/>
    <w:rsid w:val="5A320A03"/>
    <w:rsid w:val="5A526582"/>
    <w:rsid w:val="5A5F5C77"/>
    <w:rsid w:val="5A933291"/>
    <w:rsid w:val="5ABA2A7F"/>
    <w:rsid w:val="5ABF4E13"/>
    <w:rsid w:val="5AFC7E15"/>
    <w:rsid w:val="5B8D3163"/>
    <w:rsid w:val="5BA26C0E"/>
    <w:rsid w:val="5BB4249E"/>
    <w:rsid w:val="5BBE39CD"/>
    <w:rsid w:val="5BC11A60"/>
    <w:rsid w:val="5BD46064"/>
    <w:rsid w:val="5BE30FD5"/>
    <w:rsid w:val="5C052CF9"/>
    <w:rsid w:val="5C5042C3"/>
    <w:rsid w:val="5C7A4D54"/>
    <w:rsid w:val="5C891B7C"/>
    <w:rsid w:val="5CA467DF"/>
    <w:rsid w:val="5CA83096"/>
    <w:rsid w:val="5CD23B73"/>
    <w:rsid w:val="5CD252D1"/>
    <w:rsid w:val="5CDD77D2"/>
    <w:rsid w:val="5CFF31EA"/>
    <w:rsid w:val="5D2B5FC7"/>
    <w:rsid w:val="5D6B74D4"/>
    <w:rsid w:val="5DAA7FFC"/>
    <w:rsid w:val="5DB6074F"/>
    <w:rsid w:val="5E4C2BC5"/>
    <w:rsid w:val="5E642C31"/>
    <w:rsid w:val="5F127819"/>
    <w:rsid w:val="5F5C5326"/>
    <w:rsid w:val="5F63752A"/>
    <w:rsid w:val="5F824661"/>
    <w:rsid w:val="5F841086"/>
    <w:rsid w:val="5FD64271"/>
    <w:rsid w:val="5FEC2857"/>
    <w:rsid w:val="5FF7504F"/>
    <w:rsid w:val="602D6477"/>
    <w:rsid w:val="60803296"/>
    <w:rsid w:val="6096375C"/>
    <w:rsid w:val="60F1503F"/>
    <w:rsid w:val="61025188"/>
    <w:rsid w:val="61057D5F"/>
    <w:rsid w:val="614D4977"/>
    <w:rsid w:val="61534507"/>
    <w:rsid w:val="62D32401"/>
    <w:rsid w:val="62F12229"/>
    <w:rsid w:val="63081865"/>
    <w:rsid w:val="63C60FC0"/>
    <w:rsid w:val="64393E88"/>
    <w:rsid w:val="6449399F"/>
    <w:rsid w:val="64715F45"/>
    <w:rsid w:val="6486074F"/>
    <w:rsid w:val="64A357A5"/>
    <w:rsid w:val="64B21544"/>
    <w:rsid w:val="64BA3D7A"/>
    <w:rsid w:val="64F179BC"/>
    <w:rsid w:val="65181CEF"/>
    <w:rsid w:val="656447FC"/>
    <w:rsid w:val="65646CE3"/>
    <w:rsid w:val="656C2A61"/>
    <w:rsid w:val="65C6174B"/>
    <w:rsid w:val="65C94C55"/>
    <w:rsid w:val="65D10988"/>
    <w:rsid w:val="665704D3"/>
    <w:rsid w:val="66882EA5"/>
    <w:rsid w:val="66D86CE1"/>
    <w:rsid w:val="66DF7B8A"/>
    <w:rsid w:val="672524A2"/>
    <w:rsid w:val="673148E2"/>
    <w:rsid w:val="675445CD"/>
    <w:rsid w:val="67672ABA"/>
    <w:rsid w:val="677E3283"/>
    <w:rsid w:val="679A4DB6"/>
    <w:rsid w:val="67C065A4"/>
    <w:rsid w:val="67D359C9"/>
    <w:rsid w:val="67FB3202"/>
    <w:rsid w:val="68D979E8"/>
    <w:rsid w:val="68FE36DD"/>
    <w:rsid w:val="694D5CE0"/>
    <w:rsid w:val="694E60FC"/>
    <w:rsid w:val="69EF4042"/>
    <w:rsid w:val="6A8F3A1A"/>
    <w:rsid w:val="6AA3205B"/>
    <w:rsid w:val="6B4A6249"/>
    <w:rsid w:val="6B523C1B"/>
    <w:rsid w:val="6B624931"/>
    <w:rsid w:val="6BB40298"/>
    <w:rsid w:val="6BF80185"/>
    <w:rsid w:val="6C2E69C8"/>
    <w:rsid w:val="6C410A63"/>
    <w:rsid w:val="6C537AB1"/>
    <w:rsid w:val="6C675CE6"/>
    <w:rsid w:val="6C8400DD"/>
    <w:rsid w:val="6CEF35AF"/>
    <w:rsid w:val="6D0E77F2"/>
    <w:rsid w:val="6D4F4321"/>
    <w:rsid w:val="6D7F6FE9"/>
    <w:rsid w:val="6DCE74FE"/>
    <w:rsid w:val="6DDD5884"/>
    <w:rsid w:val="6DE20811"/>
    <w:rsid w:val="6DEF52C1"/>
    <w:rsid w:val="6DFF7360"/>
    <w:rsid w:val="6E4C47B8"/>
    <w:rsid w:val="6E5D4C17"/>
    <w:rsid w:val="6E757210"/>
    <w:rsid w:val="6E7954AC"/>
    <w:rsid w:val="6E7A5F73"/>
    <w:rsid w:val="6E91666F"/>
    <w:rsid w:val="6F0D2EB7"/>
    <w:rsid w:val="6F0F5F11"/>
    <w:rsid w:val="6F1E43A6"/>
    <w:rsid w:val="6F2B0C76"/>
    <w:rsid w:val="6F2E3798"/>
    <w:rsid w:val="6F327E52"/>
    <w:rsid w:val="6F6B6274"/>
    <w:rsid w:val="6FD74228"/>
    <w:rsid w:val="6FFEF36A"/>
    <w:rsid w:val="70343755"/>
    <w:rsid w:val="70A0215F"/>
    <w:rsid w:val="70B33744"/>
    <w:rsid w:val="70C44AD9"/>
    <w:rsid w:val="70FE5EDF"/>
    <w:rsid w:val="71003B2D"/>
    <w:rsid w:val="71415A90"/>
    <w:rsid w:val="71633091"/>
    <w:rsid w:val="71730D46"/>
    <w:rsid w:val="72F22CC6"/>
    <w:rsid w:val="730218E9"/>
    <w:rsid w:val="73081CA5"/>
    <w:rsid w:val="733C4C78"/>
    <w:rsid w:val="73483525"/>
    <w:rsid w:val="735760D9"/>
    <w:rsid w:val="73D56828"/>
    <w:rsid w:val="73D8682C"/>
    <w:rsid w:val="73DE613E"/>
    <w:rsid w:val="74545B7C"/>
    <w:rsid w:val="7487762D"/>
    <w:rsid w:val="74CA6436"/>
    <w:rsid w:val="75127057"/>
    <w:rsid w:val="75355E65"/>
    <w:rsid w:val="75385498"/>
    <w:rsid w:val="75614FED"/>
    <w:rsid w:val="75706FDE"/>
    <w:rsid w:val="75D91027"/>
    <w:rsid w:val="763E532E"/>
    <w:rsid w:val="769962BD"/>
    <w:rsid w:val="76BC207F"/>
    <w:rsid w:val="76E61739"/>
    <w:rsid w:val="76EB4904"/>
    <w:rsid w:val="76F31341"/>
    <w:rsid w:val="76F45827"/>
    <w:rsid w:val="77094566"/>
    <w:rsid w:val="774B1AB0"/>
    <w:rsid w:val="777378F5"/>
    <w:rsid w:val="777A2D3C"/>
    <w:rsid w:val="77836025"/>
    <w:rsid w:val="778F2AFC"/>
    <w:rsid w:val="779A47E6"/>
    <w:rsid w:val="77C211DC"/>
    <w:rsid w:val="77D53A70"/>
    <w:rsid w:val="77F27A3E"/>
    <w:rsid w:val="78032115"/>
    <w:rsid w:val="782A240A"/>
    <w:rsid w:val="783A2252"/>
    <w:rsid w:val="78537BEA"/>
    <w:rsid w:val="789C4B6A"/>
    <w:rsid w:val="79074B81"/>
    <w:rsid w:val="790E7239"/>
    <w:rsid w:val="794E5888"/>
    <w:rsid w:val="794F0939"/>
    <w:rsid w:val="79AF0FCA"/>
    <w:rsid w:val="79EF2560"/>
    <w:rsid w:val="7A307495"/>
    <w:rsid w:val="7A4106A2"/>
    <w:rsid w:val="7A6D08A5"/>
    <w:rsid w:val="7AE05356"/>
    <w:rsid w:val="7AF9279C"/>
    <w:rsid w:val="7B462BCF"/>
    <w:rsid w:val="7B5571CA"/>
    <w:rsid w:val="7BA7602B"/>
    <w:rsid w:val="7C8028A6"/>
    <w:rsid w:val="7C831CEC"/>
    <w:rsid w:val="7CC3033B"/>
    <w:rsid w:val="7CC51958"/>
    <w:rsid w:val="7CCB22B3"/>
    <w:rsid w:val="7CCF5A44"/>
    <w:rsid w:val="7CEC40B6"/>
    <w:rsid w:val="7CEC7205"/>
    <w:rsid w:val="7D0746CC"/>
    <w:rsid w:val="7D7F0D08"/>
    <w:rsid w:val="7D957F29"/>
    <w:rsid w:val="7DA61BF3"/>
    <w:rsid w:val="7DE20C95"/>
    <w:rsid w:val="7E2936C3"/>
    <w:rsid w:val="7E2E365C"/>
    <w:rsid w:val="7E6411B9"/>
    <w:rsid w:val="7E855AD2"/>
    <w:rsid w:val="7EB10D93"/>
    <w:rsid w:val="7EC01F50"/>
    <w:rsid w:val="7F4A74EA"/>
    <w:rsid w:val="7F7973D7"/>
    <w:rsid w:val="D6BA3E7D"/>
    <w:rsid w:val="DEF9C66F"/>
    <w:rsid w:val="F83ED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2"/>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4"/>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9"/>
    <w:qFormat/>
    <w:uiPriority w:val="0"/>
    <w:pPr>
      <w:keepNext/>
      <w:keepLines/>
      <w:spacing w:before="280" w:after="290" w:line="376" w:lineRule="auto"/>
      <w:outlineLvl w:val="3"/>
    </w:pPr>
    <w:rPr>
      <w:b/>
      <w:bCs/>
      <w:sz w:val="28"/>
      <w:szCs w:val="28"/>
    </w:rPr>
  </w:style>
  <w:style w:type="paragraph" w:styleId="6">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szCs w:val="24"/>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39"/>
    <w:pPr>
      <w:ind w:left="1260"/>
      <w:jc w:val="left"/>
    </w:pPr>
    <w:rPr>
      <w:sz w:val="18"/>
      <w:szCs w:val="18"/>
    </w:rPr>
  </w:style>
  <w:style w:type="paragraph" w:styleId="8">
    <w:name w:val="Normal Indent"/>
    <w:basedOn w:val="1"/>
    <w:next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61"/>
    <w:qFormat/>
    <w:uiPriority w:val="0"/>
    <w:pPr>
      <w:jc w:val="left"/>
    </w:pPr>
    <w:rPr>
      <w:rFonts w:ascii="Arial" w:hAnsi="Arial" w:eastAsia="黑体" w:cs="Arial"/>
    </w:rPr>
  </w:style>
  <w:style w:type="paragraph" w:styleId="10">
    <w:name w:val="Body Text"/>
    <w:basedOn w:val="1"/>
    <w:qFormat/>
    <w:uiPriority w:val="0"/>
    <w:pPr>
      <w:spacing w:after="120"/>
    </w:pPr>
    <w:rPr>
      <w:rFonts w:ascii="@微软简标宋" w:hAnsi="@微软简标宋" w:eastAsia="@微软简标宋" w:cs="@微软简标宋"/>
      <w:szCs w:val="24"/>
      <w:lang w:val="zh-CN"/>
    </w:rPr>
  </w:style>
  <w:style w:type="paragraph" w:styleId="11">
    <w:name w:val="Body Text Indent"/>
    <w:basedOn w:val="1"/>
    <w:next w:val="12"/>
    <w:unhideWhenUsed/>
    <w:qFormat/>
    <w:uiPriority w:val="0"/>
    <w:pPr>
      <w:spacing w:after="120"/>
      <w:ind w:left="420" w:leftChars="200"/>
    </w:pPr>
    <w:rPr>
      <w:rFonts w:asciiTheme="minorHAnsi" w:hAnsiTheme="minorHAnsi"/>
      <w:szCs w:val="22"/>
    </w:rPr>
  </w:style>
  <w:style w:type="paragraph" w:styleId="12">
    <w:name w:val="envelope return"/>
    <w:basedOn w:val="1"/>
    <w:qFormat/>
    <w:uiPriority w:val="0"/>
    <w:pPr>
      <w:snapToGrid w:val="0"/>
    </w:pPr>
    <w:rPr>
      <w:rFonts w:ascii="Arial" w:hAnsi="Arial"/>
    </w:rPr>
  </w:style>
  <w:style w:type="paragraph" w:styleId="13">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1"/>
    <w:qFormat/>
    <w:uiPriority w:val="99"/>
    <w:rPr>
      <w:rFonts w:ascii="宋体" w:hAnsi="Courier New" w:eastAsiaTheme="minorEastAsia" w:cstheme="minorBidi"/>
      <w:szCs w:val="22"/>
    </w:rPr>
  </w:style>
  <w:style w:type="paragraph" w:styleId="15">
    <w:name w:val="toc 8"/>
    <w:basedOn w:val="1"/>
    <w:next w:val="1"/>
    <w:qFormat/>
    <w:uiPriority w:val="39"/>
    <w:pPr>
      <w:ind w:left="1470"/>
      <w:jc w:val="left"/>
    </w:pPr>
    <w:rPr>
      <w:rFonts w:ascii="Calibri" w:hAnsi="Calibri"/>
      <w:sz w:val="18"/>
      <w:szCs w:val="18"/>
    </w:rPr>
  </w:style>
  <w:style w:type="paragraph" w:styleId="16">
    <w:name w:val="Date"/>
    <w:basedOn w:val="1"/>
    <w:next w:val="1"/>
    <w:link w:val="58"/>
    <w:qFormat/>
    <w:uiPriority w:val="0"/>
    <w:rPr>
      <w:rFonts w:ascii="Arial" w:hAnsi="Arial" w:eastAsia="宋体" w:cs="Arial"/>
      <w:b/>
      <w:sz w:val="28"/>
    </w:rPr>
  </w:style>
  <w:style w:type="paragraph" w:styleId="17">
    <w:name w:val="Body Text Indent 2"/>
    <w:basedOn w:val="1"/>
    <w:next w:val="1"/>
    <w:qFormat/>
    <w:uiPriority w:val="0"/>
    <w:pPr>
      <w:ind w:firstLine="640" w:firstLineChars="200"/>
    </w:pPr>
    <w:rPr>
      <w:rFonts w:ascii="Calibri" w:hAnsi="Calibri"/>
      <w:sz w:val="32"/>
    </w:rPr>
  </w:style>
  <w:style w:type="paragraph" w:styleId="18">
    <w:name w:val="Balloon Text"/>
    <w:basedOn w:val="1"/>
    <w:link w:val="45"/>
    <w:semiHidden/>
    <w:unhideWhenUsed/>
    <w:qFormat/>
    <w:uiPriority w:val="99"/>
    <w:rPr>
      <w:sz w:val="18"/>
      <w:szCs w:val="18"/>
    </w:rPr>
  </w:style>
  <w:style w:type="paragraph" w:styleId="19">
    <w:name w:val="footer"/>
    <w:basedOn w:val="1"/>
    <w:link w:val="50"/>
    <w:unhideWhenUsed/>
    <w:qFormat/>
    <w:uiPriority w:val="99"/>
    <w:pPr>
      <w:tabs>
        <w:tab w:val="center" w:pos="4153"/>
        <w:tab w:val="right" w:pos="8306"/>
      </w:tabs>
      <w:snapToGrid w:val="0"/>
      <w:jc w:val="left"/>
    </w:pPr>
    <w:rPr>
      <w:sz w:val="18"/>
      <w:szCs w:val="18"/>
    </w:rPr>
  </w:style>
  <w:style w:type="paragraph" w:styleId="20">
    <w:name w:val="header"/>
    <w:basedOn w:val="1"/>
    <w:link w:val="49"/>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2">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3">
    <w:name w:val="Normal (Web)"/>
    <w:basedOn w:val="1"/>
    <w:qFormat/>
    <w:uiPriority w:val="0"/>
    <w:pPr>
      <w:spacing w:before="100" w:beforeAutospacing="1" w:after="100" w:afterAutospacing="1"/>
      <w:jc w:val="left"/>
    </w:pPr>
    <w:rPr>
      <w:rFonts w:cs="Times New Roman"/>
      <w:kern w:val="0"/>
      <w:sz w:val="24"/>
    </w:rPr>
  </w:style>
  <w:style w:type="paragraph" w:styleId="24">
    <w:name w:val="index 1"/>
    <w:basedOn w:val="1"/>
    <w:next w:val="1"/>
    <w:qFormat/>
    <w:uiPriority w:val="0"/>
    <w:pPr>
      <w:jc w:val="center"/>
    </w:pPr>
    <w:rPr>
      <w:rFonts w:ascii="Arial" w:hAnsi="Arial" w:eastAsia="Arial" w:cs="Arial"/>
      <w:b/>
      <w:bCs/>
      <w:sz w:val="28"/>
    </w:rPr>
  </w:style>
  <w:style w:type="paragraph" w:styleId="25">
    <w:name w:val="annotation subject"/>
    <w:basedOn w:val="9"/>
    <w:next w:val="9"/>
    <w:link w:val="72"/>
    <w:semiHidden/>
    <w:unhideWhenUsed/>
    <w:qFormat/>
    <w:uiPriority w:val="99"/>
    <w:rPr>
      <w:rFonts w:ascii="@仿宋_GB2312" w:hAnsi="@仿宋_GB2312" w:eastAsia="@仿宋_GB2312" w:cs="@仿宋_GB2312"/>
      <w:b/>
      <w:bCs/>
    </w:rPr>
  </w:style>
  <w:style w:type="paragraph" w:styleId="26">
    <w:name w:val="Body Text First Indent"/>
    <w:basedOn w:val="10"/>
    <w:unhideWhenUsed/>
    <w:qFormat/>
    <w:uiPriority w:val="99"/>
    <w:pPr>
      <w:ind w:firstLine="420" w:firstLineChars="100"/>
    </w:pPr>
  </w:style>
  <w:style w:type="paragraph" w:styleId="27">
    <w:name w:val="Body Text First Indent 2"/>
    <w:basedOn w:val="11"/>
    <w:next w:val="1"/>
    <w:qFormat/>
    <w:uiPriority w:val="0"/>
    <w:pPr>
      <w:spacing w:line="360" w:lineRule="auto"/>
      <w:ind w:firstLine="200"/>
    </w:pPr>
  </w:style>
  <w:style w:type="table" w:styleId="29">
    <w:name w:val="Table Grid"/>
    <w:basedOn w:val="28"/>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style>
  <w:style w:type="character" w:styleId="37">
    <w:name w:val="HTML Variable"/>
    <w:basedOn w:val="30"/>
    <w:semiHidden/>
    <w:unhideWhenUsed/>
    <w:qFormat/>
    <w:uiPriority w:val="99"/>
  </w:style>
  <w:style w:type="character" w:styleId="38">
    <w:name w:val="Hyperlink"/>
    <w:basedOn w:val="30"/>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paragraph" w:customStyle="1" w:styleId="44">
    <w:name w:val="表格文字"/>
    <w:basedOn w:val="11"/>
    <w:next w:val="10"/>
    <w:qFormat/>
    <w:uiPriority w:val="0"/>
    <w:pPr>
      <w:adjustRightInd w:val="0"/>
      <w:spacing w:line="420" w:lineRule="atLeast"/>
      <w:jc w:val="left"/>
      <w:textAlignment w:val="baseline"/>
    </w:pPr>
    <w:rPr>
      <w:kern w:val="0"/>
      <w:szCs w:val="20"/>
    </w:rPr>
  </w:style>
  <w:style w:type="character" w:customStyle="1" w:styleId="45">
    <w:name w:val="批注框文本 Char"/>
    <w:basedOn w:val="30"/>
    <w:link w:val="18"/>
    <w:semiHidden/>
    <w:qFormat/>
    <w:uiPriority w:val="99"/>
    <w:rPr>
      <w:rFonts w:ascii="@仿宋_GB2312" w:hAnsi="@仿宋_GB2312" w:eastAsia="@仿宋_GB2312" w:cs="@仿宋_GB2312"/>
      <w:sz w:val="18"/>
      <w:szCs w:val="18"/>
    </w:rPr>
  </w:style>
  <w:style w:type="paragraph" w:customStyle="1" w:styleId="46">
    <w:name w:val="正文（缩进）"/>
    <w:basedOn w:val="1"/>
    <w:qFormat/>
    <w:uiPriority w:val="0"/>
    <w:pPr>
      <w:widowControl/>
      <w:spacing w:before="156" w:after="156"/>
      <w:ind w:firstLine="480" w:firstLineChars="200"/>
      <w:jc w:val="left"/>
    </w:pPr>
    <w:rPr>
      <w:kern w:val="0"/>
      <w:sz w:val="24"/>
      <w:szCs w:val="24"/>
    </w:rPr>
  </w:style>
  <w:style w:type="paragraph" w:customStyle="1" w:styleId="47">
    <w:name w:val="xl31"/>
    <w:basedOn w:val="1"/>
    <w:qFormat/>
    <w:uiPriority w:val="0"/>
    <w:pPr>
      <w:widowControl/>
      <w:spacing w:before="100" w:beforeAutospacing="1" w:after="100" w:afterAutospacing="1"/>
      <w:jc w:val="center"/>
    </w:pPr>
    <w:rPr>
      <w:b/>
      <w:bCs/>
      <w:kern w:val="0"/>
      <w:sz w:val="28"/>
      <w:szCs w:val="28"/>
    </w:rPr>
  </w:style>
  <w:style w:type="paragraph" w:customStyle="1" w:styleId="48">
    <w:name w:val="D&amp;L"/>
    <w:basedOn w:val="20"/>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9">
    <w:name w:val="页眉 Char"/>
    <w:basedOn w:val="30"/>
    <w:link w:val="20"/>
    <w:qFormat/>
    <w:uiPriority w:val="99"/>
    <w:rPr>
      <w:rFonts w:ascii="@仿宋_GB2312" w:hAnsi="@仿宋_GB2312" w:eastAsia="@仿宋_GB2312" w:cs="@仿宋_GB2312"/>
      <w:sz w:val="18"/>
      <w:szCs w:val="18"/>
    </w:rPr>
  </w:style>
  <w:style w:type="character" w:customStyle="1" w:styleId="50">
    <w:name w:val="页脚 Char"/>
    <w:basedOn w:val="30"/>
    <w:link w:val="19"/>
    <w:qFormat/>
    <w:uiPriority w:val="99"/>
    <w:rPr>
      <w:rFonts w:ascii="@仿宋_GB2312" w:hAnsi="@仿宋_GB2312" w:eastAsia="@仿宋_GB2312" w:cs="@仿宋_GB2312"/>
      <w:sz w:val="18"/>
      <w:szCs w:val="18"/>
    </w:rPr>
  </w:style>
  <w:style w:type="character" w:customStyle="1" w:styleId="51">
    <w:name w:val="纯文本 Char"/>
    <w:link w:val="14"/>
    <w:qFormat/>
    <w:uiPriority w:val="0"/>
    <w:rPr>
      <w:rFonts w:ascii="宋体" w:hAnsi="Courier New"/>
    </w:rPr>
  </w:style>
  <w:style w:type="character" w:customStyle="1" w:styleId="52">
    <w:name w:val="纯文本 字符1"/>
    <w:basedOn w:val="30"/>
    <w:semiHidden/>
    <w:qFormat/>
    <w:uiPriority w:val="99"/>
    <w:rPr>
      <w:rFonts w:hAnsi="Courier New" w:cs="Courier New" w:asciiTheme="minorEastAsia"/>
      <w:szCs w:val="20"/>
    </w:rPr>
  </w:style>
  <w:style w:type="character" w:customStyle="1" w:styleId="53">
    <w:name w:val="未处理的提及1"/>
    <w:basedOn w:val="30"/>
    <w:semiHidden/>
    <w:unhideWhenUsed/>
    <w:qFormat/>
    <w:uiPriority w:val="99"/>
    <w:rPr>
      <w:color w:val="605E5C"/>
      <w:shd w:val="clear" w:color="auto" w:fill="E1DFDD"/>
    </w:rPr>
  </w:style>
  <w:style w:type="paragraph" w:styleId="54">
    <w:name w:val="List Paragraph"/>
    <w:basedOn w:val="1"/>
    <w:qFormat/>
    <w:uiPriority w:val="34"/>
    <w:pPr>
      <w:ind w:firstLine="420" w:firstLineChars="200"/>
    </w:pPr>
  </w:style>
  <w:style w:type="paragraph" w:customStyle="1" w:styleId="55">
    <w:name w:val="Char Char Char Char Char Char Char1 Char"/>
    <w:basedOn w:val="1"/>
    <w:qFormat/>
    <w:uiPriority w:val="0"/>
    <w:rPr>
      <w:rFonts w:ascii="Arial" w:hAnsi="Arial" w:eastAsia="宋体" w:cs="Arial"/>
      <w:sz w:val="24"/>
    </w:rPr>
  </w:style>
  <w:style w:type="table" w:customStyle="1" w:styleId="56">
    <w:name w:val="网格表 1 浅色1"/>
    <w:basedOn w:val="2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7">
    <w:name w:val="日期 字符"/>
    <w:basedOn w:val="30"/>
    <w:semiHidden/>
    <w:qFormat/>
    <w:uiPriority w:val="99"/>
    <w:rPr>
      <w:rFonts w:ascii="@仿宋_GB2312" w:hAnsi="@仿宋_GB2312" w:eastAsia="@仿宋_GB2312" w:cs="@仿宋_GB2312"/>
      <w:szCs w:val="20"/>
    </w:rPr>
  </w:style>
  <w:style w:type="character" w:customStyle="1" w:styleId="58">
    <w:name w:val="日期 Char"/>
    <w:link w:val="16"/>
    <w:qFormat/>
    <w:uiPriority w:val="0"/>
    <w:rPr>
      <w:rFonts w:ascii="Arial" w:hAnsi="Arial" w:eastAsia="宋体" w:cs="Arial"/>
      <w:b/>
      <w:sz w:val="28"/>
      <w:szCs w:val="20"/>
    </w:rPr>
  </w:style>
  <w:style w:type="character" w:customStyle="1" w:styleId="59">
    <w:name w:val="纯文本 Char1"/>
    <w:qFormat/>
    <w:locked/>
    <w:uiPriority w:val="99"/>
    <w:rPr>
      <w:rFonts w:ascii="Arial" w:hAnsi="Arial" w:eastAsia="Arial"/>
      <w:kern w:val="2"/>
      <w:sz w:val="21"/>
      <w:lang w:val="en-US" w:eastAsia="zh-CN" w:bidi="ar-SA"/>
    </w:rPr>
  </w:style>
  <w:style w:type="character" w:customStyle="1" w:styleId="60">
    <w:name w:val="批注文字 Char"/>
    <w:basedOn w:val="30"/>
    <w:semiHidden/>
    <w:qFormat/>
    <w:uiPriority w:val="99"/>
    <w:rPr>
      <w:rFonts w:ascii="@仿宋_GB2312" w:hAnsi="@仿宋_GB2312" w:eastAsia="@仿宋_GB2312" w:cs="@仿宋_GB2312"/>
      <w:szCs w:val="20"/>
    </w:rPr>
  </w:style>
  <w:style w:type="character" w:customStyle="1" w:styleId="61">
    <w:name w:val="批注文字 Char1"/>
    <w:link w:val="9"/>
    <w:qFormat/>
    <w:uiPriority w:val="0"/>
    <w:rPr>
      <w:rFonts w:ascii="Arial" w:hAnsi="Arial" w:eastAsia="黑体" w:cs="Arial"/>
      <w:szCs w:val="20"/>
    </w:rPr>
  </w:style>
  <w:style w:type="character" w:customStyle="1" w:styleId="62">
    <w:name w:val="标题 1 Char"/>
    <w:basedOn w:val="30"/>
    <w:link w:val="2"/>
    <w:qFormat/>
    <w:uiPriority w:val="9"/>
    <w:rPr>
      <w:rFonts w:ascii="@仿宋_GB2312" w:hAnsi="@仿宋_GB2312" w:eastAsia="@仿宋_GB2312" w:cs="@仿宋_GB2312"/>
      <w:b/>
      <w:bCs/>
      <w:kern w:val="44"/>
      <w:sz w:val="44"/>
      <w:szCs w:val="44"/>
    </w:rPr>
  </w:style>
  <w:style w:type="paragraph" w:customStyle="1" w:styleId="63">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30"/>
    <w:link w:val="4"/>
    <w:semiHidden/>
    <w:qFormat/>
    <w:uiPriority w:val="9"/>
    <w:rPr>
      <w:rFonts w:ascii="@仿宋_GB2312" w:hAnsi="@仿宋_GB2312" w:eastAsia="@仿宋_GB2312" w:cs="@仿宋_GB2312"/>
      <w:b/>
      <w:bCs/>
      <w:sz w:val="32"/>
      <w:szCs w:val="32"/>
    </w:rPr>
  </w:style>
  <w:style w:type="character" w:customStyle="1" w:styleId="65">
    <w:name w:val="fontstyle01"/>
    <w:basedOn w:val="30"/>
    <w:qFormat/>
    <w:uiPriority w:val="0"/>
    <w:rPr>
      <w:rFonts w:hint="eastAsia" w:ascii="宋体" w:hAnsi="宋体" w:eastAsia="宋体"/>
      <w:color w:val="000000"/>
      <w:sz w:val="22"/>
      <w:szCs w:val="22"/>
    </w:rPr>
  </w:style>
  <w:style w:type="character" w:customStyle="1" w:styleId="66">
    <w:name w:val="fontstyle21"/>
    <w:basedOn w:val="30"/>
    <w:qFormat/>
    <w:uiPriority w:val="0"/>
    <w:rPr>
      <w:rFonts w:hint="default" w:ascii="TimesNewRomanPSMT" w:hAnsi="TimesNewRomanPSMT"/>
      <w:color w:val="000000"/>
      <w:sz w:val="22"/>
      <w:szCs w:val="22"/>
    </w:rPr>
  </w:style>
  <w:style w:type="character" w:customStyle="1" w:styleId="67">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30"/>
    <w:semiHidden/>
    <w:qFormat/>
    <w:uiPriority w:val="9"/>
    <w:rPr>
      <w:rFonts w:asciiTheme="majorHAnsi" w:hAnsiTheme="majorHAnsi" w:eastAsiaTheme="majorEastAsia" w:cstheme="majorBidi"/>
      <w:b/>
      <w:bCs/>
      <w:sz w:val="28"/>
      <w:szCs w:val="28"/>
    </w:rPr>
  </w:style>
  <w:style w:type="character" w:customStyle="1" w:styleId="69">
    <w:name w:val="标题 4 Char1"/>
    <w:link w:val="5"/>
    <w:qFormat/>
    <w:uiPriority w:val="0"/>
    <w:rPr>
      <w:rFonts w:ascii="@仿宋_GB2312" w:hAnsi="@仿宋_GB2312" w:eastAsia="@仿宋_GB2312" w:cs="@仿宋_GB2312"/>
      <w:b/>
      <w:bCs/>
      <w:sz w:val="28"/>
      <w:szCs w:val="28"/>
    </w:rPr>
  </w:style>
  <w:style w:type="character" w:customStyle="1" w:styleId="70">
    <w:name w:val="标题 4 Char"/>
    <w:qFormat/>
    <w:uiPriority w:val="0"/>
    <w:rPr>
      <w:rFonts w:ascii="Arial" w:hAnsi="Arial" w:eastAsia="Arial"/>
      <w:b/>
      <w:bCs/>
      <w:kern w:val="2"/>
      <w:sz w:val="28"/>
      <w:szCs w:val="28"/>
      <w:lang w:val="en-US" w:eastAsia="zh-CN" w:bidi="ar-SA"/>
    </w:rPr>
  </w:style>
  <w:style w:type="table" w:customStyle="1" w:styleId="71">
    <w:name w:val="网格型1"/>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2">
    <w:name w:val="批注主题 Char"/>
    <w:basedOn w:val="61"/>
    <w:link w:val="25"/>
    <w:semiHidden/>
    <w:qFormat/>
    <w:uiPriority w:val="99"/>
    <w:rPr>
      <w:rFonts w:ascii="@仿宋_GB2312" w:hAnsi="@仿宋_GB2312" w:eastAsia="@仿宋_GB2312" w:cs="@仿宋_GB2312"/>
      <w:b/>
      <w:bCs/>
      <w:szCs w:val="20"/>
    </w:rPr>
  </w:style>
  <w:style w:type="table" w:customStyle="1" w:styleId="73">
    <w:name w:val="Table Normal"/>
    <w:semiHidden/>
    <w:unhideWhenUsed/>
    <w:qFormat/>
    <w:uiPriority w:val="0"/>
    <w:tblPr>
      <w:tblCellMar>
        <w:top w:w="0" w:type="dxa"/>
        <w:left w:w="0" w:type="dxa"/>
        <w:bottom w:w="0" w:type="dxa"/>
        <w:right w:w="0" w:type="dxa"/>
      </w:tblCellMar>
    </w:tblPr>
  </w:style>
  <w:style w:type="paragraph" w:customStyle="1" w:styleId="74">
    <w:name w:val="Table Text"/>
    <w:basedOn w:val="1"/>
    <w:semiHidden/>
    <w:qFormat/>
    <w:uiPriority w:val="0"/>
    <w:rPr>
      <w:rFonts w:ascii="Arial" w:hAnsi="Arial" w:eastAsia="Arial" w:cs="Arial"/>
      <w:sz w:val="21"/>
      <w:szCs w:val="21"/>
      <w:lang w:val="en-US" w:eastAsia="en-US" w:bidi="ar-SA"/>
    </w:rPr>
  </w:style>
  <w:style w:type="paragraph" w:customStyle="1" w:styleId="75">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6">
    <w:name w:val="hover"/>
    <w:basedOn w:val="30"/>
    <w:qFormat/>
    <w:uiPriority w:val="0"/>
    <w:rPr>
      <w:color w:val="2590EB"/>
    </w:rPr>
  </w:style>
  <w:style w:type="character" w:customStyle="1" w:styleId="77">
    <w:name w:val="hover1"/>
    <w:basedOn w:val="30"/>
    <w:qFormat/>
    <w:uiPriority w:val="0"/>
    <w:rPr>
      <w:color w:val="2590EB"/>
    </w:rPr>
  </w:style>
  <w:style w:type="character" w:customStyle="1" w:styleId="78">
    <w:name w:val="hover2"/>
    <w:basedOn w:val="30"/>
    <w:qFormat/>
    <w:uiPriority w:val="0"/>
  </w:style>
  <w:style w:type="character" w:customStyle="1" w:styleId="79">
    <w:name w:val="hover3"/>
    <w:basedOn w:val="30"/>
    <w:qFormat/>
    <w:uiPriority w:val="0"/>
    <w:rPr>
      <w:color w:val="2590EB"/>
      <w:shd w:val="clear" w:fill="E9F4FD"/>
    </w:rPr>
  </w:style>
  <w:style w:type="character" w:customStyle="1" w:styleId="80">
    <w:name w:val="hover4"/>
    <w:basedOn w:val="30"/>
    <w:qFormat/>
    <w:uiPriority w:val="0"/>
    <w:rPr>
      <w:color w:val="2590EB"/>
      <w:shd w:val="clear" w:fill="E9F4FD"/>
    </w:rPr>
  </w:style>
  <w:style w:type="character" w:customStyle="1" w:styleId="81">
    <w:name w:val="room"/>
    <w:basedOn w:val="30"/>
    <w:qFormat/>
    <w:uiPriority w:val="0"/>
  </w:style>
  <w:style w:type="character" w:customStyle="1" w:styleId="82">
    <w:name w:val="layui-layer-tabnow"/>
    <w:basedOn w:val="30"/>
    <w:qFormat/>
    <w:uiPriority w:val="0"/>
    <w:rPr>
      <w:bdr w:val="single" w:color="CCCCCC" w:sz="6" w:space="0"/>
      <w:shd w:val="clear" w:fill="FFFFFF"/>
    </w:rPr>
  </w:style>
  <w:style w:type="character" w:customStyle="1" w:styleId="83">
    <w:name w:val="timeaxis"/>
    <w:basedOn w:val="30"/>
    <w:qFormat/>
    <w:uiPriority w:val="0"/>
  </w:style>
  <w:style w:type="character" w:customStyle="1" w:styleId="84">
    <w:name w:val="first-child"/>
    <w:basedOn w:val="30"/>
    <w:qFormat/>
    <w:uiPriority w:val="0"/>
  </w:style>
  <w:style w:type="paragraph" w:customStyle="1" w:styleId="85">
    <w:name w:val="card-title"/>
    <w:basedOn w:val="1"/>
    <w:qFormat/>
    <w:uiPriority w:val="0"/>
    <w:pPr>
      <w:spacing w:line="600" w:lineRule="atLeast"/>
      <w:ind w:right="750"/>
      <w:jc w:val="left"/>
    </w:pPr>
    <w:rPr>
      <w:color w:val="666666"/>
      <w:kern w:val="0"/>
      <w:lang w:val="en-US" w:eastAsia="zh-CN" w:bidi="ar"/>
    </w:rPr>
  </w:style>
  <w:style w:type="character" w:customStyle="1" w:styleId="86">
    <w:name w:val="hover5"/>
    <w:basedOn w:val="30"/>
    <w:qFormat/>
    <w:uiPriority w:val="0"/>
    <w:rPr>
      <w:color w:val="2590EB"/>
    </w:rPr>
  </w:style>
  <w:style w:type="character" w:customStyle="1" w:styleId="87">
    <w:name w:val="hover6"/>
    <w:basedOn w:val="30"/>
    <w:qFormat/>
    <w:uiPriority w:val="0"/>
    <w:rPr>
      <w:color w:val="2590EB"/>
    </w:rPr>
  </w:style>
  <w:style w:type="character" w:customStyle="1" w:styleId="88">
    <w:name w:val="layui-this"/>
    <w:basedOn w:val="30"/>
    <w:qFormat/>
    <w:uiPriority w:val="0"/>
    <w:rPr>
      <w:bdr w:val="single" w:color="EEEEEE" w:sz="6" w:space="0"/>
      <w:shd w:val="clear" w:fill="FFFFFF"/>
    </w:rPr>
  </w:style>
  <w:style w:type="character" w:customStyle="1" w:styleId="89">
    <w:name w:val="fontstyle31"/>
    <w:basedOn w:val="30"/>
    <w:qFormat/>
    <w:uiPriority w:val="0"/>
    <w:rPr>
      <w:rFonts w:hint="default" w:ascii="TimesNewRomanPSMT" w:hAnsi="TimesNewRomanPSMT"/>
      <w:color w:val="000000"/>
      <w:sz w:val="30"/>
      <w:szCs w:val="30"/>
    </w:rPr>
  </w:style>
  <w:style w:type="paragraph" w:customStyle="1" w:styleId="90">
    <w:name w:val="Table Paragraph"/>
    <w:basedOn w:val="1"/>
    <w:qFormat/>
    <w:uiPriority w:val="1"/>
    <w:rPr>
      <w:rFonts w:ascii="宋体" w:hAnsi="宋体" w:eastAsia="宋体" w:cs="宋体"/>
      <w:lang w:val="zh-CN" w:eastAsia="zh-CN" w:bidi="zh-CN"/>
    </w:rPr>
  </w:style>
  <w:style w:type="paragraph" w:customStyle="1" w:styleId="91">
    <w:name w:val="列表段落1"/>
    <w:basedOn w:val="1"/>
    <w:autoRedefine/>
    <w:qFormat/>
    <w:uiPriority w:val="34"/>
    <w:pPr>
      <w:ind w:firstLine="420" w:firstLineChars="200"/>
    </w:pPr>
    <w:rPr>
      <w:szCs w:val="24"/>
    </w:rPr>
  </w:style>
  <w:style w:type="paragraph" w:customStyle="1" w:styleId="92">
    <w:name w:val="表"/>
    <w:basedOn w:val="1"/>
    <w:qFormat/>
    <w:uiPriority w:val="0"/>
    <w:pPr>
      <w:spacing w:line="360" w:lineRule="auto"/>
      <w:ind w:firstLine="0" w:firstLineChars="0"/>
      <w:jc w:val="center"/>
    </w:pPr>
    <w:rPr>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118</Pages>
  <Words>104</Words>
  <Characters>126</Characters>
  <Lines>244</Lines>
  <Paragraphs>68</Paragraphs>
  <TotalTime>127</TotalTime>
  <ScaleCrop>false</ScaleCrop>
  <LinksUpToDate>false</LinksUpToDate>
  <CharactersWithSpaces>135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2019-05-08T14:32:00Z</dcterms:created>
  <dc:creator>Anakin</dc:creator>
  <cp:lastModifiedBy>傻傻一辈子</cp:lastModifiedBy>
  <cp:lastPrinted>2019-12-09T15:18:00Z</cp:lastPrinted>
  <dcterms:modified xsi:type="dcterms:W3CDTF">2026-10-15T07:52:01Z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D52C6831AC654216BFFBEA3E924C1010_13</vt:lpwstr>
  </property>
  <property fmtid="{D5CDD505-2E9C-101B-9397-08002B2CF9AE}" pid="4" name="KSOTemplateDocerSaveRecord">
    <vt:lpwstr>eyJoZGlkIjoiMTljMDcwYWJmYjExZWQzNTVmZDAzZTYwM2JlMzJmZDYiLCJ1c2VySWQiOiIzODU2Mzk2OTQifQ==</vt:lpwstr>
  </property>
</Properties>
</file>