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6725B9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ADDD8A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C1B8C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0B9F3B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27483B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6A03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0100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1633E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1E930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5DBC1BB">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滁州学院2026年教室空调采购及安装项目</w:t>
      </w:r>
    </w:p>
    <w:p w14:paraId="3C8870C8">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czsjcg202604-022</w:t>
      </w:r>
    </w:p>
    <w:p w14:paraId="76A1B783">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滁州学院  </w:t>
      </w:r>
    </w:p>
    <w:p w14:paraId="092C3BD0">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滁州市政府采购中心</w:t>
      </w:r>
    </w:p>
    <w:p w14:paraId="299369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3E1F0E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4</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6138498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908259D">
      <w:pPr>
        <w:pStyle w:val="20"/>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_Toc23443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投标邀请</w:t>
      </w:r>
      <w:r>
        <w:rPr>
          <w:color w:val="auto"/>
          <w:highlight w:val="none"/>
        </w:rPr>
        <w:tab/>
      </w:r>
      <w:r>
        <w:rPr>
          <w:rFonts w:hint="eastAsia"/>
          <w:color w:val="auto"/>
          <w:highlight w:val="none"/>
          <w:lang w:val="en-US" w:eastAsia="zh-CN"/>
        </w:rPr>
        <w:t>3</w:t>
      </w:r>
      <w:r>
        <w:rPr>
          <w:rFonts w:asciiTheme="minorEastAsia" w:hAnsiTheme="minorEastAsia" w:eastAsiaTheme="minorEastAsia"/>
          <w:color w:val="auto"/>
          <w:szCs w:val="24"/>
          <w:highlight w:val="none"/>
        </w:rPr>
        <w:fldChar w:fldCharType="end"/>
      </w:r>
    </w:p>
    <w:p w14:paraId="38C6091F">
      <w:pPr>
        <w:pStyle w:val="20"/>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_Toc31935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投标人须知</w:t>
      </w:r>
      <w:r>
        <w:rPr>
          <w:color w:val="auto"/>
          <w:highlight w:val="none"/>
        </w:rPr>
        <w:tab/>
      </w:r>
      <w:r>
        <w:rPr>
          <w:rFonts w:hint="eastAsia"/>
          <w:color w:val="auto"/>
          <w:highlight w:val="none"/>
          <w:lang w:val="en-US" w:eastAsia="zh-CN"/>
        </w:rPr>
        <w:t>7</w:t>
      </w:r>
      <w:r>
        <w:rPr>
          <w:rFonts w:asciiTheme="minorEastAsia" w:hAnsiTheme="minorEastAsia" w:eastAsiaTheme="minorEastAsia"/>
          <w:color w:val="auto"/>
          <w:szCs w:val="24"/>
          <w:highlight w:val="none"/>
        </w:rPr>
        <w:fldChar w:fldCharType="end"/>
      </w:r>
    </w:p>
    <w:p w14:paraId="540DF2B9">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_Toc10891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rFonts w:hint="eastAsia"/>
          <w:color w:val="auto"/>
          <w:highlight w:val="none"/>
          <w:lang w:val="en-US" w:eastAsia="zh-CN"/>
        </w:rPr>
        <w:t>2</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7</w:t>
      </w:r>
    </w:p>
    <w:p w14:paraId="2309FF48">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_Toc16417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评标方法和标准（综合评分法）</w:t>
      </w:r>
      <w:r>
        <w:rPr>
          <w:color w:val="auto"/>
          <w:highlight w:val="none"/>
        </w:rPr>
        <w:tab/>
      </w:r>
      <w:r>
        <w:rPr>
          <w:rFonts w:hint="eastAsia"/>
          <w:color w:val="auto"/>
          <w:highlight w:val="none"/>
          <w:lang w:val="en-US" w:eastAsia="zh-CN"/>
        </w:rPr>
        <w:t>3</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5</w:t>
      </w:r>
    </w:p>
    <w:p w14:paraId="59DCF857">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_Toc4682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rFonts w:hint="eastAsia"/>
          <w:color w:val="auto"/>
          <w:highlight w:val="none"/>
          <w:lang w:val="en-US" w:eastAsia="zh-CN"/>
        </w:rPr>
        <w:t>4</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3</w:t>
      </w:r>
    </w:p>
    <w:p w14:paraId="3A96B3E5">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_Toc22492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  投标文件格式</w:t>
      </w:r>
      <w:r>
        <w:rPr>
          <w:color w:val="auto"/>
          <w:highlight w:val="none"/>
        </w:rPr>
        <w:tab/>
      </w:r>
      <w:r>
        <w:rPr>
          <w:rFonts w:hint="eastAsia"/>
          <w:color w:val="auto"/>
          <w:highlight w:val="none"/>
          <w:lang w:val="en-US" w:eastAsia="zh-CN"/>
        </w:rPr>
        <w:t>5</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3</w:t>
      </w:r>
    </w:p>
    <w:p w14:paraId="5E839302">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_Toc18131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val="en-US" w:eastAsia="zh-CN"/>
        </w:rPr>
        <w:t>七</w:t>
      </w:r>
      <w:r>
        <w:rPr>
          <w:rFonts w:hint="eastAsia" w:asciiTheme="minorEastAsia" w:hAnsiTheme="minorEastAsia" w:eastAsiaTheme="minorEastAsia"/>
          <w:color w:val="auto"/>
          <w:highlight w:val="none"/>
        </w:rPr>
        <w:t>章</w:t>
      </w:r>
      <w:r>
        <w:rPr>
          <w:rFonts w:hint="eastAsia" w:ascii="宋体" w:hAnsi="宋体" w:eastAsia="宋体"/>
          <w:bCs/>
          <w:color w:val="auto"/>
          <w:highlight w:val="none"/>
        </w:rPr>
        <w:t xml:space="preserve">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lang w:val="en-US" w:eastAsia="zh-CN"/>
        </w:rPr>
        <w:t>6</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9</w:t>
      </w:r>
    </w:p>
    <w:p w14:paraId="65CB337E">
      <w:pPr>
        <w:spacing w:line="360" w:lineRule="auto"/>
        <w:jc w:val="center"/>
        <w:outlineLvl w:val="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fldChar w:fldCharType="end"/>
      </w:r>
      <w:bookmarkStart w:id="1" w:name="_Toc23443"/>
    </w:p>
    <w:p w14:paraId="258AC35F">
      <w:pPr>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br w:type="page"/>
      </w:r>
    </w:p>
    <w:p w14:paraId="5720CCCC">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67B94087">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6CF39A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rPr>
        <w:t>czsjcg202604-022</w:t>
      </w:r>
    </w:p>
    <w:p w14:paraId="5CDF36A0">
      <w:pPr>
        <w:spacing w:line="360" w:lineRule="auto"/>
        <w:ind w:firstLine="435"/>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rPr>
        <w:t>滁州学院2026年教室空调采购及安装项目</w:t>
      </w:r>
    </w:p>
    <w:p w14:paraId="0286646D">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3.预算金额：</w:t>
      </w:r>
      <w:r>
        <w:rPr>
          <w:rFonts w:hint="eastAsia" w:asciiTheme="minorEastAsia" w:hAnsiTheme="minorEastAsia" w:eastAsiaTheme="minorEastAsia"/>
          <w:color w:val="auto"/>
          <w:sz w:val="24"/>
          <w:highlight w:val="none"/>
          <w:u w:val="single"/>
        </w:rPr>
        <w:t>1372</w:t>
      </w:r>
      <w:r>
        <w:rPr>
          <w:rFonts w:hint="eastAsia" w:asciiTheme="minorEastAsia" w:hAnsiTheme="minorEastAsia" w:eastAsiaTheme="minorEastAsia"/>
          <w:color w:val="auto"/>
          <w:sz w:val="24"/>
          <w:highlight w:val="none"/>
          <w:u w:val="single"/>
          <w:lang w:val="en-US" w:eastAsia="zh-CN"/>
        </w:rPr>
        <w:t>80</w:t>
      </w:r>
      <w:r>
        <w:rPr>
          <w:rFonts w:hint="eastAsia" w:asciiTheme="minorEastAsia" w:hAnsiTheme="minorEastAsia" w:eastAsiaTheme="minorEastAsia"/>
          <w:color w:val="auto"/>
          <w:sz w:val="24"/>
          <w:highlight w:val="none"/>
          <w:u w:val="single"/>
        </w:rPr>
        <w:t>0</w:t>
      </w:r>
      <w:r>
        <w:rPr>
          <w:rFonts w:hint="eastAsia" w:asciiTheme="minorEastAsia" w:hAnsiTheme="minorEastAsia" w:eastAsiaTheme="minorEastAsia"/>
          <w:color w:val="auto"/>
          <w:sz w:val="24"/>
          <w:highlight w:val="none"/>
          <w:u w:val="single"/>
          <w:lang w:val="en-US" w:eastAsia="zh-CN"/>
        </w:rPr>
        <w:t>.00</w:t>
      </w:r>
      <w:r>
        <w:rPr>
          <w:rFonts w:hint="eastAsia" w:ascii="宋体" w:hAnsi="宋体" w:eastAsia="宋体"/>
          <w:color w:val="auto"/>
          <w:sz w:val="24"/>
          <w:szCs w:val="18"/>
          <w:highlight w:val="none"/>
          <w:u w:val="single"/>
          <w:lang w:val="en-US" w:eastAsia="zh-CN"/>
        </w:rPr>
        <w:t>元</w:t>
      </w:r>
    </w:p>
    <w:p w14:paraId="747D5EE6">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rPr>
        <w:t>1372</w:t>
      </w:r>
      <w:r>
        <w:rPr>
          <w:rFonts w:hint="eastAsia" w:asciiTheme="minorEastAsia" w:hAnsiTheme="minorEastAsia" w:eastAsiaTheme="minorEastAsia"/>
          <w:color w:val="auto"/>
          <w:sz w:val="24"/>
          <w:highlight w:val="none"/>
          <w:u w:val="single"/>
          <w:lang w:val="en-US" w:eastAsia="zh-CN"/>
        </w:rPr>
        <w:t>80</w:t>
      </w:r>
      <w:r>
        <w:rPr>
          <w:rFonts w:hint="eastAsia" w:asciiTheme="minorEastAsia" w:hAnsiTheme="minorEastAsia" w:eastAsiaTheme="minorEastAsia"/>
          <w:color w:val="auto"/>
          <w:sz w:val="24"/>
          <w:highlight w:val="none"/>
          <w:u w:val="single"/>
        </w:rPr>
        <w:t>0</w:t>
      </w:r>
      <w:r>
        <w:rPr>
          <w:rFonts w:hint="eastAsia" w:asciiTheme="minorEastAsia" w:hAnsiTheme="minorEastAsia" w:eastAsiaTheme="minorEastAsia"/>
          <w:color w:val="auto"/>
          <w:sz w:val="24"/>
          <w:highlight w:val="none"/>
          <w:u w:val="single"/>
          <w:lang w:val="en-US" w:eastAsia="zh-CN"/>
        </w:rPr>
        <w:t>.00</w:t>
      </w:r>
      <w:r>
        <w:rPr>
          <w:rFonts w:hint="eastAsia" w:ascii="宋体" w:hAnsi="宋体" w:eastAsia="宋体"/>
          <w:color w:val="auto"/>
          <w:sz w:val="24"/>
          <w:szCs w:val="18"/>
          <w:highlight w:val="none"/>
          <w:u w:val="single"/>
          <w:lang w:val="en-US" w:eastAsia="zh-CN"/>
        </w:rPr>
        <w:t>元</w:t>
      </w:r>
    </w:p>
    <w:p w14:paraId="1FF7CDA5">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lang w:val="en-US" w:eastAsia="zh-CN"/>
        </w:rPr>
        <w:t>空调采购及安装项目</w:t>
      </w:r>
    </w:p>
    <w:p w14:paraId="1A0D76F1">
      <w:pPr>
        <w:spacing w:line="360" w:lineRule="auto"/>
        <w:ind w:firstLine="435"/>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lang w:val="en-US" w:eastAsia="zh-CN"/>
        </w:rPr>
        <w:t>自合同签订生效后，并接到采购人供货通知之日起50个日历天内完成货物的供货、安装、调试工作。</w:t>
      </w:r>
    </w:p>
    <w:p w14:paraId="22848A5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接受联合体投标。</w:t>
      </w:r>
    </w:p>
    <w:p w14:paraId="07547E18">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530FAEC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12327E6D">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77D6357D">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7670A2F6">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按照财政部、工业和信息化部制定的第六条第三款（按照本办法规定预留采购份额无法确保充分供应、充分竞争，或者存在可能影响政府采购目标实现的情形）之规定，本项目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57FB59A0">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采购。</w:t>
      </w:r>
    </w:p>
    <w:p w14:paraId="70156EC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default" w:asciiTheme="minorEastAsia" w:hAnsiTheme="minorEastAsia" w:eastAsiaTheme="minorEastAsia"/>
          <w:color w:val="auto"/>
          <w:sz w:val="24"/>
          <w:highlight w:val="none"/>
          <w:lang w:val="en-US" w:eastAsia="zh-CN"/>
        </w:rPr>
        <w:t>_</w:t>
      </w:r>
      <w:r>
        <w:rPr>
          <w:rFonts w:hint="eastAsia" w:asciiTheme="minorEastAsia" w:hAnsiTheme="minorEastAsia" w:eastAsiaTheme="minorEastAsia"/>
          <w:color w:val="auto"/>
          <w:sz w:val="24"/>
          <w:highlight w:val="none"/>
          <w:u w:val="single"/>
          <w:lang w:val="en-US" w:eastAsia="zh-CN"/>
        </w:rPr>
        <w:t>/</w:t>
      </w:r>
      <w:r>
        <w:rPr>
          <w:rFonts w:hint="default" w:asciiTheme="minorEastAsia" w:hAnsiTheme="minorEastAsia" w:eastAsiaTheme="minorEastAsia"/>
          <w:color w:val="auto"/>
          <w:sz w:val="24"/>
          <w:highlight w:val="none"/>
          <w:lang w:val="en-US" w:eastAsia="zh-CN"/>
        </w:rPr>
        <w:t>____</w:t>
      </w:r>
      <w:r>
        <w:rPr>
          <w:rFonts w:hint="eastAsia" w:asciiTheme="minorEastAsia" w:hAnsiTheme="minorEastAsia" w:eastAsiaTheme="minorEastAsia"/>
          <w:color w:val="auto"/>
          <w:sz w:val="24"/>
          <w:highlight w:val="none"/>
          <w:lang w:val="en-US" w:eastAsia="zh-CN"/>
        </w:rPr>
        <w:t>。</w:t>
      </w:r>
    </w:p>
    <w:p w14:paraId="5EE4E042">
      <w:pPr>
        <w:spacing w:line="360" w:lineRule="auto"/>
        <w:ind w:firstLine="435"/>
        <w:rPr>
          <w:rFonts w:hint="eastAsia"/>
          <w:color w:val="auto"/>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i/>
          <w:iCs/>
          <w:color w:val="auto"/>
          <w:sz w:val="24"/>
          <w:highlight w:val="none"/>
          <w:lang w:val="en-US" w:eastAsia="zh-CN"/>
        </w:rPr>
        <w:t>（如有）</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6E86A6A5">
      <w:pPr>
        <w:spacing w:line="360" w:lineRule="auto"/>
        <w:ind w:firstLine="435"/>
        <w:outlineLvl w:val="9"/>
        <w:rPr>
          <w:rFonts w:hint="eastAsia"/>
          <w:color w:val="auto"/>
          <w:highlight w:val="none"/>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auto"/>
          <w:sz w:val="24"/>
          <w:highlight w:val="none"/>
          <w:u w:val="single"/>
          <w:lang w:val="en-US" w:eastAsia="zh-CN"/>
        </w:rPr>
        <w:t xml:space="preserve">    无    </w:t>
      </w:r>
      <w:r>
        <w:rPr>
          <w:rFonts w:hint="eastAsia" w:asciiTheme="minorEastAsia" w:hAnsiTheme="minorEastAsia" w:eastAsiaTheme="minorEastAsia"/>
          <w:color w:val="auto"/>
          <w:sz w:val="24"/>
          <w:highlight w:val="none"/>
          <w:u w:val="none"/>
          <w:lang w:val="en-US" w:eastAsia="zh-CN"/>
        </w:rPr>
        <w:t>。</w:t>
      </w:r>
    </w:p>
    <w:p w14:paraId="47D70EB5">
      <w:pPr>
        <w:spacing w:line="360" w:lineRule="auto"/>
        <w:ind w:firstLine="435"/>
        <w:outlineLvl w:val="9"/>
        <w:rPr>
          <w:rFonts w:hint="eastAsia" w:asciiTheme="minorEastAsia" w:hAnsiTheme="minorEastAsia" w:eastAsiaTheme="minorEastAsia"/>
          <w:color w:val="auto"/>
          <w:sz w:val="24"/>
          <w:highlight w:val="none"/>
          <w:lang w:val="en-US" w:eastAsia="zh-CN"/>
        </w:rPr>
      </w:pPr>
      <w:bookmarkStart w:id="6" w:name="_Toc30110"/>
      <w:bookmarkStart w:id="7" w:name="_Toc32089"/>
      <w:r>
        <w:rPr>
          <w:rFonts w:hint="eastAsia" w:asciiTheme="minorEastAsia" w:hAnsiTheme="minorEastAsia" w:eastAsiaTheme="minorEastAsia"/>
          <w:color w:val="auto"/>
          <w:sz w:val="24"/>
          <w:highlight w:val="none"/>
          <w:lang w:val="en-US" w:eastAsia="zh-CN"/>
        </w:rPr>
        <w:t>4.信誉要求：投标人不得存在以下情形：</w:t>
      </w:r>
    </w:p>
    <w:p w14:paraId="39D718FB">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①被列入“信用中国”网站“失信被执行人”的；</w:t>
      </w:r>
    </w:p>
    <w:p w14:paraId="71916845">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②被列入“信用中国”网站“重大税收违法失信主体”的；</w:t>
      </w:r>
    </w:p>
    <w:p w14:paraId="00722271">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③被列入“信用中国”网站 “严重失信主体名单”的；</w:t>
      </w:r>
    </w:p>
    <w:p w14:paraId="1B6D6597">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④在</w:t>
      </w:r>
      <w:bookmarkStart w:id="8" w:name="OLE_LINK129"/>
      <w:bookmarkStart w:id="9" w:name="OLE_LINK127"/>
      <w:bookmarkStart w:id="10" w:name="OLE_LINK128"/>
      <w:r>
        <w:rPr>
          <w:rFonts w:hint="eastAsia" w:asciiTheme="minorEastAsia" w:hAnsiTheme="minorEastAsia" w:eastAsiaTheme="minorEastAsia"/>
          <w:color w:val="auto"/>
          <w:sz w:val="24"/>
          <w:highlight w:val="none"/>
          <w:lang w:val="en-US" w:eastAsia="zh-CN"/>
        </w:rPr>
        <w:t>“信用中国”网站</w:t>
      </w:r>
      <w:bookmarkEnd w:id="8"/>
      <w:bookmarkEnd w:id="9"/>
      <w:bookmarkEnd w:id="10"/>
      <w:r>
        <w:rPr>
          <w:rFonts w:hint="eastAsia" w:asciiTheme="minorEastAsia" w:hAnsiTheme="minorEastAsia" w:eastAsiaTheme="minorEastAsia"/>
          <w:color w:val="auto"/>
          <w:sz w:val="24"/>
          <w:highlight w:val="none"/>
          <w:lang w:val="en-US" w:eastAsia="zh-CN"/>
        </w:rPr>
        <w:t>上披露的仍在公示期的严重失信行为(具体行为类别及判定依据见“信用中国”查询的严重失信行为类别及判定依据)的。</w:t>
      </w:r>
    </w:p>
    <w:p w14:paraId="55176AE1">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⑤被列入国家企业信用信息公示系统网站“经营异常名录”或者“严重违法失信名单”的。</w:t>
      </w:r>
    </w:p>
    <w:p w14:paraId="6B58B85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⑥被列入中国政府采购网站“政府采购严重违法失信行为信息记录”的。</w:t>
      </w:r>
    </w:p>
    <w:p w14:paraId="4EDE9056">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⑦前三年有行贿犯罪行为的单位和个人。</w:t>
      </w:r>
    </w:p>
    <w:p w14:paraId="5CC5CDD1">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5.投标人所属分公司、办事处等分支机构存在第4款信誉要求①-⑦项情形之一的，接受其被确定为中标人。</w:t>
      </w:r>
    </w:p>
    <w:p w14:paraId="2BF3D887">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备注：第4、5条按照“关于联合惩戒失信行为加强信用查询管理的通知”查询或承诺。</w:t>
      </w:r>
    </w:p>
    <w:p w14:paraId="3C4AAEE9">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D496128">
      <w:pPr>
        <w:spacing w:line="360" w:lineRule="auto"/>
        <w:ind w:firstLine="540"/>
        <w:rPr>
          <w:rFonts w:hint="eastAsia" w:asciiTheme="minorEastAsia" w:hAnsiTheme="minorEastAsia" w:eastAsiaTheme="minorEastAsia" w:cstheme="minorEastAsia"/>
          <w:i/>
          <w:iCs/>
          <w:color w:val="auto"/>
          <w:sz w:val="24"/>
          <w:szCs w:val="24"/>
          <w:highlight w:val="none"/>
        </w:rPr>
      </w:pPr>
      <w:bookmarkStart w:id="11" w:name="_Toc7957"/>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lang w:val="en-US" w:eastAsia="zh-CN"/>
        </w:rPr>
        <w:t>29</w:t>
      </w:r>
      <w:r>
        <w:rPr>
          <w:rFonts w:hint="eastAsia" w:asciiTheme="minorEastAsia" w:hAnsiTheme="minorEastAsia" w:eastAsiaTheme="minorEastAsia" w:cstheme="minorEastAsia"/>
          <w:color w:val="auto"/>
          <w:sz w:val="24"/>
          <w:szCs w:val="24"/>
          <w:highlight w:val="none"/>
          <w:u w:val="none"/>
        </w:rPr>
        <w:t>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lang w:val="en-US" w:eastAsia="zh-CN"/>
        </w:rPr>
        <w:t>20</w:t>
      </w:r>
      <w:r>
        <w:rPr>
          <w:rFonts w:hint="eastAsia" w:asciiTheme="minorEastAsia" w:hAnsiTheme="minorEastAsia" w:eastAsiaTheme="minorEastAsia" w:cstheme="minorEastAsia"/>
          <w:color w:val="auto"/>
          <w:sz w:val="24"/>
          <w:szCs w:val="24"/>
          <w:highlight w:val="none"/>
          <w:u w:val="none"/>
        </w:rPr>
        <w:t>日</w:t>
      </w:r>
      <w:r>
        <w:rPr>
          <w:rFonts w:hint="eastAsia" w:asciiTheme="minorEastAsia" w:hAnsiTheme="minorEastAsia" w:eastAsiaTheme="minorEastAsia" w:cstheme="minorEastAsia"/>
          <w:iCs/>
          <w:color w:val="auto"/>
          <w:sz w:val="24"/>
          <w:szCs w:val="24"/>
          <w:highlight w:val="none"/>
          <w:u w:val="none"/>
        </w:rPr>
        <w:t>（</w:t>
      </w:r>
      <w:r>
        <w:rPr>
          <w:rFonts w:hint="eastAsia" w:asciiTheme="minorEastAsia" w:hAnsiTheme="minorEastAsia" w:eastAsiaTheme="minorEastAsia" w:cstheme="minorEastAsia"/>
          <w:i/>
          <w:color w:val="auto"/>
          <w:sz w:val="24"/>
          <w:szCs w:val="24"/>
          <w:highlight w:val="none"/>
          <w:u w:val="none"/>
        </w:rPr>
        <w:t>提供期限自本公告发布之日起不得少于5个工作日</w:t>
      </w:r>
      <w:r>
        <w:rPr>
          <w:rFonts w:hint="eastAsia" w:asciiTheme="minorEastAsia" w:hAnsiTheme="minorEastAsia" w:eastAsiaTheme="minorEastAsia" w:cstheme="minorEastAsia"/>
          <w:iCs/>
          <w:color w:val="auto"/>
          <w:sz w:val="24"/>
          <w:szCs w:val="24"/>
          <w:highlight w:val="none"/>
          <w:u w:val="none"/>
        </w:rPr>
        <w:t>）</w:t>
      </w:r>
    </w:p>
    <w:p w14:paraId="674C18F0">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u w:val="single"/>
        </w:rPr>
        <w:t>滁州市公共资源交易中心网</w:t>
      </w:r>
    </w:p>
    <w:p w14:paraId="1FFED869">
      <w:pPr>
        <w:spacing w:line="360" w:lineRule="auto"/>
        <w:ind w:firstLine="540"/>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olor w:val="auto"/>
          <w:sz w:val="24"/>
          <w:szCs w:val="18"/>
          <w:highlight w:val="none"/>
          <w:u w:val="single"/>
          <w:lang w:val="en-US" w:eastAsia="zh-CN"/>
        </w:rPr>
        <w:t>网上下载</w:t>
      </w:r>
    </w:p>
    <w:p w14:paraId="2C8EDA0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2" w:name="_Toc19726"/>
      <w:r>
        <w:rPr>
          <w:rFonts w:hint="eastAsia" w:ascii="宋体" w:hAnsi="宋体" w:eastAsia="宋体"/>
          <w:b/>
          <w:bCs/>
          <w:color w:val="auto"/>
          <w:sz w:val="24"/>
          <w:szCs w:val="18"/>
          <w:highlight w:val="none"/>
        </w:rPr>
        <w:t>四、</w:t>
      </w:r>
      <w:bookmarkEnd w:id="11"/>
      <w:r>
        <w:rPr>
          <w:rFonts w:hint="eastAsia" w:ascii="宋体" w:hAnsi="宋体" w:eastAsia="宋体"/>
          <w:b/>
          <w:bCs/>
          <w:color w:val="auto"/>
          <w:sz w:val="24"/>
          <w:szCs w:val="18"/>
          <w:highlight w:val="none"/>
        </w:rPr>
        <w:t>提交投标文件截止时间、开标时间和地点</w:t>
      </w:r>
      <w:bookmarkEnd w:id="12"/>
    </w:p>
    <w:p w14:paraId="481ED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bookmarkStart w:id="13" w:name="_Toc5082"/>
      <w:r>
        <w:rPr>
          <w:rFonts w:hint="eastAsia" w:asciiTheme="minorEastAsia" w:hAnsiTheme="minorEastAsia" w:eastAsiaTheme="minorEastAsia" w:cstheme="minorEastAsia"/>
          <w:bCs/>
          <w:color w:val="auto"/>
          <w:sz w:val="24"/>
          <w:szCs w:val="24"/>
          <w:highlight w:val="none"/>
          <w:u w:val="single"/>
          <w:lang w:val="en-US" w:eastAsia="zh-CN"/>
        </w:rPr>
        <w:t>2026</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lang w:val="en-US" w:eastAsia="zh-CN"/>
        </w:rPr>
        <w:t>5</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lang w:val="en-US" w:eastAsia="zh-CN"/>
        </w:rPr>
        <w:t>20</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lang w:val="en-US" w:eastAsia="zh-CN"/>
        </w:rPr>
        <w:t>8</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lang w:val="en-US" w:eastAsia="zh-CN"/>
        </w:rPr>
        <w:t>50</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r>
        <w:rPr>
          <w:rFonts w:hint="eastAsia" w:asciiTheme="minorEastAsia" w:hAnsiTheme="minorEastAsia" w:eastAsiaTheme="minorEastAsia" w:cstheme="minorEastAsia"/>
          <w:iCs/>
          <w:color w:val="auto"/>
          <w:sz w:val="24"/>
          <w:szCs w:val="24"/>
          <w:highlight w:val="none"/>
          <w:u w:val="none"/>
        </w:rPr>
        <w:t>（</w:t>
      </w:r>
      <w:r>
        <w:rPr>
          <w:rFonts w:hint="eastAsia" w:asciiTheme="minorEastAsia" w:hAnsiTheme="minorEastAsia" w:eastAsiaTheme="minorEastAsia" w:cstheme="minorEastAsia"/>
          <w:i/>
          <w:color w:val="auto"/>
          <w:sz w:val="24"/>
          <w:szCs w:val="24"/>
          <w:highlight w:val="none"/>
          <w:u w:val="none"/>
        </w:rPr>
        <w:t>自招标文件开始发出之日起至投标人提交投标文件截止之日止，不得少于20日</w:t>
      </w:r>
      <w:r>
        <w:rPr>
          <w:rFonts w:hint="eastAsia" w:asciiTheme="minorEastAsia" w:hAnsiTheme="minorEastAsia" w:eastAsiaTheme="minorEastAsia" w:cstheme="minorEastAsia"/>
          <w:iCs/>
          <w:color w:val="auto"/>
          <w:sz w:val="24"/>
          <w:szCs w:val="24"/>
          <w:highlight w:val="none"/>
          <w:u w:val="none"/>
        </w:rPr>
        <w:t>）</w:t>
      </w:r>
    </w:p>
    <w:p w14:paraId="77C40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lang w:val="en-US" w:eastAsia="zh-CN"/>
        </w:rPr>
        <w:t>滁州市公共资源交易平台电子交易系统</w:t>
      </w:r>
    </w:p>
    <w:p w14:paraId="5E0C0E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4" w:name="_Toc28531"/>
      <w:r>
        <w:rPr>
          <w:rFonts w:hint="eastAsia" w:ascii="宋体" w:hAnsi="宋体" w:eastAsia="宋体"/>
          <w:b/>
          <w:bCs/>
          <w:color w:val="auto"/>
          <w:sz w:val="24"/>
          <w:szCs w:val="18"/>
          <w:highlight w:val="none"/>
        </w:rPr>
        <w:t>五、</w:t>
      </w:r>
      <w:bookmarkEnd w:id="13"/>
      <w:r>
        <w:rPr>
          <w:rFonts w:hint="eastAsia" w:ascii="宋体" w:hAnsi="宋体" w:eastAsia="宋体"/>
          <w:b/>
          <w:bCs/>
          <w:color w:val="auto"/>
          <w:sz w:val="24"/>
          <w:szCs w:val="18"/>
          <w:highlight w:val="none"/>
        </w:rPr>
        <w:t>公告期限</w:t>
      </w:r>
      <w:bookmarkEnd w:id="14"/>
    </w:p>
    <w:p w14:paraId="65085C7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5" w:name="_Toc1215"/>
      <w:r>
        <w:rPr>
          <w:rFonts w:hint="eastAsia" w:ascii="宋体" w:hAnsi="宋体" w:eastAsia="宋体"/>
          <w:b w:val="0"/>
          <w:bCs w:val="0"/>
          <w:color w:val="auto"/>
          <w:sz w:val="24"/>
          <w:szCs w:val="18"/>
          <w:highlight w:val="none"/>
        </w:rPr>
        <w:t>自本公告发布之日起5个工作日。</w:t>
      </w:r>
    </w:p>
    <w:p w14:paraId="565A103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6" w:name="_Toc8807"/>
      <w:bookmarkStart w:id="17" w:name="_Toc35393626"/>
      <w:bookmarkStart w:id="18" w:name="_Toc35393795"/>
      <w:r>
        <w:rPr>
          <w:rFonts w:hint="eastAsia" w:ascii="宋体" w:hAnsi="宋体" w:eastAsia="宋体"/>
          <w:b/>
          <w:bCs/>
          <w:color w:val="auto"/>
          <w:sz w:val="24"/>
          <w:szCs w:val="18"/>
          <w:highlight w:val="none"/>
        </w:rPr>
        <w:t>六、其他补充事宜</w:t>
      </w:r>
      <w:bookmarkEnd w:id="16"/>
      <w:bookmarkEnd w:id="17"/>
      <w:bookmarkEnd w:id="18"/>
    </w:p>
    <w:p w14:paraId="587BBEAD">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default" w:ascii="宋体" w:hAnsi="宋体" w:eastAsia="宋体"/>
          <w:color w:val="auto"/>
          <w:sz w:val="24"/>
          <w:szCs w:val="18"/>
          <w:highlight w:val="none"/>
          <w:lang w:val="en-US" w:eastAsia="zh-CN"/>
        </w:rPr>
        <w:t>1.项目采用全流程电子化采购方式，相关操作说明如下：</w:t>
      </w:r>
    </w:p>
    <w:p w14:paraId="38C40627">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default" w:ascii="宋体" w:hAnsi="宋体" w:eastAsia="宋体"/>
          <w:color w:val="auto"/>
          <w:sz w:val="24"/>
          <w:szCs w:val="18"/>
          <w:highlight w:val="none"/>
          <w:lang w:val="en-US" w:eastAsia="zh-CN"/>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2105F12D">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default" w:ascii="宋体" w:hAnsi="宋体" w:eastAsia="宋体"/>
          <w:color w:val="auto"/>
          <w:sz w:val="24"/>
          <w:szCs w:val="18"/>
          <w:highlight w:val="none"/>
          <w:lang w:val="en-US" w:eastAsia="zh-CN"/>
        </w:rPr>
        <w:t>（2）请投标人登录滁州市公共资源交易中心网站查看参加本项目的程序（具体操作步骤和程序请参见服务指南&lt;交易须知&gt;投标人填写投标信息、下载文件及网上提问操作手册）。</w:t>
      </w:r>
    </w:p>
    <w:p w14:paraId="2F18928A">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default" w:ascii="宋体" w:hAnsi="宋体" w:eastAsia="宋体"/>
          <w:color w:val="auto"/>
          <w:sz w:val="24"/>
          <w:szCs w:val="18"/>
          <w:highlight w:val="none"/>
          <w:lang w:val="en-US" w:eastAsia="zh-CN"/>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2A09E8C6">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default" w:ascii="宋体" w:hAnsi="宋体" w:eastAsia="宋体"/>
          <w:color w:val="auto"/>
          <w:sz w:val="24"/>
          <w:szCs w:val="18"/>
          <w:highlight w:val="none"/>
          <w:lang w:val="en-US" w:eastAsia="zh-CN"/>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5"/>
    <w:p w14:paraId="1A07881E">
      <w:pPr>
        <w:spacing w:line="360" w:lineRule="auto"/>
        <w:ind w:firstLine="437"/>
        <w:outlineLvl w:val="1"/>
        <w:rPr>
          <w:rFonts w:hint="eastAsia" w:ascii="宋体" w:hAnsi="宋体" w:eastAsia="宋体"/>
          <w:b/>
          <w:bCs/>
          <w:color w:val="auto"/>
          <w:sz w:val="24"/>
          <w:szCs w:val="18"/>
          <w:highlight w:val="none"/>
        </w:rPr>
      </w:pPr>
      <w:bookmarkStart w:id="19" w:name="_Toc7265"/>
      <w:bookmarkStart w:id="20" w:name="_Toc3854"/>
      <w:r>
        <w:rPr>
          <w:rFonts w:hint="eastAsia" w:ascii="宋体" w:hAnsi="宋体" w:eastAsia="宋体"/>
          <w:b/>
          <w:bCs/>
          <w:color w:val="auto"/>
          <w:sz w:val="24"/>
          <w:szCs w:val="18"/>
          <w:highlight w:val="none"/>
        </w:rPr>
        <w:t>七、</w:t>
      </w:r>
      <w:bookmarkEnd w:id="19"/>
      <w:r>
        <w:rPr>
          <w:rFonts w:hint="eastAsia" w:ascii="宋体" w:hAnsi="宋体" w:eastAsia="宋体"/>
          <w:b/>
          <w:bCs/>
          <w:color w:val="auto"/>
          <w:sz w:val="24"/>
          <w:szCs w:val="18"/>
          <w:highlight w:val="none"/>
        </w:rPr>
        <w:t>对本次招标提出询问，请按以下方式联系</w:t>
      </w:r>
      <w:bookmarkEnd w:id="20"/>
    </w:p>
    <w:p w14:paraId="17163C33">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7B51F399">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滁州学院</w:t>
      </w:r>
    </w:p>
    <w:p w14:paraId="2F66E8F6">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安徽省滁州市会峰西路1号滁州学院会峰校区</w:t>
      </w:r>
    </w:p>
    <w:p w14:paraId="1999B4CF">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陈老师</w:t>
      </w:r>
      <w:r>
        <w:rPr>
          <w:rFonts w:ascii="宋体" w:hAnsi="宋体" w:eastAsia="宋体"/>
          <w:color w:val="auto"/>
          <w:sz w:val="24"/>
          <w:szCs w:val="18"/>
          <w:highlight w:val="none"/>
          <w:u w:val="single"/>
        </w:rPr>
        <w:t xml:space="preserve"> </w:t>
      </w:r>
    </w:p>
    <w:p w14:paraId="0ED5D257">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0550-3512003</w:t>
      </w:r>
    </w:p>
    <w:p w14:paraId="72CE88C6">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153A5225">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滁州市政府采购中心</w:t>
      </w:r>
    </w:p>
    <w:p w14:paraId="6330F5D7">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color w:val="auto"/>
          <w:sz w:val="24"/>
          <w:szCs w:val="18"/>
          <w:highlight w:val="none"/>
          <w:u w:val="single"/>
          <w:lang w:val="en-US" w:eastAsia="zh-CN"/>
        </w:rPr>
        <w:t>滁州市龙蟠大道109号房产商务大厦2楼</w:t>
      </w:r>
    </w:p>
    <w:p w14:paraId="16569BBF">
      <w:pPr>
        <w:spacing w:line="360" w:lineRule="auto"/>
        <w:ind w:firstLine="435"/>
        <w:rPr>
          <w:rFonts w:hint="default" w:eastAsia="宋体"/>
          <w:color w:val="auto"/>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杨韦</w:t>
      </w:r>
    </w:p>
    <w:p w14:paraId="23D72F95">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0550-3519590、18005501210</w:t>
      </w:r>
    </w:p>
    <w:p w14:paraId="154F4FDE">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461A317E">
      <w:pPr>
        <w:spacing w:line="360" w:lineRule="auto"/>
        <w:ind w:firstLine="437"/>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安徽省财政厅</w:t>
      </w:r>
    </w:p>
    <w:p w14:paraId="748FB2C4">
      <w:pPr>
        <w:spacing w:line="360" w:lineRule="auto"/>
        <w:ind w:firstLine="437"/>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lang w:val="en-US" w:eastAsia="zh-CN"/>
        </w:rPr>
        <w:t>合肥市阜南西路238号</w:t>
      </w:r>
    </w:p>
    <w:p w14:paraId="6E44BB6D">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0551-68150413</w:t>
      </w:r>
      <w:r>
        <w:rPr>
          <w:rFonts w:ascii="宋体" w:hAnsi="宋体" w:eastAsia="宋体"/>
          <w:color w:val="auto"/>
          <w:sz w:val="24"/>
          <w:szCs w:val="18"/>
          <w:highlight w:val="none"/>
        </w:rPr>
        <w:br w:type="page"/>
      </w:r>
    </w:p>
    <w:p w14:paraId="17281442">
      <w:pPr>
        <w:spacing w:line="360" w:lineRule="auto"/>
        <w:jc w:val="center"/>
        <w:outlineLvl w:val="0"/>
        <w:rPr>
          <w:rFonts w:asciiTheme="minorEastAsia" w:hAnsiTheme="minorEastAsia" w:eastAsiaTheme="minorEastAsia"/>
          <w:b/>
          <w:color w:val="auto"/>
          <w:sz w:val="28"/>
          <w:highlight w:val="none"/>
        </w:rPr>
      </w:pPr>
      <w:bookmarkStart w:id="21"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1"/>
    </w:p>
    <w:p w14:paraId="1C2B44DB">
      <w:pPr>
        <w:spacing w:line="360" w:lineRule="auto"/>
        <w:jc w:val="center"/>
        <w:outlineLvl w:val="1"/>
        <w:rPr>
          <w:rFonts w:asciiTheme="minorEastAsia" w:hAnsiTheme="minorEastAsia" w:eastAsiaTheme="minorEastAsia"/>
          <w:b/>
          <w:color w:val="auto"/>
          <w:sz w:val="24"/>
          <w:highlight w:val="none"/>
        </w:rPr>
      </w:pPr>
      <w:bookmarkStart w:id="22" w:name="_Toc3114"/>
      <w:bookmarkStart w:id="2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2"/>
      <w:bookmarkEnd w:id="23"/>
    </w:p>
    <w:p w14:paraId="13C5CDE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3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2368"/>
        <w:gridCol w:w="5621"/>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649" w:type="pct"/>
            <w:vAlign w:val="center"/>
          </w:tcPr>
          <w:p w14:paraId="216F6B5C">
            <w:pPr>
              <w:pStyle w:val="3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289" w:type="pct"/>
            <w:vAlign w:val="center"/>
          </w:tcPr>
          <w:p w14:paraId="6B4D4B7D">
            <w:pPr>
              <w:pStyle w:val="3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060" w:type="pct"/>
            <w:vAlign w:val="center"/>
          </w:tcPr>
          <w:p w14:paraId="467D9BEB">
            <w:pPr>
              <w:pStyle w:val="3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3EB3A31A">
            <w:pPr>
              <w:pStyle w:val="3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289" w:type="pct"/>
            <w:vAlign w:val="center"/>
          </w:tcPr>
          <w:p w14:paraId="2B65B3B9">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060" w:type="pct"/>
            <w:vAlign w:val="center"/>
          </w:tcPr>
          <w:p w14:paraId="3BA8AF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C0A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43E4B4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398A99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66C260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B94A396">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0020AE6E">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289" w:type="pct"/>
            <w:vAlign w:val="center"/>
          </w:tcPr>
          <w:p w14:paraId="6A4467E4">
            <w:pPr>
              <w:pStyle w:val="36"/>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060" w:type="pct"/>
            <w:vAlign w:val="center"/>
          </w:tcPr>
          <w:p w14:paraId="06B28AA9">
            <w:pPr>
              <w:pStyle w:val="36"/>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5</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9</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37231623">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289" w:type="pct"/>
            <w:vAlign w:val="center"/>
          </w:tcPr>
          <w:p w14:paraId="7D418D49">
            <w:pPr>
              <w:pStyle w:val="36"/>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060" w:type="pct"/>
            <w:vAlign w:val="center"/>
          </w:tcPr>
          <w:p w14:paraId="05C2A4AD">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个包</w:t>
            </w:r>
          </w:p>
          <w:p w14:paraId="7D8B005F">
            <w:pPr>
              <w:pStyle w:val="36"/>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9" w:type="pct"/>
            <w:vAlign w:val="center"/>
          </w:tcPr>
          <w:p w14:paraId="01E07874">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289" w:type="pct"/>
            <w:vAlign w:val="center"/>
          </w:tcPr>
          <w:p w14:paraId="65E9DB8A">
            <w:pPr>
              <w:pStyle w:val="3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060" w:type="pct"/>
            <w:vAlign w:val="center"/>
          </w:tcPr>
          <w:p w14:paraId="722B02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06278B6A">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289" w:type="pct"/>
            <w:vAlign w:val="center"/>
          </w:tcPr>
          <w:p w14:paraId="49DD7E96">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060" w:type="pct"/>
            <w:vAlign w:val="center"/>
          </w:tcPr>
          <w:p w14:paraId="4DC007A3">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05EE5787">
            <w:pPr>
              <w:pStyle w:val="3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289" w:type="pct"/>
            <w:vAlign w:val="center"/>
          </w:tcPr>
          <w:p w14:paraId="65AB8947">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060" w:type="pct"/>
            <w:vAlign w:val="center"/>
          </w:tcPr>
          <w:p w14:paraId="6280D24C">
            <w:pPr>
              <w:pStyle w:val="36"/>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1C5005F3">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289" w:type="pct"/>
            <w:vAlign w:val="center"/>
          </w:tcPr>
          <w:p w14:paraId="096C4419">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060" w:type="pct"/>
            <w:vAlign w:val="center"/>
          </w:tcPr>
          <w:p w14:paraId="7B7A520C">
            <w:pPr>
              <w:pStyle w:val="36"/>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769FA36">
            <w:pPr>
              <w:pStyle w:val="36"/>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07544248">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289" w:type="pct"/>
            <w:vAlign w:val="center"/>
          </w:tcPr>
          <w:p w14:paraId="14361BC6">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060" w:type="pct"/>
            <w:vAlign w:val="center"/>
          </w:tcPr>
          <w:p w14:paraId="3DCDCAA6">
            <w:pPr>
              <w:pStyle w:val="36"/>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0D5F750">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265042D2">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289" w:type="pct"/>
            <w:vAlign w:val="center"/>
          </w:tcPr>
          <w:p w14:paraId="7A48F42F">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36"/>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060" w:type="pct"/>
            <w:vAlign w:val="center"/>
          </w:tcPr>
          <w:p w14:paraId="41948DD5">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bCs w:val="0"/>
                <w:color w:val="auto"/>
                <w:sz w:val="24"/>
                <w:highlight w:val="none"/>
                <w:u w:val="none"/>
              </w:rPr>
              <w:t>对小型和微型企业产品的价格给予10%的扣除后参与评审</w:t>
            </w:r>
            <w:r>
              <w:rPr>
                <w:rFonts w:hint="eastAsia" w:ascii="宋体" w:hAnsi="宋体" w:eastAsia="宋体"/>
                <w:b w:val="0"/>
                <w:color w:val="auto"/>
                <w:sz w:val="24"/>
                <w:highlight w:val="none"/>
              </w:rPr>
              <w:t>。</w:t>
            </w:r>
          </w:p>
          <w:p w14:paraId="698FF84C">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EC25D5B">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930B1B1">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7FDE3FD5">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62B97303">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1289" w:type="pct"/>
            <w:vAlign w:val="center"/>
          </w:tcPr>
          <w:p w14:paraId="0526B8E0">
            <w:pPr>
              <w:spacing w:line="360" w:lineRule="auto"/>
              <w:rPr>
                <w:rFonts w:hint="eastAsia" w:ascii="宋体" w:hAnsi="宋体" w:eastAsia="宋体"/>
                <w:b w:val="0"/>
                <w:i/>
                <w:color w:val="auto"/>
                <w:sz w:val="24"/>
                <w:highlight w:val="none"/>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Times New Roman"/>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auto"/>
                <w:sz w:val="24"/>
                <w:highlight w:val="none"/>
                <w:lang w:val="en-US" w:eastAsia="zh-CN"/>
              </w:rPr>
              <w:t>）</w:t>
            </w:r>
          </w:p>
        </w:tc>
        <w:tc>
          <w:tcPr>
            <w:tcW w:w="3060" w:type="pct"/>
            <w:vAlign w:val="center"/>
          </w:tcPr>
          <w:p w14:paraId="08D0993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4C6E1350">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5F863C61">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289" w:type="pct"/>
            <w:vAlign w:val="center"/>
          </w:tcPr>
          <w:p w14:paraId="6422F33F">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060" w:type="pct"/>
            <w:vAlign w:val="center"/>
          </w:tcPr>
          <w:p w14:paraId="5289A58C">
            <w:pPr>
              <w:pStyle w:val="36"/>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评</w:t>
            </w:r>
            <w:r>
              <w:rPr>
                <w:rFonts w:hint="eastAsia" w:ascii="宋体" w:hAnsi="宋体" w:eastAsia="宋体"/>
                <w:b w:val="0"/>
                <w:color w:val="auto"/>
                <w:sz w:val="24"/>
                <w:highlight w:val="none"/>
                <w:u w:val="none"/>
              </w:rPr>
              <w:t>标委员会推荐3名中标候选人</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7857674C">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289" w:type="pct"/>
            <w:vAlign w:val="center"/>
          </w:tcPr>
          <w:p w14:paraId="4140DBC8">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060" w:type="pct"/>
            <w:vAlign w:val="center"/>
          </w:tcPr>
          <w:p w14:paraId="755F9CD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2F273207">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16926625">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289" w:type="pct"/>
            <w:vAlign w:val="center"/>
          </w:tcPr>
          <w:p w14:paraId="4F1035C0">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060" w:type="pct"/>
            <w:vAlign w:val="center"/>
          </w:tcPr>
          <w:p w14:paraId="3BF38972">
            <w:pPr>
              <w:pStyle w:val="36"/>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8C482A2">
            <w:pPr>
              <w:pStyle w:val="36"/>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7D0134B">
            <w:pPr>
              <w:pStyle w:val="36"/>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p w14:paraId="3A99AF53">
            <w:pPr>
              <w:pStyle w:val="36"/>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575B88ED">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289" w:type="pct"/>
            <w:vAlign w:val="center"/>
          </w:tcPr>
          <w:p w14:paraId="2999B215">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060" w:type="pct"/>
            <w:vAlign w:val="center"/>
          </w:tcPr>
          <w:p w14:paraId="331BFCC4">
            <w:pPr>
              <w:pStyle w:val="36"/>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55D0FDD1">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289" w:type="pct"/>
            <w:vAlign w:val="center"/>
          </w:tcPr>
          <w:p w14:paraId="66EEB43F">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060" w:type="pct"/>
            <w:vAlign w:val="center"/>
          </w:tcPr>
          <w:p w14:paraId="5D19F7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61F44BA">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9" w:type="pct"/>
            <w:vAlign w:val="center"/>
          </w:tcPr>
          <w:p w14:paraId="71FB9405">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289" w:type="pct"/>
            <w:vAlign w:val="center"/>
          </w:tcPr>
          <w:p w14:paraId="0EDB3267">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060" w:type="pct"/>
          </w:tcPr>
          <w:p w14:paraId="1FEF70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4146FF9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rPr>
              <w:t>%</w:t>
            </w:r>
          </w:p>
          <w:p w14:paraId="005958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lang w:val="en-US" w:eastAsia="zh-CN"/>
              </w:rPr>
              <w:t>滁州学院</w:t>
            </w:r>
            <w:r>
              <w:rPr>
                <w:rFonts w:hint="eastAsia" w:ascii="宋体" w:hAnsi="宋体" w:eastAsia="宋体"/>
                <w:bCs/>
                <w:color w:val="auto"/>
                <w:kern w:val="0"/>
                <w:sz w:val="24"/>
                <w:szCs w:val="28"/>
                <w:highlight w:val="none"/>
              </w:rPr>
              <w:t xml:space="preserve">              </w:t>
            </w:r>
          </w:p>
          <w:p w14:paraId="44A14F0B">
            <w:pPr>
              <w:spacing w:line="360" w:lineRule="auto"/>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lang w:val="en-US" w:eastAsia="zh-CN"/>
              </w:rPr>
              <w:t>另行通知</w:t>
            </w:r>
          </w:p>
          <w:p w14:paraId="2626978E">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color w:val="auto"/>
                <w:sz w:val="24"/>
                <w:highlight w:val="none"/>
                <w:u w:val="single"/>
              </w:rPr>
              <w:t>验收合格，一次性退还</w:t>
            </w:r>
          </w:p>
          <w:p w14:paraId="56DFA4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83015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DF4551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49" w:type="pct"/>
            <w:vAlign w:val="center"/>
          </w:tcPr>
          <w:p w14:paraId="691C91A2">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289" w:type="pct"/>
            <w:vAlign w:val="center"/>
          </w:tcPr>
          <w:p w14:paraId="1919AE48">
            <w:pPr>
              <w:pStyle w:val="3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060" w:type="pct"/>
          </w:tcPr>
          <w:p w14:paraId="75CA5AB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398A2F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59C4D0DD">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289" w:type="pct"/>
            <w:vAlign w:val="center"/>
          </w:tcPr>
          <w:p w14:paraId="1A987307">
            <w:pPr>
              <w:pStyle w:val="36"/>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060" w:type="pct"/>
            <w:vAlign w:val="center"/>
          </w:tcPr>
          <w:p w14:paraId="6A116EF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中标人</w:t>
            </w:r>
          </w:p>
          <w:p w14:paraId="0DE6A3B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本项目不向采购人及中标人收取代理费用</w:t>
            </w:r>
          </w:p>
          <w:p w14:paraId="50CEC323">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default" w:ascii="宋体" w:hAnsi="宋体" w:eastAsia="宋体" w:cs="@仿宋_GB2312"/>
                <w:b w:val="0"/>
                <w:bCs/>
                <w:color w:val="auto"/>
                <w:kern w:val="0"/>
                <w:sz w:val="24"/>
                <w:szCs w:val="28"/>
                <w:highlight w:val="none"/>
                <w:u w:val="single"/>
                <w:lang w:val="en-US" w:eastAsia="zh-CN" w:bidi="ar-SA"/>
              </w:rPr>
              <w:t>参考计价格【2002】1980号文件规定的</w:t>
            </w:r>
            <w:r>
              <w:rPr>
                <w:rFonts w:hint="eastAsia" w:ascii="宋体" w:hAnsi="宋体" w:eastAsia="宋体" w:cs="@仿宋_GB2312"/>
                <w:b w:val="0"/>
                <w:bCs/>
                <w:color w:val="auto"/>
                <w:kern w:val="0"/>
                <w:sz w:val="24"/>
                <w:szCs w:val="28"/>
                <w:highlight w:val="none"/>
                <w:u w:val="single"/>
                <w:lang w:val="en-US" w:eastAsia="zh-CN" w:bidi="ar-SA"/>
              </w:rPr>
              <w:t>50</w:t>
            </w:r>
            <w:r>
              <w:rPr>
                <w:rFonts w:hint="default" w:ascii="宋体" w:hAnsi="宋体" w:eastAsia="宋体" w:cs="@仿宋_GB2312"/>
                <w:b w:val="0"/>
                <w:bCs/>
                <w:color w:val="auto"/>
                <w:kern w:val="0"/>
                <w:sz w:val="24"/>
                <w:szCs w:val="28"/>
                <w:highlight w:val="none"/>
                <w:u w:val="single"/>
                <w:lang w:val="en-US" w:eastAsia="zh-CN" w:bidi="ar-SA"/>
              </w:rPr>
              <w:t>%（约</w:t>
            </w:r>
            <w:r>
              <w:rPr>
                <w:rFonts w:hint="eastAsia" w:ascii="宋体" w:hAnsi="宋体" w:eastAsia="宋体" w:cs="@仿宋_GB2312"/>
                <w:b w:val="0"/>
                <w:bCs/>
                <w:color w:val="auto"/>
                <w:kern w:val="0"/>
                <w:sz w:val="24"/>
                <w:szCs w:val="28"/>
                <w:highlight w:val="none"/>
                <w:u w:val="single"/>
                <w:lang w:val="en-US" w:eastAsia="zh-CN" w:bidi="ar-SA"/>
              </w:rPr>
              <w:t>9500</w:t>
            </w:r>
            <w:r>
              <w:rPr>
                <w:rFonts w:hint="default" w:ascii="宋体" w:hAnsi="宋体" w:eastAsia="宋体" w:cs="@仿宋_GB2312"/>
                <w:b w:val="0"/>
                <w:bCs/>
                <w:color w:val="auto"/>
                <w:kern w:val="0"/>
                <w:sz w:val="24"/>
                <w:szCs w:val="28"/>
                <w:highlight w:val="none"/>
                <w:u w:val="single"/>
                <w:lang w:val="en-US" w:eastAsia="zh-CN" w:bidi="ar-SA"/>
              </w:rPr>
              <w:t>元）</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306EC6AE">
            <w:pPr>
              <w:pStyle w:val="3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289" w:type="pct"/>
            <w:vAlign w:val="center"/>
          </w:tcPr>
          <w:p w14:paraId="56604392">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060" w:type="pct"/>
            <w:vAlign w:val="center"/>
          </w:tcPr>
          <w:p w14:paraId="3958835D">
            <w:pPr>
              <w:pStyle w:val="3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供应商</w:t>
            </w:r>
            <w:r>
              <w:rPr>
                <w:rFonts w:hint="eastAsia" w:ascii="宋体" w:hAnsi="宋体" w:eastAsia="宋体"/>
                <w:b w:val="0"/>
                <w:color w:val="auto"/>
                <w:sz w:val="24"/>
                <w:highlight w:val="none"/>
                <w:u w:val="single"/>
                <w:lang w:val="en-US" w:eastAsia="zh-CN"/>
              </w:rPr>
              <w:t>可</w:t>
            </w:r>
            <w:r>
              <w:rPr>
                <w:rFonts w:hint="eastAsia" w:ascii="宋体" w:hAnsi="宋体" w:eastAsia="宋体"/>
                <w:b w:val="0"/>
                <w:color w:val="auto"/>
                <w:sz w:val="24"/>
                <w:highlight w:val="none"/>
                <w:u w:val="single"/>
              </w:rPr>
              <w:t>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2862DFB9">
            <w:pPr>
              <w:pStyle w:val="3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b w:val="0"/>
                <w:color w:val="auto"/>
                <w:sz w:val="24"/>
                <w:highlight w:val="none"/>
              </w:rPr>
              <w:t>接收部门：</w:t>
            </w:r>
            <w:r>
              <w:rPr>
                <w:rFonts w:hint="eastAsia" w:ascii="宋体" w:hAnsi="宋体" w:eastAsia="宋体" w:cs="宋体"/>
                <w:b w:val="0"/>
                <w:bCs w:val="0"/>
                <w:color w:val="auto"/>
                <w:sz w:val="24"/>
                <w:szCs w:val="24"/>
                <w:highlight w:val="none"/>
                <w:u w:val="single"/>
                <w:lang w:val="en-US" w:eastAsia="zh-CN"/>
              </w:rPr>
              <w:t>滁州学院、滁州市政府采购中心</w:t>
            </w:r>
          </w:p>
          <w:p w14:paraId="0AE196BB">
            <w:pPr>
              <w:pStyle w:val="36"/>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cs="宋体"/>
                <w:b w:val="0"/>
                <w:bCs/>
                <w:color w:val="auto"/>
                <w:kern w:val="0"/>
                <w:sz w:val="24"/>
                <w:szCs w:val="24"/>
                <w:highlight w:val="none"/>
                <w:u w:val="single"/>
                <w:lang w:val="en-US" w:eastAsia="zh-CN"/>
              </w:rPr>
              <w:t>0550-3512003、0550-3159590</w:t>
            </w:r>
          </w:p>
          <w:p w14:paraId="454D68B2">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cs="宋体"/>
                <w:b w:val="0"/>
                <w:bCs/>
                <w:color w:val="auto"/>
                <w:kern w:val="0"/>
                <w:sz w:val="24"/>
                <w:szCs w:val="24"/>
                <w:highlight w:val="none"/>
                <w:u w:val="single"/>
              </w:rPr>
              <w:t>安徽省滁州市会峰西路1号滁州学院会峰校区</w:t>
            </w:r>
            <w:r>
              <w:rPr>
                <w:rFonts w:hint="eastAsia" w:ascii="宋体" w:hAnsi="宋体" w:eastAsia="宋体" w:cs="宋体"/>
                <w:b w:val="0"/>
                <w:bCs/>
                <w:color w:val="auto"/>
                <w:kern w:val="0"/>
                <w:sz w:val="24"/>
                <w:szCs w:val="24"/>
                <w:highlight w:val="none"/>
                <w:u w:val="single"/>
                <w:lang w:eastAsia="zh-CN"/>
              </w:rPr>
              <w:t>、滁州市龙蟠大道109号房产大厦</w:t>
            </w:r>
            <w:r>
              <w:rPr>
                <w:rFonts w:hint="eastAsia" w:ascii="宋体" w:hAnsi="宋体" w:eastAsia="宋体" w:cs="宋体"/>
                <w:b w:val="0"/>
                <w:bCs/>
                <w:color w:val="auto"/>
                <w:kern w:val="0"/>
                <w:sz w:val="24"/>
                <w:szCs w:val="24"/>
                <w:highlight w:val="none"/>
                <w:u w:val="single"/>
                <w:lang w:val="en-US" w:eastAsia="zh-CN"/>
              </w:rPr>
              <w:t>2</w:t>
            </w:r>
            <w:r>
              <w:rPr>
                <w:rFonts w:hint="eastAsia" w:ascii="宋体" w:hAnsi="宋体" w:eastAsia="宋体" w:cs="宋体"/>
                <w:b w:val="0"/>
                <w:bCs/>
                <w:color w:val="auto"/>
                <w:kern w:val="0"/>
                <w:sz w:val="24"/>
                <w:szCs w:val="24"/>
                <w:highlight w:val="none"/>
                <w:u w:val="single"/>
                <w:lang w:eastAsia="zh-CN"/>
              </w:rPr>
              <w:t>楼</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7D80F19C">
            <w:pPr>
              <w:pStyle w:val="37"/>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289" w:type="pct"/>
            <w:vAlign w:val="center"/>
          </w:tcPr>
          <w:p w14:paraId="746E8AD2">
            <w:pPr>
              <w:pStyle w:val="36"/>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060" w:type="pct"/>
            <w:vAlign w:val="center"/>
          </w:tcPr>
          <w:p w14:paraId="23ADAA09">
            <w:pPr>
              <w:pStyle w:val="36"/>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FA77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36"/>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EEF0F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56E101F0">
            <w:pPr>
              <w:pStyle w:val="36"/>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58C59361">
            <w:pPr>
              <w:pStyle w:val="3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4、部分可提供线下政采贷的金融机构</w:t>
            </w:r>
          </w:p>
          <w:p w14:paraId="0C94E6FE">
            <w:pPr>
              <w:pStyle w:val="3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市本级</w:t>
            </w:r>
          </w:p>
          <w:p w14:paraId="64A5063E">
            <w:pPr>
              <w:pStyle w:val="3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金融机构名称：兴业银行滁州分行</w:t>
            </w:r>
          </w:p>
          <w:p w14:paraId="17BEEB89">
            <w:pPr>
              <w:pStyle w:val="3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安徽省滁州市琅琊区丰乐大道1090号</w:t>
            </w:r>
          </w:p>
          <w:p w14:paraId="6DD992ED">
            <w:pPr>
              <w:pStyle w:val="3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伏庚：17755080811</w:t>
            </w:r>
          </w:p>
          <w:p w14:paraId="460ADB64">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5</w:t>
            </w:r>
            <w:r>
              <w:rPr>
                <w:rFonts w:hint="eastAsia" w:ascii="宋体" w:hAnsi="宋体" w:eastAsia="宋体" w:cs="宋体"/>
                <w:b w:val="0"/>
                <w:color w:val="auto"/>
                <w:kern w:val="2"/>
                <w:sz w:val="24"/>
                <w:szCs w:val="24"/>
                <w:highlight w:val="none"/>
              </w:rPr>
              <w:t>、特别提示：</w:t>
            </w:r>
          </w:p>
          <w:p w14:paraId="280DBEE8">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5CC7CC">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E450954">
            <w:pPr>
              <w:pStyle w:val="36"/>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5615295D">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15C75C64">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03BBE91D">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738F823">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2EE07DC5">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039EE3D5">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5C956BD3">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0AD7716">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EE8FAD8">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6</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评标过程中的澄清、说明或补正：</w:t>
            </w:r>
          </w:p>
          <w:p w14:paraId="6B6B8A5C">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601730">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5B93369">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7</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同义词语：</w:t>
            </w:r>
          </w:p>
          <w:p w14:paraId="43491F5D">
            <w:pPr>
              <w:pStyle w:val="3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7721EF3C">
            <w:pPr>
              <w:pStyle w:val="3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rPr>
              <w:t>8</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落实政府采购支持节能产品、环境标志产品政策。</w:t>
            </w:r>
          </w:p>
        </w:tc>
      </w:tr>
    </w:tbl>
    <w:p w14:paraId="5DC4CF9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4" w:name="_Toc14880"/>
      <w:bookmarkStart w:id="2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4"/>
      <w:bookmarkEnd w:id="25"/>
    </w:p>
    <w:p w14:paraId="1BF44B3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447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48DA6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0D555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AF83C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1683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CBE5DC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0778B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A1FAD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466F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2EC030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68176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6"/>
    <w:p w14:paraId="2CE90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7" w:name="_Hlk11703583"/>
      <w:r>
        <w:rPr>
          <w:rFonts w:hint="eastAsia" w:asciiTheme="minorEastAsia" w:hAnsiTheme="minorEastAsia" w:eastAsiaTheme="minorEastAsia"/>
          <w:color w:val="auto"/>
          <w:sz w:val="24"/>
          <w:highlight w:val="none"/>
          <w:lang w:val="en-US" w:eastAsia="zh-CN"/>
        </w:rPr>
        <w:t>等。</w:t>
      </w:r>
    </w:p>
    <w:bookmarkEnd w:id="27"/>
    <w:p w14:paraId="34822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8F58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0405A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E08B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spacing w:line="360" w:lineRule="auto"/>
        <w:ind w:firstLine="435"/>
        <w:rPr>
          <w:rFonts w:hint="eastAsia" w:ascii="宋体" w:hAnsi="宋体" w:eastAsia="宋体" w:cs="宋体"/>
          <w:color w:val="auto"/>
          <w:sz w:val="24"/>
          <w:szCs w:val="24"/>
          <w:highlight w:val="none"/>
        </w:rPr>
      </w:pPr>
      <w:bookmarkStart w:id="28"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8"/>
    <w:p w14:paraId="32CF1F0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3B7E9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A1124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B431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8479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17.5同时符合17.4和17.5的价格评审优惠时，评标价为投标报价分别扣除促进中小企业发展政策的价格评审优惠和本国产品支持政策的价格评审优惠后的价格。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A56F4A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B916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0CF48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2162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5476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asciiTheme="minorEastAsia" w:hAnsiTheme="minorEastAsia" w:eastAsiaTheme="minorEastAsia"/>
          <w:b/>
          <w:color w:val="auto"/>
          <w:sz w:val="24"/>
          <w:highlight w:val="none"/>
        </w:rPr>
      </w:pPr>
      <w:bookmarkStart w:id="29" w:name="_Toc2583661"/>
      <w:bookmarkStart w:id="30"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9"/>
      <w:bookmarkEnd w:id="30"/>
    </w:p>
    <w:p w14:paraId="18C4DC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asciiTheme="minorEastAsia" w:hAnsiTheme="minorEastAsia" w:eastAsiaTheme="minorEastAsia"/>
          <w:b/>
          <w:color w:val="auto"/>
          <w:sz w:val="24"/>
          <w:highlight w:val="none"/>
        </w:rPr>
      </w:pPr>
      <w:bookmarkStart w:id="31" w:name="_Toc2583662"/>
      <w:bookmarkStart w:id="32"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1"/>
      <w:bookmarkEnd w:id="32"/>
    </w:p>
    <w:p w14:paraId="0B1192D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2258F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4323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33" w:name="_Toc10891"/>
      <w:r>
        <w:rPr>
          <w:rFonts w:hint="eastAsia" w:asciiTheme="minorEastAsia" w:hAnsiTheme="minorEastAsia" w:eastAsiaTheme="minorEastAsia"/>
          <w:b/>
          <w:color w:val="auto"/>
          <w:sz w:val="28"/>
          <w:highlight w:val="none"/>
        </w:rPr>
        <w:t>第三章  采购需求</w:t>
      </w:r>
      <w:bookmarkEnd w:id="33"/>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ind w:firstLine="437"/>
        <w:outlineLvl w:val="1"/>
        <w:rPr>
          <w:rFonts w:ascii="宋体" w:hAnsi="宋体" w:eastAsia="宋体"/>
          <w:b/>
          <w:color w:val="auto"/>
          <w:sz w:val="24"/>
          <w:szCs w:val="18"/>
          <w:highlight w:val="none"/>
        </w:rPr>
      </w:pPr>
      <w:bookmarkStart w:id="34" w:name="_Toc32151"/>
      <w:bookmarkStart w:id="35" w:name="_Toc2554"/>
      <w:r>
        <w:rPr>
          <w:rFonts w:hint="eastAsia" w:ascii="宋体" w:hAnsi="宋体" w:eastAsia="宋体"/>
          <w:b/>
          <w:color w:val="auto"/>
          <w:sz w:val="24"/>
          <w:szCs w:val="18"/>
          <w:highlight w:val="none"/>
        </w:rPr>
        <w:t>一、采购需求前附表</w:t>
      </w:r>
      <w:bookmarkEnd w:id="34"/>
      <w:bookmarkEnd w:id="35"/>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3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3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36"/>
              <w:widowControl w:val="0"/>
              <w:spacing w:before="0" w:beforeAutospacing="0" w:after="0" w:afterAutospacing="0" w:line="360" w:lineRule="auto"/>
              <w:rPr>
                <w:rFonts w:ascii="宋体" w:hAnsi="宋体" w:eastAsia="宋体"/>
                <w:bCs w:val="0"/>
                <w:color w:val="auto"/>
                <w:sz w:val="24"/>
                <w:highlight w:val="none"/>
                <w:u w:val="none"/>
              </w:rPr>
            </w:pPr>
            <w:r>
              <w:rPr>
                <w:rFonts w:hint="eastAsia" w:ascii="宋体" w:hAnsi="宋体" w:eastAsia="宋体"/>
                <w:bCs w:val="0"/>
                <w:color w:val="auto"/>
                <w:sz w:val="24"/>
                <w:highlight w:val="none"/>
                <w:u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pStyle w:val="3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2B8C4E7">
            <w:pPr>
              <w:pStyle w:val="36"/>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签订合同并具备实施条件后支付合同总价的40%预付款（预付款支付前，中标人须提供同等金额的见索即付保函），供货、安装、调试完毕及验收合格且采购人收到发票后一次性付清合同款（投标人所报综合单价不予调整，其中采购范围内的铜管按使用量据实结算）。</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3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008E1630">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滁州学院，采购人指定地点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3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1999369D">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自合同签订生效后，并接到采购人供货通知之日起50个日历天内完成货物的供货、安装、调试工作。</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3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3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0D94A51E">
            <w:pPr>
              <w:pStyle w:val="3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自</w:t>
            </w:r>
            <w:r>
              <w:rPr>
                <w:rFonts w:hint="eastAsia" w:ascii="宋体" w:hAnsi="宋体" w:eastAsia="宋体"/>
                <w:b w:val="0"/>
                <w:color w:val="auto"/>
                <w:sz w:val="24"/>
                <w:highlight w:val="none"/>
              </w:rPr>
              <w:t>验收合格之日</w:t>
            </w:r>
            <w:r>
              <w:rPr>
                <w:rFonts w:hint="eastAsia" w:ascii="宋体" w:hAnsi="宋体" w:eastAsia="宋体"/>
                <w:b w:val="0"/>
                <w:color w:val="auto"/>
                <w:sz w:val="24"/>
                <w:highlight w:val="none"/>
                <w:lang w:val="en-US" w:eastAsia="zh-CN"/>
              </w:rPr>
              <w:t>不少于</w:t>
            </w:r>
            <w:r>
              <w:rPr>
                <w:rFonts w:hint="eastAsia" w:ascii="宋体" w:hAnsi="宋体" w:eastAsia="宋体"/>
                <w:b w:val="0"/>
                <w:color w:val="auto"/>
                <w:sz w:val="24"/>
                <w:highlight w:val="none"/>
              </w:rPr>
              <w:t>6年，具体期限以</w:t>
            </w:r>
            <w:r>
              <w:rPr>
                <w:rFonts w:hint="eastAsia" w:ascii="宋体" w:hAnsi="宋体" w:eastAsia="宋体"/>
                <w:b w:val="0"/>
                <w:color w:val="auto"/>
                <w:sz w:val="24"/>
                <w:highlight w:val="none"/>
                <w:lang w:val="en-US" w:eastAsia="zh-CN"/>
              </w:rPr>
              <w:t>中标人</w:t>
            </w:r>
            <w:r>
              <w:rPr>
                <w:rFonts w:hint="eastAsia" w:ascii="宋体" w:hAnsi="宋体" w:eastAsia="宋体"/>
                <w:b w:val="0"/>
                <w:color w:val="auto"/>
                <w:sz w:val="24"/>
                <w:highlight w:val="none"/>
              </w:rPr>
              <w:t>评审时承诺的期限为准。质保期内发生设备运行故障等问题，</w:t>
            </w:r>
            <w:r>
              <w:rPr>
                <w:rFonts w:hint="eastAsia" w:ascii="宋体" w:hAnsi="宋体" w:eastAsia="宋体"/>
                <w:b w:val="0"/>
                <w:color w:val="auto"/>
                <w:sz w:val="24"/>
                <w:highlight w:val="none"/>
                <w:lang w:val="en-US" w:eastAsia="zh-CN"/>
              </w:rPr>
              <w:t>中标人</w:t>
            </w:r>
            <w:r>
              <w:rPr>
                <w:rFonts w:hint="eastAsia" w:ascii="宋体" w:hAnsi="宋体" w:eastAsia="宋体"/>
                <w:b w:val="0"/>
                <w:color w:val="auto"/>
                <w:sz w:val="24"/>
                <w:highlight w:val="none"/>
              </w:rPr>
              <w:t>收到采购人通知时，应及时响应及时排查故障，符合维修条件时，3天内完成修复，如遇紧急情况，按采购人要求执行。</w:t>
            </w:r>
            <w:r>
              <w:rPr>
                <w:rFonts w:hint="eastAsia" w:ascii="宋体" w:hAnsi="宋体" w:eastAsia="宋体"/>
                <w:b w:val="0"/>
                <w:color w:val="auto"/>
                <w:sz w:val="24"/>
                <w:highlight w:val="none"/>
                <w:lang w:val="en-US" w:eastAsia="zh-CN"/>
              </w:rPr>
              <w:t>中标人</w:t>
            </w:r>
            <w:r>
              <w:rPr>
                <w:rFonts w:hint="eastAsia" w:ascii="宋体" w:hAnsi="宋体" w:eastAsia="宋体"/>
                <w:b w:val="0"/>
                <w:color w:val="auto"/>
                <w:sz w:val="24"/>
                <w:highlight w:val="none"/>
              </w:rPr>
              <w:t>不服从采购人要求，给采购人造成损失或社会不良影响的，视为违约行为，采购人依法依规追究其法律责任。</w:t>
            </w:r>
          </w:p>
        </w:tc>
      </w:tr>
    </w:tbl>
    <w:p w14:paraId="3E806DB2">
      <w:pPr>
        <w:spacing w:line="360" w:lineRule="auto"/>
        <w:ind w:firstLine="437"/>
        <w:outlineLvl w:val="1"/>
        <w:rPr>
          <w:rFonts w:ascii="宋体" w:hAnsi="宋体" w:eastAsia="宋体"/>
          <w:b/>
          <w:bCs/>
          <w:color w:val="auto"/>
          <w:sz w:val="24"/>
          <w:szCs w:val="18"/>
          <w:highlight w:val="none"/>
        </w:rPr>
      </w:pPr>
      <w:bookmarkStart w:id="36" w:name="_Toc5944"/>
      <w:bookmarkStart w:id="37"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6"/>
      <w:bookmarkEnd w:id="37"/>
    </w:p>
    <w:tbl>
      <w:tblPr>
        <w:tblStyle w:val="27"/>
        <w:tblW w:w="63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156"/>
        <w:gridCol w:w="5789"/>
        <w:gridCol w:w="1035"/>
        <w:gridCol w:w="705"/>
        <w:gridCol w:w="873"/>
        <w:gridCol w:w="626"/>
      </w:tblGrid>
      <w:tr w14:paraId="53A3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467B4F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33" w:type="pct"/>
            <w:vAlign w:val="center"/>
          </w:tcPr>
          <w:p w14:paraId="5F31DA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670" w:type="pct"/>
            <w:vAlign w:val="center"/>
          </w:tcPr>
          <w:p w14:paraId="6102B7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477" w:type="pct"/>
            <w:vAlign w:val="center"/>
          </w:tcPr>
          <w:p w14:paraId="5FAB4F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4469B5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325" w:type="pct"/>
            <w:vAlign w:val="center"/>
          </w:tcPr>
          <w:p w14:paraId="738F3E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732EB2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c>
          <w:tcPr>
            <w:tcW w:w="402" w:type="pct"/>
            <w:vAlign w:val="center"/>
          </w:tcPr>
          <w:p w14:paraId="5D58B7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是否为核心产品</w:t>
            </w:r>
          </w:p>
        </w:tc>
        <w:tc>
          <w:tcPr>
            <w:tcW w:w="288" w:type="pct"/>
            <w:vAlign w:val="center"/>
          </w:tcPr>
          <w:p w14:paraId="2FFBEB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107A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1" w:type="pct"/>
            <w:vAlign w:val="center"/>
          </w:tcPr>
          <w:p w14:paraId="394605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33" w:type="pct"/>
            <w:vAlign w:val="center"/>
          </w:tcPr>
          <w:p w14:paraId="7908638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▲天花机空调（机型3P）</w:t>
            </w:r>
          </w:p>
        </w:tc>
        <w:tc>
          <w:tcPr>
            <w:tcW w:w="2670" w:type="pct"/>
            <w:vAlign w:val="center"/>
          </w:tcPr>
          <w:p w14:paraId="4CEDA65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1.能效等级：不低于二级。</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34D0DE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2.定频/变频：变频；电压/频率：220V/50Hz；</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7DB967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3.额定制热功率≤3.5KW；额定制热量≥8KW；电辅加热功率≤2.5KW；额定制冷功率≤3KW；额定制冷量≥7KW；</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1634B92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■4.循环风量：≥1100m³/h；</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0CF5535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■5.内外机噪音：内机噪音≤45dB(A)，外机噪音≤60dB(A)；</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72FCA93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★6.控制方式：无线遥控器和有线控制面板，无线遥控器和有线控制面板数量应与空调数量一致；</w:t>
            </w:r>
            <w:r>
              <w:rPr>
                <w:rFonts w:hint="eastAsia" w:ascii="宋体" w:hAnsi="宋体" w:eastAsia="宋体" w:cs="宋体"/>
                <w:b/>
                <w:bCs/>
                <w:color w:val="auto"/>
                <w:kern w:val="0"/>
                <w:sz w:val="21"/>
                <w:szCs w:val="21"/>
                <w:highlight w:val="none"/>
                <w:lang w:val="en-US" w:eastAsia="zh-CN" w:bidi="ar"/>
              </w:rPr>
              <w:t>投标文件中提供相关产品说明书或技术参数材料。</w:t>
            </w:r>
          </w:p>
          <w:p w14:paraId="1ECBDD96">
            <w:pPr>
              <w:pStyle w:val="9"/>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■7.配备与所投产品配套的</w:t>
            </w:r>
            <w:r>
              <w:rPr>
                <w:rFonts w:hint="eastAsia" w:ascii="宋体" w:hAnsi="宋体" w:eastAsia="宋体" w:cs="宋体"/>
                <w:color w:val="auto"/>
                <w:sz w:val="21"/>
                <w:szCs w:val="21"/>
                <w:highlight w:val="none"/>
                <w:lang w:val="en-US" w:eastAsia="zh-CN"/>
              </w:rPr>
              <w:t>整机出厂</w:t>
            </w:r>
            <w:r>
              <w:rPr>
                <w:rFonts w:hint="eastAsia" w:ascii="宋体" w:hAnsi="宋体" w:eastAsia="宋体" w:cs="宋体"/>
                <w:color w:val="auto"/>
                <w:kern w:val="0"/>
                <w:sz w:val="21"/>
                <w:szCs w:val="21"/>
                <w:highlight w:val="none"/>
                <w:lang w:val="en-US" w:eastAsia="zh-CN" w:bidi="ar"/>
              </w:rPr>
              <w:t>的压缩机、风扇电机。</w:t>
            </w:r>
            <w:r>
              <w:rPr>
                <w:rFonts w:hint="eastAsia" w:ascii="宋体" w:hAnsi="宋体" w:eastAsia="宋体" w:cs="宋体"/>
                <w:b/>
                <w:bCs/>
                <w:color w:val="auto"/>
                <w:kern w:val="0"/>
                <w:sz w:val="21"/>
                <w:szCs w:val="21"/>
                <w:highlight w:val="none"/>
                <w:lang w:val="en-US" w:eastAsia="zh-CN" w:bidi="ar"/>
              </w:rPr>
              <w:t>投标文件中提供生产厂商官网截图和链接，或产品彩页或其他技术资料。</w:t>
            </w:r>
          </w:p>
          <w:p w14:paraId="70E7E76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8.除空调铜管外，安装及其调试运行中的一切费用均包含在空调费用内</w:t>
            </w:r>
            <w:r>
              <w:rPr>
                <w:rFonts w:hint="eastAsia" w:ascii="宋体" w:hAnsi="宋体" w:eastAsia="宋体" w:cs="宋体"/>
                <w:b/>
                <w:bCs/>
                <w:color w:val="auto"/>
                <w:kern w:val="0"/>
                <w:sz w:val="21"/>
                <w:szCs w:val="21"/>
                <w:highlight w:val="none"/>
                <w:lang w:val="en-US" w:eastAsia="zh-CN" w:bidi="ar"/>
              </w:rPr>
              <w:t>。</w:t>
            </w:r>
          </w:p>
        </w:tc>
        <w:tc>
          <w:tcPr>
            <w:tcW w:w="477" w:type="pct"/>
            <w:vAlign w:val="center"/>
          </w:tcPr>
          <w:p w14:paraId="7D255A87">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10台</w:t>
            </w:r>
          </w:p>
        </w:tc>
        <w:tc>
          <w:tcPr>
            <w:tcW w:w="325" w:type="pct"/>
            <w:vAlign w:val="center"/>
          </w:tcPr>
          <w:p w14:paraId="6B5967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402" w:type="pct"/>
            <w:vAlign w:val="center"/>
          </w:tcPr>
          <w:p w14:paraId="6C130D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w:t>
            </w:r>
          </w:p>
        </w:tc>
        <w:tc>
          <w:tcPr>
            <w:tcW w:w="288" w:type="pct"/>
            <w:vAlign w:val="center"/>
          </w:tcPr>
          <w:p w14:paraId="735B02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r w14:paraId="3944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4BE84A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33" w:type="pct"/>
            <w:vAlign w:val="center"/>
          </w:tcPr>
          <w:p w14:paraId="0590B9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▲天花机空调（机型5P）</w:t>
            </w:r>
          </w:p>
        </w:tc>
        <w:tc>
          <w:tcPr>
            <w:tcW w:w="2670" w:type="pct"/>
            <w:vAlign w:val="center"/>
          </w:tcPr>
          <w:p w14:paraId="225602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1.能效等级：不低于二级；</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0DE3E9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2.定频/变频：变频；电压/频率：380V/50Hz；</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3417D5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3.额定制热功率≤5KW；额定制热量≥13KW；电辅加热功率≤3KW；额定制冷功率≤5KW；额定制冷量≥12KW；</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1B5917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■4.循环风量：≥1700m³/h；投</w:t>
            </w:r>
            <w:r>
              <w:rPr>
                <w:rFonts w:hint="eastAsia" w:ascii="宋体" w:hAnsi="宋体" w:eastAsia="宋体" w:cs="宋体"/>
                <w:b/>
                <w:bCs/>
                <w:color w:val="auto"/>
                <w:kern w:val="0"/>
                <w:sz w:val="21"/>
                <w:szCs w:val="21"/>
                <w:highlight w:val="none"/>
                <w:lang w:val="en-US" w:eastAsia="zh-CN" w:bidi="ar"/>
              </w:rPr>
              <w:t>标文件中应提供生产厂商官网截图和链接，或产品彩页或其他技术资料。</w:t>
            </w:r>
          </w:p>
          <w:p w14:paraId="74BA50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■5.内外机噪音：内机噪音≤50dB(A)，外机噪音≤60dB(A)；</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18C19174">
            <w:pPr>
              <w:pStyle w:val="9"/>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6.控制方式：无线遥控器和有线控制面板，无线遥控器和有线控制面板数量应与空调数量一致；</w:t>
            </w:r>
            <w:r>
              <w:rPr>
                <w:rFonts w:hint="eastAsia" w:ascii="宋体" w:hAnsi="宋体" w:eastAsia="宋体" w:cs="宋体"/>
                <w:b/>
                <w:bCs/>
                <w:color w:val="auto"/>
                <w:kern w:val="0"/>
                <w:sz w:val="21"/>
                <w:szCs w:val="21"/>
                <w:highlight w:val="none"/>
                <w:lang w:val="en-US" w:eastAsia="zh-CN" w:bidi="ar"/>
              </w:rPr>
              <w:t xml:space="preserve">投标文件中提供产品说明书或技术参数材料。 </w:t>
            </w:r>
          </w:p>
          <w:p w14:paraId="33B6B9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■7.配备与所投产品配套的整机出厂的压缩机、风扇电机。</w:t>
            </w:r>
            <w:r>
              <w:rPr>
                <w:rFonts w:hint="eastAsia" w:ascii="宋体" w:hAnsi="宋体" w:eastAsia="宋体" w:cs="宋体"/>
                <w:b/>
                <w:bCs/>
                <w:color w:val="auto"/>
                <w:kern w:val="0"/>
                <w:sz w:val="21"/>
                <w:szCs w:val="21"/>
                <w:highlight w:val="none"/>
                <w:lang w:val="en-US" w:eastAsia="zh-CN" w:bidi="ar"/>
              </w:rPr>
              <w:t>投标文件中提供生产厂商官网截图和链接，或产品彩页或其他技术资料。</w:t>
            </w:r>
          </w:p>
          <w:p w14:paraId="36090A2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8.除空调铜管外，安装及其调试运行中的一切材料及其费用均包含在空调费用内。</w:t>
            </w:r>
          </w:p>
        </w:tc>
        <w:tc>
          <w:tcPr>
            <w:tcW w:w="477" w:type="pct"/>
            <w:vAlign w:val="center"/>
          </w:tcPr>
          <w:p w14:paraId="6BE62890">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55台</w:t>
            </w:r>
          </w:p>
        </w:tc>
        <w:tc>
          <w:tcPr>
            <w:tcW w:w="325" w:type="pct"/>
            <w:vAlign w:val="center"/>
          </w:tcPr>
          <w:p w14:paraId="159C1C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402" w:type="pct"/>
            <w:vAlign w:val="center"/>
          </w:tcPr>
          <w:p w14:paraId="26FDAB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w:t>
            </w:r>
          </w:p>
        </w:tc>
        <w:tc>
          <w:tcPr>
            <w:tcW w:w="288" w:type="pct"/>
            <w:vAlign w:val="center"/>
          </w:tcPr>
          <w:p w14:paraId="0DD9C8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r w14:paraId="4018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114C97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33" w:type="pct"/>
            <w:vAlign w:val="center"/>
          </w:tcPr>
          <w:p w14:paraId="25C64B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天花机空调（机型3P）标配铜管</w:t>
            </w:r>
          </w:p>
        </w:tc>
        <w:tc>
          <w:tcPr>
            <w:tcW w:w="2670" w:type="pct"/>
            <w:vAlign w:val="center"/>
          </w:tcPr>
          <w:p w14:paraId="0DF0E3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■1.内外连接标配铜管：72高压铜管外径≥5.4mm管壁厚≥0.72</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kern w:val="0"/>
                <w:sz w:val="21"/>
                <w:szCs w:val="21"/>
                <w:highlight w:val="none"/>
                <w:lang w:val="en-US" w:eastAsia="zh-CN" w:bidi="ar"/>
              </w:rPr>
              <w:t>)/低压铜管外径≥10.8mm（管壁厚≥0.9mm)。进场前提供样品，经测量符合要求后，方可使用。</w:t>
            </w:r>
          </w:p>
        </w:tc>
        <w:tc>
          <w:tcPr>
            <w:tcW w:w="477" w:type="pct"/>
            <w:vAlign w:val="center"/>
          </w:tcPr>
          <w:p w14:paraId="38014081">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210米</w:t>
            </w:r>
          </w:p>
        </w:tc>
        <w:tc>
          <w:tcPr>
            <w:tcW w:w="325" w:type="pct"/>
            <w:vAlign w:val="center"/>
          </w:tcPr>
          <w:p w14:paraId="66A3B5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402" w:type="pct"/>
            <w:vAlign w:val="center"/>
          </w:tcPr>
          <w:p w14:paraId="1687BD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否</w:t>
            </w:r>
          </w:p>
        </w:tc>
        <w:tc>
          <w:tcPr>
            <w:tcW w:w="288" w:type="pct"/>
            <w:vAlign w:val="center"/>
          </w:tcPr>
          <w:p w14:paraId="7D9520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r w14:paraId="1DE1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38BAA5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bookmarkStart w:id="38" w:name="_Toc7421"/>
            <w:bookmarkStart w:id="39" w:name="_Toc4843"/>
            <w:r>
              <w:rPr>
                <w:rFonts w:hint="eastAsia" w:ascii="宋体" w:hAnsi="宋体" w:eastAsia="宋体" w:cs="宋体"/>
                <w:color w:val="auto"/>
                <w:sz w:val="21"/>
                <w:szCs w:val="21"/>
                <w:highlight w:val="none"/>
                <w:lang w:val="en-US" w:eastAsia="zh-CN"/>
              </w:rPr>
              <w:t>4</w:t>
            </w:r>
          </w:p>
        </w:tc>
        <w:tc>
          <w:tcPr>
            <w:tcW w:w="533" w:type="pct"/>
            <w:vAlign w:val="center"/>
          </w:tcPr>
          <w:p w14:paraId="2BBAE75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天花机空调（机型5P）标配铜管</w:t>
            </w:r>
          </w:p>
        </w:tc>
        <w:tc>
          <w:tcPr>
            <w:tcW w:w="2670" w:type="pct"/>
            <w:vAlign w:val="center"/>
          </w:tcPr>
          <w:p w14:paraId="49D2EA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■1.内外连接标配铜管：120 铜管高压管外管径≥9mm(管壁厚≥0.72mm)/低压管外管径≥14.4mm（管壁厚≥0.9</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kern w:val="0"/>
                <w:sz w:val="21"/>
                <w:szCs w:val="21"/>
                <w:highlight w:val="none"/>
                <w:lang w:val="en-US" w:eastAsia="zh-CN" w:bidi="ar"/>
              </w:rPr>
              <w:t>)。进场前提供样品，经测量符合要求后，方可使用。</w:t>
            </w:r>
          </w:p>
        </w:tc>
        <w:tc>
          <w:tcPr>
            <w:tcW w:w="477" w:type="pct"/>
            <w:vAlign w:val="center"/>
          </w:tcPr>
          <w:p w14:paraId="072E3DA9">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1097米</w:t>
            </w:r>
          </w:p>
        </w:tc>
        <w:tc>
          <w:tcPr>
            <w:tcW w:w="325" w:type="pct"/>
            <w:shd w:val="clear" w:color="auto" w:fill="auto"/>
            <w:vAlign w:val="center"/>
          </w:tcPr>
          <w:p w14:paraId="79CEC1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c>
          <w:tcPr>
            <w:tcW w:w="402" w:type="pct"/>
            <w:shd w:val="clear" w:color="auto" w:fill="auto"/>
            <w:vAlign w:val="center"/>
          </w:tcPr>
          <w:p w14:paraId="279AF2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否</w:t>
            </w:r>
          </w:p>
        </w:tc>
        <w:tc>
          <w:tcPr>
            <w:tcW w:w="288" w:type="pct"/>
            <w:vAlign w:val="center"/>
          </w:tcPr>
          <w:p w14:paraId="1368DF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r w14:paraId="7004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50939F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33" w:type="pct"/>
            <w:vAlign w:val="center"/>
          </w:tcPr>
          <w:p w14:paraId="3667A47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多联机内机：</w:t>
            </w:r>
          </w:p>
          <w:p w14:paraId="293B83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壁挂式内机</w:t>
            </w:r>
          </w:p>
        </w:tc>
        <w:tc>
          <w:tcPr>
            <w:tcW w:w="2670" w:type="pct"/>
            <w:vAlign w:val="center"/>
          </w:tcPr>
          <w:p w14:paraId="512E91E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★1.电压/频率220V/50Hz,</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56176BD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2.额定功率≤40W,制热量≥2200W,制冷量≥2000W,</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312F321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■3.循环风量≥300m³/h,</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082D5AA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■4.内机噪音≤40dB(A),</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01D29EB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5.控制方式：无线遥控器和有线控制面板，无线遥控器和有线控制面板数量应与空调数量一致；</w:t>
            </w:r>
            <w:r>
              <w:rPr>
                <w:rFonts w:hint="eastAsia" w:ascii="宋体" w:hAnsi="宋体" w:eastAsia="宋体" w:cs="宋体"/>
                <w:b/>
                <w:bCs/>
                <w:color w:val="auto"/>
                <w:kern w:val="0"/>
                <w:sz w:val="21"/>
                <w:szCs w:val="21"/>
                <w:highlight w:val="none"/>
                <w:lang w:val="en-US" w:eastAsia="zh-CN" w:bidi="ar"/>
              </w:rPr>
              <w:t>投标文件中提供产品说明书或技术参数材料。</w:t>
            </w:r>
          </w:p>
        </w:tc>
        <w:tc>
          <w:tcPr>
            <w:tcW w:w="477" w:type="pct"/>
            <w:vAlign w:val="center"/>
          </w:tcPr>
          <w:p w14:paraId="2C05763C">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134台</w:t>
            </w:r>
          </w:p>
        </w:tc>
        <w:tc>
          <w:tcPr>
            <w:tcW w:w="325" w:type="pct"/>
            <w:vAlign w:val="center"/>
          </w:tcPr>
          <w:p w14:paraId="04BFB1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402" w:type="pct"/>
            <w:vAlign w:val="center"/>
          </w:tcPr>
          <w:p w14:paraId="0BDCDF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w:t>
            </w:r>
          </w:p>
        </w:tc>
        <w:tc>
          <w:tcPr>
            <w:tcW w:w="288" w:type="pct"/>
            <w:vAlign w:val="center"/>
          </w:tcPr>
          <w:p w14:paraId="42D045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r w14:paraId="13A3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7A27E4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33" w:type="pct"/>
            <w:vAlign w:val="center"/>
          </w:tcPr>
          <w:p w14:paraId="015D1D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多联机外机：</w:t>
            </w:r>
          </w:p>
          <w:p w14:paraId="3FA997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一拖三</w:t>
            </w:r>
          </w:p>
        </w:tc>
        <w:tc>
          <w:tcPr>
            <w:tcW w:w="2670" w:type="pct"/>
            <w:vAlign w:val="center"/>
          </w:tcPr>
          <w:p w14:paraId="0D6D787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1.能效等级：不低于二级；</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r>
              <w:rPr>
                <w:rFonts w:hint="eastAsia" w:ascii="宋体" w:hAnsi="宋体" w:eastAsia="宋体" w:cs="宋体"/>
                <w:color w:val="auto"/>
                <w:kern w:val="0"/>
                <w:sz w:val="21"/>
                <w:szCs w:val="21"/>
                <w:highlight w:val="none"/>
                <w:lang w:val="en-US" w:eastAsia="zh-CN" w:bidi="ar"/>
              </w:rPr>
              <w:t>。</w:t>
            </w:r>
          </w:p>
          <w:p w14:paraId="51655B7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2.定频/变频：变频；电压/频率220V-400V/50Hz；</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5AB0A87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3.额定制热功率≤2.3KW；额定制冷功率≤2.2KW；额定制热量≥8.5KW；额定制冷量≥7.5KW；</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3EFDE540">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■4.噪音值≤60dB(A)。</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sz w:val="21"/>
                <w:szCs w:val="21"/>
                <w:highlight w:val="none"/>
              </w:rPr>
              <w:t>功</w:t>
            </w:r>
            <w:r>
              <w:rPr>
                <w:rFonts w:hint="eastAsia" w:ascii="宋体" w:hAnsi="宋体" w:eastAsia="宋体" w:cs="宋体"/>
                <w:color w:val="auto"/>
                <w:kern w:val="0"/>
                <w:sz w:val="21"/>
                <w:szCs w:val="21"/>
                <w:highlight w:val="none"/>
                <w:lang w:val="en-US" w:eastAsia="zh-CN" w:bidi="ar"/>
              </w:rPr>
              <w:t>能：换热器翅片管壁厚≥0.25mm</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0B3738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■6.配备与所投产品配套的整机出厂的压缩机、风扇电机。</w:t>
            </w:r>
            <w:r>
              <w:rPr>
                <w:rFonts w:hint="eastAsia" w:ascii="宋体" w:hAnsi="宋体" w:eastAsia="宋体" w:cs="宋体"/>
                <w:b/>
                <w:bCs/>
                <w:color w:val="auto"/>
                <w:kern w:val="0"/>
                <w:sz w:val="21"/>
                <w:szCs w:val="21"/>
                <w:highlight w:val="none"/>
                <w:lang w:val="en-US" w:eastAsia="zh-CN" w:bidi="ar"/>
              </w:rPr>
              <w:t>投标文件中提供生产厂商官网截图和链接，或产品彩页或其他技术资料。</w:t>
            </w:r>
          </w:p>
          <w:p w14:paraId="70FD8C4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8.除空调铜管外，安装及其调试运行中的一切材料及其费用均包含在空调费用内</w:t>
            </w:r>
            <w:r>
              <w:rPr>
                <w:rFonts w:hint="eastAsia" w:ascii="宋体" w:hAnsi="宋体" w:eastAsia="宋体" w:cs="宋体"/>
                <w:b/>
                <w:bCs/>
                <w:color w:val="auto"/>
                <w:kern w:val="0"/>
                <w:sz w:val="21"/>
                <w:szCs w:val="21"/>
                <w:highlight w:val="none"/>
                <w:lang w:val="en-US" w:eastAsia="zh-CN" w:bidi="ar"/>
              </w:rPr>
              <w:t>。</w:t>
            </w:r>
          </w:p>
        </w:tc>
        <w:tc>
          <w:tcPr>
            <w:tcW w:w="477" w:type="pct"/>
            <w:vAlign w:val="center"/>
          </w:tcPr>
          <w:p w14:paraId="77434AAA">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325" w:type="pct"/>
            <w:vAlign w:val="center"/>
          </w:tcPr>
          <w:p w14:paraId="48F732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402" w:type="pct"/>
            <w:vAlign w:val="center"/>
          </w:tcPr>
          <w:p w14:paraId="55E6B0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w:t>
            </w:r>
          </w:p>
        </w:tc>
        <w:tc>
          <w:tcPr>
            <w:tcW w:w="288" w:type="pct"/>
            <w:vAlign w:val="center"/>
          </w:tcPr>
          <w:p w14:paraId="0B7A33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r w14:paraId="4123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0350E5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33" w:type="pct"/>
            <w:vAlign w:val="center"/>
          </w:tcPr>
          <w:p w14:paraId="3CD89BB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多联机外机：</w:t>
            </w:r>
          </w:p>
          <w:p w14:paraId="20BFC5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一拖四</w:t>
            </w:r>
          </w:p>
        </w:tc>
        <w:tc>
          <w:tcPr>
            <w:tcW w:w="2670" w:type="pct"/>
            <w:vAlign w:val="center"/>
          </w:tcPr>
          <w:p w14:paraId="48F4421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1.能效等级：不低于二级；</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1F8A3AA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2.定频/变频：变频；电压/频率220V-400V/50Hz；</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015FA17E">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3.额定制热功率≤2.5KW；额定制冷功率≤2.4KW；额定制热量≥9KW；额定制冷量≥8KW；</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2C42A52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■4.噪音值≤60dB(A)。</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sz w:val="21"/>
                <w:szCs w:val="21"/>
                <w:highlight w:val="none"/>
              </w:rPr>
              <w:t>功</w:t>
            </w:r>
            <w:r>
              <w:rPr>
                <w:rFonts w:hint="eastAsia" w:ascii="宋体" w:hAnsi="宋体" w:eastAsia="宋体" w:cs="宋体"/>
                <w:color w:val="auto"/>
                <w:kern w:val="0"/>
                <w:sz w:val="21"/>
                <w:szCs w:val="21"/>
                <w:highlight w:val="none"/>
                <w:lang w:val="en-US" w:eastAsia="zh-CN" w:bidi="ar"/>
              </w:rPr>
              <w:t>能：换热器翅片管壁厚≥0.25mm</w:t>
            </w:r>
            <w:r>
              <w:rPr>
                <w:rFonts w:hint="eastAsia" w:ascii="宋体" w:hAnsi="宋体" w:eastAsia="宋体" w:cs="宋体"/>
                <w:color w:val="auto"/>
                <w:sz w:val="21"/>
                <w:szCs w:val="21"/>
                <w:highlight w:val="none"/>
              </w:rPr>
              <w:t>，</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3826C33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■6.配备与所投产品配套的整机出厂的压缩机、风扇电机。</w:t>
            </w:r>
            <w:r>
              <w:rPr>
                <w:rFonts w:hint="eastAsia" w:ascii="宋体" w:hAnsi="宋体" w:eastAsia="宋体" w:cs="宋体"/>
                <w:b/>
                <w:bCs/>
                <w:color w:val="auto"/>
                <w:kern w:val="0"/>
                <w:sz w:val="21"/>
                <w:szCs w:val="21"/>
                <w:highlight w:val="none"/>
                <w:lang w:val="en-US" w:eastAsia="zh-CN" w:bidi="ar"/>
              </w:rPr>
              <w:t>投标文件中提供生产厂商官网截图和链接，或产品彩页或其他技术资料。</w:t>
            </w:r>
          </w:p>
          <w:p w14:paraId="36ECEB2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7.除空调铜管外，安装及其调试运行中的一切材料及其费用均包含在空调费用内</w:t>
            </w:r>
            <w:r>
              <w:rPr>
                <w:rFonts w:hint="eastAsia" w:ascii="宋体" w:hAnsi="宋体" w:eastAsia="宋体" w:cs="宋体"/>
                <w:b/>
                <w:bCs/>
                <w:color w:val="auto"/>
                <w:kern w:val="0"/>
                <w:sz w:val="21"/>
                <w:szCs w:val="21"/>
                <w:highlight w:val="none"/>
                <w:lang w:val="en-US" w:eastAsia="zh-CN" w:bidi="ar"/>
              </w:rPr>
              <w:t>。</w:t>
            </w:r>
          </w:p>
        </w:tc>
        <w:tc>
          <w:tcPr>
            <w:tcW w:w="477" w:type="pct"/>
            <w:vAlign w:val="center"/>
          </w:tcPr>
          <w:p w14:paraId="13130F18">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15台</w:t>
            </w:r>
          </w:p>
        </w:tc>
        <w:tc>
          <w:tcPr>
            <w:tcW w:w="325" w:type="pct"/>
            <w:vAlign w:val="center"/>
          </w:tcPr>
          <w:p w14:paraId="49F66F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402" w:type="pct"/>
            <w:vAlign w:val="center"/>
          </w:tcPr>
          <w:p w14:paraId="121F1F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w:t>
            </w:r>
          </w:p>
        </w:tc>
        <w:tc>
          <w:tcPr>
            <w:tcW w:w="288" w:type="pct"/>
            <w:vAlign w:val="center"/>
          </w:tcPr>
          <w:p w14:paraId="652D05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r w14:paraId="2C35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517B9E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33" w:type="pct"/>
            <w:vAlign w:val="center"/>
          </w:tcPr>
          <w:p w14:paraId="0B65E3F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多联机外机：</w:t>
            </w:r>
          </w:p>
          <w:p w14:paraId="490B71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一拖五</w:t>
            </w:r>
          </w:p>
        </w:tc>
        <w:tc>
          <w:tcPr>
            <w:tcW w:w="2670" w:type="pct"/>
            <w:vAlign w:val="center"/>
          </w:tcPr>
          <w:p w14:paraId="7D7F2AF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1.能效等级：不低于二级；</w:t>
            </w:r>
            <w:r>
              <w:rPr>
                <w:rFonts w:hint="eastAsia" w:ascii="宋体" w:hAnsi="宋体" w:eastAsia="宋体" w:cs="宋体"/>
                <w:b/>
                <w:bCs/>
                <w:color w:val="auto"/>
                <w:kern w:val="0"/>
                <w:sz w:val="21"/>
                <w:szCs w:val="21"/>
                <w:highlight w:val="none"/>
                <w:lang w:val="en-US" w:eastAsia="zh-CN" w:bidi="ar"/>
              </w:rPr>
              <w:t>标文件中应提供生产厂商官网截图和链接，或产品彩页或其他技术资料。</w:t>
            </w:r>
          </w:p>
          <w:p w14:paraId="7A32DB77">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2.定频/变频：变频；电压/频率220V-400V/50Hz；</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2118040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3.额定制热功率≤3.6KW；额定制冷功率≤3.5KW；额定制热量≥13KW；额定制冷量≥12KW；</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5336380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■4.噪音值≤60dB(A)。</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sz w:val="21"/>
                <w:szCs w:val="21"/>
                <w:highlight w:val="none"/>
              </w:rPr>
              <w:t>功</w:t>
            </w:r>
            <w:r>
              <w:rPr>
                <w:rFonts w:hint="eastAsia" w:ascii="宋体" w:hAnsi="宋体" w:eastAsia="宋体" w:cs="宋体"/>
                <w:color w:val="auto"/>
                <w:kern w:val="0"/>
                <w:sz w:val="21"/>
                <w:szCs w:val="21"/>
                <w:highlight w:val="none"/>
                <w:lang w:val="en-US" w:eastAsia="zh-CN" w:bidi="ar"/>
              </w:rPr>
              <w:t>能：换热器翅片管壁厚≥0.25mm投标文件中应提供生产厂商官网截图和链接，或产品彩页或其他技术资料。</w:t>
            </w:r>
          </w:p>
          <w:p w14:paraId="7691F0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■6.配备与所投产品配套的整机出厂的压缩机、风扇电机。</w:t>
            </w:r>
            <w:r>
              <w:rPr>
                <w:rFonts w:hint="eastAsia" w:ascii="宋体" w:hAnsi="宋体" w:eastAsia="宋体" w:cs="宋体"/>
                <w:b/>
                <w:bCs/>
                <w:color w:val="auto"/>
                <w:kern w:val="0"/>
                <w:sz w:val="21"/>
                <w:szCs w:val="21"/>
                <w:highlight w:val="none"/>
                <w:lang w:val="en-US" w:eastAsia="zh-CN" w:bidi="ar"/>
              </w:rPr>
              <w:t>投标文件中提供生产厂商官网截图和链接，或产品彩页或其他技术资料。</w:t>
            </w:r>
          </w:p>
          <w:p w14:paraId="6D10E9F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7.除空调铜管外，安装及其调试运行中的一切材料及其费用均包含在空调费用内</w:t>
            </w:r>
            <w:r>
              <w:rPr>
                <w:rFonts w:hint="eastAsia" w:ascii="宋体" w:hAnsi="宋体" w:eastAsia="宋体" w:cs="宋体"/>
                <w:b/>
                <w:bCs/>
                <w:color w:val="auto"/>
                <w:kern w:val="0"/>
                <w:sz w:val="21"/>
                <w:szCs w:val="21"/>
                <w:highlight w:val="none"/>
                <w:lang w:val="en-US" w:eastAsia="zh-CN" w:bidi="ar"/>
              </w:rPr>
              <w:t>。</w:t>
            </w:r>
          </w:p>
        </w:tc>
        <w:tc>
          <w:tcPr>
            <w:tcW w:w="477" w:type="pct"/>
            <w:vAlign w:val="center"/>
          </w:tcPr>
          <w:p w14:paraId="09A04F8F">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6台</w:t>
            </w:r>
          </w:p>
        </w:tc>
        <w:tc>
          <w:tcPr>
            <w:tcW w:w="325" w:type="pct"/>
            <w:vAlign w:val="center"/>
          </w:tcPr>
          <w:p w14:paraId="523221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402" w:type="pct"/>
            <w:vAlign w:val="center"/>
          </w:tcPr>
          <w:p w14:paraId="6824E7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w:t>
            </w:r>
          </w:p>
        </w:tc>
        <w:tc>
          <w:tcPr>
            <w:tcW w:w="288" w:type="pct"/>
            <w:vAlign w:val="center"/>
          </w:tcPr>
          <w:p w14:paraId="280C3D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r w14:paraId="4ECE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2ED7A9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33" w:type="pct"/>
            <w:vAlign w:val="center"/>
          </w:tcPr>
          <w:p w14:paraId="48C1A79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多联机外机：</w:t>
            </w:r>
          </w:p>
          <w:p w14:paraId="45436A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一拖七</w:t>
            </w:r>
          </w:p>
        </w:tc>
        <w:tc>
          <w:tcPr>
            <w:tcW w:w="2670" w:type="pct"/>
            <w:vAlign w:val="center"/>
          </w:tcPr>
          <w:p w14:paraId="156DDC2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1.能效等级：不低于二级；</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1513083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2.定频/变频：变频；电压/频率220V-400V/50Hz；</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34A532BB">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3.额定制热功率≤5KW；额定制冷功率≤5KW；制热量≥17KW；制冷量≥15KW；</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33B8B56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■4.噪音值≤60dB(A)。</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sz w:val="21"/>
                <w:szCs w:val="21"/>
                <w:highlight w:val="none"/>
              </w:rPr>
              <w:t>功</w:t>
            </w:r>
            <w:r>
              <w:rPr>
                <w:rFonts w:hint="eastAsia" w:ascii="宋体" w:hAnsi="宋体" w:eastAsia="宋体" w:cs="宋体"/>
                <w:color w:val="auto"/>
                <w:kern w:val="0"/>
                <w:sz w:val="21"/>
                <w:szCs w:val="21"/>
                <w:highlight w:val="none"/>
                <w:lang w:val="en-US" w:eastAsia="zh-CN" w:bidi="ar"/>
              </w:rPr>
              <w:t>能：换热器翅片管壁厚≥0.25mm。</w:t>
            </w:r>
            <w:r>
              <w:rPr>
                <w:rFonts w:hint="eastAsia" w:ascii="宋体" w:hAnsi="宋体" w:eastAsia="宋体" w:cs="宋体"/>
                <w:b/>
                <w:bCs/>
                <w:color w:val="auto"/>
                <w:kern w:val="0"/>
                <w:sz w:val="21"/>
                <w:szCs w:val="21"/>
                <w:highlight w:val="none"/>
                <w:lang w:val="en-US" w:eastAsia="zh-CN" w:bidi="ar"/>
              </w:rPr>
              <w:t>投标文件中应提供生产厂商官网截图和链接，或产品彩页或其他技术资料。</w:t>
            </w:r>
          </w:p>
          <w:p w14:paraId="2B0AF3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■6.配备与所投产品配套的整机出厂的压缩机、风扇电机。</w:t>
            </w:r>
            <w:r>
              <w:rPr>
                <w:rFonts w:hint="eastAsia" w:ascii="宋体" w:hAnsi="宋体" w:eastAsia="宋体" w:cs="宋体"/>
                <w:b/>
                <w:bCs/>
                <w:color w:val="auto"/>
                <w:kern w:val="0"/>
                <w:sz w:val="21"/>
                <w:szCs w:val="21"/>
                <w:highlight w:val="none"/>
                <w:lang w:val="en-US" w:eastAsia="zh-CN" w:bidi="ar"/>
              </w:rPr>
              <w:t>投标文件中提供生产厂商官网截图和链接，或产品彩页或其他技术资料。</w:t>
            </w:r>
          </w:p>
          <w:p w14:paraId="528B1AB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7.除空调铜管外，安装及其调试运行中的一切材料及其费用均包含在空调费用内</w:t>
            </w:r>
            <w:r>
              <w:rPr>
                <w:rFonts w:hint="eastAsia" w:ascii="宋体" w:hAnsi="宋体" w:eastAsia="宋体" w:cs="宋体"/>
                <w:b/>
                <w:bCs/>
                <w:color w:val="auto"/>
                <w:kern w:val="0"/>
                <w:sz w:val="21"/>
                <w:szCs w:val="21"/>
                <w:highlight w:val="none"/>
                <w:lang w:val="en-US" w:eastAsia="zh-CN" w:bidi="ar"/>
              </w:rPr>
              <w:t>。</w:t>
            </w:r>
          </w:p>
        </w:tc>
        <w:tc>
          <w:tcPr>
            <w:tcW w:w="477" w:type="pct"/>
            <w:vAlign w:val="center"/>
          </w:tcPr>
          <w:p w14:paraId="5C87A7B0">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6台</w:t>
            </w:r>
          </w:p>
        </w:tc>
        <w:tc>
          <w:tcPr>
            <w:tcW w:w="325" w:type="pct"/>
            <w:vAlign w:val="center"/>
          </w:tcPr>
          <w:p w14:paraId="33310A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402" w:type="pct"/>
            <w:vAlign w:val="center"/>
          </w:tcPr>
          <w:p w14:paraId="21222A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w:t>
            </w:r>
          </w:p>
        </w:tc>
        <w:tc>
          <w:tcPr>
            <w:tcW w:w="288" w:type="pct"/>
            <w:vAlign w:val="center"/>
          </w:tcPr>
          <w:p w14:paraId="0FC7A7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r w14:paraId="4AF2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5145FF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33" w:type="pct"/>
            <w:vAlign w:val="center"/>
          </w:tcPr>
          <w:p w14:paraId="4069E6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多联机壁挂式内机标配铜管</w:t>
            </w:r>
          </w:p>
        </w:tc>
        <w:tc>
          <w:tcPr>
            <w:tcW w:w="2670" w:type="pct"/>
            <w:vAlign w:val="center"/>
          </w:tcPr>
          <w:p w14:paraId="79162E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■1.连接标配铜管：6.35mm(管壁厚0.8mm)/12.7mm（管壁厚0.8mm)【管径及管壁厚度允许正负偏差，负偏差不得超出10%】，进场前提供样品，经测量符合要求后，方可使用。</w:t>
            </w:r>
          </w:p>
        </w:tc>
        <w:tc>
          <w:tcPr>
            <w:tcW w:w="477" w:type="pct"/>
            <w:vAlign w:val="center"/>
          </w:tcPr>
          <w:p w14:paraId="71EA947E">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404米</w:t>
            </w:r>
          </w:p>
        </w:tc>
        <w:tc>
          <w:tcPr>
            <w:tcW w:w="325" w:type="pct"/>
            <w:vAlign w:val="center"/>
          </w:tcPr>
          <w:p w14:paraId="35B92B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402" w:type="pct"/>
            <w:vAlign w:val="center"/>
          </w:tcPr>
          <w:p w14:paraId="4D4DCA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否</w:t>
            </w:r>
          </w:p>
        </w:tc>
        <w:tc>
          <w:tcPr>
            <w:tcW w:w="288" w:type="pct"/>
            <w:vAlign w:val="center"/>
          </w:tcPr>
          <w:p w14:paraId="36D231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r w14:paraId="76C5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422145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533" w:type="pct"/>
            <w:vAlign w:val="center"/>
          </w:tcPr>
          <w:p w14:paraId="420244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多联机一拖三、一拖四、一拖五外机标配铜管</w:t>
            </w:r>
          </w:p>
        </w:tc>
        <w:tc>
          <w:tcPr>
            <w:tcW w:w="2670" w:type="pct"/>
            <w:vAlign w:val="center"/>
          </w:tcPr>
          <w:p w14:paraId="07CB10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■1.连接标配铜管：9.52mm(管壁厚0.8mm)/15.88mm（管壁厚1mm)【管径及管壁厚度允许正负偏差，负偏差不得超出10%】。进场前提供样品，经测量符合要求后，方可使用。</w:t>
            </w:r>
          </w:p>
        </w:tc>
        <w:tc>
          <w:tcPr>
            <w:tcW w:w="477" w:type="pct"/>
            <w:vAlign w:val="center"/>
          </w:tcPr>
          <w:p w14:paraId="6558C387">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667米</w:t>
            </w:r>
          </w:p>
        </w:tc>
        <w:tc>
          <w:tcPr>
            <w:tcW w:w="325" w:type="pct"/>
            <w:vAlign w:val="center"/>
          </w:tcPr>
          <w:p w14:paraId="092A77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402" w:type="pct"/>
            <w:vAlign w:val="center"/>
          </w:tcPr>
          <w:p w14:paraId="0EE43F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否</w:t>
            </w:r>
          </w:p>
        </w:tc>
        <w:tc>
          <w:tcPr>
            <w:tcW w:w="288" w:type="pct"/>
            <w:vAlign w:val="center"/>
          </w:tcPr>
          <w:p w14:paraId="5E2ADD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宋体" w:hAnsi="宋体" w:eastAsia="宋体" w:cs="宋体"/>
                <w:bCs/>
                <w:color w:val="auto"/>
                <w:sz w:val="21"/>
                <w:szCs w:val="21"/>
                <w:highlight w:val="none"/>
                <w:lang w:val="en-US" w:eastAsia="zh-CN"/>
              </w:rPr>
            </w:pPr>
          </w:p>
        </w:tc>
      </w:tr>
      <w:tr w14:paraId="4188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05EF3B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533" w:type="pct"/>
            <w:vAlign w:val="center"/>
          </w:tcPr>
          <w:p w14:paraId="7AD977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多联机一拖七外机标配铜管</w:t>
            </w:r>
          </w:p>
        </w:tc>
        <w:tc>
          <w:tcPr>
            <w:tcW w:w="2670" w:type="pct"/>
            <w:vAlign w:val="center"/>
          </w:tcPr>
          <w:p w14:paraId="77E9C8A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■1.连接标配铜管：9.52mm(管壁厚0.8mm)/19.05mm（管壁厚1mm)【管径及管壁厚度允许正负偏差，负偏差不得超出10%】。进场前提供样品，经测量符合要求后，方可使用。</w:t>
            </w:r>
          </w:p>
        </w:tc>
        <w:tc>
          <w:tcPr>
            <w:tcW w:w="477" w:type="pct"/>
            <w:vAlign w:val="center"/>
          </w:tcPr>
          <w:p w14:paraId="09DFC1FA">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168米</w:t>
            </w:r>
          </w:p>
        </w:tc>
        <w:tc>
          <w:tcPr>
            <w:tcW w:w="325" w:type="pct"/>
            <w:vAlign w:val="center"/>
          </w:tcPr>
          <w:p w14:paraId="3FDA95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402" w:type="pct"/>
            <w:vAlign w:val="center"/>
          </w:tcPr>
          <w:p w14:paraId="3E6B05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否</w:t>
            </w:r>
          </w:p>
        </w:tc>
        <w:tc>
          <w:tcPr>
            <w:tcW w:w="288" w:type="pct"/>
            <w:vAlign w:val="center"/>
          </w:tcPr>
          <w:p w14:paraId="0F7CBF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bl>
    <w:p w14:paraId="7211EA8A">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三</w:t>
      </w:r>
      <w:r>
        <w:rPr>
          <w:rFonts w:hint="eastAsia" w:ascii="宋体" w:hAnsi="宋体" w:eastAsia="宋体"/>
          <w:b/>
          <w:bCs/>
          <w:color w:val="auto"/>
          <w:sz w:val="24"/>
          <w:szCs w:val="18"/>
          <w:highlight w:val="none"/>
        </w:rPr>
        <w:t>、报价要求</w:t>
      </w:r>
      <w:bookmarkEnd w:id="38"/>
      <w:bookmarkEnd w:id="39"/>
    </w:p>
    <w:p w14:paraId="30B6BC65">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投标报价包括对应本项目需求的全部货物及所需附件购置费、包装费、运输费、人工费、保险费、安装调试费、各种税费、资料费、售后服务费及完成项目应有的全部费用。投标人所报综合单价不予调整，其中采购范围内的铜管按使用量据实结算。请投标人综合考虑各种风险，谨慎报价。</w:t>
      </w:r>
    </w:p>
    <w:p w14:paraId="0C00EC5F">
      <w:pPr>
        <w:spacing w:line="360" w:lineRule="auto"/>
        <w:ind w:firstLine="437"/>
        <w:outlineLvl w:val="1"/>
        <w:rPr>
          <w:rFonts w:ascii="宋体" w:hAnsi="宋体" w:eastAsia="宋体"/>
          <w:b/>
          <w:bCs/>
          <w:color w:val="auto"/>
          <w:sz w:val="24"/>
          <w:szCs w:val="18"/>
          <w:highlight w:val="none"/>
        </w:rPr>
      </w:pPr>
      <w:bookmarkStart w:id="40" w:name="_Toc15293"/>
      <w:bookmarkStart w:id="41" w:name="_Toc14698"/>
      <w:r>
        <w:rPr>
          <w:rFonts w:hint="eastAsia" w:ascii="宋体" w:hAnsi="宋体" w:eastAsia="宋体"/>
          <w:b/>
          <w:bCs/>
          <w:color w:val="auto"/>
          <w:sz w:val="24"/>
          <w:szCs w:val="18"/>
          <w:highlight w:val="none"/>
          <w:lang w:val="en-US" w:eastAsia="zh-CN"/>
        </w:rPr>
        <w:t>五</w:t>
      </w:r>
      <w:r>
        <w:rPr>
          <w:rFonts w:hint="eastAsia" w:ascii="宋体" w:hAnsi="宋体" w:eastAsia="宋体"/>
          <w:b/>
          <w:bCs/>
          <w:color w:val="auto"/>
          <w:sz w:val="24"/>
          <w:szCs w:val="18"/>
          <w:highlight w:val="none"/>
        </w:rPr>
        <w:t>、其他要求</w:t>
      </w:r>
      <w:bookmarkEnd w:id="40"/>
      <w:bookmarkEnd w:id="41"/>
    </w:p>
    <w:p w14:paraId="6BEC8282">
      <w:pPr>
        <w:spacing w:line="360" w:lineRule="auto"/>
        <w:ind w:firstLine="437"/>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1.安装要求</w:t>
      </w:r>
    </w:p>
    <w:p w14:paraId="6270C232">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1.1采购人将电源送至空调内外机计划位置，其余零星线路均由中标人负责，费用含在空调费用内；每台空调机线控制面板应按采购人指定的位置安装，其费用包含在空调费用内；空调充氟利昂、开孔、封堵、管线及设备固定材料及安装、排水管、安装措施、既有设备保护、卫生保洁、设备调试等所发生的费用均包含在空调费用内；室外主机需用焊接成型的镀锌方管、镀锌角铁作为支架支撑，具体规格尺寸根据外机实际情况制作，其费用包含在空调费用内；冷凝水管及排水管材：给水U-PVC 、PP-R、PP-C管材，其费用包含在空调费用内。保温棉、信号线、排水管、电源线、其他配套辅材及安装调试等一切费用均包含在空调费用内。</w:t>
      </w:r>
    </w:p>
    <w:p w14:paraId="15B9CC2B">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1.2所用管线材料及其空调设备等须符合国家环保和强制性要求。</w:t>
      </w:r>
    </w:p>
    <w:p w14:paraId="2D84CFEB">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1.3空调安装须符合规范要求，安装期间必须文明施工，质保期服务必须满足采购文件需求。</w:t>
      </w:r>
    </w:p>
    <w:p w14:paraId="573E5EDD">
      <w:pPr>
        <w:numPr>
          <w:ilvl w:val="0"/>
          <w:numId w:val="0"/>
        </w:numPr>
        <w:spacing w:line="360" w:lineRule="auto"/>
        <w:ind w:firstLine="480" w:firstLineChars="200"/>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2.主辅材要求：所有主材和辅材、主件和配件应为市面可见的全新正规产品，不得使用二手产品。原厂商有配套空调配套材料的，必须使用原厂商材料。</w:t>
      </w:r>
    </w:p>
    <w:p w14:paraId="31B44E40">
      <w:pPr>
        <w:numPr>
          <w:ilvl w:val="0"/>
          <w:numId w:val="0"/>
        </w:numPr>
        <w:spacing w:line="360" w:lineRule="auto"/>
        <w:ind w:firstLine="480"/>
        <w:rPr>
          <w:rFonts w:hint="eastAsia" w:ascii="宋体" w:hAnsi="宋体" w:eastAsia="宋体"/>
          <w:b/>
          <w:bCs w:val="0"/>
          <w:color w:val="auto"/>
          <w:sz w:val="24"/>
          <w:szCs w:val="18"/>
          <w:highlight w:val="none"/>
          <w:lang w:val="en-US" w:eastAsia="zh-CN"/>
        </w:rPr>
      </w:pPr>
      <w:r>
        <w:rPr>
          <w:rFonts w:hint="eastAsia" w:ascii="宋体" w:hAnsi="宋体" w:eastAsia="宋体"/>
          <w:bCs/>
          <w:color w:val="auto"/>
          <w:sz w:val="24"/>
          <w:szCs w:val="18"/>
          <w:highlight w:val="none"/>
          <w:lang w:val="en-US" w:eastAsia="zh-CN"/>
        </w:rPr>
        <w:t>3.中标人安装期间，做好采购人既有设施设备的保护和管理，因施工给采购人来损失的，应予以修复和赔偿。安装结束后提交验收前应做好现场保洁，确保整洁干净。</w:t>
      </w:r>
      <w:r>
        <w:rPr>
          <w:rFonts w:hint="eastAsia" w:ascii="宋体" w:hAnsi="宋体" w:eastAsia="宋体"/>
          <w:b/>
          <w:bCs w:val="0"/>
          <w:color w:val="auto"/>
          <w:sz w:val="24"/>
          <w:szCs w:val="18"/>
          <w:highlight w:val="none"/>
          <w:lang w:val="en-US" w:eastAsia="zh-CN"/>
        </w:rPr>
        <w:t>投标人在投标文件文件中提供承诺书，未提供响应承诺书的视为无效处理。</w:t>
      </w:r>
    </w:p>
    <w:p w14:paraId="66EAF0DC">
      <w:pPr>
        <w:numPr>
          <w:ilvl w:val="0"/>
          <w:numId w:val="0"/>
        </w:numPr>
        <w:spacing w:line="360" w:lineRule="auto"/>
        <w:ind w:firstLine="480" w:firstLineChars="200"/>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4.本项目系货物采购安装工程，不收取水电费。</w:t>
      </w:r>
    </w:p>
    <w:p w14:paraId="31F0F0A0">
      <w:pPr>
        <w:numPr>
          <w:ilvl w:val="0"/>
          <w:numId w:val="0"/>
        </w:numPr>
        <w:rPr>
          <w:rFonts w:hint="default"/>
          <w:color w:val="auto"/>
          <w:highlight w:val="none"/>
          <w:lang w:val="en-US" w:eastAsia="zh-CN"/>
        </w:rPr>
      </w:pPr>
    </w:p>
    <w:p w14:paraId="355571FF">
      <w:pPr>
        <w:rPr>
          <w:rFonts w:hint="eastAsia" w:asciiTheme="minorEastAsia" w:hAnsiTheme="minorEastAsia" w:eastAsiaTheme="minorEastAsia"/>
          <w:b/>
          <w:color w:val="auto"/>
          <w:sz w:val="28"/>
          <w:highlight w:val="none"/>
        </w:rPr>
      </w:pPr>
      <w:bookmarkStart w:id="42" w:name="_Toc16417"/>
      <w:r>
        <w:rPr>
          <w:rFonts w:hint="eastAsia" w:asciiTheme="minorEastAsia" w:hAnsiTheme="minorEastAsia" w:eastAsiaTheme="minorEastAsia"/>
          <w:b/>
          <w:color w:val="auto"/>
          <w:sz w:val="28"/>
          <w:highlight w:val="none"/>
        </w:rPr>
        <w:br w:type="page"/>
      </w:r>
    </w:p>
    <w:p w14:paraId="279C25AF">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42"/>
    </w:p>
    <w:p w14:paraId="36FB348D">
      <w:pPr>
        <w:spacing w:line="360" w:lineRule="auto"/>
        <w:ind w:firstLine="437"/>
        <w:outlineLvl w:val="1"/>
        <w:rPr>
          <w:rFonts w:asciiTheme="minorEastAsia" w:hAnsiTheme="minorEastAsia" w:eastAsiaTheme="minorEastAsia"/>
          <w:b/>
          <w:color w:val="auto"/>
          <w:sz w:val="24"/>
          <w:highlight w:val="none"/>
        </w:rPr>
      </w:pPr>
      <w:bookmarkStart w:id="43" w:name="_Toc11823"/>
      <w:bookmarkStart w:id="44" w:name="_Toc1246"/>
      <w:r>
        <w:rPr>
          <w:rFonts w:hint="eastAsia" w:asciiTheme="minorEastAsia" w:hAnsiTheme="minorEastAsia" w:eastAsiaTheme="minorEastAsia"/>
          <w:b/>
          <w:color w:val="auto"/>
          <w:sz w:val="24"/>
          <w:highlight w:val="none"/>
        </w:rPr>
        <w:t>一、总则</w:t>
      </w:r>
      <w:bookmarkEnd w:id="43"/>
      <w:bookmarkEnd w:id="44"/>
    </w:p>
    <w:p w14:paraId="19F1BC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527F94B">
      <w:pPr>
        <w:spacing w:line="360" w:lineRule="auto"/>
        <w:ind w:firstLine="437"/>
        <w:outlineLvl w:val="1"/>
        <w:rPr>
          <w:rFonts w:asciiTheme="minorEastAsia" w:hAnsiTheme="minorEastAsia" w:eastAsiaTheme="minorEastAsia"/>
          <w:b/>
          <w:color w:val="auto"/>
          <w:sz w:val="24"/>
          <w:highlight w:val="none"/>
        </w:rPr>
      </w:pPr>
      <w:bookmarkStart w:id="45" w:name="_Toc13117"/>
      <w:bookmarkStart w:id="46" w:name="_Toc31871"/>
      <w:r>
        <w:rPr>
          <w:rFonts w:hint="eastAsia" w:asciiTheme="minorEastAsia" w:hAnsiTheme="minorEastAsia" w:eastAsiaTheme="minorEastAsia"/>
          <w:b/>
          <w:color w:val="auto"/>
          <w:sz w:val="24"/>
          <w:highlight w:val="none"/>
        </w:rPr>
        <w:t>二、评标方法</w:t>
      </w:r>
      <w:bookmarkEnd w:id="45"/>
      <w:bookmarkEnd w:id="46"/>
    </w:p>
    <w:p w14:paraId="40AD420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3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648"/>
        <w:gridCol w:w="4558"/>
        <w:gridCol w:w="2220"/>
      </w:tblGrid>
      <w:tr w14:paraId="7F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AE9911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ED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vAlign w:val="center"/>
          </w:tcPr>
          <w:p w14:paraId="6EF5068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07" w:type="pct"/>
            <w:tcBorders>
              <w:bottom w:val="single" w:color="auto" w:sz="4" w:space="0"/>
            </w:tcBorders>
            <w:vAlign w:val="center"/>
          </w:tcPr>
          <w:p w14:paraId="11869532">
            <w:pPr>
              <w:pStyle w:val="37"/>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509" w:type="pct"/>
            <w:tcBorders>
              <w:bottom w:val="single" w:color="auto" w:sz="4" w:space="0"/>
            </w:tcBorders>
            <w:vAlign w:val="center"/>
          </w:tcPr>
          <w:p w14:paraId="42B470F8">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220" w:type="pct"/>
            <w:tcBorders>
              <w:bottom w:val="single" w:color="auto" w:sz="4" w:space="0"/>
            </w:tcBorders>
            <w:vAlign w:val="center"/>
          </w:tcPr>
          <w:p w14:paraId="55DEE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29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2" w:type="pct"/>
            <w:tcBorders>
              <w:bottom w:val="single" w:color="auto" w:sz="4" w:space="0"/>
            </w:tcBorders>
            <w:vAlign w:val="center"/>
          </w:tcPr>
          <w:p w14:paraId="694D420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07" w:type="pct"/>
            <w:tcBorders>
              <w:bottom w:val="single" w:color="auto" w:sz="4" w:space="0"/>
            </w:tcBorders>
            <w:vAlign w:val="center"/>
          </w:tcPr>
          <w:p w14:paraId="07E3D5C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09" w:type="pct"/>
            <w:tcBorders>
              <w:bottom w:val="single" w:color="auto" w:sz="4" w:space="0"/>
            </w:tcBorders>
            <w:vAlign w:val="center"/>
          </w:tcPr>
          <w:p w14:paraId="2D206A2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1AD42113">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6E619164">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11D3135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29D30936">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220" w:type="pct"/>
            <w:vAlign w:val="center"/>
          </w:tcPr>
          <w:p w14:paraId="6B7C513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B2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2" w:type="pct"/>
            <w:tcBorders>
              <w:bottom w:val="single" w:color="auto" w:sz="4" w:space="0"/>
            </w:tcBorders>
            <w:vAlign w:val="center"/>
          </w:tcPr>
          <w:p w14:paraId="02DEF09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07" w:type="pct"/>
            <w:tcBorders>
              <w:bottom w:val="single" w:color="auto" w:sz="4" w:space="0"/>
            </w:tcBorders>
            <w:vAlign w:val="center"/>
          </w:tcPr>
          <w:p w14:paraId="4FE2BB42">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09" w:type="pct"/>
            <w:tcBorders>
              <w:bottom w:val="single" w:color="auto" w:sz="4" w:space="0"/>
            </w:tcBorders>
            <w:vAlign w:val="center"/>
          </w:tcPr>
          <w:p w14:paraId="696248A5">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220" w:type="pct"/>
            <w:vAlign w:val="center"/>
          </w:tcPr>
          <w:p w14:paraId="75138E7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73D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vAlign w:val="center"/>
          </w:tcPr>
          <w:p w14:paraId="7FF1CBD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07" w:type="pct"/>
            <w:tcBorders>
              <w:bottom w:val="single" w:color="auto" w:sz="4" w:space="0"/>
            </w:tcBorders>
            <w:vAlign w:val="center"/>
          </w:tcPr>
          <w:p w14:paraId="0E70A6B6">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09" w:type="pct"/>
            <w:tcBorders>
              <w:bottom w:val="single" w:color="auto" w:sz="4" w:space="0"/>
            </w:tcBorders>
            <w:vAlign w:val="center"/>
          </w:tcPr>
          <w:p w14:paraId="090CE335">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220" w:type="pct"/>
            <w:tcBorders>
              <w:bottom w:val="single" w:color="auto" w:sz="4" w:space="0"/>
            </w:tcBorders>
            <w:vAlign w:val="center"/>
          </w:tcPr>
          <w:p w14:paraId="5CD1505C">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7254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vAlign w:val="center"/>
          </w:tcPr>
          <w:p w14:paraId="77C33C4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07" w:type="pct"/>
            <w:tcBorders>
              <w:bottom w:val="single" w:color="auto" w:sz="4" w:space="0"/>
            </w:tcBorders>
            <w:vAlign w:val="center"/>
          </w:tcPr>
          <w:p w14:paraId="2F5FD024">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509" w:type="pct"/>
            <w:tcBorders>
              <w:bottom w:val="single" w:color="auto" w:sz="4" w:space="0"/>
            </w:tcBorders>
            <w:vAlign w:val="center"/>
          </w:tcPr>
          <w:p w14:paraId="18FF088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1220" w:type="pct"/>
            <w:tcBorders>
              <w:bottom w:val="single" w:color="auto" w:sz="4" w:space="0"/>
            </w:tcBorders>
            <w:vAlign w:val="center"/>
          </w:tcPr>
          <w:p w14:paraId="7E76CF47">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6F1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14:paraId="1E140DA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07" w:type="pct"/>
            <w:vAlign w:val="center"/>
          </w:tcPr>
          <w:p w14:paraId="34D8973F">
            <w:pPr>
              <w:spacing w:after="50" w:line="360" w:lineRule="auto"/>
              <w:ind w:right="-10"/>
              <w:jc w:val="both"/>
              <w:rPr>
                <w:rFonts w:ascii="宋体" w:hAnsi="宋体" w:eastAsia="宋体" w:cs="宋体"/>
                <w:color w:val="auto"/>
                <w:spacing w:val="10"/>
                <w:sz w:val="24"/>
                <w:szCs w:val="24"/>
                <w:highlight w:val="none"/>
                <w:lang w:val="en-US" w:eastAsia="zh-CN"/>
              </w:rPr>
            </w:pPr>
            <w:r>
              <w:rPr>
                <w:rFonts w:ascii="宋体" w:hAnsi="宋体" w:eastAsia="宋体" w:cs="宋体"/>
                <w:color w:val="auto"/>
                <w:spacing w:val="10"/>
                <w:sz w:val="24"/>
                <w:szCs w:val="24"/>
                <w:highlight w:val="none"/>
              </w:rPr>
              <w:t>本项目的特定资格要求</w:t>
            </w:r>
          </w:p>
        </w:tc>
        <w:tc>
          <w:tcPr>
            <w:tcW w:w="2509" w:type="pct"/>
            <w:vAlign w:val="center"/>
          </w:tcPr>
          <w:p w14:paraId="6E4DCC4D">
            <w:pPr>
              <w:spacing w:after="50" w:line="360" w:lineRule="auto"/>
              <w:ind w:right="-1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如有，见第一章《投标邀请》</w:t>
            </w:r>
          </w:p>
        </w:tc>
        <w:tc>
          <w:tcPr>
            <w:tcW w:w="1220" w:type="pct"/>
            <w:vAlign w:val="center"/>
          </w:tcPr>
          <w:p w14:paraId="7EAB58B4">
            <w:pPr>
              <w:spacing w:after="50" w:line="360" w:lineRule="auto"/>
              <w:ind w:right="-10"/>
              <w:jc w:val="both"/>
              <w:rPr>
                <w:rFonts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2B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14:paraId="7EBF4EAC">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07" w:type="pct"/>
            <w:shd w:val="clear" w:color="auto" w:fill="auto"/>
            <w:vAlign w:val="center"/>
          </w:tcPr>
          <w:p w14:paraId="4EEB76F8">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center"/>
              <w:rPr>
                <w:rFonts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sz w:val="24"/>
                <w:szCs w:val="24"/>
                <w:highlight w:val="none"/>
              </w:rPr>
              <w:t>诚信投标承诺书</w:t>
            </w:r>
          </w:p>
        </w:tc>
        <w:tc>
          <w:tcPr>
            <w:tcW w:w="2509" w:type="pct"/>
            <w:shd w:val="clear" w:color="auto" w:fill="auto"/>
            <w:vAlign w:val="center"/>
          </w:tcPr>
          <w:p w14:paraId="33CAB7ED">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en-US" w:bidi="ar-SA"/>
              </w:rPr>
              <w:t>格式、填写要求符合招标文件规定并加盖投标人电子签章</w:t>
            </w:r>
          </w:p>
        </w:tc>
        <w:tc>
          <w:tcPr>
            <w:tcW w:w="1220" w:type="pct"/>
            <w:shd w:val="clear" w:color="auto" w:fill="auto"/>
            <w:vAlign w:val="center"/>
          </w:tcPr>
          <w:p w14:paraId="71DB19B1">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bl>
    <w:p w14:paraId="5C0F0F0D">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D1D94D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29ACA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7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755"/>
        <w:gridCol w:w="4065"/>
        <w:gridCol w:w="3292"/>
      </w:tblGrid>
      <w:tr w14:paraId="7A2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C2C4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4A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89" w:type="pct"/>
            <w:tcBorders>
              <w:bottom w:val="single" w:color="auto" w:sz="4" w:space="0"/>
            </w:tcBorders>
            <w:vAlign w:val="center"/>
          </w:tcPr>
          <w:p w14:paraId="37E0F44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888" w:type="pct"/>
            <w:tcBorders>
              <w:bottom w:val="single" w:color="auto" w:sz="4" w:space="0"/>
            </w:tcBorders>
            <w:vAlign w:val="center"/>
          </w:tcPr>
          <w:p w14:paraId="7EEA7CDE">
            <w:pPr>
              <w:pStyle w:val="37"/>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2057" w:type="pct"/>
            <w:tcBorders>
              <w:bottom w:val="single" w:color="auto" w:sz="4" w:space="0"/>
            </w:tcBorders>
            <w:vAlign w:val="center"/>
          </w:tcPr>
          <w:p w14:paraId="66528796">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664" w:type="pct"/>
            <w:tcBorders>
              <w:bottom w:val="single" w:color="auto" w:sz="4" w:space="0"/>
            </w:tcBorders>
            <w:vAlign w:val="center"/>
          </w:tcPr>
          <w:p w14:paraId="275F948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5CA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3D38D85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888" w:type="pct"/>
            <w:vAlign w:val="center"/>
          </w:tcPr>
          <w:p w14:paraId="1AD2D96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2057" w:type="pct"/>
            <w:vAlign w:val="center"/>
          </w:tcPr>
          <w:p w14:paraId="5FFB2C9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664" w:type="pct"/>
            <w:vAlign w:val="center"/>
          </w:tcPr>
          <w:p w14:paraId="2F9F34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B69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2CBA36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888" w:type="pct"/>
            <w:vAlign w:val="center"/>
          </w:tcPr>
          <w:p w14:paraId="4E436A9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2057" w:type="pct"/>
            <w:vAlign w:val="center"/>
          </w:tcPr>
          <w:p w14:paraId="71B88ED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664" w:type="pct"/>
            <w:vAlign w:val="center"/>
          </w:tcPr>
          <w:p w14:paraId="4FA487B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2B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058DB2F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888" w:type="pct"/>
            <w:vAlign w:val="center"/>
          </w:tcPr>
          <w:p w14:paraId="7495C38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057" w:type="pct"/>
            <w:vAlign w:val="center"/>
          </w:tcPr>
          <w:p w14:paraId="12C2E3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664" w:type="pct"/>
            <w:vAlign w:val="center"/>
          </w:tcPr>
          <w:p w14:paraId="2D906B2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EF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49BE686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888" w:type="pct"/>
            <w:vAlign w:val="center"/>
          </w:tcPr>
          <w:p w14:paraId="7DAECA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2057" w:type="pct"/>
            <w:vAlign w:val="center"/>
          </w:tcPr>
          <w:p w14:paraId="12C4EB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664" w:type="pct"/>
            <w:vAlign w:val="center"/>
          </w:tcPr>
          <w:p w14:paraId="2071289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ECD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0255A01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888" w:type="pct"/>
            <w:vAlign w:val="center"/>
          </w:tcPr>
          <w:p w14:paraId="4D1992A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057" w:type="pct"/>
            <w:vAlign w:val="center"/>
          </w:tcPr>
          <w:p w14:paraId="6CD21DB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664" w:type="pct"/>
            <w:vAlign w:val="center"/>
          </w:tcPr>
          <w:p w14:paraId="002ED43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87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35C6D09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888" w:type="pct"/>
            <w:vAlign w:val="center"/>
          </w:tcPr>
          <w:p w14:paraId="5A915EF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057" w:type="pct"/>
            <w:vAlign w:val="center"/>
          </w:tcPr>
          <w:p w14:paraId="67394AE6">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664" w:type="pct"/>
            <w:vAlign w:val="center"/>
          </w:tcPr>
          <w:p w14:paraId="4DF8682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CA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00796BB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888" w:type="pct"/>
            <w:vAlign w:val="center"/>
          </w:tcPr>
          <w:p w14:paraId="3AAE012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057" w:type="pct"/>
            <w:vAlign w:val="center"/>
          </w:tcPr>
          <w:p w14:paraId="21D4605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664" w:type="pct"/>
            <w:vAlign w:val="center"/>
          </w:tcPr>
          <w:p w14:paraId="63368BC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7A781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rPr>
        <w:t>审查</w:t>
      </w:r>
    </w:p>
    <w:tbl>
      <w:tblPr>
        <w:tblStyle w:val="27"/>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1685EC71">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48227F1E">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75A52B50">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B9A7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88BF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6A296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2AF026C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23C179B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0B014BAB">
            <w:pPr>
              <w:pStyle w:val="9"/>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7B457B8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A071BDD">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1CABF238">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262C0784">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49D55E2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85FBC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84909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rPr>
        <w:t>%。具体评分细则如下：</w:t>
      </w:r>
    </w:p>
    <w:tbl>
      <w:tblPr>
        <w:tblStyle w:val="27"/>
        <w:tblW w:w="59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221"/>
        <w:gridCol w:w="6321"/>
        <w:gridCol w:w="1187"/>
      </w:tblGrid>
      <w:tr w14:paraId="210E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3" w:type="pct"/>
            <w:tcBorders>
              <w:top w:val="single" w:color="auto" w:sz="4" w:space="0"/>
              <w:left w:val="single" w:color="auto" w:sz="4" w:space="0"/>
              <w:bottom w:val="single" w:color="auto" w:sz="4" w:space="0"/>
              <w:right w:val="single" w:color="auto" w:sz="4" w:space="0"/>
            </w:tcBorders>
            <w:vAlign w:val="center"/>
          </w:tcPr>
          <w:p w14:paraId="3A89393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01" w:type="pct"/>
            <w:tcBorders>
              <w:top w:val="single" w:color="auto" w:sz="4" w:space="0"/>
              <w:left w:val="single" w:color="auto" w:sz="4" w:space="0"/>
              <w:bottom w:val="single" w:color="auto" w:sz="4" w:space="0"/>
              <w:right w:val="single" w:color="auto" w:sz="4" w:space="0"/>
            </w:tcBorders>
            <w:vAlign w:val="center"/>
          </w:tcPr>
          <w:p w14:paraId="14068F5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3111" w:type="pct"/>
            <w:tcBorders>
              <w:top w:val="single" w:color="auto" w:sz="4" w:space="0"/>
              <w:left w:val="single" w:color="auto" w:sz="4" w:space="0"/>
              <w:bottom w:val="single" w:color="auto" w:sz="4" w:space="0"/>
              <w:right w:val="single" w:color="auto" w:sz="4" w:space="0"/>
            </w:tcBorders>
            <w:vAlign w:val="center"/>
          </w:tcPr>
          <w:p w14:paraId="2F9E0AE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83" w:type="pct"/>
            <w:tcBorders>
              <w:top w:val="single" w:color="auto" w:sz="4" w:space="0"/>
              <w:left w:val="single" w:color="auto" w:sz="4" w:space="0"/>
              <w:bottom w:val="single" w:color="auto" w:sz="4" w:space="0"/>
              <w:right w:val="single" w:color="auto" w:sz="4" w:space="0"/>
            </w:tcBorders>
            <w:vAlign w:val="center"/>
          </w:tcPr>
          <w:p w14:paraId="204AEBE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561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restart"/>
            <w:tcBorders>
              <w:top w:val="single" w:color="auto" w:sz="4" w:space="0"/>
              <w:left w:val="single" w:color="auto" w:sz="4" w:space="0"/>
              <w:right w:val="single" w:color="auto" w:sz="4" w:space="0"/>
            </w:tcBorders>
            <w:vAlign w:val="center"/>
          </w:tcPr>
          <w:p w14:paraId="5C7CD23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127C554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70</w:t>
            </w:r>
            <w:r>
              <w:rPr>
                <w:rFonts w:hint="eastAsia" w:ascii="宋体" w:hAnsi="宋体" w:eastAsia="宋体" w:cs="宋体"/>
                <w:color w:val="auto"/>
                <w:sz w:val="21"/>
                <w:szCs w:val="21"/>
                <w:highlight w:val="none"/>
              </w:rPr>
              <w:t>分）</w:t>
            </w:r>
          </w:p>
        </w:tc>
        <w:tc>
          <w:tcPr>
            <w:tcW w:w="601" w:type="pct"/>
            <w:tcBorders>
              <w:top w:val="single" w:color="auto" w:sz="4" w:space="0"/>
              <w:left w:val="single" w:color="auto" w:sz="4" w:space="0"/>
              <w:bottom w:val="single" w:color="auto" w:sz="4" w:space="0"/>
              <w:right w:val="single" w:color="auto" w:sz="4" w:space="0"/>
            </w:tcBorders>
            <w:vAlign w:val="center"/>
          </w:tcPr>
          <w:p w14:paraId="0BE8B62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投标人业绩</w:t>
            </w:r>
          </w:p>
        </w:tc>
        <w:tc>
          <w:tcPr>
            <w:tcW w:w="3111" w:type="pct"/>
            <w:tcBorders>
              <w:top w:val="single" w:color="auto" w:sz="4" w:space="0"/>
              <w:left w:val="single" w:color="auto" w:sz="4" w:space="0"/>
              <w:bottom w:val="single" w:color="auto" w:sz="4" w:space="0"/>
              <w:right w:val="single" w:color="auto" w:sz="4" w:space="0"/>
            </w:tcBorders>
            <w:vAlign w:val="center"/>
          </w:tcPr>
          <w:p w14:paraId="3847AEC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自202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年1月1日以来（时间以合同签订时间为准），投标人</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空调供货安装业绩</w:t>
            </w:r>
            <w:r>
              <w:rPr>
                <w:rFonts w:hint="eastAsia" w:ascii="宋体" w:hAnsi="宋体" w:eastAsia="宋体" w:cs="宋体"/>
                <w:color w:val="auto"/>
                <w:sz w:val="21"/>
                <w:szCs w:val="21"/>
                <w:highlight w:val="none"/>
                <w:lang w:val="zh-CN"/>
              </w:rPr>
              <w:t>，每提供一份业绩得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14:paraId="19218EF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zh-CN"/>
              </w:rPr>
              <w:t>投标文件中提供合同扫描件，如上述材料无法体现供货内容、合同签订时间等评审内容的，须另附采购单位出具的证明材料。</w:t>
            </w:r>
          </w:p>
        </w:tc>
        <w:tc>
          <w:tcPr>
            <w:tcW w:w="583" w:type="pct"/>
            <w:tcBorders>
              <w:top w:val="single" w:color="auto" w:sz="4" w:space="0"/>
              <w:left w:val="single" w:color="auto" w:sz="4" w:space="0"/>
              <w:bottom w:val="single" w:color="auto" w:sz="4" w:space="0"/>
              <w:right w:val="single" w:color="auto" w:sz="4" w:space="0"/>
            </w:tcBorders>
            <w:vAlign w:val="center"/>
          </w:tcPr>
          <w:p w14:paraId="34053CF9">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0-4分</w:t>
            </w:r>
          </w:p>
        </w:tc>
      </w:tr>
      <w:tr w14:paraId="74F6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left w:val="single" w:color="auto" w:sz="4" w:space="0"/>
              <w:right w:val="single" w:color="auto" w:sz="4" w:space="0"/>
            </w:tcBorders>
            <w:vAlign w:val="center"/>
          </w:tcPr>
          <w:p w14:paraId="4B1993BD">
            <w:pPr>
              <w:keepNext w:val="0"/>
              <w:keepLines w:val="0"/>
              <w:pageBreakBefore w:val="0"/>
              <w:widowControl w:val="0"/>
              <w:kinsoku/>
              <w:wordWrap/>
              <w:overflowPunct/>
              <w:topLinePunct w:val="0"/>
              <w:autoSpaceDE/>
              <w:autoSpaceDN/>
              <w:bidi w:val="0"/>
              <w:spacing w:line="500" w:lineRule="exact"/>
              <w:ind w:firstLine="435"/>
              <w:jc w:val="center"/>
              <w:textAlignment w:val="auto"/>
              <w:rPr>
                <w:rFonts w:hint="eastAsia" w:ascii="宋体" w:hAnsi="宋体" w:eastAsia="宋体" w:cs="宋体"/>
                <w:b/>
                <w:bCs/>
                <w:color w:val="auto"/>
                <w:sz w:val="21"/>
                <w:szCs w:val="21"/>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65E868B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产品技术参数</w:t>
            </w:r>
          </w:p>
        </w:tc>
        <w:tc>
          <w:tcPr>
            <w:tcW w:w="3111" w:type="pct"/>
            <w:tcBorders>
              <w:top w:val="single" w:color="auto" w:sz="4" w:space="0"/>
              <w:left w:val="single" w:color="auto" w:sz="4" w:space="0"/>
              <w:bottom w:val="single" w:color="auto" w:sz="4" w:space="0"/>
              <w:right w:val="single" w:color="auto" w:sz="4" w:space="0"/>
            </w:tcBorders>
            <w:vAlign w:val="center"/>
          </w:tcPr>
          <w:p w14:paraId="0F1395A1">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1.标注“★”的参数为必须响应参数，不得负偏离，否则投标无效；</w:t>
            </w:r>
          </w:p>
          <w:p w14:paraId="2DD6E9AD">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2.标注“■”符号的参数，每满足一项得2分，共</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项，共</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p w14:paraId="34EB5DF5">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注：①如某项标识中包含多条技术参数或要求，则该项标识所含内容均需满足或优于招标文件要求，否则不予认可。</w:t>
            </w:r>
          </w:p>
          <w:p w14:paraId="7901861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bCs/>
                <w:color w:val="auto"/>
                <w:sz w:val="21"/>
                <w:szCs w:val="21"/>
                <w:highlight w:val="none"/>
              </w:rPr>
              <w:t>以技术响应表、货物</w:t>
            </w:r>
            <w:r>
              <w:rPr>
                <w:rFonts w:hint="eastAsia" w:ascii="宋体" w:hAnsi="宋体" w:eastAsia="宋体" w:cs="宋体"/>
                <w:bCs/>
                <w:color w:val="auto"/>
                <w:sz w:val="21"/>
                <w:szCs w:val="21"/>
                <w:highlight w:val="none"/>
                <w:lang w:val="en-US" w:eastAsia="zh-CN"/>
              </w:rPr>
              <w:t>需求</w:t>
            </w:r>
            <w:r>
              <w:rPr>
                <w:rFonts w:hint="eastAsia" w:ascii="宋体" w:hAnsi="宋体" w:eastAsia="宋体" w:cs="宋体"/>
                <w:bCs/>
                <w:color w:val="auto"/>
                <w:sz w:val="21"/>
                <w:szCs w:val="21"/>
                <w:highlight w:val="none"/>
              </w:rPr>
              <w:t>中要求提供的证明材料作为评审依据。</w:t>
            </w:r>
          </w:p>
        </w:tc>
        <w:tc>
          <w:tcPr>
            <w:tcW w:w="583" w:type="pct"/>
            <w:tcBorders>
              <w:top w:val="single" w:color="auto" w:sz="4" w:space="0"/>
              <w:left w:val="single" w:color="auto" w:sz="4" w:space="0"/>
              <w:bottom w:val="single" w:color="auto" w:sz="4" w:space="0"/>
              <w:right w:val="single" w:color="auto" w:sz="4" w:space="0"/>
            </w:tcBorders>
            <w:vAlign w:val="center"/>
          </w:tcPr>
          <w:p w14:paraId="234B9436">
            <w:pPr>
              <w:keepNext w:val="0"/>
              <w:keepLines w:val="0"/>
              <w:pageBreakBefore w:val="0"/>
              <w:widowControl w:val="0"/>
              <w:kinsoku/>
              <w:wordWrap/>
              <w:overflowPunct/>
              <w:topLinePunct w:val="0"/>
              <w:autoSpaceDE/>
              <w:autoSpaceDN/>
              <w:bidi w:val="0"/>
              <w:spacing w:line="5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0-50分</w:t>
            </w:r>
          </w:p>
        </w:tc>
      </w:tr>
      <w:tr w14:paraId="0656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left w:val="single" w:color="auto" w:sz="4" w:space="0"/>
              <w:right w:val="single" w:color="auto" w:sz="4" w:space="0"/>
            </w:tcBorders>
            <w:vAlign w:val="center"/>
          </w:tcPr>
          <w:p w14:paraId="136EBE0C">
            <w:pPr>
              <w:keepNext w:val="0"/>
              <w:keepLines w:val="0"/>
              <w:pageBreakBefore w:val="0"/>
              <w:widowControl w:val="0"/>
              <w:kinsoku/>
              <w:wordWrap/>
              <w:overflowPunct/>
              <w:topLinePunct w:val="0"/>
              <w:autoSpaceDE/>
              <w:autoSpaceDN/>
              <w:bidi w:val="0"/>
              <w:spacing w:line="500" w:lineRule="exact"/>
              <w:ind w:firstLine="435"/>
              <w:jc w:val="center"/>
              <w:textAlignment w:val="auto"/>
              <w:rPr>
                <w:rFonts w:hint="eastAsia" w:ascii="宋体" w:hAnsi="宋体" w:eastAsia="宋体" w:cs="宋体"/>
                <w:b/>
                <w:bCs/>
                <w:color w:val="auto"/>
                <w:sz w:val="21"/>
                <w:szCs w:val="21"/>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29C15F0E">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供货安装方案</w:t>
            </w:r>
          </w:p>
        </w:tc>
        <w:tc>
          <w:tcPr>
            <w:tcW w:w="3111" w:type="pct"/>
            <w:tcBorders>
              <w:top w:val="single" w:color="auto" w:sz="4" w:space="0"/>
              <w:left w:val="single" w:color="auto" w:sz="4" w:space="0"/>
              <w:bottom w:val="single" w:color="auto" w:sz="4" w:space="0"/>
              <w:right w:val="single" w:color="auto" w:sz="4" w:space="0"/>
            </w:tcBorders>
            <w:vAlign w:val="center"/>
          </w:tcPr>
          <w:p w14:paraId="50063B1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处于学校教学期间，空调安装位置较为分散，时间较为紧迫，确保在合同期间内，安装到位，确保施工。投标人需提供本项目详细实施方案，实施方案中明确实施步骤、人员配备和实施规范等。评审专家对本项目实施方案的完整性、合理性、可实施性和可扩展性进行综合评审：</w:t>
            </w:r>
          </w:p>
          <w:p w14:paraId="40C92D7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1.投标人提供的实施方案完整，实施步骤明确，实施计划合理，符合项目实施规范，人员投入充足，符合项目实施需求等，得5分；</w:t>
            </w:r>
          </w:p>
          <w:p w14:paraId="06C99388">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2.投标人提供的实施方案基本完整，实施步骤清晰但未写明实施内容，实施计划基本满足项目进程要求，基本符合项目实施规范，人员投入可满足实施需求，基本符合项目实施需求等，得3分；</w:t>
            </w:r>
          </w:p>
          <w:p w14:paraId="6D07FE0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3.投标人提供的实施方案基本完成但出现非针对本项目内容，整体方案空洞，实施步骤未明确具体方案，人员投入少，项目实施需求与实际要求结合不紧密等，得1分；</w:t>
            </w:r>
          </w:p>
          <w:p w14:paraId="67F4A66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4.其它情况不得分。</w:t>
            </w:r>
          </w:p>
        </w:tc>
        <w:tc>
          <w:tcPr>
            <w:tcW w:w="583" w:type="pct"/>
            <w:tcBorders>
              <w:top w:val="single" w:color="auto" w:sz="4" w:space="0"/>
              <w:left w:val="single" w:color="auto" w:sz="4" w:space="0"/>
              <w:bottom w:val="single" w:color="auto" w:sz="4" w:space="0"/>
              <w:right w:val="single" w:color="auto" w:sz="4" w:space="0"/>
            </w:tcBorders>
            <w:vAlign w:val="center"/>
          </w:tcPr>
          <w:p w14:paraId="10AFA232">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248E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left w:val="single" w:color="auto" w:sz="4" w:space="0"/>
              <w:right w:val="single" w:color="auto" w:sz="4" w:space="0"/>
            </w:tcBorders>
            <w:vAlign w:val="center"/>
          </w:tcPr>
          <w:p w14:paraId="0758E19B">
            <w:pPr>
              <w:keepNext w:val="0"/>
              <w:keepLines w:val="0"/>
              <w:pageBreakBefore w:val="0"/>
              <w:widowControl w:val="0"/>
              <w:kinsoku/>
              <w:wordWrap/>
              <w:overflowPunct/>
              <w:topLinePunct w:val="0"/>
              <w:autoSpaceDE/>
              <w:autoSpaceDN/>
              <w:bidi w:val="0"/>
              <w:spacing w:line="500" w:lineRule="exact"/>
              <w:ind w:firstLine="435"/>
              <w:jc w:val="center"/>
              <w:textAlignment w:val="auto"/>
              <w:rPr>
                <w:rFonts w:hint="eastAsia" w:ascii="宋体" w:hAnsi="宋体" w:eastAsia="宋体" w:cs="宋体"/>
                <w:b/>
                <w:bCs/>
                <w:color w:val="auto"/>
                <w:sz w:val="21"/>
                <w:szCs w:val="21"/>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5E5B080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售后服务及维保方案</w:t>
            </w:r>
          </w:p>
        </w:tc>
        <w:tc>
          <w:tcPr>
            <w:tcW w:w="3111" w:type="pct"/>
            <w:tcBorders>
              <w:top w:val="single" w:color="auto" w:sz="4" w:space="0"/>
              <w:left w:val="single" w:color="auto" w:sz="4" w:space="0"/>
              <w:bottom w:val="single" w:color="auto" w:sz="4" w:space="0"/>
              <w:right w:val="single" w:color="auto" w:sz="4" w:space="0"/>
            </w:tcBorders>
            <w:vAlign w:val="center"/>
          </w:tcPr>
          <w:p w14:paraId="4789C6C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根据投标人的培训方案，售后服务及维保体系完备、合理情况，售后技术服务承诺、人员配备、保修内容及优惠条件进行综合评分。</w:t>
            </w:r>
          </w:p>
          <w:p w14:paraId="14E3AEB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1.售后服务措施详尽、维修响应时间及时、备件供应保障充足、人员售后配置详细、远程报修服务方案全面、实时维修统计详尽，能保障采购人获得高质量售后服务的，得5分。</w:t>
            </w:r>
          </w:p>
          <w:p w14:paraId="00C1C10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2.售后服务措施完整、维修响应时间及时、具有备件供应保障措施、配置售后人员、具有远程报修服务的，得3分。 </w:t>
            </w:r>
          </w:p>
          <w:p w14:paraId="0F1A3C9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3.售后服务措施、维修响应时间、备件供应保障、配置售后人员、远程报修服务措施不全或存在不足的，得1分。 </w:t>
            </w:r>
          </w:p>
          <w:p w14:paraId="305E7251">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4.方案不能满足项目实施要求或未提供的不得分。</w:t>
            </w:r>
          </w:p>
        </w:tc>
        <w:tc>
          <w:tcPr>
            <w:tcW w:w="583" w:type="pct"/>
            <w:tcBorders>
              <w:top w:val="single" w:color="auto" w:sz="4" w:space="0"/>
              <w:left w:val="single" w:color="auto" w:sz="4" w:space="0"/>
              <w:bottom w:val="single" w:color="auto" w:sz="4" w:space="0"/>
              <w:right w:val="single" w:color="auto" w:sz="4" w:space="0"/>
            </w:tcBorders>
            <w:vAlign w:val="center"/>
          </w:tcPr>
          <w:p w14:paraId="5680A17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5685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left w:val="single" w:color="auto" w:sz="4" w:space="0"/>
              <w:right w:val="single" w:color="auto" w:sz="4" w:space="0"/>
            </w:tcBorders>
            <w:vAlign w:val="center"/>
          </w:tcPr>
          <w:p w14:paraId="59DE46FC">
            <w:pPr>
              <w:keepNext w:val="0"/>
              <w:keepLines w:val="0"/>
              <w:pageBreakBefore w:val="0"/>
              <w:widowControl w:val="0"/>
              <w:kinsoku/>
              <w:wordWrap/>
              <w:overflowPunct/>
              <w:topLinePunct w:val="0"/>
              <w:autoSpaceDE/>
              <w:autoSpaceDN/>
              <w:bidi w:val="0"/>
              <w:spacing w:line="500" w:lineRule="exact"/>
              <w:ind w:firstLine="435"/>
              <w:jc w:val="center"/>
              <w:textAlignment w:val="auto"/>
              <w:rPr>
                <w:rFonts w:hint="eastAsia" w:ascii="宋体" w:hAnsi="宋体" w:eastAsia="宋体" w:cs="宋体"/>
                <w:b/>
                <w:bCs/>
                <w:color w:val="auto"/>
                <w:sz w:val="21"/>
                <w:szCs w:val="21"/>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3EC687B2">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Cs/>
                <w:color w:val="auto"/>
                <w:sz w:val="21"/>
                <w:szCs w:val="21"/>
                <w:highlight w:val="none"/>
              </w:rPr>
            </w:pPr>
            <w:bookmarkStart w:id="298" w:name="_GoBack"/>
            <w:r>
              <w:rPr>
                <w:rFonts w:hint="eastAsia" w:ascii="宋体" w:hAnsi="宋体" w:eastAsia="宋体" w:cs="宋体"/>
                <w:color w:val="auto"/>
                <w:sz w:val="21"/>
                <w:szCs w:val="21"/>
                <w:highlight w:val="none"/>
              </w:rPr>
              <w:t>质保期</w:t>
            </w:r>
            <w:bookmarkEnd w:id="298"/>
          </w:p>
        </w:tc>
        <w:tc>
          <w:tcPr>
            <w:tcW w:w="3111" w:type="pct"/>
            <w:tcBorders>
              <w:top w:val="single" w:color="auto" w:sz="4" w:space="0"/>
              <w:left w:val="single" w:color="auto" w:sz="4" w:space="0"/>
              <w:bottom w:val="single" w:color="auto" w:sz="4" w:space="0"/>
              <w:right w:val="single" w:color="auto" w:sz="4" w:space="0"/>
            </w:tcBorders>
            <w:vAlign w:val="center"/>
          </w:tcPr>
          <w:p w14:paraId="57C2FAC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投标人所投所有产品质保期比招标文件规定免费质保期每延长1年得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分（所有产品质保期均做延长方予认可），延长不足一年的部分不得分。</w:t>
            </w:r>
          </w:p>
          <w:p w14:paraId="0E9617B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注：以投标人承诺的免费质保期为准。提供承诺函扫描件。</w:t>
            </w:r>
          </w:p>
        </w:tc>
        <w:tc>
          <w:tcPr>
            <w:tcW w:w="583" w:type="pct"/>
            <w:tcBorders>
              <w:top w:val="single" w:color="auto" w:sz="4" w:space="0"/>
              <w:left w:val="single" w:color="auto" w:sz="4" w:space="0"/>
              <w:bottom w:val="single" w:color="auto" w:sz="4" w:space="0"/>
              <w:right w:val="single" w:color="auto" w:sz="4" w:space="0"/>
            </w:tcBorders>
            <w:vAlign w:val="center"/>
          </w:tcPr>
          <w:p w14:paraId="26ABDF8E">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0-6分</w:t>
            </w:r>
          </w:p>
        </w:tc>
      </w:tr>
      <w:tr w14:paraId="5FA1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tcBorders>
              <w:left w:val="single" w:color="auto" w:sz="4" w:space="0"/>
              <w:right w:val="single" w:color="auto" w:sz="4" w:space="0"/>
            </w:tcBorders>
            <w:vAlign w:val="center"/>
          </w:tcPr>
          <w:p w14:paraId="4DFF79FC">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462C62B4">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tc>
        <w:tc>
          <w:tcPr>
            <w:tcW w:w="4296" w:type="pct"/>
            <w:gridSpan w:val="3"/>
            <w:tcBorders>
              <w:top w:val="single" w:color="auto" w:sz="4" w:space="0"/>
              <w:left w:val="single" w:color="auto" w:sz="4" w:space="0"/>
              <w:bottom w:val="single" w:color="auto" w:sz="4" w:space="0"/>
              <w:right w:val="single" w:color="auto" w:sz="4" w:space="0"/>
            </w:tcBorders>
            <w:vAlign w:val="center"/>
          </w:tcPr>
          <w:p w14:paraId="12E83CD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分。其他投标人的价格分统一按照下列公式计算：</w:t>
            </w:r>
          </w:p>
          <w:p w14:paraId="6399CD5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％×100</w:t>
            </w:r>
          </w:p>
        </w:tc>
      </w:tr>
    </w:tbl>
    <w:p w14:paraId="128AA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2AEEC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5C4B24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67755F01">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三、无效投标条款</w:t>
      </w:r>
    </w:p>
    <w:p w14:paraId="3F92753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投标文件有下列情形之一的,其投标文件拒收:</w:t>
      </w:r>
    </w:p>
    <w:p w14:paraId="2045E5E5">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 未在开标截止时间前通过网上招标投标系统递交有效电子投标文件的，开标系统不予接收，投标将被拒绝。</w:t>
      </w:r>
    </w:p>
    <w:p w14:paraId="6453B19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4B3D269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3.2投标人有下列情形之一的,资格审查后其投标作无效投标处理：</w:t>
      </w:r>
    </w:p>
    <w:p w14:paraId="0EDB4B5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(1)投标人为本项目提供招标代理服务的；</w:t>
      </w:r>
    </w:p>
    <w:p w14:paraId="13A279DB">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(2)投标人与在本项目代理机构存在相互任职或工作的；</w:t>
      </w:r>
    </w:p>
    <w:p w14:paraId="021F73B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kern w:val="0"/>
          <w:sz w:val="24"/>
          <w:szCs w:val="24"/>
          <w:highlight w:val="none"/>
          <w:lang w:val="en-US" w:eastAsia="zh-CN" w:bidi="ar"/>
        </w:rPr>
        <w:t>与采购人存在利害关系可能影响采购公正性的法人、其他组织或者个人；</w:t>
      </w:r>
    </w:p>
    <w:p w14:paraId="048B3C8A">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)招标公告写明专门面向中小企业采购，投标人提供的货物非中小企业制造的；</w:t>
      </w:r>
    </w:p>
    <w:p w14:paraId="7199FF9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)要求供应商以联合体形式参加采购活动，投标人非联合体或者联合协议中中小企业合同金额未达到应当达到的比例；</w:t>
      </w:r>
    </w:p>
    <w:p w14:paraId="757CD1A2">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)要求获得采购合同的供应商向中小企业分包，投标人未提供分包意向协议或者分包意向协议中中小企业合同金额未达到应当达到的比例；</w:t>
      </w:r>
    </w:p>
    <w:p w14:paraId="3216F893">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)评标专家无法查看并检验电子投标文件中相关资料的；</w:t>
      </w:r>
    </w:p>
    <w:p w14:paraId="4C66F12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)联合体投标未提交联合体协议的；</w:t>
      </w:r>
    </w:p>
    <w:p w14:paraId="0A9C22A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)责令停产停业的；</w:t>
      </w:r>
    </w:p>
    <w:p w14:paraId="4EADD86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)暂停或者取消参与政府采购项目资格的；</w:t>
      </w:r>
    </w:p>
    <w:p w14:paraId="4C3B928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)投标人单位负责人为同一人或者存在直接控股、管理关系的不同单位的；</w:t>
      </w:r>
    </w:p>
    <w:p w14:paraId="2217678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)投标人基本资格条件和特定资格条件中有一项及以上不符合要求的；</w:t>
      </w:r>
    </w:p>
    <w:p w14:paraId="54045168">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lang w:eastAsia="zh-CN"/>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0B33711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)其它情形，经评标委员会委提出按无效投标处理，并经公共资源交易监督部门核准的；</w:t>
      </w:r>
    </w:p>
    <w:p w14:paraId="41C201B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)投标人投标MAC地址</w:t>
      </w:r>
      <w:r>
        <w:rPr>
          <w:rFonts w:hint="eastAsia" w:ascii="宋体" w:hAnsi="宋体" w:eastAsia="宋体" w:cs="宋体"/>
          <w:color w:val="auto"/>
          <w:sz w:val="24"/>
          <w:highlight w:val="none"/>
          <w:lang w:val="en-US" w:eastAsia="zh-CN"/>
        </w:rPr>
        <w:t>一致</w:t>
      </w:r>
      <w:r>
        <w:rPr>
          <w:rFonts w:hint="eastAsia" w:ascii="宋体" w:hAnsi="宋体" w:eastAsia="宋体" w:cs="宋体"/>
          <w:color w:val="auto"/>
          <w:sz w:val="24"/>
          <w:highlight w:val="none"/>
          <w:lang w:eastAsia="zh-CN"/>
        </w:rPr>
        <w:t>，由评标委员会否决其投标；</w:t>
      </w:r>
    </w:p>
    <w:p w14:paraId="5C65B4C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)投标人单方面出现其他投标人材料的；</w:t>
      </w:r>
    </w:p>
    <w:p w14:paraId="07094F3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投标人联系人或联系电话相同的，</w:t>
      </w:r>
      <w:r>
        <w:rPr>
          <w:rFonts w:hint="eastAsia" w:ascii="宋体" w:hAnsi="宋体" w:eastAsia="宋体" w:cs="宋体"/>
          <w:color w:val="auto"/>
          <w:sz w:val="24"/>
          <w:highlight w:val="none"/>
          <w:lang w:eastAsia="zh-CN"/>
        </w:rPr>
        <w:t>由评标委员会否决其投标</w:t>
      </w:r>
      <w:r>
        <w:rPr>
          <w:rFonts w:hint="eastAsia" w:ascii="宋体" w:hAnsi="宋体" w:eastAsia="宋体" w:cs="宋体"/>
          <w:color w:val="auto"/>
          <w:sz w:val="24"/>
          <w:highlight w:val="none"/>
          <w:lang w:val="en-US" w:eastAsia="zh-CN"/>
        </w:rPr>
        <w:t>，并报告监管部门作不良行为处理和进一步调查；</w:t>
      </w:r>
    </w:p>
    <w:p w14:paraId="446CC0F8">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)招标公告未写明允许采购进口产品，投标人所投产品为进口产品的；</w:t>
      </w:r>
    </w:p>
    <w:p w14:paraId="7EFDEAD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)招标文件规定的其它无效投标情形。</w:t>
      </w:r>
    </w:p>
    <w:p w14:paraId="0CD8B37D">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3.3 投标人有下列情形之一的,符合性审查后其投标按无效投标处理：</w:t>
      </w:r>
    </w:p>
    <w:p w14:paraId="4AC4DB3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(1)投标文件签字、盖章不全，经评标委员会一致认定对开评标内容有实质性影响并经公共资源交易监督部门核准的；</w:t>
      </w:r>
    </w:p>
    <w:p w14:paraId="103229B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(2)未按规定的格式填写导致实质性内容不全以及实质上不响应，或者关键字迹模糊、无法辨认； 经公共资源交易监督部门核准的；</w:t>
      </w:r>
    </w:p>
    <w:p w14:paraId="324545C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(3)同一投标人提交两个以上不同的投标文件或者投标报价，但招标文件规定提交备选方案的除外；</w:t>
      </w:r>
    </w:p>
    <w:p w14:paraId="56117AA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(4)投标文件没有对招标文件的实质性要求和条件作出响应;</w:t>
      </w:r>
    </w:p>
    <w:p w14:paraId="19E824DD">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(5)投标报价超出规定的投标限价或公布的采购预算的或投标人的投标报价各项单价高于招标文件给定的单价最高限价；</w:t>
      </w:r>
    </w:p>
    <w:p w14:paraId="44BCB3FC">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(6)不按评标委员会要求澄清、说明或补正的，或者评标委员会根据招标文件的规定对投标文件的计算错误进行修正后，投标人不接受修正的投标报价的。</w:t>
      </w:r>
    </w:p>
    <w:p w14:paraId="5D428E0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(7)其它情形，经评标委员会委提出按无效投标处理，并经公共资源交易监督部门核准的；</w:t>
      </w:r>
    </w:p>
    <w:p w14:paraId="678A346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(8)投标文件含有采购人不能接受的附加条件的；</w:t>
      </w:r>
    </w:p>
    <w:p w14:paraId="777E132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(9)招标文件规定的其它无效投标情形。</w:t>
      </w:r>
    </w:p>
    <w:p w14:paraId="5D33EE1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3.4 投标人有下列情形之一的, 详细评审后其投标按无效投标处理：</w:t>
      </w:r>
    </w:p>
    <w:p w14:paraId="1845F68E">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(1)投标产品不符合必须强制执行的国家标准的；</w:t>
      </w:r>
    </w:p>
    <w:p w14:paraId="70B24522">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(2)投标人有串通投标、弄虚作假、行贿等违法行为；</w:t>
      </w:r>
    </w:p>
    <w:p w14:paraId="19EBF405">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(3)投标文件含有违反国家法律、法规的内容，或附有采购人不能接受的条件的；</w:t>
      </w:r>
    </w:p>
    <w:p w14:paraId="3BCDA4D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)拒不确认评标委员会评审修正的投标无效；</w:t>
      </w:r>
    </w:p>
    <w:p w14:paraId="221E3E2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)其它情形，经评标委员会委提出按无效投标处理，并经公共资源交易监督部门核准的；</w:t>
      </w:r>
    </w:p>
    <w:p w14:paraId="641BF9D6">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)招标文件规定的其它无效投标情形。</w:t>
      </w:r>
      <w:r>
        <w:rPr>
          <w:rFonts w:asciiTheme="minorEastAsia" w:hAnsiTheme="minorEastAsia" w:eastAsiaTheme="minorEastAsia"/>
          <w:color w:val="auto"/>
          <w:sz w:val="24"/>
          <w:highlight w:val="none"/>
        </w:rPr>
        <w:br w:type="page"/>
      </w:r>
    </w:p>
    <w:p w14:paraId="4DD94BDF">
      <w:pPr>
        <w:spacing w:line="360" w:lineRule="auto"/>
        <w:jc w:val="center"/>
        <w:outlineLvl w:val="0"/>
        <w:rPr>
          <w:rFonts w:hint="eastAsia" w:asciiTheme="minorEastAsia" w:hAnsiTheme="minorEastAsia" w:eastAsiaTheme="minorEastAsia"/>
          <w:b/>
          <w:color w:val="auto"/>
          <w:sz w:val="28"/>
          <w:highlight w:val="none"/>
          <w:lang w:eastAsia="zh-CN"/>
        </w:rPr>
      </w:pPr>
      <w:bookmarkStart w:id="47"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7"/>
    </w:p>
    <w:p w14:paraId="481E7F4D">
      <w:pPr>
        <w:pStyle w:val="10"/>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6C024A07">
      <w:pPr>
        <w:pStyle w:val="10"/>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78A44062">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第一部分 合同书</w:t>
      </w:r>
    </w:p>
    <w:p w14:paraId="029A7159">
      <w:pPr>
        <w:spacing w:line="480" w:lineRule="auto"/>
        <w:jc w:val="center"/>
        <w:rPr>
          <w:rFonts w:ascii="宋体" w:hAnsi="宋体" w:eastAsia="宋体" w:cs="Times New Roman"/>
          <w:b/>
          <w:color w:val="auto"/>
          <w:sz w:val="24"/>
          <w:szCs w:val="24"/>
          <w:highlight w:val="none"/>
        </w:rPr>
      </w:pPr>
    </w:p>
    <w:p w14:paraId="7EE9BADA">
      <w:pPr>
        <w:spacing w:line="480" w:lineRule="auto"/>
        <w:jc w:val="center"/>
        <w:rPr>
          <w:rFonts w:ascii="宋体" w:hAnsi="宋体" w:eastAsia="宋体" w:cs="Times New Roman"/>
          <w:b/>
          <w:color w:val="auto"/>
          <w:sz w:val="24"/>
          <w:szCs w:val="24"/>
          <w:highlight w:val="none"/>
        </w:rPr>
      </w:pPr>
    </w:p>
    <w:p w14:paraId="0FC38AE6">
      <w:pPr>
        <w:spacing w:line="480" w:lineRule="auto"/>
        <w:jc w:val="center"/>
        <w:rPr>
          <w:rFonts w:ascii="宋体" w:hAnsi="宋体" w:eastAsia="宋体" w:cs="Times New Roman"/>
          <w:b/>
          <w:color w:val="auto"/>
          <w:sz w:val="24"/>
          <w:szCs w:val="24"/>
          <w:highlight w:val="none"/>
        </w:rPr>
      </w:pPr>
    </w:p>
    <w:p w14:paraId="03DF9DFF">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rPr>
        <w:t>滁州学院                   采购项目</w:t>
      </w:r>
    </w:p>
    <w:p w14:paraId="71113F1D">
      <w:pPr>
        <w:spacing w:before="120" w:line="480" w:lineRule="auto"/>
        <w:ind w:left="96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rPr>
        <w:t>某编号</w:t>
      </w:r>
    </w:p>
    <w:p w14:paraId="5662E031">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rPr>
        <w:t xml:space="preserve">                              </w:t>
      </w:r>
    </w:p>
    <w:p w14:paraId="08C4C1FF">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03020C48">
      <w:pPr>
        <w:spacing w:before="120" w:line="480" w:lineRule="auto"/>
        <w:ind w:firstLine="960" w:firstLineChars="4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p>
    <w:p w14:paraId="1D1407D2">
      <w:pPr>
        <w:spacing w:before="120" w:line="480" w:lineRule="auto"/>
        <w:ind w:firstLine="960" w:firstLineChars="4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637DD460">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0C6425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rPr>
        <w:t>滁州学院</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s="Times New Roman"/>
          <w:i/>
          <w:iCs/>
          <w:color w:val="auto"/>
          <w:sz w:val="24"/>
          <w:szCs w:val="24"/>
          <w:highlight w:val="none"/>
          <w:u w:val="single"/>
        </w:rPr>
        <w:t>（中标人名称）</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）为本项目中标人，现</w:t>
      </w:r>
      <w:r>
        <w:rPr>
          <w:rFonts w:hint="eastAsia" w:ascii="宋体" w:hAnsi="宋体" w:eastAsia="宋体" w:cs="Times New Roman"/>
          <w:color w:val="auto"/>
          <w:sz w:val="24"/>
          <w:szCs w:val="24"/>
          <w:highlight w:val="none"/>
        </w:rPr>
        <w:t>按照采购文件确定的事项签订本合同。</w:t>
      </w:r>
    </w:p>
    <w:p w14:paraId="413CF53F">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57C7DE66">
      <w:pPr>
        <w:spacing w:line="360" w:lineRule="auto"/>
        <w:ind w:firstLine="437"/>
        <w:outlineLvl w:val="2"/>
        <w:rPr>
          <w:rFonts w:ascii="宋体" w:hAnsi="宋体" w:eastAsia="宋体" w:cs="Times New Roman"/>
          <w:b/>
          <w:bCs/>
          <w:color w:val="auto"/>
          <w:sz w:val="24"/>
          <w:szCs w:val="24"/>
          <w:highlight w:val="none"/>
          <w:lang w:val="zh-CN"/>
        </w:rPr>
      </w:pPr>
      <w:bookmarkStart w:id="48" w:name="_Toc2232"/>
      <w:bookmarkStart w:id="49" w:name="_Toc24059"/>
      <w:bookmarkStart w:id="50" w:name="_Toc3029"/>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48"/>
      <w:bookmarkEnd w:id="49"/>
      <w:bookmarkEnd w:id="50"/>
    </w:p>
    <w:p w14:paraId="75C98F7F">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9E6F082">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48BD2510">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69CFC93E">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629954DE">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5AFFBBB1">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12635C7D">
      <w:pPr>
        <w:spacing w:line="360" w:lineRule="auto"/>
        <w:ind w:firstLine="437"/>
        <w:outlineLvl w:val="2"/>
        <w:rPr>
          <w:rFonts w:ascii="宋体" w:hAnsi="宋体" w:eastAsia="宋体" w:cs="Times New Roman"/>
          <w:b/>
          <w:bCs/>
          <w:color w:val="auto"/>
          <w:sz w:val="24"/>
          <w:szCs w:val="24"/>
          <w:highlight w:val="none"/>
          <w:lang w:val="zh-CN"/>
        </w:rPr>
      </w:pPr>
      <w:bookmarkStart w:id="51" w:name="_Toc27126"/>
      <w:bookmarkStart w:id="52" w:name="_Toc21295"/>
      <w:bookmarkStart w:id="53" w:name="_Toc24300"/>
      <w:r>
        <w:rPr>
          <w:rFonts w:hint="eastAsia" w:ascii="宋体" w:hAnsi="宋体" w:eastAsia="宋体" w:cs="Times New Roman"/>
          <w:b/>
          <w:bCs/>
          <w:color w:val="auto"/>
          <w:sz w:val="24"/>
          <w:szCs w:val="24"/>
          <w:highlight w:val="none"/>
          <w:lang w:val="zh-CN"/>
        </w:rPr>
        <w:t>1.2</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货物</w:t>
      </w:r>
      <w:bookmarkEnd w:id="51"/>
      <w:bookmarkEnd w:id="52"/>
      <w:bookmarkEnd w:id="53"/>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399C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46BD6A99">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序号</w:t>
            </w:r>
          </w:p>
        </w:tc>
        <w:tc>
          <w:tcPr>
            <w:tcW w:w="1515" w:type="dxa"/>
            <w:noWrap w:val="0"/>
            <w:vAlign w:val="center"/>
          </w:tcPr>
          <w:p w14:paraId="1AA5AFC3">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货物名称</w:t>
            </w:r>
          </w:p>
        </w:tc>
        <w:tc>
          <w:tcPr>
            <w:tcW w:w="1515" w:type="dxa"/>
            <w:noWrap w:val="0"/>
            <w:vAlign w:val="center"/>
          </w:tcPr>
          <w:p w14:paraId="42044A97">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规格型号</w:t>
            </w:r>
          </w:p>
        </w:tc>
        <w:tc>
          <w:tcPr>
            <w:tcW w:w="1512" w:type="dxa"/>
            <w:noWrap w:val="0"/>
            <w:vAlign w:val="center"/>
          </w:tcPr>
          <w:p w14:paraId="65ECF168">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单位</w:t>
            </w:r>
          </w:p>
        </w:tc>
        <w:tc>
          <w:tcPr>
            <w:tcW w:w="1512" w:type="dxa"/>
            <w:noWrap w:val="0"/>
            <w:vAlign w:val="center"/>
          </w:tcPr>
          <w:p w14:paraId="29C410AC">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数量</w:t>
            </w:r>
          </w:p>
        </w:tc>
        <w:tc>
          <w:tcPr>
            <w:tcW w:w="1508" w:type="dxa"/>
            <w:noWrap w:val="0"/>
            <w:vAlign w:val="center"/>
          </w:tcPr>
          <w:p w14:paraId="05F7958A">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生产厂商</w:t>
            </w:r>
          </w:p>
        </w:tc>
      </w:tr>
      <w:tr w14:paraId="47A4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2A54CA26">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1515" w:type="dxa"/>
            <w:noWrap w:val="0"/>
            <w:vAlign w:val="center"/>
          </w:tcPr>
          <w:p w14:paraId="1B8D7A00">
            <w:pPr>
              <w:jc w:val="center"/>
              <w:rPr>
                <w:rFonts w:ascii="宋体" w:hAnsi="宋体" w:eastAsia="宋体" w:cs="Times New Roman"/>
                <w:color w:val="auto"/>
                <w:sz w:val="24"/>
                <w:szCs w:val="24"/>
                <w:highlight w:val="none"/>
                <w:lang w:val="zh-CN"/>
              </w:rPr>
            </w:pPr>
          </w:p>
        </w:tc>
        <w:tc>
          <w:tcPr>
            <w:tcW w:w="1515" w:type="dxa"/>
            <w:noWrap w:val="0"/>
            <w:vAlign w:val="center"/>
          </w:tcPr>
          <w:p w14:paraId="5497F8B2">
            <w:pPr>
              <w:jc w:val="center"/>
              <w:rPr>
                <w:rFonts w:ascii="宋体" w:hAnsi="宋体" w:eastAsia="宋体" w:cs="Times New Roman"/>
                <w:color w:val="auto"/>
                <w:sz w:val="24"/>
                <w:szCs w:val="24"/>
                <w:highlight w:val="none"/>
                <w:lang w:val="zh-CN"/>
              </w:rPr>
            </w:pPr>
          </w:p>
        </w:tc>
        <w:tc>
          <w:tcPr>
            <w:tcW w:w="1512" w:type="dxa"/>
            <w:noWrap w:val="0"/>
            <w:vAlign w:val="center"/>
          </w:tcPr>
          <w:p w14:paraId="108B3C56">
            <w:pPr>
              <w:jc w:val="center"/>
              <w:rPr>
                <w:rFonts w:ascii="宋体" w:hAnsi="宋体" w:eastAsia="宋体" w:cs="Times New Roman"/>
                <w:color w:val="auto"/>
                <w:sz w:val="24"/>
                <w:szCs w:val="24"/>
                <w:highlight w:val="none"/>
                <w:lang w:val="zh-CN"/>
              </w:rPr>
            </w:pPr>
          </w:p>
        </w:tc>
        <w:tc>
          <w:tcPr>
            <w:tcW w:w="1512" w:type="dxa"/>
            <w:noWrap w:val="0"/>
            <w:vAlign w:val="center"/>
          </w:tcPr>
          <w:p w14:paraId="4A837744">
            <w:pPr>
              <w:jc w:val="center"/>
              <w:rPr>
                <w:rFonts w:ascii="宋体" w:hAnsi="宋体" w:eastAsia="宋体" w:cs="Times New Roman"/>
                <w:color w:val="auto"/>
                <w:sz w:val="24"/>
                <w:szCs w:val="24"/>
                <w:highlight w:val="none"/>
                <w:lang w:val="zh-CN"/>
              </w:rPr>
            </w:pPr>
          </w:p>
        </w:tc>
        <w:tc>
          <w:tcPr>
            <w:tcW w:w="1508" w:type="dxa"/>
            <w:noWrap w:val="0"/>
            <w:vAlign w:val="center"/>
          </w:tcPr>
          <w:p w14:paraId="65D22EB8">
            <w:pPr>
              <w:jc w:val="center"/>
              <w:rPr>
                <w:rFonts w:ascii="宋体" w:hAnsi="宋体" w:eastAsia="宋体" w:cs="Times New Roman"/>
                <w:color w:val="auto"/>
                <w:sz w:val="24"/>
                <w:szCs w:val="24"/>
                <w:highlight w:val="none"/>
                <w:lang w:val="zh-CN"/>
              </w:rPr>
            </w:pPr>
          </w:p>
        </w:tc>
      </w:tr>
      <w:tr w14:paraId="000A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2B5308AE">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1515" w:type="dxa"/>
            <w:noWrap w:val="0"/>
            <w:vAlign w:val="center"/>
          </w:tcPr>
          <w:p w14:paraId="38AE4A7B">
            <w:pPr>
              <w:jc w:val="center"/>
              <w:rPr>
                <w:rFonts w:ascii="宋体" w:hAnsi="宋体" w:eastAsia="宋体" w:cs="Times New Roman"/>
                <w:color w:val="auto"/>
                <w:sz w:val="24"/>
                <w:szCs w:val="24"/>
                <w:highlight w:val="none"/>
                <w:lang w:val="zh-CN"/>
              </w:rPr>
            </w:pPr>
          </w:p>
        </w:tc>
        <w:tc>
          <w:tcPr>
            <w:tcW w:w="1515" w:type="dxa"/>
            <w:noWrap w:val="0"/>
            <w:vAlign w:val="center"/>
          </w:tcPr>
          <w:p w14:paraId="241F976B">
            <w:pPr>
              <w:jc w:val="center"/>
              <w:rPr>
                <w:rFonts w:ascii="宋体" w:hAnsi="宋体" w:eastAsia="宋体" w:cs="Times New Roman"/>
                <w:color w:val="auto"/>
                <w:sz w:val="24"/>
                <w:szCs w:val="24"/>
                <w:highlight w:val="none"/>
                <w:lang w:val="zh-CN"/>
              </w:rPr>
            </w:pPr>
          </w:p>
        </w:tc>
        <w:tc>
          <w:tcPr>
            <w:tcW w:w="1512" w:type="dxa"/>
            <w:noWrap w:val="0"/>
            <w:vAlign w:val="center"/>
          </w:tcPr>
          <w:p w14:paraId="692A8E34">
            <w:pPr>
              <w:jc w:val="center"/>
              <w:rPr>
                <w:rFonts w:ascii="宋体" w:hAnsi="宋体" w:eastAsia="宋体" w:cs="Times New Roman"/>
                <w:color w:val="auto"/>
                <w:sz w:val="24"/>
                <w:szCs w:val="24"/>
                <w:highlight w:val="none"/>
                <w:lang w:val="zh-CN"/>
              </w:rPr>
            </w:pPr>
          </w:p>
        </w:tc>
        <w:tc>
          <w:tcPr>
            <w:tcW w:w="1512" w:type="dxa"/>
            <w:noWrap w:val="0"/>
            <w:vAlign w:val="center"/>
          </w:tcPr>
          <w:p w14:paraId="3F2D2F8F">
            <w:pPr>
              <w:jc w:val="center"/>
              <w:rPr>
                <w:rFonts w:ascii="宋体" w:hAnsi="宋体" w:eastAsia="宋体" w:cs="Times New Roman"/>
                <w:color w:val="auto"/>
                <w:sz w:val="24"/>
                <w:szCs w:val="24"/>
                <w:highlight w:val="none"/>
                <w:lang w:val="zh-CN"/>
              </w:rPr>
            </w:pPr>
          </w:p>
        </w:tc>
        <w:tc>
          <w:tcPr>
            <w:tcW w:w="1508" w:type="dxa"/>
            <w:noWrap w:val="0"/>
            <w:vAlign w:val="center"/>
          </w:tcPr>
          <w:p w14:paraId="55BA614F">
            <w:pPr>
              <w:jc w:val="center"/>
              <w:rPr>
                <w:rFonts w:ascii="宋体" w:hAnsi="宋体" w:eastAsia="宋体" w:cs="Times New Roman"/>
                <w:color w:val="auto"/>
                <w:sz w:val="24"/>
                <w:szCs w:val="24"/>
                <w:highlight w:val="none"/>
                <w:lang w:val="zh-CN"/>
              </w:rPr>
            </w:pPr>
          </w:p>
        </w:tc>
      </w:tr>
      <w:tr w14:paraId="2417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462714FD">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3</w:t>
            </w:r>
          </w:p>
        </w:tc>
        <w:tc>
          <w:tcPr>
            <w:tcW w:w="1515" w:type="dxa"/>
            <w:noWrap w:val="0"/>
            <w:vAlign w:val="center"/>
          </w:tcPr>
          <w:p w14:paraId="3BB5576C">
            <w:pPr>
              <w:jc w:val="center"/>
              <w:rPr>
                <w:rFonts w:ascii="宋体" w:hAnsi="宋体" w:eastAsia="宋体" w:cs="Times New Roman"/>
                <w:color w:val="auto"/>
                <w:sz w:val="24"/>
                <w:szCs w:val="24"/>
                <w:highlight w:val="none"/>
                <w:lang w:val="zh-CN"/>
              </w:rPr>
            </w:pPr>
          </w:p>
        </w:tc>
        <w:tc>
          <w:tcPr>
            <w:tcW w:w="1515" w:type="dxa"/>
            <w:noWrap w:val="0"/>
            <w:vAlign w:val="center"/>
          </w:tcPr>
          <w:p w14:paraId="595CB5FF">
            <w:pPr>
              <w:jc w:val="center"/>
              <w:rPr>
                <w:rFonts w:ascii="宋体" w:hAnsi="宋体" w:eastAsia="宋体" w:cs="Times New Roman"/>
                <w:color w:val="auto"/>
                <w:sz w:val="24"/>
                <w:szCs w:val="24"/>
                <w:highlight w:val="none"/>
                <w:lang w:val="zh-CN"/>
              </w:rPr>
            </w:pPr>
          </w:p>
        </w:tc>
        <w:tc>
          <w:tcPr>
            <w:tcW w:w="1512" w:type="dxa"/>
            <w:noWrap w:val="0"/>
            <w:vAlign w:val="center"/>
          </w:tcPr>
          <w:p w14:paraId="2B22F98B">
            <w:pPr>
              <w:jc w:val="center"/>
              <w:rPr>
                <w:rFonts w:ascii="宋体" w:hAnsi="宋体" w:eastAsia="宋体" w:cs="Times New Roman"/>
                <w:color w:val="auto"/>
                <w:sz w:val="24"/>
                <w:szCs w:val="24"/>
                <w:highlight w:val="none"/>
                <w:lang w:val="zh-CN"/>
              </w:rPr>
            </w:pPr>
          </w:p>
        </w:tc>
        <w:tc>
          <w:tcPr>
            <w:tcW w:w="1512" w:type="dxa"/>
            <w:noWrap w:val="0"/>
            <w:vAlign w:val="center"/>
          </w:tcPr>
          <w:p w14:paraId="49A5A648">
            <w:pPr>
              <w:jc w:val="center"/>
              <w:rPr>
                <w:rFonts w:ascii="宋体" w:hAnsi="宋体" w:eastAsia="宋体" w:cs="Times New Roman"/>
                <w:color w:val="auto"/>
                <w:sz w:val="24"/>
                <w:szCs w:val="24"/>
                <w:highlight w:val="none"/>
                <w:lang w:val="zh-CN"/>
              </w:rPr>
            </w:pPr>
          </w:p>
        </w:tc>
        <w:tc>
          <w:tcPr>
            <w:tcW w:w="1508" w:type="dxa"/>
            <w:noWrap w:val="0"/>
            <w:vAlign w:val="center"/>
          </w:tcPr>
          <w:p w14:paraId="7301BC17">
            <w:pPr>
              <w:jc w:val="center"/>
              <w:rPr>
                <w:rFonts w:ascii="宋体" w:hAnsi="宋体" w:eastAsia="宋体" w:cs="Times New Roman"/>
                <w:color w:val="auto"/>
                <w:sz w:val="24"/>
                <w:szCs w:val="24"/>
                <w:highlight w:val="none"/>
                <w:lang w:val="zh-CN"/>
              </w:rPr>
            </w:pPr>
          </w:p>
        </w:tc>
      </w:tr>
      <w:tr w14:paraId="7958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1A69E535">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1515" w:type="dxa"/>
            <w:noWrap w:val="0"/>
            <w:vAlign w:val="center"/>
          </w:tcPr>
          <w:p w14:paraId="4CB655F9">
            <w:pPr>
              <w:jc w:val="center"/>
              <w:rPr>
                <w:rFonts w:ascii="宋体" w:hAnsi="宋体" w:eastAsia="宋体" w:cs="Times New Roman"/>
                <w:color w:val="auto"/>
                <w:sz w:val="24"/>
                <w:szCs w:val="24"/>
                <w:highlight w:val="none"/>
                <w:lang w:val="zh-CN"/>
              </w:rPr>
            </w:pPr>
          </w:p>
        </w:tc>
        <w:tc>
          <w:tcPr>
            <w:tcW w:w="1515" w:type="dxa"/>
            <w:noWrap w:val="0"/>
            <w:vAlign w:val="center"/>
          </w:tcPr>
          <w:p w14:paraId="71FB34F6">
            <w:pPr>
              <w:jc w:val="center"/>
              <w:rPr>
                <w:rFonts w:ascii="宋体" w:hAnsi="宋体" w:eastAsia="宋体" w:cs="Times New Roman"/>
                <w:color w:val="auto"/>
                <w:sz w:val="24"/>
                <w:szCs w:val="24"/>
                <w:highlight w:val="none"/>
                <w:lang w:val="zh-CN"/>
              </w:rPr>
            </w:pPr>
          </w:p>
        </w:tc>
        <w:tc>
          <w:tcPr>
            <w:tcW w:w="1512" w:type="dxa"/>
            <w:noWrap w:val="0"/>
            <w:vAlign w:val="center"/>
          </w:tcPr>
          <w:p w14:paraId="73594EF3">
            <w:pPr>
              <w:jc w:val="center"/>
              <w:rPr>
                <w:rFonts w:ascii="宋体" w:hAnsi="宋体" w:eastAsia="宋体" w:cs="Times New Roman"/>
                <w:color w:val="auto"/>
                <w:sz w:val="24"/>
                <w:szCs w:val="24"/>
                <w:highlight w:val="none"/>
                <w:lang w:val="zh-CN"/>
              </w:rPr>
            </w:pPr>
          </w:p>
        </w:tc>
        <w:tc>
          <w:tcPr>
            <w:tcW w:w="1512" w:type="dxa"/>
            <w:noWrap w:val="0"/>
            <w:vAlign w:val="center"/>
          </w:tcPr>
          <w:p w14:paraId="6AD2115F">
            <w:pPr>
              <w:jc w:val="center"/>
              <w:rPr>
                <w:rFonts w:ascii="宋体" w:hAnsi="宋体" w:eastAsia="宋体" w:cs="Times New Roman"/>
                <w:color w:val="auto"/>
                <w:sz w:val="24"/>
                <w:szCs w:val="24"/>
                <w:highlight w:val="none"/>
                <w:lang w:val="zh-CN"/>
              </w:rPr>
            </w:pPr>
          </w:p>
        </w:tc>
        <w:tc>
          <w:tcPr>
            <w:tcW w:w="1508" w:type="dxa"/>
            <w:noWrap w:val="0"/>
            <w:vAlign w:val="center"/>
          </w:tcPr>
          <w:p w14:paraId="0B9D5225">
            <w:pPr>
              <w:jc w:val="center"/>
              <w:rPr>
                <w:rFonts w:ascii="宋体" w:hAnsi="宋体" w:eastAsia="宋体" w:cs="Times New Roman"/>
                <w:color w:val="auto"/>
                <w:sz w:val="24"/>
                <w:szCs w:val="24"/>
                <w:highlight w:val="none"/>
                <w:lang w:val="zh-CN"/>
              </w:rPr>
            </w:pPr>
          </w:p>
        </w:tc>
      </w:tr>
    </w:tbl>
    <w:p w14:paraId="41DA82D2">
      <w:pPr>
        <w:spacing w:line="360" w:lineRule="auto"/>
        <w:ind w:firstLine="437"/>
        <w:outlineLvl w:val="2"/>
        <w:rPr>
          <w:rFonts w:ascii="宋体" w:hAnsi="宋体" w:eastAsia="宋体" w:cs="Times New Roman"/>
          <w:b/>
          <w:bCs/>
          <w:color w:val="auto"/>
          <w:sz w:val="24"/>
          <w:szCs w:val="24"/>
          <w:highlight w:val="none"/>
          <w:lang w:val="zh-CN"/>
        </w:rPr>
      </w:pPr>
      <w:bookmarkStart w:id="54" w:name="_Toc23292"/>
      <w:bookmarkStart w:id="55" w:name="_Toc21551"/>
      <w:bookmarkStart w:id="56" w:name="_Toc2163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54"/>
      <w:bookmarkEnd w:id="55"/>
      <w:bookmarkEnd w:id="56"/>
    </w:p>
    <w:p w14:paraId="3F8B6CE2">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本合同总价为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（大写：人民币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r>
        <w:rPr>
          <w:rFonts w:ascii="宋体" w:hAnsi="宋体" w:eastAsia="宋体" w:cs="Times New Roman"/>
          <w:color w:val="auto"/>
          <w:sz w:val="24"/>
          <w:szCs w:val="24"/>
          <w:highlight w:val="none"/>
        </w:rPr>
        <w:t>。</w:t>
      </w:r>
    </w:p>
    <w:p w14:paraId="4B994CF0">
      <w:pPr>
        <w:spacing w:line="360" w:lineRule="auto"/>
        <w:ind w:firstLine="435"/>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分项价格：</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5A7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1FDE1BBF">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序号</w:t>
            </w:r>
          </w:p>
        </w:tc>
        <w:tc>
          <w:tcPr>
            <w:tcW w:w="4316" w:type="dxa"/>
            <w:noWrap w:val="0"/>
            <w:vAlign w:val="center"/>
          </w:tcPr>
          <w:p w14:paraId="06AC2597">
            <w:pPr>
              <w:ind w:firstLine="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37" w:type="dxa"/>
            <w:gridSpan w:val="2"/>
            <w:noWrap w:val="0"/>
            <w:vAlign w:val="center"/>
          </w:tcPr>
          <w:p w14:paraId="58E57CD4">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分项价格</w:t>
            </w:r>
          </w:p>
        </w:tc>
      </w:tr>
      <w:tr w14:paraId="4902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5790A31B">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4316" w:type="dxa"/>
            <w:noWrap w:val="0"/>
            <w:vAlign w:val="center"/>
          </w:tcPr>
          <w:p w14:paraId="77569752">
            <w:pPr>
              <w:ind w:firstLine="200"/>
              <w:jc w:val="center"/>
              <w:rPr>
                <w:rFonts w:ascii="宋体" w:hAnsi="宋体" w:eastAsia="宋体" w:cs="Times New Roman"/>
                <w:color w:val="auto"/>
                <w:sz w:val="24"/>
                <w:szCs w:val="24"/>
                <w:highlight w:val="none"/>
              </w:rPr>
            </w:pPr>
          </w:p>
        </w:tc>
        <w:tc>
          <w:tcPr>
            <w:tcW w:w="3237" w:type="dxa"/>
            <w:gridSpan w:val="2"/>
            <w:noWrap w:val="0"/>
            <w:vAlign w:val="center"/>
          </w:tcPr>
          <w:p w14:paraId="7E2926A3">
            <w:pPr>
              <w:ind w:firstLine="200"/>
              <w:jc w:val="center"/>
              <w:rPr>
                <w:rFonts w:ascii="宋体" w:hAnsi="宋体" w:eastAsia="宋体" w:cs="Times New Roman"/>
                <w:color w:val="auto"/>
                <w:sz w:val="24"/>
                <w:szCs w:val="24"/>
                <w:highlight w:val="none"/>
              </w:rPr>
            </w:pPr>
          </w:p>
        </w:tc>
      </w:tr>
      <w:tr w14:paraId="4601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63E5A3A7">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4316" w:type="dxa"/>
            <w:noWrap w:val="0"/>
            <w:vAlign w:val="center"/>
          </w:tcPr>
          <w:p w14:paraId="70AA0412">
            <w:pPr>
              <w:ind w:firstLine="200"/>
              <w:jc w:val="center"/>
              <w:rPr>
                <w:rFonts w:ascii="宋体" w:hAnsi="宋体" w:eastAsia="宋体" w:cs="Times New Roman"/>
                <w:color w:val="auto"/>
                <w:sz w:val="24"/>
                <w:szCs w:val="24"/>
                <w:highlight w:val="none"/>
              </w:rPr>
            </w:pPr>
          </w:p>
        </w:tc>
        <w:tc>
          <w:tcPr>
            <w:tcW w:w="3237" w:type="dxa"/>
            <w:gridSpan w:val="2"/>
            <w:noWrap w:val="0"/>
            <w:vAlign w:val="center"/>
          </w:tcPr>
          <w:p w14:paraId="414E1ABB">
            <w:pPr>
              <w:ind w:firstLine="200"/>
              <w:jc w:val="center"/>
              <w:rPr>
                <w:rFonts w:ascii="宋体" w:hAnsi="宋体" w:eastAsia="宋体" w:cs="Times New Roman"/>
                <w:color w:val="auto"/>
                <w:sz w:val="24"/>
                <w:szCs w:val="24"/>
                <w:highlight w:val="none"/>
              </w:rPr>
            </w:pPr>
          </w:p>
        </w:tc>
      </w:tr>
      <w:tr w14:paraId="0769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106AF70">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3</w:t>
            </w:r>
          </w:p>
        </w:tc>
        <w:tc>
          <w:tcPr>
            <w:tcW w:w="4316" w:type="dxa"/>
            <w:noWrap w:val="0"/>
            <w:vAlign w:val="center"/>
          </w:tcPr>
          <w:p w14:paraId="39916EED">
            <w:pPr>
              <w:ind w:firstLine="200"/>
              <w:jc w:val="center"/>
              <w:rPr>
                <w:rFonts w:ascii="宋体" w:hAnsi="宋体" w:eastAsia="宋体" w:cs="Times New Roman"/>
                <w:color w:val="auto"/>
                <w:sz w:val="24"/>
                <w:szCs w:val="24"/>
                <w:highlight w:val="none"/>
              </w:rPr>
            </w:pPr>
          </w:p>
        </w:tc>
        <w:tc>
          <w:tcPr>
            <w:tcW w:w="3237" w:type="dxa"/>
            <w:gridSpan w:val="2"/>
            <w:noWrap w:val="0"/>
            <w:vAlign w:val="center"/>
          </w:tcPr>
          <w:p w14:paraId="14A7A9E3">
            <w:pPr>
              <w:ind w:firstLine="200"/>
              <w:jc w:val="center"/>
              <w:rPr>
                <w:rFonts w:ascii="宋体" w:hAnsi="宋体" w:eastAsia="宋体" w:cs="Times New Roman"/>
                <w:color w:val="auto"/>
                <w:sz w:val="24"/>
                <w:szCs w:val="24"/>
                <w:highlight w:val="none"/>
              </w:rPr>
            </w:pPr>
          </w:p>
        </w:tc>
      </w:tr>
      <w:tr w14:paraId="793C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0101B736">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4316" w:type="dxa"/>
            <w:noWrap w:val="0"/>
            <w:vAlign w:val="center"/>
          </w:tcPr>
          <w:p w14:paraId="4687DD2F">
            <w:pPr>
              <w:ind w:firstLine="200"/>
              <w:jc w:val="center"/>
              <w:rPr>
                <w:rFonts w:ascii="宋体" w:hAnsi="宋体" w:eastAsia="宋体" w:cs="Times New Roman"/>
                <w:color w:val="auto"/>
                <w:sz w:val="24"/>
                <w:szCs w:val="24"/>
                <w:highlight w:val="none"/>
              </w:rPr>
            </w:pPr>
          </w:p>
        </w:tc>
        <w:tc>
          <w:tcPr>
            <w:tcW w:w="3237" w:type="dxa"/>
            <w:gridSpan w:val="2"/>
            <w:noWrap w:val="0"/>
            <w:vAlign w:val="center"/>
          </w:tcPr>
          <w:p w14:paraId="3C90D30D">
            <w:pPr>
              <w:ind w:firstLine="200"/>
              <w:jc w:val="center"/>
              <w:rPr>
                <w:rFonts w:ascii="宋体" w:hAnsi="宋体" w:eastAsia="宋体" w:cs="Times New Roman"/>
                <w:color w:val="auto"/>
                <w:sz w:val="24"/>
                <w:szCs w:val="24"/>
                <w:highlight w:val="none"/>
              </w:rPr>
            </w:pPr>
          </w:p>
        </w:tc>
      </w:tr>
      <w:tr w14:paraId="6F8B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3C54D832">
            <w:pPr>
              <w:ind w:firstLine="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37" w:type="dxa"/>
            <w:gridSpan w:val="2"/>
            <w:noWrap w:val="0"/>
            <w:vAlign w:val="center"/>
          </w:tcPr>
          <w:p w14:paraId="34514684">
            <w:pPr>
              <w:ind w:firstLine="200"/>
              <w:jc w:val="center"/>
              <w:rPr>
                <w:rFonts w:ascii="宋体" w:hAnsi="宋体" w:eastAsia="宋体" w:cs="Times New Roman"/>
                <w:color w:val="auto"/>
                <w:sz w:val="24"/>
                <w:szCs w:val="24"/>
                <w:highlight w:val="none"/>
              </w:rPr>
            </w:pPr>
          </w:p>
        </w:tc>
      </w:tr>
    </w:tbl>
    <w:p w14:paraId="2BC9F425">
      <w:pPr>
        <w:spacing w:line="360" w:lineRule="auto"/>
        <w:ind w:firstLine="437"/>
        <w:outlineLvl w:val="2"/>
        <w:rPr>
          <w:rFonts w:ascii="宋体" w:hAnsi="宋体" w:eastAsia="宋体" w:cs="Times New Roman"/>
          <w:b/>
          <w:bCs/>
          <w:color w:val="auto"/>
          <w:sz w:val="24"/>
          <w:szCs w:val="24"/>
          <w:highlight w:val="none"/>
          <w:lang w:val="zh-CN"/>
        </w:rPr>
      </w:pPr>
      <w:bookmarkStart w:id="57" w:name="_Toc10340"/>
      <w:bookmarkStart w:id="58" w:name="_Toc22618"/>
      <w:bookmarkStart w:id="59" w:name="_Toc1814"/>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57"/>
      <w:bookmarkEnd w:id="58"/>
      <w:bookmarkEnd w:id="59"/>
    </w:p>
    <w:p w14:paraId="371D9991">
      <w:pPr>
        <w:spacing w:line="360" w:lineRule="auto"/>
        <w:ind w:firstLine="435"/>
        <w:rPr>
          <w:rFonts w:hint="eastAsia" w:ascii="宋体" w:hAnsi="宋体" w:eastAsia="宋体" w:cs="Times New Roman"/>
          <w:color w:val="auto"/>
          <w:sz w:val="24"/>
          <w:szCs w:val="24"/>
          <w:highlight w:val="none"/>
          <w:u w:val="single"/>
          <w:lang w:eastAsia="zh-CN"/>
        </w:rPr>
      </w:pPr>
      <w:bookmarkStart w:id="60" w:name="_Toc32071"/>
      <w:bookmarkStart w:id="61" w:name="_Toc19304"/>
      <w:bookmarkStart w:id="62" w:name="_Toc2846"/>
      <w:bookmarkStart w:id="63" w:name="_Toc21423"/>
      <w:bookmarkStart w:id="64" w:name="_Toc19554"/>
      <w:bookmarkStart w:id="65" w:name="_Toc27250"/>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Times New Roman"/>
          <w:color w:val="auto"/>
          <w:sz w:val="24"/>
          <w:szCs w:val="24"/>
          <w:highlight w:val="none"/>
          <w:u w:val="single"/>
        </w:rPr>
        <w:t>签订合同并具备实施条件后支付合同总价的40%预付款（预付款支付前，中标人须提供同等金额的见索即付保函），供货、安装、调试完毕及验收合格且采购人收到发票后一次性付清</w:t>
      </w:r>
      <w:r>
        <w:rPr>
          <w:rFonts w:hint="eastAsia" w:ascii="宋体" w:hAnsi="宋体" w:eastAsia="宋体" w:cs="Times New Roman"/>
          <w:color w:val="auto"/>
          <w:sz w:val="24"/>
          <w:szCs w:val="24"/>
          <w:highlight w:val="none"/>
          <w:u w:val="single"/>
          <w:lang w:val="en-US" w:eastAsia="zh-CN"/>
        </w:rPr>
        <w:t>合同款（</w:t>
      </w:r>
      <w:r>
        <w:rPr>
          <w:rFonts w:hint="eastAsia" w:ascii="宋体" w:hAnsi="宋体" w:eastAsia="宋体"/>
          <w:bCs/>
          <w:color w:val="auto"/>
          <w:sz w:val="24"/>
          <w:szCs w:val="18"/>
          <w:highlight w:val="none"/>
          <w:u w:val="single"/>
          <w:lang w:val="en-US" w:eastAsia="zh-CN"/>
        </w:rPr>
        <w:t>投标人所报综合单价不予调整，其中采购范围内的铜管按使用量据实结算</w:t>
      </w:r>
      <w:r>
        <w:rPr>
          <w:rFonts w:hint="eastAsia"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rPr>
        <w:t>。</w:t>
      </w:r>
    </w:p>
    <w:p w14:paraId="7F049A5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增值税专用发票  </w:t>
      </w:r>
      <w:r>
        <w:rPr>
          <w:rFonts w:hint="eastAsia" w:ascii="宋体" w:hAnsi="宋体" w:eastAsia="宋体" w:cs="Times New Roman"/>
          <w:color w:val="auto"/>
          <w:sz w:val="24"/>
          <w:szCs w:val="24"/>
          <w:highlight w:val="none"/>
        </w:rPr>
        <w:t>。</w:t>
      </w:r>
    </w:p>
    <w:p w14:paraId="5B3CDB52">
      <w:pPr>
        <w:spacing w:line="360" w:lineRule="auto"/>
        <w:ind w:firstLine="437"/>
        <w:outlineLvl w:val="2"/>
        <w:rPr>
          <w:rFonts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5 货物交付期限</w:t>
      </w:r>
      <w:r>
        <w:rPr>
          <w:rFonts w:hint="eastAsia" w:ascii="宋体" w:hAnsi="宋体" w:eastAsia="宋体" w:cs="Times New Roman"/>
          <w:b/>
          <w:bCs/>
          <w:color w:val="auto"/>
          <w:sz w:val="24"/>
          <w:szCs w:val="24"/>
          <w:highlight w:val="none"/>
          <w:lang w:val="zh-CN"/>
        </w:rPr>
        <w:t>、地点和方式</w:t>
      </w:r>
      <w:bookmarkEnd w:id="60"/>
      <w:bookmarkEnd w:id="61"/>
      <w:bookmarkEnd w:id="62"/>
    </w:p>
    <w:p w14:paraId="23937C30">
      <w:pPr>
        <w:spacing w:line="360" w:lineRule="auto"/>
        <w:ind w:firstLine="435"/>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lang w:val="en-US" w:eastAsia="zh-CN"/>
        </w:rPr>
        <w:t>1.5.1交付期限：</w:t>
      </w:r>
      <w:r>
        <w:rPr>
          <w:rFonts w:hint="eastAsia" w:ascii="宋体" w:hAnsi="宋体" w:eastAsia="宋体"/>
          <w:b w:val="0"/>
          <w:color w:val="auto"/>
          <w:sz w:val="24"/>
          <w:highlight w:val="none"/>
          <w:u w:val="single"/>
          <w:lang w:val="en-US" w:eastAsia="zh-CN"/>
        </w:rPr>
        <w:t>自合同签订生效后，并接到采购人供货通知之日起50个日历天内完成货物的供货、安装、调试工作。</w:t>
      </w:r>
    </w:p>
    <w:p w14:paraId="0F07299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1.5.2交付地点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滁州学院，采购人指定地点        </w:t>
      </w:r>
      <w:r>
        <w:rPr>
          <w:rFonts w:hint="eastAsia" w:ascii="宋体" w:hAnsi="宋体" w:eastAsia="宋体" w:cs="Times New Roman"/>
          <w:color w:val="auto"/>
          <w:sz w:val="24"/>
          <w:szCs w:val="24"/>
          <w:highlight w:val="none"/>
        </w:rPr>
        <w:t>；</w:t>
      </w:r>
    </w:p>
    <w:p w14:paraId="425D828C">
      <w:pPr>
        <w:spacing w:line="360" w:lineRule="auto"/>
        <w:ind w:firstLine="43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1.5.3交付方式：</w:t>
      </w:r>
      <w:r>
        <w:rPr>
          <w:rFonts w:hint="eastAsia" w:ascii="宋体" w:hAnsi="宋体" w:eastAsia="宋体" w:cs="Times New Roman"/>
          <w:color w:val="auto"/>
          <w:sz w:val="24"/>
          <w:szCs w:val="24"/>
          <w:highlight w:val="none"/>
          <w:u w:val="single"/>
        </w:rPr>
        <w:t xml:space="preserve"> 现实交付                        </w:t>
      </w:r>
      <w:r>
        <w:rPr>
          <w:rFonts w:hint="eastAsia" w:ascii="宋体" w:hAnsi="宋体" w:eastAsia="宋体" w:cs="Times New Roman"/>
          <w:color w:val="auto"/>
          <w:sz w:val="24"/>
          <w:szCs w:val="24"/>
          <w:highlight w:val="none"/>
        </w:rPr>
        <w:t>；</w:t>
      </w:r>
    </w:p>
    <w:p w14:paraId="08B0B1D3">
      <w:pPr>
        <w:spacing w:line="360" w:lineRule="auto"/>
        <w:ind w:firstLine="437"/>
        <w:outlineLvl w:val="2"/>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1.5.4免费质保期：</w:t>
      </w:r>
      <w:r>
        <w:rPr>
          <w:rFonts w:hint="eastAsia" w:ascii="宋体" w:hAnsi="宋体" w:eastAsia="宋体" w:cs="Times New Roman"/>
          <w:color w:val="auto"/>
          <w:sz w:val="24"/>
          <w:szCs w:val="24"/>
          <w:highlight w:val="none"/>
          <w:u w:val="single"/>
        </w:rPr>
        <w:t>验收合格之日起      年的免费质保服务。</w:t>
      </w:r>
    </w:p>
    <w:p w14:paraId="5A4A2478">
      <w:pPr>
        <w:spacing w:line="360" w:lineRule="auto"/>
        <w:ind w:firstLine="437"/>
        <w:outlineLvl w:val="2"/>
        <w:rPr>
          <w:rFonts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1.6 违约责任</w:t>
      </w:r>
      <w:bookmarkEnd w:id="63"/>
      <w:bookmarkEnd w:id="64"/>
      <w:bookmarkEnd w:id="65"/>
    </w:p>
    <w:p w14:paraId="162AEFD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地点和方式交付货物，那么甲方可要求乙方支付违约金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违约金按每迟延交付货物一日的应交付而未交付货物价格的</w:t>
      </w:r>
      <w:r>
        <w:rPr>
          <w:rFonts w:hint="eastAsia" w:ascii="宋体" w:hAnsi="宋体" w:eastAsia="宋体" w:cs="Times New Roman"/>
          <w:color w:val="auto"/>
          <w:sz w:val="24"/>
          <w:szCs w:val="24"/>
          <w:highlight w:val="none"/>
          <w:u w:val="single"/>
        </w:rPr>
        <w:t xml:space="preserve"> 0.1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5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迟延交付货物的违约金计算数额达到前述最高限额之日起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62BD254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 xml:space="preserve">  0.1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5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3B7E93F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98D4BE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D8EFD4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181389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592896D6">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1.6.7因甲方未按合同约定支付价款、未按合同约定受领标的物、擅自解除合同导致乙方遭受的直接损失，乙方可向甲方申请赔偿，赔偿金额由双方协商一致；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736FA924">
      <w:pPr>
        <w:spacing w:line="360" w:lineRule="auto"/>
        <w:ind w:firstLine="437"/>
        <w:outlineLvl w:val="2"/>
        <w:rPr>
          <w:rFonts w:ascii="宋体" w:hAnsi="宋体" w:eastAsia="宋体" w:cs="Times New Roman"/>
          <w:b/>
          <w:bCs/>
          <w:color w:val="auto"/>
          <w:sz w:val="24"/>
          <w:szCs w:val="24"/>
          <w:highlight w:val="none"/>
          <w:lang w:val="zh-CN"/>
        </w:rPr>
      </w:pPr>
      <w:bookmarkStart w:id="66" w:name="_Toc15583"/>
      <w:bookmarkStart w:id="67" w:name="_Toc28375"/>
      <w:bookmarkStart w:id="68" w:name="_Toc16021"/>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66"/>
      <w:bookmarkEnd w:id="67"/>
      <w:bookmarkEnd w:id="68"/>
    </w:p>
    <w:p w14:paraId="3E34526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1.7.2 </w:t>
      </w:r>
      <w:r>
        <w:rPr>
          <w:rFonts w:hint="eastAsia" w:ascii="宋体" w:hAnsi="宋体" w:eastAsia="宋体" w:cs="Times New Roman"/>
          <w:color w:val="auto"/>
          <w:sz w:val="24"/>
          <w:szCs w:val="24"/>
          <w:highlight w:val="none"/>
        </w:rPr>
        <w:t>种方式解决：</w:t>
      </w:r>
    </w:p>
    <w:p w14:paraId="7F66905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1.7.1将争议提交</w:t>
      </w:r>
      <w:r>
        <w:rPr>
          <w:rFonts w:hint="eastAsia" w:ascii="宋体" w:hAnsi="宋体" w:eastAsia="宋体" w:cs="Times New Roman"/>
          <w:color w:val="auto"/>
          <w:sz w:val="24"/>
          <w:szCs w:val="24"/>
          <w:highlight w:val="none"/>
          <w:u w:val="single"/>
        </w:rPr>
        <w:t xml:space="preserve"> 滁州 </w:t>
      </w:r>
      <w:r>
        <w:rPr>
          <w:rFonts w:hint="eastAsia" w:ascii="宋体" w:hAnsi="宋体" w:eastAsia="宋体" w:cs="Times New Roman"/>
          <w:color w:val="auto"/>
          <w:sz w:val="24"/>
          <w:szCs w:val="24"/>
          <w:highlight w:val="none"/>
        </w:rPr>
        <w:t>仲裁委员会依申请仲裁时其现行有效的仲裁规则裁决；</w:t>
      </w:r>
    </w:p>
    <w:p w14:paraId="32738A7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1.7.2向</w:t>
      </w:r>
      <w:r>
        <w:rPr>
          <w:rFonts w:hint="eastAsia" w:ascii="宋体" w:hAnsi="宋体" w:eastAsia="宋体" w:cs="Times New Roman"/>
          <w:color w:val="auto"/>
          <w:sz w:val="24"/>
          <w:szCs w:val="24"/>
          <w:highlight w:val="none"/>
          <w:u w:val="single"/>
        </w:rPr>
        <w:t xml:space="preserve">  滁州 </w:t>
      </w:r>
      <w:r>
        <w:rPr>
          <w:rFonts w:hint="eastAsia" w:ascii="宋体" w:hAnsi="宋体" w:eastAsia="宋体" w:cs="Times New Roman"/>
          <w:color w:val="auto"/>
          <w:sz w:val="24"/>
          <w:szCs w:val="24"/>
          <w:highlight w:val="none"/>
        </w:rPr>
        <w:t>人民法院起诉。</w:t>
      </w:r>
    </w:p>
    <w:p w14:paraId="4154D309">
      <w:pPr>
        <w:spacing w:line="360" w:lineRule="auto"/>
        <w:ind w:firstLine="437"/>
        <w:outlineLvl w:val="2"/>
        <w:rPr>
          <w:rFonts w:ascii="宋体" w:hAnsi="宋体" w:eastAsia="宋体" w:cs="Times New Roman"/>
          <w:b/>
          <w:bCs/>
          <w:color w:val="auto"/>
          <w:sz w:val="24"/>
          <w:szCs w:val="24"/>
          <w:highlight w:val="none"/>
          <w:lang w:val="zh-CN"/>
        </w:rPr>
      </w:pPr>
      <w:bookmarkStart w:id="69" w:name="_Toc15322"/>
      <w:bookmarkStart w:id="70" w:name="_Toc11173"/>
      <w:bookmarkStart w:id="71" w:name="_Toc7245"/>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69"/>
      <w:bookmarkEnd w:id="70"/>
      <w:bookmarkEnd w:id="71"/>
    </w:p>
    <w:p w14:paraId="08A24A9C">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584DB79F">
      <w:pPr>
        <w:autoSpaceDE w:val="0"/>
        <w:autoSpaceDN w:val="0"/>
        <w:adjustRightInd w:val="0"/>
        <w:spacing w:line="560" w:lineRule="exact"/>
        <w:rPr>
          <w:rFonts w:ascii="宋体" w:hAnsi="宋体" w:eastAsia="宋体" w:cs="Times New Roman"/>
          <w:color w:val="auto"/>
          <w:sz w:val="24"/>
          <w:szCs w:val="24"/>
          <w:highlight w:val="none"/>
          <w:lang w:val="zh-CN"/>
        </w:rPr>
      </w:pPr>
    </w:p>
    <w:p w14:paraId="675CDA7E">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3630DEE7">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000CA2CD">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2A06D0BF">
      <w:pPr>
        <w:widowControl/>
        <w:spacing w:line="560" w:lineRule="exact"/>
        <w:jc w:val="left"/>
        <w:rPr>
          <w:rFonts w:ascii="宋体" w:hAnsi="宋体" w:eastAsia="宋体" w:cs="Times New Roman"/>
          <w:bCs/>
          <w:color w:val="auto"/>
          <w:sz w:val="24"/>
          <w:szCs w:val="24"/>
          <w:highlight w:val="none"/>
        </w:rPr>
      </w:pPr>
      <w:bookmarkStart w:id="72"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630D5A12">
      <w:pPr>
        <w:widowControl/>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0D5F09A5">
      <w:pPr>
        <w:rPr>
          <w:rFonts w:hint="eastAsia" w:ascii="宋体" w:hAnsi="宋体" w:eastAsia="宋体"/>
          <w:color w:val="auto"/>
          <w:sz w:val="24"/>
          <w:szCs w:val="24"/>
          <w:highlight w:val="none"/>
        </w:rPr>
      </w:pPr>
      <w:r>
        <w:rPr>
          <w:rFonts w:hint="eastAsia" w:ascii="宋体" w:hAnsi="宋体" w:eastAsia="宋体"/>
          <w:color w:val="auto"/>
          <w:sz w:val="24"/>
          <w:szCs w:val="24"/>
          <w:highlight w:val="none"/>
        </w:rPr>
        <w:br w:type="page"/>
      </w:r>
    </w:p>
    <w:p w14:paraId="61900742">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72"/>
    </w:p>
    <w:p w14:paraId="187F3570">
      <w:pPr>
        <w:spacing w:line="500" w:lineRule="exact"/>
        <w:ind w:firstLine="437"/>
        <w:jc w:val="left"/>
        <w:outlineLvl w:val="2"/>
        <w:rPr>
          <w:rFonts w:ascii="宋体" w:hAnsi="宋体" w:eastAsia="宋体" w:cs="Times New Roman"/>
          <w:b/>
          <w:bCs/>
          <w:color w:val="auto"/>
          <w:sz w:val="24"/>
          <w:szCs w:val="24"/>
          <w:highlight w:val="none"/>
          <w:lang w:val="zh-CN"/>
        </w:rPr>
      </w:pPr>
      <w:bookmarkStart w:id="73" w:name="_Ref467378499"/>
      <w:bookmarkStart w:id="74" w:name="_Toc487900349"/>
      <w:bookmarkStart w:id="75" w:name="_Toc16917"/>
      <w:bookmarkStart w:id="76" w:name="_Ref467379101"/>
      <w:bookmarkStart w:id="77" w:name="_Ref467379109"/>
      <w:bookmarkStart w:id="78" w:name="_Ref467379094"/>
      <w:bookmarkStart w:id="79" w:name="_Toc279701240"/>
      <w:bookmarkStart w:id="80" w:name="_Toc19614"/>
      <w:bookmarkStart w:id="81" w:name="_Toc28763"/>
      <w:bookmarkStart w:id="82" w:name="_Ref467378404"/>
      <w:bookmarkStart w:id="83" w:name="_Ref467379214"/>
      <w:bookmarkStart w:id="84" w:name="_Ref467379195"/>
      <w:bookmarkStart w:id="85" w:name="_Toc259093669"/>
      <w:bookmarkStart w:id="86" w:name="_Ref467378463"/>
      <w:bookmarkStart w:id="87" w:name="_Ref467379225"/>
      <w:bookmarkStart w:id="88" w:name="_Ref467379205"/>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210CDCA">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272BEEB6">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546EA88F">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1A25290D">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1.3“货物”系指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根据合同约定应向采购人交付的一切</w:t>
      </w:r>
      <w:r>
        <w:rPr>
          <w:rFonts w:hint="eastAsia" w:ascii="宋体" w:hAnsi="宋体" w:eastAsia="宋体" w:cs="Times New Roman"/>
          <w:color w:val="auto"/>
          <w:sz w:val="24"/>
          <w:szCs w:val="24"/>
          <w:highlight w:val="none"/>
        </w:rPr>
        <w:t>各种形态和种类的物品，包括原材料、燃料、设备、</w:t>
      </w:r>
      <w:r>
        <w:rPr>
          <w:rFonts w:ascii="宋体" w:hAnsi="宋体" w:eastAsia="宋体" w:cs="Times New Roman"/>
          <w:color w:val="auto"/>
          <w:sz w:val="24"/>
          <w:szCs w:val="24"/>
          <w:highlight w:val="none"/>
        </w:rPr>
        <w:t>机械、仪表、备件</w:t>
      </w:r>
      <w:r>
        <w:rPr>
          <w:rFonts w:hint="eastAsia" w:ascii="宋体" w:hAnsi="宋体" w:eastAsia="宋体" w:cs="Times New Roman"/>
          <w:color w:val="auto"/>
          <w:sz w:val="24"/>
          <w:szCs w:val="24"/>
          <w:highlight w:val="none"/>
        </w:rPr>
        <w:t>、计算机软件、产品等</w:t>
      </w:r>
      <w:r>
        <w:rPr>
          <w:rFonts w:ascii="宋体" w:hAnsi="宋体" w:eastAsia="宋体" w:cs="Times New Roman"/>
          <w:color w:val="auto"/>
          <w:sz w:val="24"/>
          <w:szCs w:val="24"/>
          <w:highlight w:val="none"/>
        </w:rPr>
        <w:t>，并包括工具、手册等其他相关资料。</w:t>
      </w:r>
    </w:p>
    <w:p w14:paraId="5E504866">
      <w:pPr>
        <w:spacing w:line="500" w:lineRule="exact"/>
        <w:ind w:firstLine="435"/>
        <w:jc w:val="left"/>
        <w:rPr>
          <w:rFonts w:ascii="宋体" w:hAnsi="宋体" w:eastAsia="宋体" w:cs="Times New Roman"/>
          <w:color w:val="auto"/>
          <w:sz w:val="24"/>
          <w:szCs w:val="24"/>
          <w:highlight w:val="none"/>
        </w:rPr>
      </w:pPr>
      <w:bookmarkStart w:id="89"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89"/>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74BF29EE">
      <w:pPr>
        <w:spacing w:line="500" w:lineRule="exact"/>
        <w:ind w:firstLine="435"/>
        <w:jc w:val="left"/>
        <w:rPr>
          <w:rFonts w:ascii="宋体" w:hAnsi="宋体" w:eastAsia="宋体" w:cs="Times New Roman"/>
          <w:color w:val="auto"/>
          <w:sz w:val="24"/>
          <w:szCs w:val="24"/>
          <w:highlight w:val="none"/>
        </w:rPr>
      </w:pPr>
      <w:bookmarkStart w:id="90"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“乙方”系指根据合同约定交付货物的中标人</w:t>
      </w:r>
      <w:bookmarkEnd w:id="90"/>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DF1F35E">
      <w:pPr>
        <w:spacing w:line="500" w:lineRule="exact"/>
        <w:ind w:firstLine="435"/>
        <w:jc w:val="left"/>
        <w:rPr>
          <w:rFonts w:ascii="宋体" w:hAnsi="宋体" w:eastAsia="宋体" w:cs="Times New Roman"/>
          <w:color w:val="auto"/>
          <w:sz w:val="24"/>
          <w:szCs w:val="24"/>
          <w:highlight w:val="none"/>
        </w:rPr>
      </w:pPr>
      <w:bookmarkStart w:id="91"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“现场”系指合同约定货物将要运至</w:t>
      </w:r>
      <w:r>
        <w:rPr>
          <w:rFonts w:hint="eastAsia" w:ascii="宋体" w:hAnsi="宋体" w:eastAsia="宋体" w:cs="Times New Roman"/>
          <w:color w:val="auto"/>
          <w:sz w:val="24"/>
          <w:szCs w:val="24"/>
          <w:highlight w:val="none"/>
        </w:rPr>
        <w:t>或者</w:t>
      </w:r>
      <w:r>
        <w:rPr>
          <w:rFonts w:ascii="宋体" w:hAnsi="宋体" w:eastAsia="宋体" w:cs="Times New Roman"/>
          <w:color w:val="auto"/>
          <w:sz w:val="24"/>
          <w:szCs w:val="24"/>
          <w:highlight w:val="none"/>
        </w:rPr>
        <w:t>安装的地点。</w:t>
      </w:r>
      <w:bookmarkEnd w:id="91"/>
    </w:p>
    <w:p w14:paraId="3E42805D">
      <w:pPr>
        <w:spacing w:line="500" w:lineRule="exact"/>
        <w:ind w:firstLine="437"/>
        <w:jc w:val="left"/>
        <w:outlineLvl w:val="2"/>
        <w:rPr>
          <w:rFonts w:ascii="宋体" w:hAnsi="宋体" w:eastAsia="宋体" w:cs="Times New Roman"/>
          <w:b/>
          <w:bCs/>
          <w:color w:val="auto"/>
          <w:sz w:val="24"/>
          <w:szCs w:val="24"/>
          <w:highlight w:val="none"/>
          <w:lang w:val="zh-CN"/>
        </w:rPr>
      </w:pPr>
      <w:bookmarkStart w:id="92" w:name="_Toc13336"/>
      <w:bookmarkStart w:id="93" w:name="_Toc487900350"/>
      <w:bookmarkStart w:id="94" w:name="_Toc259093670"/>
      <w:bookmarkStart w:id="95" w:name="_Toc32504"/>
      <w:bookmarkStart w:id="96" w:name="_Toc27635"/>
      <w:bookmarkStart w:id="97" w:name="_Toc27970124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92"/>
      <w:bookmarkEnd w:id="93"/>
      <w:bookmarkEnd w:id="94"/>
      <w:bookmarkEnd w:id="95"/>
      <w:bookmarkEnd w:id="96"/>
      <w:bookmarkEnd w:id="97"/>
    </w:p>
    <w:p w14:paraId="1E390CFF">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2D0DA98D">
      <w:pPr>
        <w:spacing w:line="500" w:lineRule="exact"/>
        <w:ind w:firstLine="437"/>
        <w:jc w:val="left"/>
        <w:outlineLvl w:val="2"/>
        <w:rPr>
          <w:rFonts w:ascii="宋体" w:hAnsi="宋体" w:eastAsia="宋体" w:cs="Times New Roman"/>
          <w:b/>
          <w:bCs/>
          <w:color w:val="auto"/>
          <w:sz w:val="24"/>
          <w:szCs w:val="24"/>
          <w:highlight w:val="none"/>
          <w:lang w:val="zh-CN"/>
        </w:rPr>
      </w:pPr>
      <w:bookmarkStart w:id="98" w:name="_Toc259093671"/>
      <w:bookmarkStart w:id="99" w:name="_Toc9829"/>
      <w:bookmarkStart w:id="100" w:name="_Toc279701242"/>
      <w:bookmarkStart w:id="101" w:name="_Toc27853"/>
      <w:bookmarkStart w:id="102" w:name="_Toc487900351"/>
      <w:bookmarkStart w:id="103" w:name="_Toc3163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98"/>
      <w:bookmarkEnd w:id="99"/>
      <w:bookmarkEnd w:id="100"/>
      <w:bookmarkEnd w:id="101"/>
      <w:bookmarkEnd w:id="102"/>
      <w:bookmarkEnd w:id="103"/>
    </w:p>
    <w:p w14:paraId="03FCA076">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方应保证甲方在使用该货物或其任何一部分时不受任何第三方提出的侵犯其著作权、商标权、专利权等知识产权方面的起诉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11FE805E">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2.3.2具有知识产权的计算机软件等货物的知识产权归属，</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56106C10">
      <w:pPr>
        <w:spacing w:line="500" w:lineRule="exact"/>
        <w:ind w:firstLine="437"/>
        <w:jc w:val="left"/>
        <w:outlineLvl w:val="2"/>
        <w:rPr>
          <w:rFonts w:ascii="宋体" w:hAnsi="宋体" w:eastAsia="宋体" w:cs="Times New Roman"/>
          <w:b/>
          <w:color w:val="auto"/>
          <w:sz w:val="24"/>
          <w:szCs w:val="24"/>
          <w:highlight w:val="none"/>
        </w:rPr>
      </w:pPr>
      <w:bookmarkStart w:id="104" w:name="_Toc4194"/>
      <w:bookmarkStart w:id="105" w:name="_Toc11932"/>
      <w:bookmarkStart w:id="106" w:name="_Toc29149"/>
      <w:r>
        <w:rPr>
          <w:rFonts w:hint="eastAsia" w:ascii="宋体" w:hAnsi="宋体" w:eastAsia="宋体" w:cs="Times New Roman"/>
          <w:b/>
          <w:bCs/>
          <w:color w:val="auto"/>
          <w:sz w:val="24"/>
          <w:szCs w:val="24"/>
          <w:highlight w:val="none"/>
          <w:lang w:val="zh-CN"/>
        </w:rPr>
        <w:t>2.4</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包装和装运</w:t>
      </w:r>
      <w:bookmarkEnd w:id="104"/>
      <w:bookmarkEnd w:id="105"/>
      <w:bookmarkEnd w:id="106"/>
    </w:p>
    <w:p w14:paraId="5D8DDC91">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2.4.1除</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E38465E">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2.4.2装运货物的要求和通知，详见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color w:val="auto"/>
          <w:sz w:val="24"/>
          <w:szCs w:val="24"/>
          <w:highlight w:val="none"/>
        </w:rPr>
        <w:t>。</w:t>
      </w:r>
    </w:p>
    <w:p w14:paraId="726A8E58">
      <w:pPr>
        <w:spacing w:line="500" w:lineRule="exact"/>
        <w:ind w:firstLine="437"/>
        <w:jc w:val="left"/>
        <w:outlineLvl w:val="2"/>
        <w:rPr>
          <w:rFonts w:ascii="宋体" w:hAnsi="宋体" w:eastAsia="宋体" w:cs="Times New Roman"/>
          <w:b/>
          <w:bCs/>
          <w:color w:val="auto"/>
          <w:sz w:val="24"/>
          <w:szCs w:val="24"/>
          <w:highlight w:val="none"/>
          <w:lang w:val="zh-CN"/>
        </w:rPr>
      </w:pPr>
      <w:bookmarkStart w:id="107" w:name="_Toc259093674"/>
      <w:bookmarkStart w:id="108" w:name="_Toc487900354"/>
      <w:bookmarkStart w:id="109" w:name="_Toc279701245"/>
      <w:bookmarkStart w:id="110" w:name="_Ref467379542"/>
      <w:bookmarkStart w:id="111" w:name="_Ref467379527"/>
      <w:bookmarkStart w:id="112" w:name="_Ref467378541"/>
      <w:bookmarkStart w:id="113" w:name="_Ref467379536"/>
      <w:bookmarkStart w:id="114" w:name="_Ref467378591"/>
      <w:bookmarkStart w:id="115" w:name="_Toc26182"/>
      <w:bookmarkStart w:id="116" w:name="_Toc30272"/>
      <w:bookmarkStart w:id="117" w:name="_Toc19074"/>
      <w:r>
        <w:rPr>
          <w:rFonts w:hint="eastAsia" w:ascii="宋体" w:hAnsi="宋体" w:eastAsia="宋体" w:cs="Times New Roman"/>
          <w:b/>
          <w:bCs/>
          <w:color w:val="auto"/>
          <w:sz w:val="24"/>
          <w:szCs w:val="24"/>
          <w:highlight w:val="none"/>
          <w:lang w:val="zh-CN"/>
        </w:rPr>
        <w:t>2.</w:t>
      </w:r>
      <w:bookmarkEnd w:id="107"/>
      <w:bookmarkEnd w:id="108"/>
      <w:bookmarkEnd w:id="109"/>
      <w:bookmarkEnd w:id="110"/>
      <w:bookmarkEnd w:id="111"/>
      <w:bookmarkEnd w:id="112"/>
      <w:bookmarkEnd w:id="113"/>
      <w:bookmarkEnd w:id="114"/>
      <w:r>
        <w:rPr>
          <w:rFonts w:hint="eastAsia" w:ascii="宋体" w:hAnsi="宋体" w:eastAsia="宋体" w:cs="Times New Roman"/>
          <w:b/>
          <w:bCs/>
          <w:color w:val="auto"/>
          <w:sz w:val="24"/>
          <w:szCs w:val="24"/>
          <w:highlight w:val="none"/>
          <w:lang w:val="zh-CN"/>
        </w:rPr>
        <w:t>5</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履约检查和问题反馈</w:t>
      </w:r>
      <w:bookmarkEnd w:id="115"/>
      <w:bookmarkEnd w:id="116"/>
      <w:bookmarkEnd w:id="117"/>
    </w:p>
    <w:p w14:paraId="2B9ECFFF">
      <w:pPr>
        <w:spacing w:line="500" w:lineRule="exact"/>
        <w:ind w:firstLine="435"/>
        <w:jc w:val="left"/>
        <w:rPr>
          <w:rFonts w:ascii="宋体" w:hAnsi="宋体" w:eastAsia="宋体" w:cs="Times New Roman"/>
          <w:color w:val="auto"/>
          <w:sz w:val="24"/>
          <w:szCs w:val="24"/>
          <w:highlight w:val="none"/>
        </w:rPr>
      </w:pPr>
      <w:bookmarkStart w:id="118" w:name="_Ref467379657"/>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.1</w:t>
      </w:r>
      <w:bookmarkEnd w:id="118"/>
      <w:bookmarkStart w:id="119" w:name="_Toc186431854"/>
      <w:bookmarkStart w:id="120" w:name="_Ref467379793"/>
      <w:bookmarkStart w:id="121" w:name="_Ref467379807"/>
      <w:bookmarkStart w:id="122" w:name="_Toc279701247"/>
      <w:bookmarkStart w:id="123" w:name="_Toc487900357"/>
      <w:bookmarkStart w:id="124" w:name="_Toc259093676"/>
      <w:r>
        <w:rPr>
          <w:rFonts w:ascii="宋体" w:hAnsi="宋体" w:eastAsia="宋体" w:cs="Times New Roman"/>
          <w:color w:val="auto"/>
          <w:sz w:val="24"/>
          <w:szCs w:val="24"/>
          <w:highlight w:val="none"/>
        </w:rPr>
        <w:t>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，对乙方是否能够按照合同约定交付货物进行履约检查，以确保乙方所交付的货物能够依约满足甲方项目需求，但不得因履约检查妨碍乙方的正常工作，乙方应予积极配合；</w:t>
      </w:r>
    </w:p>
    <w:p w14:paraId="48AEEB79">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2.5.2合同履行期间，甲方有权将履行过程中出现的问题反馈给乙方，双方当事人应以书面形式约定需要完善和改进的内容</w:t>
      </w:r>
      <w:bookmarkEnd w:id="119"/>
      <w:bookmarkStart w:id="125" w:name="_Toc186431855"/>
      <w:r>
        <w:rPr>
          <w:rFonts w:hint="eastAsia" w:ascii="宋体" w:hAnsi="宋体" w:eastAsia="宋体" w:cs="Times New Roman"/>
          <w:color w:val="auto"/>
          <w:sz w:val="24"/>
          <w:szCs w:val="24"/>
          <w:highlight w:val="none"/>
        </w:rPr>
        <w:t>。</w:t>
      </w:r>
    </w:p>
    <w:bookmarkEnd w:id="125"/>
    <w:p w14:paraId="770EAFC7">
      <w:pPr>
        <w:spacing w:line="500" w:lineRule="exact"/>
        <w:ind w:firstLine="437"/>
        <w:jc w:val="left"/>
        <w:outlineLvl w:val="2"/>
        <w:rPr>
          <w:rFonts w:ascii="宋体" w:hAnsi="宋体" w:eastAsia="宋体" w:cs="Times New Roman"/>
          <w:b/>
          <w:bCs/>
          <w:color w:val="auto"/>
          <w:sz w:val="24"/>
          <w:szCs w:val="24"/>
          <w:highlight w:val="none"/>
          <w:lang w:val="zh-CN"/>
        </w:rPr>
      </w:pPr>
      <w:bookmarkStart w:id="126" w:name="_Toc7836"/>
      <w:bookmarkStart w:id="127" w:name="_Toc19219"/>
      <w:bookmarkStart w:id="128" w:name="_Toc28451"/>
      <w:r>
        <w:rPr>
          <w:rFonts w:hint="eastAsia" w:ascii="宋体" w:hAnsi="宋体" w:eastAsia="宋体" w:cs="Times New Roman"/>
          <w:b/>
          <w:bCs/>
          <w:color w:val="auto"/>
          <w:sz w:val="24"/>
          <w:szCs w:val="24"/>
          <w:highlight w:val="none"/>
          <w:lang w:val="zh-CN"/>
        </w:rPr>
        <w:t xml:space="preserve">2.6 </w:t>
      </w:r>
      <w:r>
        <w:rPr>
          <w:rFonts w:ascii="宋体" w:hAnsi="宋体" w:eastAsia="宋体" w:cs="Times New Roman"/>
          <w:b/>
          <w:bCs/>
          <w:color w:val="auto"/>
          <w:sz w:val="24"/>
          <w:szCs w:val="24"/>
          <w:highlight w:val="none"/>
          <w:lang w:val="zh-CN"/>
        </w:rPr>
        <w:t>结算方式和付款条件</w:t>
      </w:r>
      <w:bookmarkEnd w:id="120"/>
      <w:bookmarkEnd w:id="121"/>
      <w:bookmarkEnd w:id="122"/>
      <w:bookmarkEnd w:id="123"/>
      <w:bookmarkEnd w:id="124"/>
      <w:bookmarkEnd w:id="126"/>
      <w:bookmarkEnd w:id="127"/>
      <w:bookmarkEnd w:id="128"/>
    </w:p>
    <w:p w14:paraId="5E6A4A9B">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302410EC">
      <w:pPr>
        <w:spacing w:line="500" w:lineRule="exact"/>
        <w:ind w:firstLine="437"/>
        <w:jc w:val="left"/>
        <w:outlineLvl w:val="2"/>
        <w:rPr>
          <w:rFonts w:ascii="宋体" w:hAnsi="宋体" w:eastAsia="宋体" w:cs="Times New Roman"/>
          <w:b/>
          <w:bCs/>
          <w:color w:val="auto"/>
          <w:sz w:val="24"/>
          <w:szCs w:val="24"/>
          <w:highlight w:val="none"/>
          <w:lang w:val="zh-CN"/>
        </w:rPr>
      </w:pPr>
      <w:bookmarkStart w:id="129" w:name="_Toc487900358"/>
      <w:bookmarkStart w:id="130" w:name="_Ref467379852"/>
      <w:bookmarkStart w:id="131" w:name="_Ref467379923"/>
      <w:bookmarkStart w:id="132" w:name="_Ref467379863"/>
      <w:bookmarkStart w:id="133" w:name="_Toc279701248"/>
      <w:bookmarkStart w:id="134" w:name="_Toc259093677"/>
      <w:bookmarkStart w:id="135" w:name="_Toc774"/>
      <w:bookmarkStart w:id="136" w:name="_Toc3225"/>
      <w:bookmarkStart w:id="137" w:name="_Toc16110"/>
      <w:r>
        <w:rPr>
          <w:rFonts w:hint="eastAsia" w:ascii="宋体" w:hAnsi="宋体" w:eastAsia="宋体" w:cs="Times New Roman"/>
          <w:b/>
          <w:bCs/>
          <w:color w:val="auto"/>
          <w:sz w:val="24"/>
          <w:szCs w:val="24"/>
          <w:highlight w:val="none"/>
          <w:lang w:val="zh-CN"/>
        </w:rPr>
        <w:t xml:space="preserve">2.7 </w:t>
      </w:r>
      <w:r>
        <w:rPr>
          <w:rFonts w:ascii="宋体" w:hAnsi="宋体" w:eastAsia="宋体" w:cs="Times New Roman"/>
          <w:b/>
          <w:bCs/>
          <w:color w:val="auto"/>
          <w:sz w:val="24"/>
          <w:szCs w:val="24"/>
          <w:highlight w:val="none"/>
          <w:lang w:val="zh-CN"/>
        </w:rPr>
        <w:t>技术资料</w:t>
      </w:r>
      <w:bookmarkEnd w:id="129"/>
      <w:bookmarkEnd w:id="130"/>
      <w:bookmarkEnd w:id="131"/>
      <w:bookmarkEnd w:id="132"/>
      <w:bookmarkEnd w:id="133"/>
      <w:bookmarkEnd w:id="134"/>
      <w:r>
        <w:rPr>
          <w:rFonts w:ascii="宋体" w:hAnsi="宋体" w:eastAsia="宋体" w:cs="Times New Roman"/>
          <w:b/>
          <w:bCs/>
          <w:color w:val="auto"/>
          <w:sz w:val="24"/>
          <w:szCs w:val="24"/>
          <w:highlight w:val="none"/>
          <w:lang w:val="zh-CN"/>
        </w:rPr>
        <w:t>和保密义务</w:t>
      </w:r>
      <w:bookmarkEnd w:id="135"/>
      <w:bookmarkEnd w:id="136"/>
      <w:bookmarkEnd w:id="137"/>
    </w:p>
    <w:p w14:paraId="4129CB4F">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3F2CDE44">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2.7.2乙方有义务妥善保管和保护由甲方提供的前款信息和资料等；</w:t>
      </w:r>
    </w:p>
    <w:p w14:paraId="6399C0F1">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1A862C9A">
      <w:pPr>
        <w:spacing w:line="500" w:lineRule="exact"/>
        <w:ind w:firstLine="437"/>
        <w:jc w:val="left"/>
        <w:outlineLvl w:val="2"/>
        <w:rPr>
          <w:rFonts w:ascii="宋体" w:hAnsi="宋体" w:eastAsia="宋体" w:cs="Times New Roman"/>
          <w:b/>
          <w:bCs/>
          <w:color w:val="auto"/>
          <w:sz w:val="24"/>
          <w:szCs w:val="24"/>
          <w:highlight w:val="none"/>
          <w:lang w:val="zh-CN"/>
        </w:rPr>
      </w:pPr>
      <w:bookmarkStart w:id="138" w:name="_Toc7860"/>
      <w:r>
        <w:rPr>
          <w:rFonts w:ascii="宋体" w:hAnsi="宋体" w:eastAsia="宋体" w:cs="Times New Roman"/>
          <w:b/>
          <w:bCs/>
          <w:color w:val="auto"/>
          <w:sz w:val="24"/>
          <w:szCs w:val="24"/>
          <w:highlight w:val="none"/>
          <w:lang w:val="zh-CN"/>
        </w:rPr>
        <w:t>2.8 质量保证</w:t>
      </w:r>
      <w:bookmarkEnd w:id="138"/>
    </w:p>
    <w:p w14:paraId="1DFE6D64">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2.8.1乙方应建立和完善履行合同的内部质量保证体系，并提供相关内部规章制度给甲方，以便甲方进行监督检查；</w:t>
      </w:r>
    </w:p>
    <w:p w14:paraId="26ADDD92">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2.8.2乙方应保证履行合同的人员数量和素质、软件和硬件设备的配置、场地、环境和设施等满足全面履行合同的要求，并应接受甲方的监督检查。</w:t>
      </w:r>
    </w:p>
    <w:p w14:paraId="62AD45D1">
      <w:pPr>
        <w:spacing w:line="500" w:lineRule="exact"/>
        <w:ind w:firstLine="437"/>
        <w:jc w:val="left"/>
        <w:outlineLvl w:val="2"/>
        <w:rPr>
          <w:rFonts w:ascii="宋体" w:hAnsi="宋体" w:eastAsia="宋体" w:cs="Times New Roman"/>
          <w:b/>
          <w:bCs/>
          <w:color w:val="auto"/>
          <w:sz w:val="24"/>
          <w:szCs w:val="24"/>
          <w:highlight w:val="none"/>
          <w:lang w:val="zh-CN"/>
        </w:rPr>
      </w:pPr>
      <w:bookmarkStart w:id="139" w:name="_Toc17244"/>
      <w:bookmarkStart w:id="140" w:name="_Toc259093681"/>
      <w:bookmarkStart w:id="141" w:name="_Toc279701252"/>
      <w:bookmarkStart w:id="142" w:name="_Toc487900362"/>
      <w:r>
        <w:rPr>
          <w:rFonts w:ascii="宋体" w:hAnsi="宋体" w:eastAsia="宋体" w:cs="Times New Roman"/>
          <w:b/>
          <w:bCs/>
          <w:color w:val="auto"/>
          <w:sz w:val="24"/>
          <w:szCs w:val="24"/>
          <w:highlight w:val="none"/>
          <w:lang w:val="zh-CN"/>
        </w:rPr>
        <w:t>2.9 货物的风险负担</w:t>
      </w:r>
      <w:bookmarkEnd w:id="139"/>
    </w:p>
    <w:p w14:paraId="593F704A">
      <w:pPr>
        <w:spacing w:line="500" w:lineRule="exact"/>
        <w:ind w:firstLine="435"/>
        <w:jc w:val="left"/>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货物或者在途货物或者交付给第一承运人后的货物毁损、灭失的风险负担</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19C02E67">
      <w:pPr>
        <w:spacing w:line="500" w:lineRule="exact"/>
        <w:ind w:firstLine="437"/>
        <w:jc w:val="left"/>
        <w:outlineLvl w:val="2"/>
        <w:rPr>
          <w:rFonts w:ascii="宋体" w:hAnsi="宋体" w:eastAsia="宋体" w:cs="Times New Roman"/>
          <w:b/>
          <w:bCs/>
          <w:color w:val="auto"/>
          <w:sz w:val="24"/>
          <w:szCs w:val="24"/>
          <w:highlight w:val="none"/>
          <w:lang w:val="zh-CN"/>
        </w:rPr>
      </w:pPr>
      <w:bookmarkStart w:id="143" w:name="_Toc14055"/>
      <w:r>
        <w:rPr>
          <w:rFonts w:ascii="宋体" w:hAnsi="宋体" w:eastAsia="宋体" w:cs="Times New Roman"/>
          <w:b/>
          <w:bCs/>
          <w:color w:val="auto"/>
          <w:sz w:val="24"/>
          <w:szCs w:val="24"/>
          <w:highlight w:val="none"/>
          <w:lang w:val="zh-CN"/>
        </w:rPr>
        <w:t>2.10 延迟交货</w:t>
      </w:r>
      <w:bookmarkEnd w:id="140"/>
      <w:bookmarkEnd w:id="141"/>
      <w:bookmarkEnd w:id="142"/>
      <w:bookmarkEnd w:id="143"/>
    </w:p>
    <w:p w14:paraId="635AE910">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在合同履行过程中，如果乙方遇到不能按时交付货物的情况，应及时以书面形式将不能按时</w:t>
      </w:r>
      <w:r>
        <w:rPr>
          <w:rFonts w:hint="eastAsia" w:ascii="宋体" w:hAnsi="宋体" w:eastAsia="宋体" w:cs="Times New Roman"/>
          <w:color w:val="auto"/>
          <w:sz w:val="24"/>
          <w:szCs w:val="24"/>
          <w:highlight w:val="none"/>
        </w:rPr>
        <w:t>交付货物</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方收到乙方通知后，认为其理由正当的，可以书面形式酌情同意乙方可以延长交货的具体时间。</w:t>
      </w:r>
    </w:p>
    <w:p w14:paraId="2B80EC7E">
      <w:pPr>
        <w:spacing w:line="500" w:lineRule="exact"/>
        <w:ind w:firstLine="437"/>
        <w:jc w:val="left"/>
        <w:outlineLvl w:val="2"/>
        <w:rPr>
          <w:rFonts w:ascii="宋体" w:hAnsi="宋体" w:eastAsia="宋体" w:cs="Times New Roman"/>
          <w:b/>
          <w:bCs/>
          <w:color w:val="auto"/>
          <w:sz w:val="24"/>
          <w:szCs w:val="24"/>
          <w:highlight w:val="none"/>
          <w:lang w:val="zh-CN"/>
        </w:rPr>
      </w:pPr>
      <w:bookmarkStart w:id="144" w:name="_Toc7502"/>
      <w:bookmarkStart w:id="145" w:name="_Ref467378121"/>
      <w:bookmarkStart w:id="146" w:name="_Toc487900364"/>
      <w:bookmarkStart w:id="147" w:name="_Toc279701254"/>
      <w:bookmarkStart w:id="148" w:name="_Toc259093683"/>
      <w:r>
        <w:rPr>
          <w:rFonts w:ascii="宋体" w:hAnsi="宋体" w:eastAsia="宋体" w:cs="Times New Roman"/>
          <w:b/>
          <w:bCs/>
          <w:color w:val="auto"/>
          <w:sz w:val="24"/>
          <w:szCs w:val="24"/>
          <w:highlight w:val="none"/>
          <w:lang w:val="zh-CN"/>
        </w:rPr>
        <w:t>2.11 合同变更</w:t>
      </w:r>
      <w:bookmarkEnd w:id="144"/>
    </w:p>
    <w:p w14:paraId="2F319EF9">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2.11.1双方当事人协商一致，可以签订书面补充合同的形式变更合同，但不得违背采购文件确定的事项；</w:t>
      </w:r>
    </w:p>
    <w:p w14:paraId="452359BC">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149" w:name="_Toc487900369"/>
      <w:bookmarkStart w:id="150" w:name="_Toc259093688"/>
      <w:bookmarkStart w:id="151" w:name="_Toc279701259"/>
    </w:p>
    <w:p w14:paraId="13DF5C29">
      <w:pPr>
        <w:spacing w:line="500" w:lineRule="exact"/>
        <w:ind w:firstLine="437"/>
        <w:jc w:val="left"/>
        <w:outlineLvl w:val="2"/>
        <w:rPr>
          <w:rFonts w:ascii="宋体" w:hAnsi="宋体" w:eastAsia="宋体" w:cs="Times New Roman"/>
          <w:b/>
          <w:bCs/>
          <w:color w:val="auto"/>
          <w:sz w:val="24"/>
          <w:szCs w:val="24"/>
          <w:highlight w:val="none"/>
          <w:lang w:val="zh-CN"/>
        </w:rPr>
      </w:pPr>
      <w:bookmarkStart w:id="152" w:name="_Toc10366"/>
      <w:bookmarkStart w:id="153" w:name="_Toc15237"/>
      <w:bookmarkStart w:id="154" w:name="_Toc22955"/>
      <w:r>
        <w:rPr>
          <w:rFonts w:hint="eastAsia" w:ascii="宋体" w:hAnsi="宋体" w:eastAsia="宋体" w:cs="Times New Roman"/>
          <w:b/>
          <w:bCs/>
          <w:color w:val="auto"/>
          <w:sz w:val="24"/>
          <w:szCs w:val="24"/>
          <w:highlight w:val="none"/>
          <w:lang w:val="zh-CN"/>
        </w:rPr>
        <w:t xml:space="preserve">2.12 </w:t>
      </w:r>
      <w:r>
        <w:rPr>
          <w:rFonts w:ascii="宋体" w:hAnsi="宋体" w:eastAsia="宋体" w:cs="Times New Roman"/>
          <w:b/>
          <w:bCs/>
          <w:color w:val="auto"/>
          <w:sz w:val="24"/>
          <w:szCs w:val="24"/>
          <w:highlight w:val="none"/>
          <w:lang w:val="zh-CN"/>
        </w:rPr>
        <w:t>合同转让</w:t>
      </w:r>
      <w:bookmarkEnd w:id="149"/>
      <w:bookmarkEnd w:id="150"/>
      <w:bookmarkEnd w:id="151"/>
      <w:r>
        <w:rPr>
          <w:rFonts w:ascii="宋体" w:hAnsi="宋体" w:eastAsia="宋体" w:cs="Times New Roman"/>
          <w:b/>
          <w:bCs/>
          <w:color w:val="auto"/>
          <w:sz w:val="24"/>
          <w:szCs w:val="24"/>
          <w:highlight w:val="none"/>
          <w:lang w:val="zh-CN"/>
        </w:rPr>
        <w:t>和分包</w:t>
      </w:r>
      <w:bookmarkEnd w:id="152"/>
      <w:bookmarkEnd w:id="153"/>
      <w:bookmarkEnd w:id="154"/>
    </w:p>
    <w:p w14:paraId="7975CBCF">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2311388F">
      <w:pPr>
        <w:spacing w:line="500" w:lineRule="exact"/>
        <w:ind w:firstLine="437"/>
        <w:jc w:val="left"/>
        <w:outlineLvl w:val="2"/>
        <w:rPr>
          <w:rFonts w:ascii="宋体" w:hAnsi="宋体" w:eastAsia="宋体" w:cs="Times New Roman"/>
          <w:b/>
          <w:bCs/>
          <w:color w:val="auto"/>
          <w:sz w:val="24"/>
          <w:szCs w:val="24"/>
          <w:highlight w:val="none"/>
          <w:lang w:val="zh-CN"/>
        </w:rPr>
      </w:pPr>
      <w:bookmarkStart w:id="155" w:name="_Toc14066"/>
      <w:bookmarkStart w:id="156" w:name="_Toc16508"/>
      <w:bookmarkStart w:id="157" w:name="_Toc13566"/>
      <w:r>
        <w:rPr>
          <w:rFonts w:hint="eastAsia" w:ascii="宋体" w:hAnsi="宋体" w:eastAsia="宋体" w:cs="Times New Roman"/>
          <w:b/>
          <w:bCs/>
          <w:color w:val="auto"/>
          <w:sz w:val="24"/>
          <w:szCs w:val="24"/>
          <w:highlight w:val="none"/>
          <w:lang w:val="zh-CN"/>
        </w:rPr>
        <w:t>2.13</w:t>
      </w:r>
      <w:r>
        <w:rPr>
          <w:rFonts w:ascii="宋体" w:hAnsi="宋体" w:eastAsia="宋体" w:cs="Times New Roman"/>
          <w:b/>
          <w:bCs/>
          <w:color w:val="auto"/>
          <w:sz w:val="24"/>
          <w:szCs w:val="24"/>
          <w:highlight w:val="none"/>
          <w:lang w:val="zh-CN"/>
        </w:rPr>
        <w:t xml:space="preserve"> 不可抗力</w:t>
      </w:r>
      <w:bookmarkEnd w:id="155"/>
      <w:bookmarkEnd w:id="156"/>
      <w:bookmarkEnd w:id="157"/>
    </w:p>
    <w:p w14:paraId="4D787957">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w:t>
      </w:r>
      <w:r>
        <w:rPr>
          <w:rFonts w:ascii="宋体" w:hAnsi="宋体" w:eastAsia="宋体" w:cs="Times New Roman"/>
          <w:color w:val="auto"/>
          <w:sz w:val="24"/>
          <w:szCs w:val="24"/>
          <w:highlight w:val="none"/>
        </w:rPr>
        <w:t>.1如果任何一方遭遇法律规定的不可抗力，致使合同履行受阻时，履行合同的期限应予延长，延长的期限应相当于不可抗力所影响的时间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3808FC87">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2.13.2因不可抗力致使不能实现合同目的的，当事人可以解除合同；</w:t>
      </w:r>
    </w:p>
    <w:p w14:paraId="77A894A1">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25B8B999">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3892DE45">
      <w:pPr>
        <w:spacing w:line="500" w:lineRule="exact"/>
        <w:ind w:firstLine="437"/>
        <w:jc w:val="left"/>
        <w:outlineLvl w:val="2"/>
        <w:rPr>
          <w:rFonts w:ascii="宋体" w:hAnsi="宋体" w:eastAsia="宋体" w:cs="Times New Roman"/>
          <w:b/>
          <w:bCs/>
          <w:color w:val="auto"/>
          <w:sz w:val="24"/>
          <w:szCs w:val="24"/>
          <w:highlight w:val="none"/>
          <w:lang w:val="zh-CN"/>
        </w:rPr>
      </w:pPr>
      <w:bookmarkStart w:id="158" w:name="_Toc689"/>
      <w:bookmarkStart w:id="159" w:name="_Toc279701255"/>
      <w:bookmarkStart w:id="160" w:name="_Toc6969"/>
      <w:bookmarkStart w:id="161" w:name="_Toc487900365"/>
      <w:bookmarkStart w:id="162" w:name="_Toc259093684"/>
      <w:bookmarkStart w:id="163" w:name="_Toc30676"/>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w:t>
      </w:r>
      <w:r>
        <w:rPr>
          <w:rFonts w:hint="eastAsia" w:ascii="宋体" w:hAnsi="宋体" w:eastAsia="宋体" w:cs="Times New Roman"/>
          <w:b/>
          <w:bCs/>
          <w:color w:val="auto"/>
          <w:sz w:val="24"/>
          <w:szCs w:val="24"/>
          <w:highlight w:val="none"/>
          <w:lang w:val="zh-CN"/>
        </w:rPr>
        <w:t xml:space="preserve">4 </w:t>
      </w:r>
      <w:r>
        <w:rPr>
          <w:rFonts w:ascii="宋体" w:hAnsi="宋体" w:eastAsia="宋体" w:cs="Times New Roman"/>
          <w:b/>
          <w:bCs/>
          <w:color w:val="auto"/>
          <w:sz w:val="24"/>
          <w:szCs w:val="24"/>
          <w:highlight w:val="none"/>
          <w:lang w:val="zh-CN"/>
        </w:rPr>
        <w:t>税费</w:t>
      </w:r>
      <w:bookmarkEnd w:id="158"/>
      <w:bookmarkEnd w:id="159"/>
      <w:bookmarkEnd w:id="160"/>
      <w:bookmarkEnd w:id="161"/>
      <w:bookmarkEnd w:id="162"/>
      <w:bookmarkEnd w:id="163"/>
    </w:p>
    <w:p w14:paraId="64449072">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31026D41">
      <w:pPr>
        <w:spacing w:line="500" w:lineRule="exact"/>
        <w:ind w:firstLine="437"/>
        <w:jc w:val="left"/>
        <w:outlineLvl w:val="2"/>
        <w:rPr>
          <w:rFonts w:ascii="宋体" w:hAnsi="宋体" w:eastAsia="宋体" w:cs="Times New Roman"/>
          <w:b/>
          <w:bCs/>
          <w:color w:val="auto"/>
          <w:sz w:val="24"/>
          <w:szCs w:val="24"/>
          <w:highlight w:val="none"/>
          <w:lang w:val="zh-CN"/>
        </w:rPr>
      </w:pPr>
      <w:bookmarkStart w:id="164" w:name="_Toc16959"/>
      <w:bookmarkStart w:id="165" w:name="_Toc279701258"/>
      <w:bookmarkStart w:id="166" w:name="_Toc259093687"/>
      <w:bookmarkStart w:id="167" w:name="_Toc487900368"/>
      <w:bookmarkStart w:id="168" w:name="_Toc7102"/>
      <w:bookmarkStart w:id="169" w:name="_Toc8298"/>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w:t>
      </w:r>
      <w:r>
        <w:rPr>
          <w:rFonts w:hint="eastAsia" w:ascii="宋体" w:hAnsi="宋体" w:eastAsia="宋体" w:cs="Times New Roman"/>
          <w:b/>
          <w:bCs/>
          <w:color w:val="auto"/>
          <w:sz w:val="24"/>
          <w:szCs w:val="24"/>
          <w:highlight w:val="none"/>
          <w:lang w:val="zh-CN"/>
        </w:rPr>
        <w:t xml:space="preserve">5 </w:t>
      </w:r>
      <w:r>
        <w:rPr>
          <w:rFonts w:ascii="宋体" w:hAnsi="宋体" w:eastAsia="宋体" w:cs="Times New Roman"/>
          <w:b/>
          <w:bCs/>
          <w:color w:val="auto"/>
          <w:sz w:val="24"/>
          <w:szCs w:val="24"/>
          <w:highlight w:val="none"/>
          <w:lang w:val="zh-CN"/>
        </w:rPr>
        <w:t>乙方破产</w:t>
      </w:r>
      <w:bookmarkEnd w:id="164"/>
      <w:bookmarkEnd w:id="165"/>
      <w:bookmarkEnd w:id="166"/>
      <w:bookmarkEnd w:id="167"/>
      <w:bookmarkEnd w:id="168"/>
      <w:bookmarkEnd w:id="169"/>
    </w:p>
    <w:p w14:paraId="4673215D">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0FA11F6E">
      <w:pPr>
        <w:spacing w:line="500" w:lineRule="exact"/>
        <w:ind w:firstLine="437"/>
        <w:jc w:val="left"/>
        <w:outlineLvl w:val="2"/>
        <w:rPr>
          <w:rFonts w:ascii="宋体" w:hAnsi="宋体" w:eastAsia="宋体" w:cs="Times New Roman"/>
          <w:b/>
          <w:color w:val="auto"/>
          <w:sz w:val="24"/>
          <w:szCs w:val="24"/>
          <w:highlight w:val="none"/>
        </w:rPr>
      </w:pPr>
      <w:bookmarkStart w:id="170" w:name="_Toc15387"/>
      <w:bookmarkStart w:id="171" w:name="_Toc29333"/>
      <w:bookmarkStart w:id="172" w:name="_Toc6134"/>
      <w:r>
        <w:rPr>
          <w:rFonts w:hint="eastAsia" w:ascii="宋体" w:hAnsi="宋体" w:eastAsia="宋体" w:cs="Times New Roman"/>
          <w:b/>
          <w:bCs/>
          <w:color w:val="auto"/>
          <w:sz w:val="24"/>
          <w:szCs w:val="24"/>
          <w:highlight w:val="none"/>
          <w:lang w:val="zh-CN"/>
        </w:rPr>
        <w:t>2.16 合同中止、终止</w:t>
      </w:r>
      <w:bookmarkEnd w:id="170"/>
      <w:bookmarkEnd w:id="171"/>
      <w:bookmarkEnd w:id="172"/>
    </w:p>
    <w:p w14:paraId="222D4772">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2.16.1双方当事人不得擅自中止或者终止合同；</w:t>
      </w:r>
    </w:p>
    <w:p w14:paraId="7C6F6DBA">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1714246F">
      <w:pPr>
        <w:spacing w:line="500" w:lineRule="exact"/>
        <w:ind w:firstLine="437"/>
        <w:jc w:val="left"/>
        <w:outlineLvl w:val="2"/>
        <w:rPr>
          <w:rFonts w:ascii="宋体" w:hAnsi="宋体" w:eastAsia="宋体" w:cs="Times New Roman"/>
          <w:b/>
          <w:bCs/>
          <w:color w:val="auto"/>
          <w:sz w:val="24"/>
          <w:szCs w:val="24"/>
          <w:highlight w:val="none"/>
          <w:lang w:val="zh-CN"/>
        </w:rPr>
      </w:pPr>
      <w:bookmarkStart w:id="173" w:name="_Toc1125"/>
      <w:bookmarkStart w:id="174" w:name="_Toc14563"/>
      <w:bookmarkStart w:id="175" w:name="_Toc6596"/>
      <w:r>
        <w:rPr>
          <w:rFonts w:hint="eastAsia" w:ascii="宋体" w:hAnsi="宋体" w:eastAsia="宋体" w:cs="Times New Roman"/>
          <w:b/>
          <w:bCs/>
          <w:color w:val="auto"/>
          <w:sz w:val="24"/>
          <w:szCs w:val="24"/>
          <w:highlight w:val="none"/>
          <w:lang w:val="zh-CN"/>
        </w:rPr>
        <w:t>2.17 检验和验收</w:t>
      </w:r>
      <w:bookmarkEnd w:id="173"/>
      <w:bookmarkEnd w:id="174"/>
      <w:bookmarkEnd w:id="175"/>
    </w:p>
    <w:p w14:paraId="74D0AD60">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1货物交付前，乙方应对货物的质量、数量等方面进行详细、全面的检验，并向甲方出具证明货物符合合同约定的文件；货物交付时，乙方在</w:t>
      </w:r>
      <w:r>
        <w:rPr>
          <w:rFonts w:hint="eastAsia" w:ascii="宋体" w:hAnsi="宋体" w:eastAsia="宋体" w:cs="Times New Roman"/>
          <w:b/>
          <w:i/>
          <w:color w:val="auto"/>
          <w:sz w:val="24"/>
          <w:szCs w:val="24"/>
          <w:highlight w:val="none"/>
          <w:u w:val="single"/>
        </w:rPr>
        <w:t>合同专用条款</w:t>
      </w:r>
      <w:r>
        <w:rPr>
          <w:rFonts w:hint="eastAsia" w:ascii="宋体" w:hAnsi="宋体" w:eastAsia="宋体" w:cs="Times New Roman"/>
          <w:color w:val="auto"/>
          <w:sz w:val="24"/>
          <w:szCs w:val="24"/>
          <w:highlight w:val="none"/>
        </w:rPr>
        <w:t>约定时间内组织验收，并可依法邀请相关方参加，验收应出具验收书。</w:t>
      </w:r>
    </w:p>
    <w:p w14:paraId="7235BB7F">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D13F2E8">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2.17.3检验和验收标准、程序等具体内容以及前述验收书的效力详见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45"/>
    <w:bookmarkEnd w:id="146"/>
    <w:bookmarkEnd w:id="147"/>
    <w:bookmarkEnd w:id="148"/>
    <w:p w14:paraId="04602FCA">
      <w:pPr>
        <w:spacing w:line="500" w:lineRule="exact"/>
        <w:ind w:firstLine="437"/>
        <w:jc w:val="left"/>
        <w:outlineLvl w:val="2"/>
        <w:rPr>
          <w:rFonts w:ascii="宋体" w:hAnsi="宋体" w:eastAsia="宋体" w:cs="Times New Roman"/>
          <w:b/>
          <w:color w:val="auto"/>
          <w:sz w:val="24"/>
          <w:szCs w:val="24"/>
          <w:highlight w:val="none"/>
        </w:rPr>
      </w:pPr>
      <w:bookmarkStart w:id="176" w:name="_Toc30599"/>
      <w:bookmarkStart w:id="177" w:name="_Toc18540"/>
      <w:bookmarkStart w:id="178" w:name="_Toc487900372"/>
      <w:bookmarkStart w:id="179" w:name="_Toc4355"/>
      <w:bookmarkStart w:id="180" w:name="_Toc279701262"/>
      <w:bookmarkStart w:id="181" w:name="_Toc259093691"/>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8</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计量单位</w:t>
      </w:r>
      <w:bookmarkEnd w:id="176"/>
      <w:bookmarkEnd w:id="177"/>
      <w:bookmarkEnd w:id="178"/>
      <w:bookmarkEnd w:id="179"/>
      <w:bookmarkEnd w:id="180"/>
      <w:bookmarkEnd w:id="181"/>
    </w:p>
    <w:p w14:paraId="1EC6F7AF">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除技术规范中另有规定外,合同的计量单位均使用国家法定计量单位。</w:t>
      </w:r>
    </w:p>
    <w:p w14:paraId="74A8BE0C">
      <w:pPr>
        <w:spacing w:line="500" w:lineRule="exact"/>
        <w:ind w:firstLine="437"/>
        <w:jc w:val="left"/>
        <w:outlineLvl w:val="2"/>
        <w:rPr>
          <w:rFonts w:ascii="宋体" w:hAnsi="宋体" w:eastAsia="宋体" w:cs="Times New Roman"/>
          <w:b/>
          <w:bCs/>
          <w:color w:val="auto"/>
          <w:sz w:val="24"/>
          <w:szCs w:val="24"/>
          <w:highlight w:val="none"/>
        </w:rPr>
      </w:pPr>
      <w:bookmarkStart w:id="182" w:name="_Toc12773"/>
      <w:bookmarkStart w:id="183" w:name="_Toc18567"/>
      <w:bookmarkStart w:id="184" w:name="_Toc10330"/>
      <w:bookmarkStart w:id="185" w:name="_Toc279701263"/>
      <w:bookmarkStart w:id="186" w:name="_Toc487900373"/>
      <w:bookmarkStart w:id="187" w:name="_Toc259093692"/>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19</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182"/>
      <w:bookmarkEnd w:id="183"/>
      <w:bookmarkEnd w:id="184"/>
      <w:bookmarkEnd w:id="185"/>
      <w:bookmarkEnd w:id="186"/>
      <w:bookmarkEnd w:id="187"/>
    </w:p>
    <w:p w14:paraId="71626F32">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19.1合同使用汉语书就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0B047621">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19</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7856A46B">
      <w:pPr>
        <w:spacing w:line="500" w:lineRule="exact"/>
        <w:ind w:firstLine="437"/>
        <w:jc w:val="left"/>
        <w:outlineLvl w:val="2"/>
        <w:rPr>
          <w:rFonts w:ascii="宋体" w:hAnsi="宋体" w:eastAsia="宋体" w:cs="Times New Roman"/>
          <w:b/>
          <w:color w:val="auto"/>
          <w:sz w:val="24"/>
          <w:szCs w:val="24"/>
          <w:highlight w:val="none"/>
        </w:rPr>
      </w:pPr>
      <w:bookmarkStart w:id="188" w:name="_Toc279701264"/>
      <w:bookmarkStart w:id="189" w:name="_Toc12004"/>
      <w:bookmarkStart w:id="190" w:name="_Toc259093693"/>
      <w:bookmarkStart w:id="191" w:name="_Toc16673"/>
      <w:bookmarkStart w:id="192" w:name="_Toc3148"/>
      <w:bookmarkStart w:id="193" w:name="_Toc487900374"/>
      <w:r>
        <w:rPr>
          <w:rFonts w:hint="eastAsia" w:ascii="宋体" w:hAnsi="宋体" w:eastAsia="宋体" w:cs="Times New Roman"/>
          <w:b/>
          <w:bCs/>
          <w:color w:val="auto"/>
          <w:sz w:val="24"/>
          <w:szCs w:val="24"/>
          <w:highlight w:val="none"/>
          <w:lang w:val="zh-CN"/>
        </w:rPr>
        <w:t>2.2</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188"/>
      <w:bookmarkEnd w:id="189"/>
      <w:bookmarkEnd w:id="190"/>
      <w:bookmarkEnd w:id="191"/>
      <w:bookmarkEnd w:id="192"/>
    </w:p>
    <w:p w14:paraId="16C6596F">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r>
        <w:rPr>
          <w:rFonts w:ascii="宋体" w:hAnsi="宋体" w:eastAsia="宋体" w:cs="Times New Roman"/>
          <w:color w:val="auto"/>
          <w:sz w:val="24"/>
          <w:szCs w:val="24"/>
          <w:highlight w:val="none"/>
        </w:rPr>
        <w:t>0</w:t>
      </w:r>
      <w:r>
        <w:rPr>
          <w:rFonts w:hint="eastAsia" w:ascii="宋体" w:hAnsi="宋体" w:eastAsia="宋体" w:cs="Times New Roman"/>
          <w:color w:val="auto"/>
          <w:sz w:val="24"/>
          <w:szCs w:val="24"/>
          <w:highlight w:val="none"/>
        </w:rPr>
        <w:t>.1采购文件要求乙方提交履约保证金的，乙方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546ABE65">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r>
        <w:rPr>
          <w:rFonts w:ascii="宋体" w:hAnsi="宋体" w:eastAsia="宋体" w:cs="Times New Roman"/>
          <w:color w:val="auto"/>
          <w:sz w:val="24"/>
          <w:szCs w:val="24"/>
          <w:highlight w:val="none"/>
        </w:rPr>
        <w:t>0.2履约保证金在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约定期间内或者货物质量保证期内不予退还或者应完全有效</w:t>
      </w:r>
      <w:r>
        <w:rPr>
          <w:rFonts w:hint="eastAsia" w:ascii="宋体" w:hAnsi="宋体" w:eastAsia="宋体" w:cs="Times New Roman"/>
          <w:color w:val="auto"/>
          <w:sz w:val="24"/>
          <w:szCs w:val="24"/>
          <w:highlight w:val="none"/>
        </w:rPr>
        <w:t>，前述约定期间届满或者</w:t>
      </w:r>
      <w:r>
        <w:rPr>
          <w:rFonts w:ascii="宋体" w:hAnsi="宋体" w:eastAsia="宋体" w:cs="Times New Roman"/>
          <w:color w:val="auto"/>
          <w:sz w:val="24"/>
          <w:szCs w:val="24"/>
          <w:highlight w:val="none"/>
        </w:rPr>
        <w:t>货物质量保证期届满之日起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rPr>
        <w:t>；</w:t>
      </w:r>
    </w:p>
    <w:p w14:paraId="4E04A287">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r>
        <w:rPr>
          <w:rFonts w:ascii="宋体" w:hAnsi="宋体" w:eastAsia="宋体" w:cs="Times New Roman"/>
          <w:color w:val="auto"/>
          <w:sz w:val="24"/>
          <w:szCs w:val="24"/>
          <w:highlight w:val="none"/>
        </w:rPr>
        <w:t>0</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193"/>
    <w:p w14:paraId="0EFBF884">
      <w:pPr>
        <w:spacing w:line="500" w:lineRule="exact"/>
        <w:ind w:firstLine="437"/>
        <w:jc w:val="left"/>
        <w:outlineLvl w:val="2"/>
        <w:rPr>
          <w:rFonts w:ascii="宋体" w:hAnsi="宋体" w:eastAsia="宋体" w:cs="Times New Roman"/>
          <w:b/>
          <w:color w:val="auto"/>
          <w:sz w:val="24"/>
          <w:szCs w:val="24"/>
          <w:highlight w:val="none"/>
        </w:rPr>
      </w:pPr>
      <w:bookmarkStart w:id="194" w:name="_Toc6885"/>
      <w:bookmarkStart w:id="195" w:name="_Toc19890"/>
      <w:bookmarkStart w:id="196" w:name="_Toc14001"/>
      <w:r>
        <w:rPr>
          <w:rFonts w:hint="eastAsia" w:ascii="宋体" w:hAnsi="宋体" w:eastAsia="宋体" w:cs="Times New Roman"/>
          <w:b/>
          <w:bCs/>
          <w:color w:val="auto"/>
          <w:sz w:val="24"/>
          <w:szCs w:val="24"/>
          <w:highlight w:val="none"/>
          <w:lang w:val="zh-CN"/>
        </w:rPr>
        <w:t>2.2</w:t>
      </w:r>
      <w:r>
        <w:rPr>
          <w:rFonts w:ascii="宋体" w:hAnsi="宋体" w:eastAsia="宋体" w:cs="Times New Roman"/>
          <w:b/>
          <w:bCs/>
          <w:color w:val="auto"/>
          <w:sz w:val="24"/>
          <w:szCs w:val="24"/>
          <w:highlight w:val="none"/>
          <w:lang w:val="zh-CN"/>
        </w:rPr>
        <w:t>1</w:t>
      </w:r>
      <w:r>
        <w:rPr>
          <w:rFonts w:hint="eastAsia" w:ascii="宋体" w:hAnsi="宋体" w:eastAsia="宋体" w:cs="Times New Roman"/>
          <w:b/>
          <w:bCs/>
          <w:color w:val="auto"/>
          <w:sz w:val="24"/>
          <w:szCs w:val="24"/>
          <w:highlight w:val="none"/>
          <w:lang w:val="zh-CN"/>
        </w:rPr>
        <w:t xml:space="preserve"> 合同份数</w:t>
      </w:r>
      <w:bookmarkEnd w:id="194"/>
      <w:bookmarkEnd w:id="195"/>
      <w:bookmarkEnd w:id="196"/>
    </w:p>
    <w:p w14:paraId="4937090C">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72A86E8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B680A74">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p>
    <w:p w14:paraId="36B17C44">
      <w:pPr>
        <w:spacing w:line="50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554E1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496BF16C">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noWrap w:val="0"/>
            <w:vAlign w:val="center"/>
          </w:tcPr>
          <w:p w14:paraId="6856376F">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75764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05D6BC3F">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2.6</w:t>
            </w:r>
          </w:p>
        </w:tc>
        <w:tc>
          <w:tcPr>
            <w:tcW w:w="7568" w:type="dxa"/>
            <w:noWrap w:val="0"/>
            <w:vAlign w:val="center"/>
          </w:tcPr>
          <w:p w14:paraId="369403B1">
            <w:pPr>
              <w:spacing w:line="50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签订合同并具备实施条件后支付合同总价的40%预付款（预付款支付前，中标人须提供同等金额的见索即付保函），供货、安装、调试完毕及验收合格且采购人收到发票后一次性付清</w:t>
            </w:r>
            <w:r>
              <w:rPr>
                <w:rFonts w:hint="eastAsia" w:ascii="宋体" w:hAnsi="宋体" w:eastAsia="宋体" w:cs="宋体"/>
                <w:color w:val="auto"/>
                <w:sz w:val="24"/>
                <w:szCs w:val="24"/>
                <w:highlight w:val="none"/>
                <w:lang w:val="en-US" w:eastAsia="zh-CN"/>
              </w:rPr>
              <w:t>合同款</w:t>
            </w:r>
            <w:r>
              <w:rPr>
                <w:rFonts w:hint="eastAsia" w:ascii="宋体" w:hAnsi="宋体" w:eastAsia="宋体" w:cs="Times New Roman"/>
                <w:color w:val="auto"/>
                <w:sz w:val="24"/>
                <w:szCs w:val="24"/>
                <w:highlight w:val="none"/>
                <w:u w:val="single"/>
                <w:lang w:val="en-US" w:eastAsia="zh-CN"/>
              </w:rPr>
              <w:t>（</w:t>
            </w:r>
            <w:r>
              <w:rPr>
                <w:rFonts w:hint="eastAsia" w:ascii="宋体" w:hAnsi="宋体" w:eastAsia="宋体"/>
                <w:bCs/>
                <w:color w:val="auto"/>
                <w:sz w:val="24"/>
                <w:szCs w:val="18"/>
                <w:highlight w:val="none"/>
                <w:u w:val="single"/>
                <w:lang w:val="en-US" w:eastAsia="zh-CN"/>
              </w:rPr>
              <w:t>投标人所报综合单价不予调整，其中采购范围内的铜管按使用量据实结算</w:t>
            </w:r>
            <w:r>
              <w:rPr>
                <w:rFonts w:hint="eastAsia" w:ascii="宋体" w:hAnsi="宋体" w:eastAsia="宋体" w:cs="Times New Roman"/>
                <w:color w:val="auto"/>
                <w:sz w:val="24"/>
                <w:szCs w:val="24"/>
                <w:highlight w:val="none"/>
                <w:u w:val="single"/>
                <w:lang w:val="en-US" w:eastAsia="zh-CN"/>
              </w:rPr>
              <w:t>）</w:t>
            </w:r>
            <w:r>
              <w:rPr>
                <w:rFonts w:hint="eastAsia" w:ascii="宋体" w:hAnsi="宋体" w:eastAsia="宋体" w:cs="宋体"/>
                <w:color w:val="auto"/>
                <w:sz w:val="24"/>
                <w:szCs w:val="24"/>
                <w:highlight w:val="none"/>
              </w:rPr>
              <w:t>。</w:t>
            </w:r>
          </w:p>
        </w:tc>
      </w:tr>
      <w:tr w14:paraId="5C99E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6FE1F42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2.17.3</w:t>
            </w:r>
          </w:p>
        </w:tc>
        <w:tc>
          <w:tcPr>
            <w:tcW w:w="7568" w:type="dxa"/>
            <w:noWrap w:val="0"/>
            <w:vAlign w:val="center"/>
          </w:tcPr>
          <w:p w14:paraId="1CA55FB6">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检验和验收标准根据项目</w:t>
            </w:r>
            <w:r>
              <w:rPr>
                <w:rFonts w:hint="eastAsia" w:ascii="宋体" w:hAnsi="宋体" w:eastAsia="宋体" w:cs="宋体"/>
                <w:color w:val="auto"/>
                <w:sz w:val="24"/>
                <w:szCs w:val="24"/>
                <w:highlight w:val="none"/>
                <w:lang w:val="zh-CN"/>
              </w:rPr>
              <w:t>投标文件及采购文件要求（含澄清或者说明文件、承诺书等）执行。验收程序</w:t>
            </w:r>
            <w:r>
              <w:rPr>
                <w:rFonts w:hint="eastAsia" w:ascii="宋体" w:hAnsi="宋体" w:eastAsia="宋体" w:cs="宋体"/>
                <w:color w:val="auto"/>
                <w:sz w:val="24"/>
                <w:szCs w:val="24"/>
                <w:highlight w:val="none"/>
              </w:rPr>
              <w:t>按《滁州学院采购项目验收管理办法》执行</w:t>
            </w:r>
            <w:r>
              <w:rPr>
                <w:rFonts w:hint="eastAsia" w:ascii="宋体" w:hAnsi="宋体" w:eastAsia="宋体" w:cs="宋体"/>
                <w:i/>
                <w:color w:val="auto"/>
                <w:sz w:val="24"/>
                <w:szCs w:val="24"/>
                <w:highlight w:val="none"/>
              </w:rPr>
              <w:t>。</w:t>
            </w:r>
          </w:p>
        </w:tc>
      </w:tr>
      <w:tr w14:paraId="144C7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5CA7EF7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2.20.1</w:t>
            </w:r>
          </w:p>
        </w:tc>
        <w:tc>
          <w:tcPr>
            <w:tcW w:w="7568" w:type="dxa"/>
            <w:noWrap w:val="0"/>
            <w:vAlign w:val="center"/>
          </w:tcPr>
          <w:p w14:paraId="05A7406D">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本项目履约保证金为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 ），收受人为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，履约担保的形式为：</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转账/电汇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汇票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本票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保险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保函</w:t>
            </w:r>
          </w:p>
        </w:tc>
      </w:tr>
      <w:tr w14:paraId="2C7E0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2AEE6B2D">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2.20.2</w:t>
            </w:r>
          </w:p>
        </w:tc>
        <w:tc>
          <w:tcPr>
            <w:tcW w:w="7568" w:type="dxa"/>
            <w:noWrap w:val="0"/>
            <w:vAlign w:val="center"/>
          </w:tcPr>
          <w:p w14:paraId="71D0BA0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履约保证金期满后，乙方应向甲方提出申请，经甲方确认后，乙方自行至履约保证金收受方办理履约保证金退还手续。</w:t>
            </w:r>
          </w:p>
        </w:tc>
      </w:tr>
      <w:tr w14:paraId="18727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0A6E50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2.21</w:t>
            </w:r>
          </w:p>
        </w:tc>
        <w:tc>
          <w:tcPr>
            <w:tcW w:w="7568" w:type="dxa"/>
            <w:noWrap w:val="0"/>
            <w:vAlign w:val="center"/>
          </w:tcPr>
          <w:p w14:paraId="681E095A">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份，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tc>
      </w:tr>
      <w:tr w14:paraId="6DF66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672A6A32">
            <w:pPr>
              <w:spacing w:line="500" w:lineRule="exact"/>
              <w:rPr>
                <w:rFonts w:hint="eastAsia" w:ascii="宋体" w:hAnsi="宋体" w:eastAsia="宋体" w:cs="宋体"/>
                <w:color w:val="auto"/>
                <w:sz w:val="24"/>
                <w:szCs w:val="24"/>
                <w:highlight w:val="none"/>
              </w:rPr>
            </w:pPr>
          </w:p>
        </w:tc>
        <w:tc>
          <w:tcPr>
            <w:tcW w:w="7568" w:type="dxa"/>
            <w:noWrap w:val="0"/>
            <w:vAlign w:val="center"/>
          </w:tcPr>
          <w:p w14:paraId="787B5688">
            <w:pPr>
              <w:spacing w:line="500" w:lineRule="exact"/>
              <w:rPr>
                <w:rFonts w:hint="eastAsia" w:ascii="宋体" w:hAnsi="宋体" w:eastAsia="宋体" w:cs="宋体"/>
                <w:color w:val="auto"/>
                <w:sz w:val="24"/>
                <w:szCs w:val="24"/>
                <w:highlight w:val="none"/>
              </w:rPr>
            </w:pPr>
          </w:p>
        </w:tc>
      </w:tr>
      <w:tr w14:paraId="65D70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36F7BB05">
            <w:pPr>
              <w:spacing w:line="500" w:lineRule="exact"/>
              <w:rPr>
                <w:rFonts w:hint="eastAsia" w:ascii="宋体" w:hAnsi="宋体" w:eastAsia="宋体" w:cs="宋体"/>
                <w:color w:val="auto"/>
                <w:sz w:val="24"/>
                <w:szCs w:val="24"/>
                <w:highlight w:val="none"/>
              </w:rPr>
            </w:pPr>
          </w:p>
        </w:tc>
        <w:tc>
          <w:tcPr>
            <w:tcW w:w="7568" w:type="dxa"/>
            <w:noWrap w:val="0"/>
            <w:vAlign w:val="center"/>
          </w:tcPr>
          <w:p w14:paraId="04C569EF">
            <w:pPr>
              <w:spacing w:line="500" w:lineRule="exact"/>
              <w:rPr>
                <w:rFonts w:hint="eastAsia" w:ascii="宋体" w:hAnsi="宋体" w:eastAsia="宋体" w:cs="宋体"/>
                <w:color w:val="auto"/>
                <w:sz w:val="24"/>
                <w:szCs w:val="24"/>
                <w:highlight w:val="none"/>
                <w:u w:val="single"/>
              </w:rPr>
            </w:pPr>
          </w:p>
        </w:tc>
      </w:tr>
      <w:tr w14:paraId="5238D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68ADB6F">
            <w:pPr>
              <w:spacing w:line="500" w:lineRule="exact"/>
              <w:rPr>
                <w:rFonts w:hint="eastAsia" w:ascii="宋体" w:hAnsi="宋体" w:eastAsia="宋体" w:cs="宋体"/>
                <w:color w:val="auto"/>
                <w:sz w:val="24"/>
                <w:szCs w:val="24"/>
                <w:highlight w:val="none"/>
              </w:rPr>
            </w:pPr>
          </w:p>
        </w:tc>
        <w:tc>
          <w:tcPr>
            <w:tcW w:w="7568" w:type="dxa"/>
            <w:noWrap w:val="0"/>
            <w:vAlign w:val="center"/>
          </w:tcPr>
          <w:p w14:paraId="43EA9CCC">
            <w:pPr>
              <w:spacing w:line="500" w:lineRule="exact"/>
              <w:rPr>
                <w:rFonts w:hint="eastAsia" w:ascii="宋体" w:hAnsi="宋体" w:eastAsia="宋体" w:cs="宋体"/>
                <w:color w:val="auto"/>
                <w:sz w:val="24"/>
                <w:szCs w:val="24"/>
                <w:highlight w:val="none"/>
              </w:rPr>
            </w:pPr>
          </w:p>
        </w:tc>
      </w:tr>
      <w:tr w14:paraId="318B2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6D0708CC">
            <w:pPr>
              <w:spacing w:line="500" w:lineRule="exact"/>
              <w:rPr>
                <w:rFonts w:hint="eastAsia" w:ascii="宋体" w:hAnsi="宋体" w:eastAsia="宋体" w:cs="宋体"/>
                <w:color w:val="auto"/>
                <w:sz w:val="24"/>
                <w:szCs w:val="24"/>
                <w:highlight w:val="none"/>
              </w:rPr>
            </w:pPr>
          </w:p>
        </w:tc>
        <w:tc>
          <w:tcPr>
            <w:tcW w:w="7568" w:type="dxa"/>
            <w:noWrap w:val="0"/>
            <w:vAlign w:val="center"/>
          </w:tcPr>
          <w:p w14:paraId="1BABC845">
            <w:pPr>
              <w:spacing w:line="500" w:lineRule="exact"/>
              <w:rPr>
                <w:rFonts w:hint="eastAsia" w:ascii="宋体" w:hAnsi="宋体" w:eastAsia="宋体" w:cs="宋体"/>
                <w:color w:val="auto"/>
                <w:sz w:val="24"/>
                <w:szCs w:val="24"/>
                <w:highlight w:val="none"/>
              </w:rPr>
            </w:pPr>
          </w:p>
        </w:tc>
      </w:tr>
      <w:tr w14:paraId="35147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E414040">
            <w:pPr>
              <w:spacing w:line="500" w:lineRule="exact"/>
              <w:rPr>
                <w:rFonts w:hint="eastAsia" w:ascii="宋体" w:hAnsi="宋体" w:eastAsia="宋体" w:cs="宋体"/>
                <w:color w:val="auto"/>
                <w:sz w:val="24"/>
                <w:szCs w:val="24"/>
                <w:highlight w:val="none"/>
              </w:rPr>
            </w:pPr>
          </w:p>
        </w:tc>
        <w:tc>
          <w:tcPr>
            <w:tcW w:w="7568" w:type="dxa"/>
            <w:noWrap w:val="0"/>
            <w:vAlign w:val="center"/>
          </w:tcPr>
          <w:p w14:paraId="30EE8E1E">
            <w:pPr>
              <w:spacing w:line="500" w:lineRule="exact"/>
              <w:rPr>
                <w:rFonts w:hint="eastAsia" w:ascii="宋体" w:hAnsi="宋体" w:eastAsia="宋体" w:cs="宋体"/>
                <w:color w:val="auto"/>
                <w:sz w:val="24"/>
                <w:szCs w:val="24"/>
                <w:highlight w:val="none"/>
              </w:rPr>
            </w:pPr>
          </w:p>
        </w:tc>
      </w:tr>
      <w:tr w14:paraId="33E58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32802EF0">
            <w:pPr>
              <w:spacing w:line="50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4E0AED9E">
            <w:pPr>
              <w:spacing w:line="500" w:lineRule="exact"/>
              <w:rPr>
                <w:rFonts w:hint="eastAsia" w:ascii="宋体" w:hAnsi="宋体" w:eastAsia="宋体" w:cs="宋体"/>
                <w:color w:val="auto"/>
                <w:sz w:val="24"/>
                <w:szCs w:val="24"/>
                <w:highlight w:val="none"/>
              </w:rPr>
            </w:pPr>
          </w:p>
        </w:tc>
      </w:tr>
      <w:tr w14:paraId="00BA4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06A1AC07">
            <w:pPr>
              <w:spacing w:line="50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11B712C3">
            <w:pPr>
              <w:spacing w:line="500" w:lineRule="exact"/>
              <w:rPr>
                <w:rFonts w:hint="eastAsia" w:ascii="宋体" w:hAnsi="宋体" w:eastAsia="宋体" w:cs="宋体"/>
                <w:color w:val="auto"/>
                <w:sz w:val="24"/>
                <w:szCs w:val="24"/>
                <w:highlight w:val="none"/>
              </w:rPr>
            </w:pPr>
          </w:p>
        </w:tc>
      </w:tr>
    </w:tbl>
    <w:p w14:paraId="7C653C04">
      <w:pPr>
        <w:pStyle w:val="13"/>
        <w:rPr>
          <w:rFonts w:hint="eastAsia"/>
          <w:color w:val="auto"/>
          <w:highlight w:val="none"/>
        </w:rPr>
      </w:pPr>
    </w:p>
    <w:p w14:paraId="0E6D920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2D4B74">
      <w:pPr>
        <w:spacing w:line="360" w:lineRule="auto"/>
        <w:jc w:val="center"/>
        <w:outlineLvl w:val="0"/>
        <w:rPr>
          <w:rFonts w:asciiTheme="minorEastAsia" w:hAnsiTheme="minorEastAsia" w:eastAsiaTheme="minorEastAsia"/>
          <w:b/>
          <w:color w:val="auto"/>
          <w:sz w:val="28"/>
          <w:highlight w:val="none"/>
        </w:rPr>
      </w:pPr>
      <w:bookmarkStart w:id="197" w:name="_Toc22492"/>
      <w:r>
        <w:rPr>
          <w:rFonts w:hint="eastAsia" w:asciiTheme="minorEastAsia" w:hAnsiTheme="minorEastAsia" w:eastAsiaTheme="minorEastAsia"/>
          <w:b/>
          <w:color w:val="auto"/>
          <w:sz w:val="28"/>
          <w:highlight w:val="none"/>
        </w:rPr>
        <w:t>第六章  投标文件格式</w:t>
      </w:r>
      <w:bookmarkEnd w:id="197"/>
    </w:p>
    <w:p w14:paraId="597E24F1">
      <w:pPr>
        <w:spacing w:line="900" w:lineRule="exact"/>
        <w:jc w:val="center"/>
        <w:rPr>
          <w:rFonts w:asciiTheme="minorEastAsia" w:hAnsiTheme="minorEastAsia" w:eastAsiaTheme="minorEastAsia"/>
          <w:b/>
          <w:color w:val="auto"/>
          <w:sz w:val="72"/>
          <w:highlight w:val="none"/>
        </w:rPr>
      </w:pPr>
    </w:p>
    <w:p w14:paraId="5F1B657B">
      <w:pPr>
        <w:spacing w:line="900" w:lineRule="exact"/>
        <w:jc w:val="center"/>
        <w:outlineLvl w:val="1"/>
        <w:rPr>
          <w:rFonts w:asciiTheme="minorEastAsia" w:hAnsiTheme="minorEastAsia" w:eastAsiaTheme="minorEastAsia"/>
          <w:b/>
          <w:color w:val="auto"/>
          <w:sz w:val="72"/>
          <w:highlight w:val="none"/>
        </w:rPr>
      </w:pPr>
      <w:bookmarkStart w:id="198" w:name="_Toc651"/>
      <w:r>
        <w:rPr>
          <w:rFonts w:hint="eastAsia" w:asciiTheme="minorEastAsia" w:hAnsiTheme="minorEastAsia" w:eastAsiaTheme="minorEastAsia"/>
          <w:b/>
          <w:color w:val="auto"/>
          <w:sz w:val="72"/>
          <w:highlight w:val="none"/>
        </w:rPr>
        <w:t>投</w:t>
      </w:r>
      <w:bookmarkEnd w:id="198"/>
    </w:p>
    <w:p w14:paraId="151E7C31">
      <w:pPr>
        <w:spacing w:line="900" w:lineRule="exact"/>
        <w:jc w:val="center"/>
        <w:rPr>
          <w:rFonts w:asciiTheme="minorEastAsia" w:hAnsiTheme="minorEastAsia" w:eastAsiaTheme="minorEastAsia"/>
          <w:b/>
          <w:color w:val="auto"/>
          <w:sz w:val="72"/>
          <w:highlight w:val="none"/>
        </w:rPr>
      </w:pPr>
    </w:p>
    <w:p w14:paraId="2562A624">
      <w:pPr>
        <w:spacing w:line="900" w:lineRule="exact"/>
        <w:jc w:val="center"/>
        <w:outlineLvl w:val="1"/>
        <w:rPr>
          <w:rFonts w:asciiTheme="minorEastAsia" w:hAnsiTheme="minorEastAsia" w:eastAsiaTheme="minorEastAsia"/>
          <w:b/>
          <w:color w:val="auto"/>
          <w:sz w:val="72"/>
          <w:highlight w:val="none"/>
        </w:rPr>
      </w:pPr>
      <w:bookmarkStart w:id="199" w:name="_Toc6148"/>
      <w:r>
        <w:rPr>
          <w:rFonts w:hint="eastAsia" w:asciiTheme="minorEastAsia" w:hAnsiTheme="minorEastAsia" w:eastAsiaTheme="minorEastAsia"/>
          <w:b/>
          <w:color w:val="auto"/>
          <w:sz w:val="72"/>
          <w:highlight w:val="none"/>
        </w:rPr>
        <w:t>标</w:t>
      </w:r>
      <w:bookmarkEnd w:id="199"/>
    </w:p>
    <w:p w14:paraId="194745C5">
      <w:pPr>
        <w:spacing w:line="900" w:lineRule="exact"/>
        <w:jc w:val="center"/>
        <w:rPr>
          <w:rFonts w:asciiTheme="minorEastAsia" w:hAnsiTheme="minorEastAsia" w:eastAsiaTheme="minorEastAsia"/>
          <w:b/>
          <w:color w:val="auto"/>
          <w:sz w:val="72"/>
          <w:highlight w:val="none"/>
        </w:rPr>
      </w:pPr>
    </w:p>
    <w:p w14:paraId="41E80372">
      <w:pPr>
        <w:spacing w:line="900" w:lineRule="exact"/>
        <w:jc w:val="center"/>
        <w:outlineLvl w:val="1"/>
        <w:rPr>
          <w:rFonts w:asciiTheme="minorEastAsia" w:hAnsiTheme="minorEastAsia" w:eastAsiaTheme="minorEastAsia"/>
          <w:b/>
          <w:color w:val="auto"/>
          <w:sz w:val="72"/>
          <w:highlight w:val="none"/>
        </w:rPr>
      </w:pPr>
      <w:bookmarkStart w:id="200" w:name="_Toc1338"/>
      <w:r>
        <w:rPr>
          <w:rFonts w:hint="eastAsia" w:asciiTheme="minorEastAsia" w:hAnsiTheme="minorEastAsia" w:eastAsiaTheme="minorEastAsia"/>
          <w:b/>
          <w:color w:val="auto"/>
          <w:sz w:val="72"/>
          <w:highlight w:val="none"/>
        </w:rPr>
        <w:t>文</w:t>
      </w:r>
      <w:bookmarkEnd w:id="200"/>
    </w:p>
    <w:p w14:paraId="25463D15">
      <w:pPr>
        <w:spacing w:line="900" w:lineRule="exact"/>
        <w:jc w:val="center"/>
        <w:rPr>
          <w:rFonts w:asciiTheme="minorEastAsia" w:hAnsiTheme="minorEastAsia" w:eastAsiaTheme="minorEastAsia"/>
          <w:b/>
          <w:color w:val="auto"/>
          <w:sz w:val="72"/>
          <w:highlight w:val="none"/>
        </w:rPr>
      </w:pPr>
    </w:p>
    <w:p w14:paraId="10FE9B54">
      <w:pPr>
        <w:jc w:val="center"/>
        <w:outlineLvl w:val="1"/>
        <w:rPr>
          <w:rFonts w:asciiTheme="minorEastAsia" w:hAnsiTheme="minorEastAsia" w:eastAsiaTheme="minorEastAsia"/>
          <w:b/>
          <w:color w:val="auto"/>
          <w:sz w:val="72"/>
          <w:highlight w:val="none"/>
        </w:rPr>
      </w:pPr>
      <w:bookmarkStart w:id="201" w:name="_Toc10796"/>
      <w:r>
        <w:rPr>
          <w:rFonts w:hint="eastAsia" w:asciiTheme="minorEastAsia" w:hAnsiTheme="minorEastAsia" w:eastAsiaTheme="minorEastAsia"/>
          <w:b/>
          <w:color w:val="auto"/>
          <w:sz w:val="72"/>
          <w:highlight w:val="none"/>
        </w:rPr>
        <w:t>件</w:t>
      </w:r>
      <w:bookmarkEnd w:id="201"/>
    </w:p>
    <w:p w14:paraId="100863D2">
      <w:pPr>
        <w:spacing w:after="156" w:afterLines="50"/>
        <w:jc w:val="center"/>
        <w:rPr>
          <w:rFonts w:asciiTheme="minorEastAsia" w:hAnsiTheme="minorEastAsia" w:eastAsiaTheme="minorEastAsia"/>
          <w:b/>
          <w:color w:val="auto"/>
          <w:sz w:val="72"/>
          <w:highlight w:val="none"/>
        </w:rPr>
      </w:pPr>
    </w:p>
    <w:p w14:paraId="7543BA23">
      <w:pPr>
        <w:spacing w:before="156" w:beforeLines="50" w:after="156" w:afterLines="50"/>
        <w:jc w:val="center"/>
        <w:outlineLvl w:val="9"/>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 xml:space="preserve"> </w:t>
      </w:r>
    </w:p>
    <w:p w14:paraId="36F96B57">
      <w:pPr>
        <w:spacing w:after="156" w:afterLines="50" w:line="500" w:lineRule="exact"/>
        <w:jc w:val="center"/>
        <w:rPr>
          <w:rFonts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1AA65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02" w:name="_Toc8037"/>
      <w:bookmarkStart w:id="203"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02"/>
      <w:bookmarkEnd w:id="203"/>
    </w:p>
    <w:p w14:paraId="79FBBE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F69E07D">
      <w:pPr>
        <w:spacing w:line="360" w:lineRule="auto"/>
        <w:jc w:val="center"/>
        <w:outlineLvl w:val="1"/>
        <w:rPr>
          <w:rFonts w:asciiTheme="minorEastAsia" w:hAnsiTheme="minorEastAsia" w:eastAsiaTheme="minorEastAsia"/>
          <w:b/>
          <w:color w:val="auto"/>
          <w:sz w:val="24"/>
          <w:highlight w:val="none"/>
        </w:rPr>
      </w:pPr>
      <w:bookmarkStart w:id="204" w:name="_Toc28960"/>
      <w:bookmarkStart w:id="205" w:name="_Toc5555"/>
      <w:r>
        <w:rPr>
          <w:rFonts w:hint="eastAsia" w:asciiTheme="minorEastAsia" w:hAnsiTheme="minorEastAsia" w:eastAsiaTheme="minorEastAsia"/>
          <w:b/>
          <w:color w:val="auto"/>
          <w:sz w:val="24"/>
          <w:highlight w:val="none"/>
        </w:rPr>
        <w:t>一、开标一览表</w:t>
      </w:r>
      <w:bookmarkEnd w:id="204"/>
      <w:bookmarkEnd w:id="205"/>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DF571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8"/>
                <w:highlight w:val="none"/>
              </w:rPr>
              <w:t>全部</w:t>
            </w:r>
            <w:r>
              <w:rPr>
                <w:rFonts w:hint="eastAsia" w:asciiTheme="minorEastAsia" w:hAnsiTheme="minorEastAsia" w:eastAsiaTheme="minorEastAsia"/>
                <w:color w:val="auto"/>
                <w:sz w:val="24"/>
                <w:szCs w:val="28"/>
                <w:highlight w:val="none"/>
                <w:lang w:val="en-US" w:eastAsia="zh-CN"/>
              </w:rPr>
              <w:t xml:space="preserve"> </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A72F9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F0F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asciiTheme="minorEastAsia" w:hAnsiTheme="minorEastAsia" w:eastAsiaTheme="minorEastAsia"/>
          <w:b/>
          <w:color w:val="auto"/>
          <w:sz w:val="24"/>
          <w:highlight w:val="none"/>
        </w:rPr>
      </w:pPr>
      <w:bookmarkStart w:id="206" w:name="_Toc18010"/>
      <w:bookmarkStart w:id="207" w:name="_Toc6441"/>
      <w:r>
        <w:rPr>
          <w:rFonts w:hint="eastAsia" w:asciiTheme="minorEastAsia" w:hAnsiTheme="minorEastAsia" w:eastAsiaTheme="minorEastAsia"/>
          <w:b/>
          <w:color w:val="auto"/>
          <w:sz w:val="24"/>
          <w:highlight w:val="none"/>
        </w:rPr>
        <w:t>二、投标函</w:t>
      </w:r>
      <w:bookmarkEnd w:id="206"/>
      <w:bookmarkEnd w:id="207"/>
    </w:p>
    <w:p w14:paraId="5A91387F">
      <w:pPr>
        <w:pStyle w:val="16"/>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5B5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DACC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2582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ascii="宋体" w:hAnsi="宋体" w:eastAsia="宋体"/>
          <w:color w:val="auto"/>
          <w:sz w:val="24"/>
          <w:highlight w:val="none"/>
        </w:rPr>
      </w:pPr>
    </w:p>
    <w:p w14:paraId="79C1AB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8775A16">
      <w:pPr>
        <w:spacing w:line="360" w:lineRule="auto"/>
        <w:jc w:val="center"/>
        <w:outlineLvl w:val="1"/>
        <w:rPr>
          <w:rFonts w:hint="eastAsia" w:asciiTheme="minorEastAsia" w:hAnsiTheme="minorEastAsia" w:eastAsiaTheme="minorEastAsia"/>
          <w:b/>
          <w:color w:val="auto"/>
          <w:sz w:val="24"/>
          <w:highlight w:val="none"/>
        </w:rPr>
      </w:pPr>
      <w:bookmarkStart w:id="208" w:name="_Toc1328"/>
      <w:r>
        <w:rPr>
          <w:rFonts w:hint="eastAsia" w:asciiTheme="minorEastAsia" w:hAnsiTheme="minorEastAsia" w:eastAsiaTheme="minorEastAsia"/>
          <w:b/>
          <w:color w:val="auto"/>
          <w:sz w:val="24"/>
          <w:highlight w:val="none"/>
          <w:lang w:val="en-US" w:eastAsia="zh-CN"/>
        </w:rPr>
        <w:t>三．投标人资格声明书</w:t>
      </w:r>
      <w:bookmarkEnd w:id="208"/>
      <w:r>
        <w:rPr>
          <w:rFonts w:hint="eastAsia" w:asciiTheme="minorEastAsia" w:hAnsiTheme="minorEastAsia" w:eastAsiaTheme="minorEastAsia"/>
          <w:b/>
          <w:color w:val="auto"/>
          <w:sz w:val="24"/>
          <w:highlight w:val="none"/>
          <w:lang w:val="en-US" w:eastAsia="zh-CN"/>
        </w:rPr>
        <w:t xml:space="preserve"> </w:t>
      </w:r>
    </w:p>
    <w:p w14:paraId="71C42E2A">
      <w:pPr>
        <w:pStyle w:val="16"/>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EA201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55C34C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7D36F4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3575D4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4EB28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BB8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3A8B2A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B6B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09514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7AB1403A">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29A8ACBA">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105D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4D332F">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7A13D496">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9931D3C">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18D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5F9944">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6476754D">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270D37D4">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605A5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429414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A7C5B6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2097A">
      <w:pPr>
        <w:pStyle w:val="10"/>
        <w:rPr>
          <w:rFonts w:hint="eastAsia" w:asciiTheme="minorEastAsia" w:hAnsiTheme="minorEastAsia" w:eastAsiaTheme="minorEastAsia" w:cstheme="minorEastAsia"/>
          <w:color w:val="auto"/>
          <w:kern w:val="0"/>
          <w:sz w:val="24"/>
          <w:szCs w:val="24"/>
          <w:highlight w:val="none"/>
          <w:lang w:val="en-US" w:eastAsia="zh-CN" w:bidi="ar"/>
        </w:rPr>
      </w:pPr>
    </w:p>
    <w:p w14:paraId="62FACBB4">
      <w:pPr>
        <w:pStyle w:val="10"/>
        <w:rPr>
          <w:rFonts w:hint="eastAsia" w:asciiTheme="minorEastAsia" w:hAnsiTheme="minorEastAsia" w:eastAsiaTheme="minorEastAsia" w:cstheme="minorEastAsia"/>
          <w:color w:val="auto"/>
          <w:kern w:val="0"/>
          <w:sz w:val="24"/>
          <w:szCs w:val="24"/>
          <w:highlight w:val="none"/>
          <w:lang w:val="en-US" w:eastAsia="zh-CN" w:bidi="ar"/>
        </w:rPr>
      </w:pPr>
    </w:p>
    <w:p w14:paraId="29236E8F">
      <w:pPr>
        <w:pStyle w:val="10"/>
        <w:rPr>
          <w:rFonts w:hint="eastAsia" w:asciiTheme="minorEastAsia" w:hAnsiTheme="minorEastAsia" w:eastAsiaTheme="minorEastAsia" w:cstheme="minorEastAsia"/>
          <w:color w:val="auto"/>
          <w:kern w:val="0"/>
          <w:sz w:val="24"/>
          <w:szCs w:val="24"/>
          <w:highlight w:val="none"/>
          <w:lang w:val="en-US" w:eastAsia="zh-CN" w:bidi="ar"/>
        </w:rPr>
      </w:pPr>
    </w:p>
    <w:p w14:paraId="17F618DD">
      <w:pPr>
        <w:rPr>
          <w:rFonts w:hint="eastAsia" w:asciiTheme="minorEastAsia" w:hAnsiTheme="minorEastAsia" w:eastAsiaTheme="minorEastAsia"/>
          <w:b/>
          <w:color w:val="auto"/>
          <w:sz w:val="24"/>
          <w:highlight w:val="none"/>
        </w:rPr>
      </w:pPr>
      <w:bookmarkStart w:id="209" w:name="_Toc11607"/>
      <w:r>
        <w:rPr>
          <w:rFonts w:hint="eastAsia" w:asciiTheme="minorEastAsia" w:hAnsiTheme="minorEastAsia" w:eastAsiaTheme="minorEastAsia"/>
          <w:b/>
          <w:color w:val="auto"/>
          <w:sz w:val="24"/>
          <w:highlight w:val="none"/>
        </w:rPr>
        <w:br w:type="page"/>
      </w:r>
    </w:p>
    <w:p w14:paraId="6C263433">
      <w:pPr>
        <w:spacing w:line="360" w:lineRule="auto"/>
        <w:jc w:val="center"/>
        <w:outlineLvl w:val="1"/>
        <w:rPr>
          <w:rFonts w:asciiTheme="minorEastAsia" w:hAnsiTheme="minorEastAsia" w:eastAsiaTheme="minorEastAsia"/>
          <w:b/>
          <w:color w:val="auto"/>
          <w:sz w:val="24"/>
          <w:highlight w:val="none"/>
        </w:rPr>
      </w:pPr>
      <w:bookmarkStart w:id="210" w:name="_Toc16960"/>
      <w:r>
        <w:rPr>
          <w:rFonts w:hint="eastAsia" w:asciiTheme="minorEastAsia" w:hAnsiTheme="minorEastAsia" w:eastAsiaTheme="minorEastAsia"/>
          <w:b/>
          <w:color w:val="auto"/>
          <w:sz w:val="24"/>
          <w:highlight w:val="none"/>
        </w:rPr>
        <w:t>四、授权书</w:t>
      </w:r>
      <w:bookmarkEnd w:id="209"/>
      <w:bookmarkEnd w:id="210"/>
    </w:p>
    <w:p w14:paraId="08E8CC0E">
      <w:pPr>
        <w:pStyle w:val="15"/>
        <w:snapToGrid w:val="0"/>
        <w:spacing w:line="360" w:lineRule="auto"/>
        <w:ind w:firstLine="480" w:firstLineChars="200"/>
        <w:jc w:val="left"/>
        <w:rPr>
          <w:rFonts w:hAnsi="宋体" w:eastAsia="宋体"/>
          <w:color w:val="auto"/>
          <w:sz w:val="24"/>
          <w:szCs w:val="28"/>
          <w:highlight w:val="none"/>
        </w:rPr>
      </w:pPr>
    </w:p>
    <w:p w14:paraId="5E50A686">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F3426E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0222876">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EA03D83">
      <w:pPr>
        <w:spacing w:line="360" w:lineRule="auto"/>
        <w:ind w:firstLine="435"/>
        <w:rPr>
          <w:rFonts w:asciiTheme="minorEastAsia" w:hAnsiTheme="minorEastAsia" w:eastAsiaTheme="minorEastAsia"/>
          <w:color w:val="auto"/>
          <w:sz w:val="24"/>
          <w:highlight w:val="none"/>
        </w:rPr>
      </w:pPr>
    </w:p>
    <w:p w14:paraId="53CAB130">
      <w:pPr>
        <w:spacing w:line="360" w:lineRule="auto"/>
        <w:ind w:firstLine="435"/>
        <w:rPr>
          <w:rFonts w:asciiTheme="minorEastAsia" w:hAnsiTheme="minorEastAsia" w:eastAsiaTheme="minorEastAsia"/>
          <w:color w:val="auto"/>
          <w:sz w:val="24"/>
          <w:highlight w:val="none"/>
        </w:rPr>
      </w:pPr>
    </w:p>
    <w:p w14:paraId="2C5C8315">
      <w:pPr>
        <w:spacing w:line="360" w:lineRule="auto"/>
        <w:ind w:firstLine="435"/>
        <w:rPr>
          <w:rFonts w:asciiTheme="minorEastAsia" w:hAnsiTheme="minorEastAsia" w:eastAsiaTheme="minorEastAsia"/>
          <w:color w:val="auto"/>
          <w:sz w:val="24"/>
          <w:highlight w:val="none"/>
        </w:rPr>
      </w:pPr>
    </w:p>
    <w:p w14:paraId="7BA2559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3814717">
      <w:pPr>
        <w:spacing w:line="360" w:lineRule="auto"/>
        <w:ind w:firstLine="435"/>
        <w:rPr>
          <w:rFonts w:hAnsi="宋体" w:eastAsia="宋体"/>
          <w:color w:val="auto"/>
          <w:sz w:val="24"/>
          <w:szCs w:val="28"/>
          <w:highlight w:val="none"/>
          <w:lang w:val="zh-CN"/>
        </w:rPr>
      </w:pPr>
    </w:p>
    <w:p w14:paraId="1B778D7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0DD1F94">
      <w:pPr>
        <w:spacing w:line="360" w:lineRule="auto"/>
        <w:rPr>
          <w:rFonts w:ascii="宋体" w:hAnsi="宋体" w:eastAsia="宋体"/>
          <w:color w:val="auto"/>
          <w:sz w:val="24"/>
          <w:szCs w:val="28"/>
          <w:highlight w:val="none"/>
        </w:rPr>
      </w:pPr>
    </w:p>
    <w:p w14:paraId="13DCB21B">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3A89123F">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23A7F90">
      <w:pPr>
        <w:spacing w:line="360" w:lineRule="auto"/>
        <w:ind w:firstLine="435"/>
        <w:rPr>
          <w:rFonts w:asciiTheme="minorEastAsia" w:hAnsiTheme="minorEastAsia" w:eastAsiaTheme="minorEastAsia"/>
          <w:color w:val="auto"/>
          <w:sz w:val="24"/>
          <w:highlight w:val="none"/>
        </w:rPr>
      </w:pPr>
    </w:p>
    <w:p w14:paraId="7A581D12">
      <w:pPr>
        <w:spacing w:line="360" w:lineRule="auto"/>
        <w:ind w:firstLine="435"/>
        <w:rPr>
          <w:rFonts w:asciiTheme="minorEastAsia" w:hAnsiTheme="minorEastAsia" w:eastAsiaTheme="minorEastAsia"/>
          <w:color w:val="auto"/>
          <w:sz w:val="24"/>
          <w:highlight w:val="none"/>
        </w:rPr>
      </w:pPr>
    </w:p>
    <w:p w14:paraId="2A1BBDB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27E05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555FA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2E4221C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11" w:name="_Toc6796"/>
      <w:bookmarkStart w:id="212" w:name="_Toc31991"/>
      <w:r>
        <w:rPr>
          <w:rFonts w:hint="eastAsia" w:asciiTheme="minorEastAsia" w:hAnsiTheme="minorEastAsia" w:eastAsiaTheme="minorEastAsia"/>
          <w:b/>
          <w:color w:val="auto"/>
          <w:sz w:val="24"/>
          <w:highlight w:val="none"/>
        </w:rPr>
        <w:t>五、投标分项报价表</w:t>
      </w:r>
      <w:bookmarkEnd w:id="211"/>
      <w:bookmarkEnd w:id="212"/>
    </w:p>
    <w:p w14:paraId="7BFA8A4B">
      <w:pPr>
        <w:pStyle w:val="44"/>
        <w:jc w:val="left"/>
        <w:rPr>
          <w:rFonts w:hint="default" w:ascii="宋体" w:hAnsi="宋体" w:eastAsia="宋体"/>
          <w:b/>
          <w:bCs/>
          <w:color w:val="auto"/>
          <w:highlight w:val="none"/>
          <w:lang w:val="en-US" w:eastAsia="zh-CN"/>
        </w:rPr>
      </w:pPr>
      <w:r>
        <w:rPr>
          <w:rFonts w:hint="eastAsia" w:ascii="宋体" w:hAnsi="宋体" w:eastAsia="宋体"/>
          <w:b/>
          <w:bCs/>
          <w:color w:val="auto"/>
          <w:highlight w:val="none"/>
          <w:lang w:val="en-US" w:eastAsia="zh-CN"/>
        </w:rPr>
        <w:t>5-1货物部分</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70"/>
        <w:gridCol w:w="1169"/>
        <w:gridCol w:w="1316"/>
        <w:gridCol w:w="672"/>
        <w:gridCol w:w="672"/>
        <w:gridCol w:w="940"/>
        <w:gridCol w:w="940"/>
        <w:gridCol w:w="67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3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862" w:type="pct"/>
            <w:noWrap w:val="0"/>
            <w:vAlign w:val="center"/>
          </w:tcPr>
          <w:p w14:paraId="73FB9F55">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686" w:type="pct"/>
            <w:noWrap w:val="0"/>
            <w:vAlign w:val="center"/>
          </w:tcPr>
          <w:p w14:paraId="74F9288A">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75AB3D77">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noWrap w:val="0"/>
            <w:vAlign w:val="center"/>
          </w:tcPr>
          <w:p w14:paraId="3FC9B9D4">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9A6F33E">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noWrap w:val="0"/>
            <w:vAlign w:val="center"/>
          </w:tcPr>
          <w:p w14:paraId="5E220F61">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noWrap w:val="0"/>
            <w:vAlign w:val="center"/>
          </w:tcPr>
          <w:p w14:paraId="320CC90F">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noWrap w:val="0"/>
            <w:vAlign w:val="center"/>
          </w:tcPr>
          <w:p w14:paraId="57B37F39">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39894848">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noWrap w:val="0"/>
            <w:vAlign w:val="center"/>
          </w:tcPr>
          <w:p w14:paraId="3425285D">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5701081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noWrap w:val="0"/>
            <w:vAlign w:val="center"/>
          </w:tcPr>
          <w:p w14:paraId="47A63804">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center"/>
          </w:tcPr>
          <w:p w14:paraId="081E0F3E">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862" w:type="pct"/>
            <w:noWrap w:val="0"/>
            <w:vAlign w:val="center"/>
          </w:tcPr>
          <w:p w14:paraId="7C563A41">
            <w:pPr>
              <w:pStyle w:val="7"/>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0" w:firstLineChars="0"/>
              <w:jc w:val="center"/>
              <w:textAlignment w:val="auto"/>
              <w:rPr>
                <w:rFonts w:ascii="宋体" w:hAnsi="宋体" w:eastAsia="宋体"/>
                <w:color w:val="auto"/>
                <w:sz w:val="21"/>
                <w:szCs w:val="21"/>
                <w:highlight w:val="none"/>
              </w:rPr>
            </w:pPr>
          </w:p>
        </w:tc>
        <w:tc>
          <w:tcPr>
            <w:tcW w:w="686" w:type="pct"/>
            <w:noWrap w:val="0"/>
            <w:vAlign w:val="center"/>
          </w:tcPr>
          <w:p w14:paraId="0375DE1C">
            <w:pPr>
              <w:widowControl/>
              <w:spacing w:line="500" w:lineRule="exact"/>
              <w:jc w:val="center"/>
              <w:textAlignment w:val="center"/>
              <w:rPr>
                <w:rFonts w:ascii="宋体" w:hAnsi="宋体" w:eastAsia="宋体"/>
                <w:color w:val="auto"/>
                <w:sz w:val="21"/>
                <w:szCs w:val="21"/>
                <w:highlight w:val="none"/>
              </w:rPr>
            </w:pPr>
          </w:p>
        </w:tc>
        <w:tc>
          <w:tcPr>
            <w:tcW w:w="772" w:type="pct"/>
            <w:noWrap w:val="0"/>
            <w:vAlign w:val="center"/>
          </w:tcPr>
          <w:p w14:paraId="52FF1C92">
            <w:pPr>
              <w:jc w:val="center"/>
              <w:rPr>
                <w:rFonts w:ascii="宋体" w:hAnsi="宋体" w:eastAsia="宋体"/>
                <w:color w:val="auto"/>
                <w:sz w:val="21"/>
                <w:szCs w:val="21"/>
                <w:highlight w:val="none"/>
              </w:rPr>
            </w:pPr>
          </w:p>
        </w:tc>
        <w:tc>
          <w:tcPr>
            <w:tcW w:w="394" w:type="pct"/>
            <w:noWrap w:val="0"/>
            <w:vAlign w:val="center"/>
          </w:tcPr>
          <w:p w14:paraId="7C01FFE9">
            <w:pPr>
              <w:jc w:val="center"/>
              <w:rPr>
                <w:rFonts w:ascii="宋体" w:hAnsi="宋体" w:eastAsia="宋体"/>
                <w:color w:val="auto"/>
                <w:sz w:val="21"/>
                <w:szCs w:val="21"/>
                <w:highlight w:val="none"/>
              </w:rPr>
            </w:pPr>
          </w:p>
        </w:tc>
        <w:tc>
          <w:tcPr>
            <w:tcW w:w="394" w:type="pct"/>
            <w:noWrap w:val="0"/>
            <w:vAlign w:val="center"/>
          </w:tcPr>
          <w:p w14:paraId="4DE5AC10">
            <w:pPr>
              <w:widowControl/>
              <w:spacing w:line="500" w:lineRule="exact"/>
              <w:jc w:val="center"/>
              <w:textAlignment w:val="center"/>
              <w:rPr>
                <w:rFonts w:ascii="宋体" w:hAnsi="宋体" w:eastAsia="宋体"/>
                <w:color w:val="auto"/>
                <w:sz w:val="21"/>
                <w:szCs w:val="21"/>
                <w:highlight w:val="none"/>
              </w:rPr>
            </w:pPr>
          </w:p>
        </w:tc>
        <w:tc>
          <w:tcPr>
            <w:tcW w:w="551" w:type="pct"/>
            <w:noWrap w:val="0"/>
            <w:vAlign w:val="top"/>
          </w:tcPr>
          <w:p w14:paraId="21DA4597">
            <w:pPr>
              <w:rPr>
                <w:rFonts w:ascii="宋体" w:hAnsi="宋体" w:eastAsia="宋体"/>
                <w:color w:val="auto"/>
                <w:sz w:val="24"/>
                <w:highlight w:val="none"/>
              </w:rPr>
            </w:pPr>
          </w:p>
        </w:tc>
        <w:tc>
          <w:tcPr>
            <w:tcW w:w="551" w:type="pct"/>
            <w:noWrap w:val="0"/>
            <w:vAlign w:val="top"/>
          </w:tcPr>
          <w:p w14:paraId="2A9B41D8">
            <w:pPr>
              <w:rPr>
                <w:rFonts w:ascii="宋体" w:hAnsi="宋体" w:eastAsia="宋体"/>
                <w:color w:val="auto"/>
                <w:sz w:val="24"/>
                <w:highlight w:val="none"/>
              </w:rPr>
            </w:pPr>
          </w:p>
        </w:tc>
        <w:tc>
          <w:tcPr>
            <w:tcW w:w="393" w:type="pct"/>
            <w:noWrap w:val="0"/>
            <w:vAlign w:val="top"/>
          </w:tcPr>
          <w:p w14:paraId="2B68B0FE">
            <w:pPr>
              <w:rPr>
                <w:rFonts w:ascii="宋体" w:hAnsi="宋体" w:eastAsia="宋体"/>
                <w:color w:val="auto"/>
                <w:sz w:val="24"/>
                <w:highlight w:val="none"/>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1A75D3A">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862" w:type="pct"/>
            <w:noWrap w:val="0"/>
            <w:vAlign w:val="center"/>
          </w:tcPr>
          <w:p w14:paraId="6E750A98">
            <w:pPr>
              <w:pStyle w:val="7"/>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0" w:firstLineChars="0"/>
              <w:jc w:val="center"/>
              <w:textAlignment w:val="auto"/>
              <w:rPr>
                <w:rFonts w:ascii="宋体" w:hAnsi="宋体" w:eastAsia="宋体"/>
                <w:color w:val="auto"/>
                <w:sz w:val="21"/>
                <w:szCs w:val="21"/>
                <w:highlight w:val="none"/>
              </w:rPr>
            </w:pPr>
          </w:p>
        </w:tc>
        <w:tc>
          <w:tcPr>
            <w:tcW w:w="686" w:type="pct"/>
            <w:noWrap w:val="0"/>
            <w:vAlign w:val="center"/>
          </w:tcPr>
          <w:p w14:paraId="439F3115">
            <w:pPr>
              <w:widowControl/>
              <w:spacing w:line="500" w:lineRule="exact"/>
              <w:jc w:val="center"/>
              <w:textAlignment w:val="center"/>
              <w:rPr>
                <w:rFonts w:ascii="宋体" w:hAnsi="宋体" w:eastAsia="宋体"/>
                <w:color w:val="auto"/>
                <w:sz w:val="21"/>
                <w:szCs w:val="21"/>
                <w:highlight w:val="none"/>
              </w:rPr>
            </w:pPr>
          </w:p>
        </w:tc>
        <w:tc>
          <w:tcPr>
            <w:tcW w:w="772" w:type="pct"/>
            <w:noWrap w:val="0"/>
            <w:vAlign w:val="center"/>
          </w:tcPr>
          <w:p w14:paraId="0B5EF6A2">
            <w:pPr>
              <w:jc w:val="center"/>
              <w:rPr>
                <w:rFonts w:ascii="宋体" w:hAnsi="宋体" w:eastAsia="宋体"/>
                <w:color w:val="auto"/>
                <w:sz w:val="21"/>
                <w:szCs w:val="21"/>
                <w:highlight w:val="none"/>
              </w:rPr>
            </w:pPr>
          </w:p>
        </w:tc>
        <w:tc>
          <w:tcPr>
            <w:tcW w:w="394" w:type="pct"/>
            <w:noWrap w:val="0"/>
            <w:vAlign w:val="center"/>
          </w:tcPr>
          <w:p w14:paraId="66BA4716">
            <w:pPr>
              <w:jc w:val="center"/>
              <w:rPr>
                <w:rFonts w:ascii="宋体" w:hAnsi="宋体" w:eastAsia="宋体"/>
                <w:color w:val="auto"/>
                <w:sz w:val="21"/>
                <w:szCs w:val="21"/>
                <w:highlight w:val="none"/>
              </w:rPr>
            </w:pPr>
          </w:p>
        </w:tc>
        <w:tc>
          <w:tcPr>
            <w:tcW w:w="394" w:type="pct"/>
            <w:noWrap w:val="0"/>
            <w:vAlign w:val="center"/>
          </w:tcPr>
          <w:p w14:paraId="4981F119">
            <w:pPr>
              <w:widowControl/>
              <w:spacing w:line="500" w:lineRule="exact"/>
              <w:jc w:val="center"/>
              <w:textAlignment w:val="center"/>
              <w:rPr>
                <w:rFonts w:ascii="宋体" w:hAnsi="宋体" w:eastAsia="宋体"/>
                <w:color w:val="auto"/>
                <w:sz w:val="21"/>
                <w:szCs w:val="21"/>
                <w:highlight w:val="none"/>
              </w:rPr>
            </w:pPr>
          </w:p>
        </w:tc>
        <w:tc>
          <w:tcPr>
            <w:tcW w:w="551" w:type="pct"/>
            <w:noWrap w:val="0"/>
            <w:vAlign w:val="top"/>
          </w:tcPr>
          <w:p w14:paraId="6A08DEBB">
            <w:pPr>
              <w:rPr>
                <w:rFonts w:ascii="宋体" w:hAnsi="宋体" w:eastAsia="宋体"/>
                <w:color w:val="auto"/>
                <w:sz w:val="24"/>
                <w:highlight w:val="none"/>
              </w:rPr>
            </w:pPr>
          </w:p>
        </w:tc>
        <w:tc>
          <w:tcPr>
            <w:tcW w:w="551" w:type="pct"/>
            <w:noWrap w:val="0"/>
            <w:vAlign w:val="top"/>
          </w:tcPr>
          <w:p w14:paraId="21EA39CE">
            <w:pPr>
              <w:rPr>
                <w:rFonts w:ascii="宋体" w:hAnsi="宋体" w:eastAsia="宋体"/>
                <w:color w:val="auto"/>
                <w:sz w:val="24"/>
                <w:highlight w:val="none"/>
              </w:rPr>
            </w:pPr>
          </w:p>
        </w:tc>
        <w:tc>
          <w:tcPr>
            <w:tcW w:w="393" w:type="pct"/>
            <w:noWrap w:val="0"/>
            <w:vAlign w:val="top"/>
          </w:tcPr>
          <w:p w14:paraId="2599FD7C">
            <w:pPr>
              <w:rPr>
                <w:rFonts w:ascii="宋体" w:hAnsi="宋体" w:eastAsia="宋体"/>
                <w:color w:val="auto"/>
                <w:sz w:val="24"/>
                <w:highlight w:val="none"/>
              </w:rPr>
            </w:pPr>
          </w:p>
        </w:tc>
      </w:tr>
      <w:tr w14:paraId="3B9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center"/>
          </w:tcPr>
          <w:p w14:paraId="3EF7B92A">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3</w:t>
            </w:r>
          </w:p>
        </w:tc>
        <w:tc>
          <w:tcPr>
            <w:tcW w:w="862" w:type="pct"/>
            <w:noWrap w:val="0"/>
            <w:vAlign w:val="center"/>
          </w:tcPr>
          <w:p w14:paraId="3F508895">
            <w:pPr>
              <w:pStyle w:val="7"/>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0" w:firstLineChars="0"/>
              <w:jc w:val="center"/>
              <w:textAlignment w:val="auto"/>
              <w:rPr>
                <w:rFonts w:ascii="宋体" w:hAnsi="宋体" w:eastAsia="宋体"/>
                <w:color w:val="auto"/>
                <w:sz w:val="21"/>
                <w:szCs w:val="21"/>
                <w:highlight w:val="none"/>
              </w:rPr>
            </w:pPr>
          </w:p>
        </w:tc>
        <w:tc>
          <w:tcPr>
            <w:tcW w:w="686" w:type="pct"/>
            <w:noWrap w:val="0"/>
            <w:vAlign w:val="center"/>
          </w:tcPr>
          <w:p w14:paraId="20B310BD">
            <w:pPr>
              <w:widowControl/>
              <w:spacing w:line="500" w:lineRule="exact"/>
              <w:jc w:val="center"/>
              <w:textAlignment w:val="center"/>
              <w:rPr>
                <w:rFonts w:ascii="宋体" w:hAnsi="宋体" w:eastAsia="宋体"/>
                <w:color w:val="auto"/>
                <w:sz w:val="21"/>
                <w:szCs w:val="21"/>
                <w:highlight w:val="none"/>
              </w:rPr>
            </w:pPr>
          </w:p>
        </w:tc>
        <w:tc>
          <w:tcPr>
            <w:tcW w:w="772" w:type="pct"/>
            <w:noWrap w:val="0"/>
            <w:vAlign w:val="center"/>
          </w:tcPr>
          <w:p w14:paraId="09A7230D">
            <w:pPr>
              <w:jc w:val="center"/>
              <w:rPr>
                <w:rFonts w:ascii="宋体" w:hAnsi="宋体" w:eastAsia="宋体"/>
                <w:color w:val="auto"/>
                <w:sz w:val="21"/>
                <w:szCs w:val="21"/>
                <w:highlight w:val="none"/>
              </w:rPr>
            </w:pPr>
          </w:p>
        </w:tc>
        <w:tc>
          <w:tcPr>
            <w:tcW w:w="394" w:type="pct"/>
            <w:noWrap w:val="0"/>
            <w:vAlign w:val="center"/>
          </w:tcPr>
          <w:p w14:paraId="275F91C4">
            <w:pPr>
              <w:jc w:val="center"/>
              <w:rPr>
                <w:rFonts w:ascii="宋体" w:hAnsi="宋体" w:eastAsia="宋体"/>
                <w:color w:val="auto"/>
                <w:sz w:val="21"/>
                <w:szCs w:val="21"/>
                <w:highlight w:val="none"/>
              </w:rPr>
            </w:pPr>
          </w:p>
        </w:tc>
        <w:tc>
          <w:tcPr>
            <w:tcW w:w="394" w:type="pct"/>
            <w:noWrap w:val="0"/>
            <w:vAlign w:val="center"/>
          </w:tcPr>
          <w:p w14:paraId="6E9B5D37">
            <w:pPr>
              <w:widowControl/>
              <w:spacing w:line="500" w:lineRule="exact"/>
              <w:jc w:val="center"/>
              <w:textAlignment w:val="center"/>
              <w:rPr>
                <w:rFonts w:ascii="宋体" w:hAnsi="宋体" w:eastAsia="宋体"/>
                <w:color w:val="auto"/>
                <w:sz w:val="21"/>
                <w:szCs w:val="21"/>
                <w:highlight w:val="none"/>
              </w:rPr>
            </w:pPr>
          </w:p>
        </w:tc>
        <w:tc>
          <w:tcPr>
            <w:tcW w:w="551" w:type="pct"/>
            <w:noWrap w:val="0"/>
            <w:vAlign w:val="top"/>
          </w:tcPr>
          <w:p w14:paraId="7D351FDC">
            <w:pPr>
              <w:rPr>
                <w:rFonts w:ascii="宋体" w:hAnsi="宋体" w:eastAsia="宋体"/>
                <w:color w:val="auto"/>
                <w:sz w:val="24"/>
                <w:highlight w:val="none"/>
              </w:rPr>
            </w:pPr>
          </w:p>
        </w:tc>
        <w:tc>
          <w:tcPr>
            <w:tcW w:w="551" w:type="pct"/>
            <w:noWrap w:val="0"/>
            <w:vAlign w:val="top"/>
          </w:tcPr>
          <w:p w14:paraId="68D6AC0F">
            <w:pPr>
              <w:rPr>
                <w:rFonts w:ascii="宋体" w:hAnsi="宋体" w:eastAsia="宋体"/>
                <w:color w:val="auto"/>
                <w:sz w:val="24"/>
                <w:highlight w:val="none"/>
              </w:rPr>
            </w:pPr>
          </w:p>
        </w:tc>
        <w:tc>
          <w:tcPr>
            <w:tcW w:w="393" w:type="pct"/>
            <w:noWrap w:val="0"/>
            <w:vAlign w:val="top"/>
          </w:tcPr>
          <w:p w14:paraId="2EB92AF3">
            <w:pPr>
              <w:rPr>
                <w:rFonts w:ascii="宋体" w:hAnsi="宋体" w:eastAsia="宋体"/>
                <w:color w:val="auto"/>
                <w:sz w:val="24"/>
                <w:highlight w:val="none"/>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center"/>
          </w:tcPr>
          <w:p w14:paraId="7DD361CA">
            <w:pPr>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w:t>
            </w:r>
          </w:p>
        </w:tc>
        <w:tc>
          <w:tcPr>
            <w:tcW w:w="862" w:type="pct"/>
            <w:noWrap w:val="0"/>
            <w:vAlign w:val="center"/>
          </w:tcPr>
          <w:p w14:paraId="52FDDD29">
            <w:pPr>
              <w:pStyle w:val="7"/>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0" w:firstLineChars="0"/>
              <w:jc w:val="center"/>
              <w:textAlignment w:val="auto"/>
              <w:rPr>
                <w:rFonts w:ascii="宋体" w:hAnsi="宋体" w:eastAsia="宋体"/>
                <w:color w:val="auto"/>
                <w:sz w:val="21"/>
                <w:szCs w:val="21"/>
                <w:highlight w:val="none"/>
              </w:rPr>
            </w:pPr>
          </w:p>
        </w:tc>
        <w:tc>
          <w:tcPr>
            <w:tcW w:w="686" w:type="pct"/>
            <w:noWrap w:val="0"/>
            <w:vAlign w:val="center"/>
          </w:tcPr>
          <w:p w14:paraId="0F448206">
            <w:pPr>
              <w:widowControl/>
              <w:spacing w:line="500" w:lineRule="exact"/>
              <w:jc w:val="center"/>
              <w:textAlignment w:val="center"/>
              <w:rPr>
                <w:rFonts w:ascii="宋体" w:hAnsi="宋体" w:eastAsia="宋体"/>
                <w:color w:val="auto"/>
                <w:sz w:val="21"/>
                <w:szCs w:val="21"/>
                <w:highlight w:val="none"/>
              </w:rPr>
            </w:pPr>
          </w:p>
        </w:tc>
        <w:tc>
          <w:tcPr>
            <w:tcW w:w="772" w:type="pct"/>
            <w:noWrap w:val="0"/>
            <w:vAlign w:val="center"/>
          </w:tcPr>
          <w:p w14:paraId="6F4523F1">
            <w:pPr>
              <w:jc w:val="center"/>
              <w:rPr>
                <w:rFonts w:ascii="宋体" w:hAnsi="宋体" w:eastAsia="宋体"/>
                <w:color w:val="auto"/>
                <w:sz w:val="21"/>
                <w:szCs w:val="21"/>
                <w:highlight w:val="none"/>
              </w:rPr>
            </w:pPr>
          </w:p>
        </w:tc>
        <w:tc>
          <w:tcPr>
            <w:tcW w:w="394" w:type="pct"/>
            <w:noWrap w:val="0"/>
            <w:vAlign w:val="center"/>
          </w:tcPr>
          <w:p w14:paraId="5713503A">
            <w:pPr>
              <w:jc w:val="center"/>
              <w:rPr>
                <w:rFonts w:ascii="宋体" w:hAnsi="宋体" w:eastAsia="宋体"/>
                <w:color w:val="auto"/>
                <w:sz w:val="21"/>
                <w:szCs w:val="21"/>
                <w:highlight w:val="none"/>
              </w:rPr>
            </w:pPr>
          </w:p>
        </w:tc>
        <w:tc>
          <w:tcPr>
            <w:tcW w:w="394" w:type="pct"/>
            <w:noWrap w:val="0"/>
            <w:vAlign w:val="center"/>
          </w:tcPr>
          <w:p w14:paraId="44B66D33">
            <w:pPr>
              <w:widowControl/>
              <w:spacing w:line="500" w:lineRule="exact"/>
              <w:jc w:val="center"/>
              <w:textAlignment w:val="center"/>
              <w:rPr>
                <w:rFonts w:ascii="宋体" w:hAnsi="宋体" w:eastAsia="宋体"/>
                <w:color w:val="auto"/>
                <w:sz w:val="21"/>
                <w:szCs w:val="21"/>
                <w:highlight w:val="none"/>
              </w:rPr>
            </w:pPr>
          </w:p>
        </w:tc>
        <w:tc>
          <w:tcPr>
            <w:tcW w:w="551" w:type="pct"/>
            <w:noWrap w:val="0"/>
            <w:vAlign w:val="top"/>
          </w:tcPr>
          <w:p w14:paraId="4D3028A2">
            <w:pPr>
              <w:rPr>
                <w:rFonts w:ascii="宋体" w:hAnsi="宋体" w:eastAsia="宋体"/>
                <w:color w:val="auto"/>
                <w:sz w:val="24"/>
                <w:highlight w:val="none"/>
              </w:rPr>
            </w:pPr>
          </w:p>
        </w:tc>
        <w:tc>
          <w:tcPr>
            <w:tcW w:w="551" w:type="pct"/>
            <w:noWrap w:val="0"/>
            <w:vAlign w:val="top"/>
          </w:tcPr>
          <w:p w14:paraId="1790092E">
            <w:pPr>
              <w:rPr>
                <w:rFonts w:ascii="宋体" w:hAnsi="宋体" w:eastAsia="宋体"/>
                <w:color w:val="auto"/>
                <w:sz w:val="24"/>
                <w:highlight w:val="none"/>
              </w:rPr>
            </w:pPr>
          </w:p>
        </w:tc>
        <w:tc>
          <w:tcPr>
            <w:tcW w:w="393" w:type="pct"/>
            <w:noWrap w:val="0"/>
            <w:vAlign w:val="top"/>
          </w:tcPr>
          <w:p w14:paraId="578F6552">
            <w:pPr>
              <w:rPr>
                <w:rFonts w:ascii="宋体" w:hAnsi="宋体" w:eastAsia="宋体"/>
                <w:color w:val="auto"/>
                <w:sz w:val="24"/>
                <w:highlight w:val="none"/>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5" w:type="pct"/>
            <w:gridSpan w:val="7"/>
            <w:noWrap w:val="0"/>
            <w:vAlign w:val="center"/>
          </w:tcPr>
          <w:p w14:paraId="5461A2A8">
            <w:pPr>
              <w:jc w:val="center"/>
              <w:rPr>
                <w:rFonts w:ascii="宋体" w:hAnsi="宋体" w:eastAsia="宋体"/>
                <w:color w:val="auto"/>
                <w:sz w:val="24"/>
                <w:highlight w:val="none"/>
              </w:rPr>
            </w:pPr>
            <w:r>
              <w:rPr>
                <w:rFonts w:hint="eastAsia" w:ascii="宋体" w:hAnsi="宋体" w:eastAsia="宋体"/>
                <w:b/>
                <w:color w:val="auto"/>
                <w:sz w:val="24"/>
                <w:highlight w:val="none"/>
              </w:rPr>
              <w:t>合计</w:t>
            </w:r>
            <w:r>
              <w:rPr>
                <w:rFonts w:hint="eastAsia" w:ascii="宋体" w:hAnsi="宋体" w:eastAsia="宋体"/>
                <w:b/>
                <w:color w:val="auto"/>
                <w:sz w:val="24"/>
                <w:highlight w:val="none"/>
                <w:lang w:val="en-US" w:eastAsia="zh-CN"/>
              </w:rPr>
              <w:t>金额</w:t>
            </w:r>
            <w:r>
              <w:rPr>
                <w:rFonts w:hint="eastAsia" w:ascii="宋体" w:hAnsi="宋体" w:eastAsia="宋体"/>
                <w:b/>
                <w:color w:val="auto"/>
                <w:sz w:val="24"/>
                <w:highlight w:val="none"/>
              </w:rPr>
              <w:t>（元）</w:t>
            </w:r>
          </w:p>
        </w:tc>
        <w:tc>
          <w:tcPr>
            <w:tcW w:w="944" w:type="pct"/>
            <w:gridSpan w:val="2"/>
            <w:noWrap w:val="0"/>
            <w:vAlign w:val="top"/>
          </w:tcPr>
          <w:p w14:paraId="559957D4">
            <w:pPr>
              <w:rPr>
                <w:rFonts w:ascii="宋体" w:hAnsi="宋体" w:eastAsia="宋体"/>
                <w:color w:val="auto"/>
                <w:sz w:val="24"/>
                <w:highlight w:val="none"/>
              </w:rPr>
            </w:pPr>
          </w:p>
        </w:tc>
      </w:tr>
    </w:tbl>
    <w:p w14:paraId="4C7090A7">
      <w:pPr>
        <w:pStyle w:val="44"/>
        <w:jc w:val="both"/>
        <w:rPr>
          <w:rFonts w:hint="default" w:ascii="宋体" w:hAnsi="宋体" w:eastAsia="宋体"/>
          <w:b/>
          <w:bCs/>
          <w:i/>
          <w:iCs/>
          <w:color w:val="auto"/>
          <w:highlight w:val="none"/>
          <w:lang w:val="en-US" w:eastAsia="zh-CN"/>
        </w:rPr>
      </w:pPr>
      <w:r>
        <w:rPr>
          <w:rFonts w:hint="eastAsia" w:ascii="宋体" w:hAnsi="宋体" w:eastAsia="宋体"/>
          <w:b/>
          <w:bCs/>
          <w:color w:val="auto"/>
          <w:highlight w:val="none"/>
          <w:lang w:val="en-US" w:eastAsia="zh-CN"/>
        </w:rPr>
        <w:t>5-2服务部分</w:t>
      </w:r>
      <w:r>
        <w:rPr>
          <w:rFonts w:hint="eastAsia" w:ascii="宋体" w:hAnsi="宋体" w:eastAsia="宋体"/>
          <w:b/>
          <w:bCs/>
          <w:i/>
          <w:iCs/>
          <w:color w:val="auto"/>
          <w:highlight w:val="none"/>
        </w:rPr>
        <w:t>（仅供参考，投标人可自行制作格式）</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6"/>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63730EC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3</w:t>
            </w:r>
          </w:p>
        </w:tc>
        <w:tc>
          <w:tcPr>
            <w:tcW w:w="1824" w:type="pct"/>
            <w:noWrap w:val="0"/>
            <w:vAlign w:val="center"/>
          </w:tcPr>
          <w:p w14:paraId="666FC2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10A86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D90EEB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2087A30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ascii="宋体" w:hAnsi="宋体" w:eastAsia="宋体"/>
                <w:color w:val="auto"/>
                <w:sz w:val="24"/>
                <w:highlight w:val="none"/>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bl>
    <w:p w14:paraId="6AD76037">
      <w:pPr>
        <w:spacing w:line="360" w:lineRule="auto"/>
        <w:ind w:firstLine="435"/>
        <w:jc w:val="right"/>
        <w:rPr>
          <w:rFonts w:hint="eastAsia" w:ascii="宋体" w:hAnsi="宋体" w:eastAsia="宋体"/>
          <w:b/>
          <w:bCs/>
          <w:color w:val="auto"/>
          <w:highlight w:val="none"/>
          <w:lang w:val="en-US" w:eastAsia="zh-CN"/>
        </w:rPr>
      </w:pPr>
      <w:r>
        <w:rPr>
          <w:rFonts w:hint="eastAsia" w:ascii="宋体" w:hAnsi="宋体" w:eastAsia="宋体"/>
          <w:bCs/>
          <w:color w:val="auto"/>
          <w:sz w:val="24"/>
          <w:szCs w:val="28"/>
          <w:highlight w:val="none"/>
          <w:u w:val="single"/>
        </w:rPr>
        <w:t xml:space="preserve">       </w:t>
      </w:r>
    </w:p>
    <w:p w14:paraId="7C354805">
      <w:pPr>
        <w:pStyle w:val="44"/>
        <w:jc w:val="both"/>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5-3 符合本国产品标准的产品成本之和占比</w:t>
      </w:r>
    </w:p>
    <w:tbl>
      <w:tblPr>
        <w:tblStyle w:val="28"/>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4DECA2F7">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noWrap w:val="0"/>
            <w:vAlign w:val="top"/>
          </w:tcPr>
          <w:p w14:paraId="6345AD47">
            <w:pPr>
              <w:spacing w:line="360" w:lineRule="auto"/>
              <w:rPr>
                <w:rFonts w:hint="eastAsia" w:ascii="宋体" w:hAnsi="宋体" w:eastAsia="宋体" w:cs="宋体"/>
                <w:color w:val="auto"/>
                <w:sz w:val="24"/>
                <w:szCs w:val="24"/>
                <w:highlight w:val="none"/>
                <w:u w:val="single"/>
                <w:lang w:val="en-US" w:eastAsia="zh-CN"/>
              </w:rPr>
            </w:pPr>
          </w:p>
          <w:p w14:paraId="218CB0CA">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tabs>
                <w:tab w:val="left" w:pos="4620"/>
              </w:tabs>
              <w:spacing w:line="360" w:lineRule="auto"/>
              <w:jc w:val="left"/>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4211CC09">
            <w:pPr>
              <w:tabs>
                <w:tab w:val="left" w:pos="4620"/>
              </w:tabs>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上表中全部产品成本之和是指表5-1和表5-2包含的全部货物、服务产品成本之和。</w:t>
            </w:r>
          </w:p>
        </w:tc>
      </w:tr>
    </w:tbl>
    <w:p w14:paraId="41DF4DBB">
      <w:pPr>
        <w:spacing w:line="360" w:lineRule="auto"/>
        <w:rPr>
          <w:rFonts w:hint="eastAsia" w:ascii="宋体" w:hAnsi="宋体" w:eastAsia="宋体"/>
          <w:b/>
          <w:bCs/>
          <w:color w:val="auto"/>
          <w:sz w:val="21"/>
          <w:szCs w:val="21"/>
          <w:highlight w:val="none"/>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w:t>
      </w:r>
    </w:p>
    <w:p w14:paraId="0FC5F10B">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1.表5-1</w:t>
      </w:r>
      <w:r>
        <w:rPr>
          <w:rFonts w:hint="eastAsia" w:ascii="宋体" w:hAnsi="宋体" w:eastAsia="宋体"/>
          <w:color w:val="auto"/>
          <w:sz w:val="21"/>
          <w:szCs w:val="21"/>
          <w:highlight w:val="none"/>
        </w:rPr>
        <w:t>中须明确列出所投产品的货物名称、品牌、型号规格、原产地及生产厂商，否则可能导致</w:t>
      </w:r>
      <w:r>
        <w:rPr>
          <w:rFonts w:hint="eastAsia" w:ascii="宋体" w:hAnsi="宋体" w:eastAsia="宋体"/>
          <w:b/>
          <w:bCs/>
          <w:color w:val="auto"/>
          <w:sz w:val="21"/>
          <w:szCs w:val="21"/>
          <w:highlight w:val="none"/>
        </w:rPr>
        <w:t>投标无效</w:t>
      </w:r>
      <w:r>
        <w:rPr>
          <w:rFonts w:hint="eastAsia" w:ascii="宋体" w:hAnsi="宋体" w:eastAsia="宋体"/>
          <w:b/>
          <w:bCs/>
          <w:color w:val="auto"/>
          <w:sz w:val="21"/>
          <w:szCs w:val="21"/>
          <w:highlight w:val="none"/>
          <w:lang w:eastAsia="zh-CN"/>
        </w:rPr>
        <w:t>。</w:t>
      </w:r>
    </w:p>
    <w:p w14:paraId="6F8C732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2.上述报价为投标人完成本项目内容的全部费用（总报价为表5-1和表5-2合计金额之和），</w:t>
      </w:r>
      <w:r>
        <w:rPr>
          <w:rFonts w:hint="eastAsia" w:ascii="宋体" w:hAnsi="宋体" w:eastAsia="宋体"/>
          <w:color w:val="auto"/>
          <w:sz w:val="21"/>
          <w:szCs w:val="21"/>
          <w:highlight w:val="none"/>
        </w:rPr>
        <w:t>如有漏项或缺项，</w:t>
      </w:r>
      <w:r>
        <w:rPr>
          <w:rFonts w:hint="eastAsia" w:ascii="宋体" w:hAnsi="宋体" w:eastAsia="宋体"/>
          <w:color w:val="auto"/>
          <w:sz w:val="21"/>
          <w:szCs w:val="21"/>
          <w:highlight w:val="none"/>
          <w:lang w:val="en-US" w:eastAsia="zh-CN"/>
        </w:rPr>
        <w:t>自行</w:t>
      </w:r>
      <w:r>
        <w:rPr>
          <w:rFonts w:hint="eastAsia" w:ascii="宋体" w:hAnsi="宋体" w:eastAsia="宋体"/>
          <w:color w:val="auto"/>
          <w:sz w:val="21"/>
          <w:szCs w:val="21"/>
          <w:highlight w:val="none"/>
        </w:rPr>
        <w:t>承担全部责任。</w:t>
      </w:r>
    </w:p>
    <w:p w14:paraId="3B885F7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6856CEA">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213" w:name="_Toc20329"/>
      <w:bookmarkStart w:id="214" w:name="_Toc11940"/>
      <w:r>
        <w:rPr>
          <w:rFonts w:hint="eastAsia" w:asciiTheme="minorEastAsia" w:hAnsiTheme="minorEastAsia" w:eastAsiaTheme="minorEastAsia"/>
          <w:b/>
          <w:color w:val="auto"/>
          <w:sz w:val="24"/>
          <w:highlight w:val="none"/>
        </w:rPr>
        <w:t>六、投标响应表</w:t>
      </w:r>
      <w:bookmarkEnd w:id="213"/>
      <w:bookmarkEnd w:id="214"/>
    </w:p>
    <w:p w14:paraId="49D3AB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24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DE5CA5C">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E5D9937">
            <w:pPr>
              <w:pStyle w:val="1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44F6BE">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1DE3AE5">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1A0A2A3">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3C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39F893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C1AF61C">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9664D">
            <w:pPr>
              <w:jc w:val="center"/>
              <w:rPr>
                <w:rFonts w:asciiTheme="minorEastAsia" w:hAnsiTheme="minorEastAsia" w:eastAsiaTheme="minorEastAsia"/>
                <w:color w:val="auto"/>
                <w:sz w:val="24"/>
                <w:highlight w:val="none"/>
              </w:rPr>
            </w:pPr>
          </w:p>
        </w:tc>
        <w:tc>
          <w:tcPr>
            <w:tcW w:w="1510" w:type="pct"/>
            <w:vAlign w:val="center"/>
          </w:tcPr>
          <w:p w14:paraId="6ED78673">
            <w:pPr>
              <w:jc w:val="center"/>
              <w:rPr>
                <w:rFonts w:asciiTheme="minorEastAsia" w:hAnsiTheme="minorEastAsia" w:eastAsiaTheme="minorEastAsia"/>
                <w:color w:val="auto"/>
                <w:sz w:val="24"/>
                <w:highlight w:val="none"/>
              </w:rPr>
            </w:pPr>
          </w:p>
        </w:tc>
        <w:tc>
          <w:tcPr>
            <w:tcW w:w="475" w:type="pct"/>
            <w:vAlign w:val="center"/>
          </w:tcPr>
          <w:p w14:paraId="4090BFB7">
            <w:pPr>
              <w:jc w:val="center"/>
              <w:rPr>
                <w:rFonts w:asciiTheme="minorEastAsia" w:hAnsiTheme="minorEastAsia" w:eastAsiaTheme="minorEastAsia"/>
                <w:color w:val="auto"/>
                <w:sz w:val="24"/>
                <w:highlight w:val="none"/>
              </w:rPr>
            </w:pPr>
          </w:p>
        </w:tc>
      </w:tr>
      <w:tr w14:paraId="68DA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CFEE9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380CFC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65346DC">
            <w:pPr>
              <w:jc w:val="center"/>
              <w:rPr>
                <w:rFonts w:asciiTheme="minorEastAsia" w:hAnsiTheme="minorEastAsia" w:eastAsiaTheme="minorEastAsia"/>
                <w:color w:val="auto"/>
                <w:sz w:val="24"/>
                <w:highlight w:val="none"/>
              </w:rPr>
            </w:pPr>
          </w:p>
        </w:tc>
        <w:tc>
          <w:tcPr>
            <w:tcW w:w="1510" w:type="pct"/>
            <w:vAlign w:val="center"/>
          </w:tcPr>
          <w:p w14:paraId="3451F342">
            <w:pPr>
              <w:jc w:val="center"/>
              <w:rPr>
                <w:rFonts w:asciiTheme="minorEastAsia" w:hAnsiTheme="minorEastAsia" w:eastAsiaTheme="minorEastAsia"/>
                <w:color w:val="auto"/>
                <w:sz w:val="24"/>
                <w:highlight w:val="none"/>
              </w:rPr>
            </w:pPr>
          </w:p>
        </w:tc>
        <w:tc>
          <w:tcPr>
            <w:tcW w:w="475" w:type="pct"/>
            <w:vAlign w:val="center"/>
          </w:tcPr>
          <w:p w14:paraId="4E06C111">
            <w:pPr>
              <w:jc w:val="center"/>
              <w:rPr>
                <w:rFonts w:asciiTheme="minorEastAsia" w:hAnsiTheme="minorEastAsia" w:eastAsiaTheme="minorEastAsia"/>
                <w:color w:val="auto"/>
                <w:sz w:val="24"/>
                <w:highlight w:val="none"/>
              </w:rPr>
            </w:pPr>
          </w:p>
        </w:tc>
      </w:tr>
      <w:tr w14:paraId="604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160D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BE4F9CA">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13DA4509">
            <w:pPr>
              <w:jc w:val="center"/>
              <w:rPr>
                <w:rFonts w:asciiTheme="minorEastAsia" w:hAnsiTheme="minorEastAsia" w:eastAsiaTheme="minorEastAsia"/>
                <w:color w:val="auto"/>
                <w:sz w:val="24"/>
                <w:highlight w:val="none"/>
              </w:rPr>
            </w:pPr>
          </w:p>
        </w:tc>
        <w:tc>
          <w:tcPr>
            <w:tcW w:w="1510" w:type="pct"/>
            <w:vAlign w:val="center"/>
          </w:tcPr>
          <w:p w14:paraId="14884059">
            <w:pPr>
              <w:pStyle w:val="44"/>
              <w:jc w:val="center"/>
              <w:rPr>
                <w:rFonts w:asciiTheme="minorEastAsia" w:hAnsiTheme="minorEastAsia" w:eastAsiaTheme="minorEastAsia"/>
                <w:color w:val="auto"/>
                <w:highlight w:val="none"/>
              </w:rPr>
            </w:pPr>
          </w:p>
        </w:tc>
        <w:tc>
          <w:tcPr>
            <w:tcW w:w="475" w:type="pct"/>
            <w:vAlign w:val="center"/>
          </w:tcPr>
          <w:p w14:paraId="637032A7">
            <w:pPr>
              <w:jc w:val="center"/>
              <w:rPr>
                <w:rFonts w:asciiTheme="minorEastAsia" w:hAnsiTheme="minorEastAsia" w:eastAsiaTheme="minorEastAsia"/>
                <w:color w:val="auto"/>
                <w:sz w:val="24"/>
                <w:highlight w:val="none"/>
              </w:rPr>
            </w:pPr>
          </w:p>
        </w:tc>
      </w:tr>
      <w:tr w14:paraId="56C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F910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3516FE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D93D9B8">
            <w:pPr>
              <w:jc w:val="center"/>
              <w:rPr>
                <w:rFonts w:asciiTheme="minorEastAsia" w:hAnsiTheme="minorEastAsia" w:eastAsiaTheme="minorEastAsia"/>
                <w:color w:val="auto"/>
                <w:sz w:val="24"/>
                <w:highlight w:val="none"/>
              </w:rPr>
            </w:pPr>
          </w:p>
        </w:tc>
        <w:tc>
          <w:tcPr>
            <w:tcW w:w="1510" w:type="pct"/>
            <w:vAlign w:val="center"/>
          </w:tcPr>
          <w:p w14:paraId="0E421BCA">
            <w:pPr>
              <w:jc w:val="center"/>
              <w:rPr>
                <w:rFonts w:asciiTheme="minorEastAsia" w:hAnsiTheme="minorEastAsia" w:eastAsiaTheme="minorEastAsia"/>
                <w:color w:val="auto"/>
                <w:sz w:val="24"/>
                <w:highlight w:val="none"/>
              </w:rPr>
            </w:pPr>
          </w:p>
        </w:tc>
        <w:tc>
          <w:tcPr>
            <w:tcW w:w="475" w:type="pct"/>
            <w:vAlign w:val="center"/>
          </w:tcPr>
          <w:p w14:paraId="369EF4EE">
            <w:pPr>
              <w:jc w:val="center"/>
              <w:rPr>
                <w:rFonts w:asciiTheme="minorEastAsia" w:hAnsiTheme="minorEastAsia" w:eastAsiaTheme="minorEastAsia"/>
                <w:color w:val="auto"/>
                <w:sz w:val="24"/>
                <w:highlight w:val="none"/>
              </w:rPr>
            </w:pPr>
          </w:p>
        </w:tc>
      </w:tr>
      <w:tr w14:paraId="66F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DC8EB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1929B76">
            <w:pPr>
              <w:jc w:val="center"/>
              <w:rPr>
                <w:rFonts w:ascii="宋体" w:hAnsi="宋体" w:eastAsia="宋体"/>
                <w:color w:val="auto"/>
                <w:sz w:val="24"/>
                <w:highlight w:val="none"/>
              </w:rPr>
            </w:pPr>
          </w:p>
        </w:tc>
        <w:tc>
          <w:tcPr>
            <w:tcW w:w="1465" w:type="pct"/>
            <w:vAlign w:val="center"/>
          </w:tcPr>
          <w:p w14:paraId="05607E67">
            <w:pPr>
              <w:jc w:val="center"/>
              <w:rPr>
                <w:rFonts w:asciiTheme="minorEastAsia" w:hAnsiTheme="minorEastAsia" w:eastAsiaTheme="minorEastAsia"/>
                <w:color w:val="auto"/>
                <w:sz w:val="24"/>
                <w:highlight w:val="none"/>
              </w:rPr>
            </w:pPr>
          </w:p>
        </w:tc>
        <w:tc>
          <w:tcPr>
            <w:tcW w:w="1510" w:type="pct"/>
            <w:vAlign w:val="center"/>
          </w:tcPr>
          <w:p w14:paraId="33130A6B">
            <w:pPr>
              <w:jc w:val="center"/>
              <w:rPr>
                <w:rFonts w:asciiTheme="minorEastAsia" w:hAnsiTheme="minorEastAsia" w:eastAsiaTheme="minorEastAsia"/>
                <w:color w:val="auto"/>
                <w:sz w:val="24"/>
                <w:highlight w:val="none"/>
              </w:rPr>
            </w:pPr>
          </w:p>
        </w:tc>
        <w:tc>
          <w:tcPr>
            <w:tcW w:w="475" w:type="pct"/>
            <w:vAlign w:val="center"/>
          </w:tcPr>
          <w:p w14:paraId="22AC22C6">
            <w:pPr>
              <w:jc w:val="center"/>
              <w:rPr>
                <w:rFonts w:asciiTheme="minorEastAsia" w:hAnsiTheme="minorEastAsia" w:eastAsiaTheme="minorEastAsia"/>
                <w:color w:val="auto"/>
                <w:sz w:val="24"/>
                <w:highlight w:val="none"/>
              </w:rPr>
            </w:pPr>
          </w:p>
        </w:tc>
      </w:tr>
    </w:tbl>
    <w:p w14:paraId="2FC26D1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0FC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0AF40FB">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2D699A9B">
            <w:pPr>
              <w:pStyle w:val="1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2EA62662">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2D27B6D9">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76F5A45">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E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5C58F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3B3DBD6">
            <w:pPr>
              <w:jc w:val="center"/>
              <w:rPr>
                <w:rFonts w:asciiTheme="minorEastAsia" w:hAnsiTheme="minorEastAsia" w:eastAsiaTheme="minorEastAsia"/>
                <w:color w:val="auto"/>
                <w:sz w:val="24"/>
                <w:highlight w:val="none"/>
              </w:rPr>
            </w:pPr>
          </w:p>
        </w:tc>
        <w:tc>
          <w:tcPr>
            <w:tcW w:w="1680" w:type="pct"/>
            <w:vAlign w:val="center"/>
          </w:tcPr>
          <w:p w14:paraId="11B61ECE">
            <w:pPr>
              <w:jc w:val="center"/>
              <w:rPr>
                <w:rFonts w:asciiTheme="minorEastAsia" w:hAnsiTheme="minorEastAsia" w:eastAsiaTheme="minorEastAsia"/>
                <w:color w:val="auto"/>
                <w:sz w:val="24"/>
                <w:highlight w:val="none"/>
              </w:rPr>
            </w:pPr>
          </w:p>
        </w:tc>
        <w:tc>
          <w:tcPr>
            <w:tcW w:w="1456" w:type="pct"/>
            <w:vAlign w:val="center"/>
          </w:tcPr>
          <w:p w14:paraId="2A81A73A">
            <w:pPr>
              <w:jc w:val="center"/>
              <w:rPr>
                <w:rFonts w:asciiTheme="minorEastAsia" w:hAnsiTheme="minorEastAsia" w:eastAsiaTheme="minorEastAsia"/>
                <w:color w:val="auto"/>
                <w:sz w:val="24"/>
                <w:highlight w:val="none"/>
              </w:rPr>
            </w:pPr>
          </w:p>
        </w:tc>
        <w:tc>
          <w:tcPr>
            <w:tcW w:w="502" w:type="pct"/>
            <w:vAlign w:val="center"/>
          </w:tcPr>
          <w:p w14:paraId="62BD3450">
            <w:pPr>
              <w:jc w:val="center"/>
              <w:rPr>
                <w:rFonts w:asciiTheme="minorEastAsia" w:hAnsiTheme="minorEastAsia" w:eastAsiaTheme="minorEastAsia"/>
                <w:color w:val="auto"/>
                <w:sz w:val="24"/>
                <w:highlight w:val="none"/>
              </w:rPr>
            </w:pPr>
          </w:p>
        </w:tc>
      </w:tr>
      <w:tr w14:paraId="7379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A8AF82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9AD169B">
            <w:pPr>
              <w:jc w:val="center"/>
              <w:rPr>
                <w:rFonts w:asciiTheme="minorEastAsia" w:hAnsiTheme="minorEastAsia" w:eastAsiaTheme="minorEastAsia"/>
                <w:color w:val="auto"/>
                <w:sz w:val="24"/>
                <w:highlight w:val="none"/>
              </w:rPr>
            </w:pPr>
          </w:p>
        </w:tc>
        <w:tc>
          <w:tcPr>
            <w:tcW w:w="1680" w:type="pct"/>
            <w:vAlign w:val="center"/>
          </w:tcPr>
          <w:p w14:paraId="2DED9E84">
            <w:pPr>
              <w:jc w:val="center"/>
              <w:rPr>
                <w:rFonts w:asciiTheme="minorEastAsia" w:hAnsiTheme="minorEastAsia" w:eastAsiaTheme="minorEastAsia"/>
                <w:color w:val="auto"/>
                <w:sz w:val="24"/>
                <w:highlight w:val="none"/>
              </w:rPr>
            </w:pPr>
          </w:p>
        </w:tc>
        <w:tc>
          <w:tcPr>
            <w:tcW w:w="1456" w:type="pct"/>
            <w:vAlign w:val="center"/>
          </w:tcPr>
          <w:p w14:paraId="411F3E68">
            <w:pPr>
              <w:jc w:val="center"/>
              <w:rPr>
                <w:rFonts w:asciiTheme="minorEastAsia" w:hAnsiTheme="minorEastAsia" w:eastAsiaTheme="minorEastAsia"/>
                <w:color w:val="auto"/>
                <w:sz w:val="24"/>
                <w:highlight w:val="none"/>
              </w:rPr>
            </w:pPr>
          </w:p>
        </w:tc>
        <w:tc>
          <w:tcPr>
            <w:tcW w:w="502" w:type="pct"/>
            <w:vAlign w:val="center"/>
          </w:tcPr>
          <w:p w14:paraId="23169102">
            <w:pPr>
              <w:jc w:val="center"/>
              <w:rPr>
                <w:rFonts w:asciiTheme="minorEastAsia" w:hAnsiTheme="minorEastAsia" w:eastAsiaTheme="minorEastAsia"/>
                <w:color w:val="auto"/>
                <w:sz w:val="24"/>
                <w:highlight w:val="none"/>
              </w:rPr>
            </w:pPr>
          </w:p>
        </w:tc>
      </w:tr>
      <w:tr w14:paraId="566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5C3CBB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401040E0">
            <w:pPr>
              <w:jc w:val="center"/>
              <w:rPr>
                <w:rFonts w:asciiTheme="minorEastAsia" w:hAnsiTheme="minorEastAsia" w:eastAsiaTheme="minorEastAsia"/>
                <w:color w:val="auto"/>
                <w:sz w:val="24"/>
                <w:highlight w:val="none"/>
              </w:rPr>
            </w:pPr>
          </w:p>
        </w:tc>
        <w:tc>
          <w:tcPr>
            <w:tcW w:w="1680" w:type="pct"/>
            <w:vAlign w:val="center"/>
          </w:tcPr>
          <w:p w14:paraId="410FA5A0">
            <w:pPr>
              <w:jc w:val="center"/>
              <w:rPr>
                <w:rFonts w:asciiTheme="minorEastAsia" w:hAnsiTheme="minorEastAsia" w:eastAsiaTheme="minorEastAsia"/>
                <w:color w:val="auto"/>
                <w:sz w:val="24"/>
                <w:highlight w:val="none"/>
              </w:rPr>
            </w:pPr>
          </w:p>
        </w:tc>
        <w:tc>
          <w:tcPr>
            <w:tcW w:w="1456" w:type="pct"/>
            <w:vAlign w:val="center"/>
          </w:tcPr>
          <w:p w14:paraId="79158BE1">
            <w:pPr>
              <w:pStyle w:val="44"/>
              <w:jc w:val="center"/>
              <w:rPr>
                <w:rFonts w:asciiTheme="minorEastAsia" w:hAnsiTheme="minorEastAsia" w:eastAsiaTheme="minorEastAsia"/>
                <w:color w:val="auto"/>
                <w:highlight w:val="none"/>
              </w:rPr>
            </w:pPr>
          </w:p>
        </w:tc>
        <w:tc>
          <w:tcPr>
            <w:tcW w:w="502" w:type="pct"/>
            <w:vAlign w:val="center"/>
          </w:tcPr>
          <w:p w14:paraId="51CD182D">
            <w:pPr>
              <w:jc w:val="center"/>
              <w:rPr>
                <w:rFonts w:asciiTheme="minorEastAsia" w:hAnsiTheme="minorEastAsia" w:eastAsiaTheme="minorEastAsia"/>
                <w:color w:val="auto"/>
                <w:sz w:val="24"/>
                <w:highlight w:val="none"/>
              </w:rPr>
            </w:pPr>
          </w:p>
        </w:tc>
      </w:tr>
      <w:tr w14:paraId="5E61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740B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ECA98CD">
            <w:pPr>
              <w:jc w:val="center"/>
              <w:rPr>
                <w:rFonts w:asciiTheme="minorEastAsia" w:hAnsiTheme="minorEastAsia" w:eastAsiaTheme="minorEastAsia"/>
                <w:color w:val="auto"/>
                <w:sz w:val="24"/>
                <w:highlight w:val="none"/>
              </w:rPr>
            </w:pPr>
          </w:p>
        </w:tc>
        <w:tc>
          <w:tcPr>
            <w:tcW w:w="1680" w:type="pct"/>
            <w:vAlign w:val="center"/>
          </w:tcPr>
          <w:p w14:paraId="4235117A">
            <w:pPr>
              <w:jc w:val="center"/>
              <w:rPr>
                <w:rFonts w:asciiTheme="minorEastAsia" w:hAnsiTheme="minorEastAsia" w:eastAsiaTheme="minorEastAsia"/>
                <w:color w:val="auto"/>
                <w:sz w:val="24"/>
                <w:highlight w:val="none"/>
              </w:rPr>
            </w:pPr>
          </w:p>
        </w:tc>
        <w:tc>
          <w:tcPr>
            <w:tcW w:w="1456" w:type="pct"/>
            <w:vAlign w:val="center"/>
          </w:tcPr>
          <w:p w14:paraId="5A9E69F4">
            <w:pPr>
              <w:pStyle w:val="44"/>
              <w:jc w:val="center"/>
              <w:rPr>
                <w:rFonts w:asciiTheme="minorEastAsia" w:hAnsiTheme="minorEastAsia" w:eastAsiaTheme="minorEastAsia"/>
                <w:color w:val="auto"/>
                <w:highlight w:val="none"/>
              </w:rPr>
            </w:pPr>
          </w:p>
        </w:tc>
        <w:tc>
          <w:tcPr>
            <w:tcW w:w="502" w:type="pct"/>
            <w:vAlign w:val="center"/>
          </w:tcPr>
          <w:p w14:paraId="62CE2BB3">
            <w:pPr>
              <w:jc w:val="center"/>
              <w:rPr>
                <w:rFonts w:asciiTheme="minorEastAsia" w:hAnsiTheme="minorEastAsia" w:eastAsiaTheme="minorEastAsia"/>
                <w:color w:val="auto"/>
                <w:sz w:val="24"/>
                <w:highlight w:val="none"/>
              </w:rPr>
            </w:pPr>
          </w:p>
        </w:tc>
      </w:tr>
      <w:tr w14:paraId="23A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78674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1AEF0F50">
            <w:pPr>
              <w:jc w:val="center"/>
              <w:rPr>
                <w:rFonts w:asciiTheme="minorEastAsia" w:hAnsiTheme="minorEastAsia" w:eastAsiaTheme="minorEastAsia"/>
                <w:color w:val="auto"/>
                <w:sz w:val="24"/>
                <w:highlight w:val="none"/>
              </w:rPr>
            </w:pPr>
          </w:p>
        </w:tc>
        <w:tc>
          <w:tcPr>
            <w:tcW w:w="1680" w:type="pct"/>
            <w:vAlign w:val="center"/>
          </w:tcPr>
          <w:p w14:paraId="6E85071B">
            <w:pPr>
              <w:jc w:val="center"/>
              <w:rPr>
                <w:rFonts w:asciiTheme="minorEastAsia" w:hAnsiTheme="minorEastAsia" w:eastAsiaTheme="minorEastAsia"/>
                <w:color w:val="auto"/>
                <w:sz w:val="24"/>
                <w:highlight w:val="none"/>
              </w:rPr>
            </w:pPr>
          </w:p>
        </w:tc>
        <w:tc>
          <w:tcPr>
            <w:tcW w:w="1456" w:type="pct"/>
            <w:vAlign w:val="center"/>
          </w:tcPr>
          <w:p w14:paraId="2F6648C5">
            <w:pPr>
              <w:jc w:val="center"/>
              <w:rPr>
                <w:rFonts w:asciiTheme="minorEastAsia" w:hAnsiTheme="minorEastAsia" w:eastAsiaTheme="minorEastAsia"/>
                <w:color w:val="auto"/>
                <w:sz w:val="24"/>
                <w:highlight w:val="none"/>
              </w:rPr>
            </w:pPr>
          </w:p>
        </w:tc>
        <w:tc>
          <w:tcPr>
            <w:tcW w:w="502" w:type="pct"/>
            <w:vAlign w:val="center"/>
          </w:tcPr>
          <w:p w14:paraId="22E3CC90">
            <w:pPr>
              <w:jc w:val="center"/>
              <w:rPr>
                <w:rFonts w:asciiTheme="minorEastAsia" w:hAnsiTheme="minorEastAsia" w:eastAsiaTheme="minorEastAsia"/>
                <w:color w:val="auto"/>
                <w:sz w:val="24"/>
                <w:highlight w:val="none"/>
              </w:rPr>
            </w:pPr>
          </w:p>
        </w:tc>
      </w:tr>
    </w:tbl>
    <w:p w14:paraId="25FDEC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6B679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0D7F4F">
      <w:pPr>
        <w:pStyle w:val="16"/>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6F065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215" w:name="_Toc9573"/>
      <w:bookmarkStart w:id="216" w:name="_Toc31244"/>
      <w:bookmarkStart w:id="217" w:name="OLE_LINK13"/>
      <w:bookmarkStart w:id="218" w:name="OLE_LINK14"/>
      <w:r>
        <w:rPr>
          <w:rFonts w:hint="eastAsia" w:asciiTheme="minorEastAsia" w:hAnsiTheme="minorEastAsia" w:eastAsiaTheme="minorEastAsia"/>
          <w:b/>
          <w:color w:val="auto"/>
          <w:sz w:val="24"/>
          <w:highlight w:val="none"/>
          <w:lang w:val="en-US" w:eastAsia="zh-CN"/>
        </w:rPr>
        <w:t>七、中小企业声明函</w:t>
      </w:r>
      <w:bookmarkEnd w:id="215"/>
      <w:bookmarkEnd w:id="216"/>
    </w:p>
    <w:p w14:paraId="745ACDA4">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7313C946">
      <w:pPr>
        <w:rPr>
          <w:rFonts w:asciiTheme="minorEastAsia" w:hAnsiTheme="minorEastAsia" w:eastAsiaTheme="minorEastAsia"/>
          <w:color w:val="auto"/>
          <w:sz w:val="24"/>
          <w:szCs w:val="24"/>
          <w:highlight w:val="none"/>
        </w:rPr>
      </w:pPr>
    </w:p>
    <w:p w14:paraId="1FAB130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43B63DE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269841C">
      <w:pPr>
        <w:spacing w:line="360" w:lineRule="auto"/>
        <w:ind w:firstLine="435"/>
        <w:rPr>
          <w:rFonts w:asciiTheme="minorEastAsia" w:hAnsiTheme="minorEastAsia" w:eastAsiaTheme="minorEastAsia"/>
          <w:color w:val="auto"/>
          <w:sz w:val="24"/>
          <w:szCs w:val="24"/>
          <w:highlight w:val="none"/>
        </w:rPr>
      </w:pPr>
    </w:p>
    <w:p w14:paraId="7E5A3731">
      <w:pPr>
        <w:spacing w:line="360" w:lineRule="auto"/>
        <w:ind w:firstLine="435"/>
        <w:rPr>
          <w:rFonts w:asciiTheme="minorEastAsia" w:hAnsiTheme="minorEastAsia" w:eastAsiaTheme="minorEastAsia"/>
          <w:color w:val="auto"/>
          <w:sz w:val="24"/>
          <w:szCs w:val="24"/>
          <w:highlight w:val="none"/>
        </w:rPr>
      </w:pPr>
    </w:p>
    <w:p w14:paraId="09DFE9D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0145C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CAD3A32">
      <w:pPr>
        <w:tabs>
          <w:tab w:val="left" w:pos="4620"/>
        </w:tabs>
        <w:spacing w:line="360" w:lineRule="auto"/>
        <w:jc w:val="left"/>
        <w:rPr>
          <w:rFonts w:asciiTheme="minorEastAsia" w:hAnsiTheme="minorEastAsia" w:eastAsiaTheme="minorEastAsia"/>
          <w:color w:val="auto"/>
          <w:sz w:val="24"/>
          <w:szCs w:val="24"/>
          <w:highlight w:val="none"/>
        </w:rPr>
      </w:pPr>
    </w:p>
    <w:p w14:paraId="1F6CF3CD">
      <w:pPr>
        <w:tabs>
          <w:tab w:val="left" w:pos="4620"/>
        </w:tabs>
        <w:spacing w:line="360" w:lineRule="auto"/>
        <w:jc w:val="left"/>
        <w:rPr>
          <w:rFonts w:asciiTheme="minorEastAsia" w:hAnsiTheme="minorEastAsia" w:eastAsiaTheme="minorEastAsia"/>
          <w:color w:val="auto"/>
          <w:sz w:val="24"/>
          <w:szCs w:val="24"/>
          <w:highlight w:val="none"/>
        </w:rPr>
      </w:pPr>
    </w:p>
    <w:p w14:paraId="733C2C75">
      <w:pPr>
        <w:tabs>
          <w:tab w:val="left" w:pos="4620"/>
        </w:tabs>
        <w:spacing w:line="360" w:lineRule="auto"/>
        <w:jc w:val="left"/>
        <w:rPr>
          <w:rFonts w:asciiTheme="minorEastAsia" w:hAnsiTheme="minorEastAsia" w:eastAsiaTheme="minorEastAsia"/>
          <w:color w:val="auto"/>
          <w:sz w:val="24"/>
          <w:szCs w:val="24"/>
          <w:highlight w:val="none"/>
        </w:rPr>
      </w:pPr>
    </w:p>
    <w:p w14:paraId="1EC0DBDC">
      <w:pPr>
        <w:tabs>
          <w:tab w:val="left" w:pos="4620"/>
        </w:tabs>
        <w:spacing w:line="360" w:lineRule="auto"/>
        <w:jc w:val="left"/>
        <w:rPr>
          <w:rFonts w:asciiTheme="minorEastAsia" w:hAnsiTheme="minorEastAsia" w:eastAsiaTheme="minorEastAsia"/>
          <w:color w:val="auto"/>
          <w:sz w:val="24"/>
          <w:szCs w:val="24"/>
          <w:highlight w:val="none"/>
        </w:rPr>
      </w:pPr>
    </w:p>
    <w:p w14:paraId="28E4AB4D">
      <w:pPr>
        <w:tabs>
          <w:tab w:val="left" w:pos="4620"/>
        </w:tabs>
        <w:spacing w:line="360" w:lineRule="auto"/>
        <w:jc w:val="left"/>
        <w:rPr>
          <w:rFonts w:asciiTheme="minorEastAsia" w:hAnsiTheme="minorEastAsia" w:eastAsiaTheme="minorEastAsia"/>
          <w:color w:val="auto"/>
          <w:sz w:val="24"/>
          <w:szCs w:val="24"/>
          <w:highlight w:val="none"/>
        </w:rPr>
      </w:pPr>
    </w:p>
    <w:p w14:paraId="263D840E">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8031744">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0C678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217"/>
      <w:bookmarkEnd w:id="218"/>
    </w:p>
    <w:p w14:paraId="052CBD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219" w:name="_Toc16713"/>
      <w:bookmarkStart w:id="220" w:name="_Toc24563"/>
      <w:r>
        <w:rPr>
          <w:rFonts w:hint="eastAsia" w:asciiTheme="minorEastAsia" w:hAnsiTheme="minorEastAsia" w:eastAsiaTheme="minorEastAsia"/>
          <w:b/>
          <w:color w:val="auto"/>
          <w:sz w:val="24"/>
          <w:highlight w:val="none"/>
          <w:lang w:val="en-US" w:eastAsia="zh-CN"/>
        </w:rPr>
        <w:t>八、残疾人福利性单位声明函</w:t>
      </w:r>
      <w:bookmarkEnd w:id="219"/>
      <w:bookmarkEnd w:id="220"/>
    </w:p>
    <w:p w14:paraId="1BDECF44">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8AE83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BFFEB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asciiTheme="minorEastAsia" w:hAnsiTheme="minorEastAsia" w:eastAsiaTheme="minorEastAsia"/>
          <w:color w:val="auto"/>
          <w:sz w:val="24"/>
          <w:szCs w:val="24"/>
          <w:highlight w:val="none"/>
        </w:rPr>
      </w:pPr>
    </w:p>
    <w:p w14:paraId="6F563A8F">
      <w:pPr>
        <w:spacing w:line="360" w:lineRule="auto"/>
        <w:ind w:firstLine="4228" w:firstLineChars="1762"/>
        <w:rPr>
          <w:rFonts w:asciiTheme="minorEastAsia" w:hAnsiTheme="minorEastAsia" w:eastAsiaTheme="minorEastAsia"/>
          <w:color w:val="auto"/>
          <w:sz w:val="24"/>
          <w:szCs w:val="24"/>
          <w:highlight w:val="none"/>
        </w:rPr>
      </w:pPr>
    </w:p>
    <w:p w14:paraId="67EC27E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FA9E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color w:val="auto"/>
          <w:sz w:val="24"/>
          <w:szCs w:val="20"/>
          <w:highlight w:val="none"/>
        </w:rPr>
      </w:pPr>
      <w:bookmarkStart w:id="221" w:name="_Toc520299348"/>
      <w:bookmarkStart w:id="222" w:name="_Toc300210382"/>
      <w:bookmarkStart w:id="223" w:name="_Toc457768004"/>
      <w:bookmarkStart w:id="224" w:name="_Toc26536"/>
      <w:bookmarkStart w:id="225" w:name="_Toc25813"/>
      <w:bookmarkStart w:id="226" w:name="_Hlk11701496"/>
      <w:r>
        <w:rPr>
          <w:rFonts w:hint="eastAsia" w:asciiTheme="minorEastAsia" w:hAnsiTheme="minorEastAsia" w:eastAsiaTheme="minorEastAsia"/>
          <w:b/>
          <w:color w:val="auto"/>
          <w:sz w:val="24"/>
          <w:highlight w:val="none"/>
          <w:lang w:val="en-US" w:eastAsia="zh-CN"/>
        </w:rPr>
        <w:t>九、</w:t>
      </w:r>
      <w:r>
        <w:rPr>
          <w:rFonts w:hint="eastAsia" w:ascii="宋体" w:hAnsi="宋体" w:eastAsia="宋体" w:cs="@仿宋_GB2312"/>
          <w:b/>
          <w:color w:val="auto"/>
          <w:sz w:val="24"/>
          <w:szCs w:val="20"/>
          <w:highlight w:val="none"/>
        </w:rPr>
        <w:t>关于符合本国产品标准的声明函</w:t>
      </w:r>
    </w:p>
    <w:p w14:paraId="6FA5E4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4F4970E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31"/>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31"/>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1"/>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7911893F">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5587E5C8">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1.产品如有型号，请在“产品名称”栏一并填写。</w:t>
      </w:r>
    </w:p>
    <w:p w14:paraId="3A737B37">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2.生产厂名与厂址应与生产厂营业执照载明的相关信息保持一致。</w:t>
      </w:r>
    </w:p>
    <w:p w14:paraId="17016F2A">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3.上述声明函中标注</w:t>
      </w:r>
      <w:r>
        <w:rPr>
          <w:rFonts w:hint="eastAsia" w:ascii="宋体" w:hAnsi="宋体" w:eastAsia="宋体" w:cs="Times New Roman"/>
          <w:b w:val="0"/>
          <w:bCs/>
          <w:color w:val="auto"/>
          <w:sz w:val="21"/>
          <w:szCs w:val="21"/>
          <w:highlight w:val="none"/>
          <w:u w:val="single"/>
          <w:lang w:val="en-US" w:eastAsia="zh-CN"/>
        </w:rPr>
        <w:t xml:space="preserve">  /  </w:t>
      </w:r>
      <w:r>
        <w:rPr>
          <w:rFonts w:hint="eastAsia" w:ascii="宋体" w:hAnsi="宋体" w:eastAsia="宋体" w:cs="Times New Roman"/>
          <w:b w:val="0"/>
          <w:bCs/>
          <w:color w:val="auto"/>
          <w:sz w:val="21"/>
          <w:szCs w:val="21"/>
          <w:highlight w:val="none"/>
          <w:lang w:val="en-US" w:eastAsia="zh-CN"/>
        </w:rPr>
        <w:t>的，无需填写。</w:t>
      </w:r>
    </w:p>
    <w:p w14:paraId="228CB750">
      <w:pPr>
        <w:tabs>
          <w:tab w:val="left" w:pos="4620"/>
        </w:tabs>
        <w:spacing w:line="360" w:lineRule="auto"/>
        <w:jc w:val="left"/>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1E0836C2">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B3D073C">
      <w:pPr>
        <w:tabs>
          <w:tab w:val="left" w:pos="4620"/>
        </w:tabs>
        <w:spacing w:line="360" w:lineRule="auto"/>
        <w:jc w:val="left"/>
        <w:rPr>
          <w:rFonts w:hint="eastAsia" w:asciiTheme="minorEastAsia" w:hAnsiTheme="minorEastAsia" w:eastAsiaTheme="minorEastAsia"/>
          <w:b/>
          <w:color w:val="auto"/>
          <w:sz w:val="24"/>
          <w:highlight w:val="none"/>
          <w:lang w:val="en-US" w:eastAsia="zh-CN"/>
        </w:rPr>
      </w:pPr>
    </w:p>
    <w:p w14:paraId="61A1CAE0">
      <w:pPr>
        <w:pStyle w:val="25"/>
        <w:rPr>
          <w:rFonts w:hint="eastAsia" w:asciiTheme="minorEastAsia" w:hAnsiTheme="minorEastAsia" w:eastAsiaTheme="minorEastAsia"/>
          <w:b/>
          <w:color w:val="auto"/>
          <w:sz w:val="24"/>
          <w:highlight w:val="none"/>
          <w:lang w:val="en-US" w:eastAsia="zh-CN"/>
        </w:rPr>
      </w:pPr>
    </w:p>
    <w:p w14:paraId="0963565C">
      <w:pPr>
        <w:pStyle w:val="25"/>
        <w:rPr>
          <w:rFonts w:hint="eastAsia" w:asciiTheme="minorEastAsia" w:hAnsiTheme="minorEastAsia" w:eastAsiaTheme="minorEastAsia"/>
          <w:b/>
          <w:color w:val="auto"/>
          <w:sz w:val="24"/>
          <w:highlight w:val="none"/>
          <w:lang w:val="en-US" w:eastAsia="zh-CN"/>
        </w:rPr>
      </w:pPr>
    </w:p>
    <w:p w14:paraId="20C6E2B1">
      <w:pPr>
        <w:pStyle w:val="25"/>
        <w:rPr>
          <w:rFonts w:hint="eastAsia" w:asciiTheme="minorEastAsia" w:hAnsiTheme="minorEastAsia" w:eastAsiaTheme="minorEastAsia"/>
          <w:b/>
          <w:color w:val="auto"/>
          <w:sz w:val="24"/>
          <w:highlight w:val="none"/>
          <w:lang w:val="en-US" w:eastAsia="zh-CN"/>
        </w:rPr>
      </w:pPr>
    </w:p>
    <w:p w14:paraId="29B44CE6">
      <w:pPr>
        <w:pStyle w:val="25"/>
        <w:rPr>
          <w:rFonts w:hint="eastAsia" w:asciiTheme="minorEastAsia" w:hAnsiTheme="minorEastAsia" w:eastAsiaTheme="minorEastAsia"/>
          <w:b/>
          <w:color w:val="auto"/>
          <w:sz w:val="24"/>
          <w:highlight w:val="none"/>
          <w:lang w:val="en-US" w:eastAsia="zh-CN"/>
        </w:rPr>
      </w:pPr>
    </w:p>
    <w:p w14:paraId="174D6E6B">
      <w:pPr>
        <w:pStyle w:val="25"/>
        <w:rPr>
          <w:rFonts w:hint="eastAsia" w:asciiTheme="minorEastAsia" w:hAnsiTheme="minorEastAsia" w:eastAsiaTheme="minorEastAsia"/>
          <w:b/>
          <w:color w:val="auto"/>
          <w:sz w:val="24"/>
          <w:highlight w:val="none"/>
          <w:lang w:val="en-US" w:eastAsia="zh-CN"/>
        </w:rPr>
      </w:pPr>
    </w:p>
    <w:p w14:paraId="3821E0AF">
      <w:pPr>
        <w:pStyle w:val="25"/>
        <w:rPr>
          <w:rFonts w:hint="eastAsia" w:asciiTheme="minorEastAsia" w:hAnsiTheme="minorEastAsia" w:eastAsiaTheme="minorEastAsia"/>
          <w:b/>
          <w:color w:val="auto"/>
          <w:sz w:val="24"/>
          <w:highlight w:val="none"/>
          <w:lang w:val="en-US" w:eastAsia="zh-CN"/>
        </w:rPr>
      </w:pPr>
    </w:p>
    <w:p w14:paraId="1370FDE0">
      <w:pPr>
        <w:pStyle w:val="25"/>
        <w:rPr>
          <w:rFonts w:hint="eastAsia" w:asciiTheme="minorEastAsia" w:hAnsiTheme="minorEastAsia" w:eastAsiaTheme="minorEastAsia"/>
          <w:b/>
          <w:color w:val="auto"/>
          <w:sz w:val="24"/>
          <w:highlight w:val="none"/>
          <w:lang w:val="en-US" w:eastAsia="zh-CN"/>
        </w:rPr>
      </w:pPr>
    </w:p>
    <w:p w14:paraId="37F81BA9">
      <w:pPr>
        <w:pStyle w:val="25"/>
        <w:rPr>
          <w:rFonts w:hint="eastAsia" w:asciiTheme="minorEastAsia" w:hAnsiTheme="minorEastAsia" w:eastAsiaTheme="minorEastAsia"/>
          <w:b/>
          <w:color w:val="auto"/>
          <w:sz w:val="24"/>
          <w:highlight w:val="none"/>
          <w:lang w:val="en-US" w:eastAsia="zh-CN"/>
        </w:rPr>
      </w:pPr>
    </w:p>
    <w:p w14:paraId="36D1C278">
      <w:pPr>
        <w:pStyle w:val="25"/>
        <w:rPr>
          <w:rFonts w:hint="eastAsia" w:asciiTheme="minorEastAsia" w:hAnsiTheme="minorEastAsia" w:eastAsiaTheme="minorEastAsia"/>
          <w:b/>
          <w:color w:val="auto"/>
          <w:sz w:val="24"/>
          <w:highlight w:val="none"/>
          <w:lang w:val="en-US" w:eastAsia="zh-CN"/>
        </w:rPr>
      </w:pPr>
    </w:p>
    <w:p w14:paraId="45FB713E">
      <w:pPr>
        <w:pStyle w:val="25"/>
        <w:rPr>
          <w:rFonts w:hint="eastAsia" w:asciiTheme="minorEastAsia" w:hAnsiTheme="minorEastAsia" w:eastAsiaTheme="minorEastAsia"/>
          <w:b/>
          <w:color w:val="auto"/>
          <w:sz w:val="24"/>
          <w:highlight w:val="none"/>
          <w:lang w:val="en-US" w:eastAsia="zh-CN"/>
        </w:rPr>
      </w:pPr>
    </w:p>
    <w:p w14:paraId="665E68CA">
      <w:pPr>
        <w:pStyle w:val="25"/>
        <w:rPr>
          <w:rFonts w:hint="eastAsia" w:asciiTheme="minorEastAsia" w:hAnsiTheme="minorEastAsia" w:eastAsiaTheme="minorEastAsia"/>
          <w:b/>
          <w:color w:val="auto"/>
          <w:sz w:val="24"/>
          <w:highlight w:val="none"/>
          <w:lang w:val="en-US" w:eastAsia="zh-CN"/>
        </w:rPr>
      </w:pPr>
    </w:p>
    <w:p w14:paraId="08540571">
      <w:pPr>
        <w:pStyle w:val="25"/>
        <w:rPr>
          <w:rFonts w:hint="eastAsia" w:asciiTheme="minorEastAsia" w:hAnsiTheme="minorEastAsia" w:eastAsiaTheme="minorEastAsia"/>
          <w:b/>
          <w:color w:val="auto"/>
          <w:sz w:val="24"/>
          <w:highlight w:val="none"/>
          <w:lang w:val="en-US" w:eastAsia="zh-CN"/>
        </w:rPr>
      </w:pPr>
    </w:p>
    <w:p w14:paraId="6E4C5855">
      <w:pPr>
        <w:pStyle w:val="25"/>
        <w:rPr>
          <w:rFonts w:hint="eastAsia" w:asciiTheme="minorEastAsia" w:hAnsiTheme="minorEastAsia" w:eastAsiaTheme="minorEastAsia"/>
          <w:b/>
          <w:color w:val="auto"/>
          <w:sz w:val="24"/>
          <w:highlight w:val="none"/>
          <w:lang w:val="en-US" w:eastAsia="zh-CN"/>
        </w:rPr>
      </w:pPr>
    </w:p>
    <w:p w14:paraId="57651297">
      <w:pPr>
        <w:pStyle w:val="25"/>
        <w:rPr>
          <w:rFonts w:hint="eastAsia" w:asciiTheme="minorEastAsia" w:hAnsiTheme="minorEastAsia" w:eastAsiaTheme="minorEastAsia"/>
          <w:b/>
          <w:color w:val="auto"/>
          <w:sz w:val="24"/>
          <w:highlight w:val="none"/>
          <w:lang w:val="en-US" w:eastAsia="zh-CN"/>
        </w:rPr>
      </w:pPr>
    </w:p>
    <w:p w14:paraId="38FAF765">
      <w:pPr>
        <w:pStyle w:val="25"/>
        <w:rPr>
          <w:rFonts w:hint="eastAsia" w:asciiTheme="minorEastAsia" w:hAnsiTheme="minorEastAsia" w:eastAsiaTheme="minorEastAsia"/>
          <w:b/>
          <w:color w:val="auto"/>
          <w:sz w:val="24"/>
          <w:highlight w:val="none"/>
          <w:lang w:val="en-US" w:eastAsia="zh-CN"/>
        </w:rPr>
      </w:pPr>
    </w:p>
    <w:p w14:paraId="3815C9A4">
      <w:pPr>
        <w:pStyle w:val="25"/>
        <w:rPr>
          <w:rFonts w:hint="eastAsia" w:asciiTheme="minorEastAsia" w:hAnsiTheme="minorEastAsia" w:eastAsiaTheme="minorEastAsia"/>
          <w:b/>
          <w:color w:val="auto"/>
          <w:sz w:val="24"/>
          <w:highlight w:val="none"/>
          <w:lang w:val="en-US" w:eastAsia="zh-CN"/>
        </w:rPr>
      </w:pPr>
    </w:p>
    <w:p w14:paraId="2B616EC4">
      <w:pPr>
        <w:pStyle w:val="25"/>
        <w:rPr>
          <w:rFonts w:hint="eastAsia" w:asciiTheme="minorEastAsia" w:hAnsiTheme="minorEastAsia" w:eastAsiaTheme="minorEastAsia"/>
          <w:b/>
          <w:color w:val="auto"/>
          <w:sz w:val="24"/>
          <w:highlight w:val="none"/>
          <w:lang w:val="en-US" w:eastAsia="zh-CN"/>
        </w:rPr>
      </w:pPr>
    </w:p>
    <w:p w14:paraId="2558B7A4">
      <w:pPr>
        <w:pStyle w:val="25"/>
        <w:rPr>
          <w:rFonts w:hint="eastAsia" w:asciiTheme="minorEastAsia" w:hAnsiTheme="minorEastAsia" w:eastAsiaTheme="minorEastAsia"/>
          <w:b/>
          <w:color w:val="auto"/>
          <w:sz w:val="24"/>
          <w:highlight w:val="none"/>
          <w:lang w:val="en-US" w:eastAsia="zh-CN"/>
        </w:rPr>
      </w:pPr>
    </w:p>
    <w:p w14:paraId="1DCD7B87">
      <w:pPr>
        <w:pStyle w:val="25"/>
        <w:rPr>
          <w:rFonts w:hint="eastAsia" w:asciiTheme="minorEastAsia" w:hAnsiTheme="minorEastAsia" w:eastAsiaTheme="minorEastAsia"/>
          <w:b/>
          <w:color w:val="auto"/>
          <w:sz w:val="24"/>
          <w:highlight w:val="none"/>
          <w:lang w:val="en-US" w:eastAsia="zh-CN"/>
        </w:rPr>
      </w:pPr>
    </w:p>
    <w:p w14:paraId="7ADD9048">
      <w:pPr>
        <w:pStyle w:val="25"/>
        <w:rPr>
          <w:rFonts w:hint="eastAsia" w:asciiTheme="minorEastAsia" w:hAnsiTheme="minorEastAsia" w:eastAsiaTheme="minorEastAsia"/>
          <w:b/>
          <w:color w:val="auto"/>
          <w:sz w:val="24"/>
          <w:highlight w:val="none"/>
          <w:lang w:val="en-US" w:eastAsia="zh-CN"/>
        </w:rPr>
      </w:pPr>
    </w:p>
    <w:p w14:paraId="74321B09">
      <w:pPr>
        <w:pStyle w:val="25"/>
        <w:rPr>
          <w:rFonts w:hint="eastAsia" w:asciiTheme="minorEastAsia" w:hAnsiTheme="minorEastAsia" w:eastAsiaTheme="minorEastAsia"/>
          <w:b/>
          <w:color w:val="auto"/>
          <w:sz w:val="24"/>
          <w:highlight w:val="none"/>
          <w:lang w:val="en-US" w:eastAsia="zh-CN"/>
        </w:rPr>
      </w:pPr>
    </w:p>
    <w:p w14:paraId="725961B6">
      <w:pPr>
        <w:pStyle w:val="25"/>
        <w:rPr>
          <w:rFonts w:hint="eastAsia" w:asciiTheme="minorEastAsia" w:hAnsiTheme="minorEastAsia" w:eastAsiaTheme="minorEastAsia"/>
          <w:b/>
          <w:color w:val="auto"/>
          <w:sz w:val="24"/>
          <w:highlight w:val="none"/>
          <w:lang w:val="en-US" w:eastAsia="zh-CN"/>
        </w:rPr>
      </w:pPr>
    </w:p>
    <w:p w14:paraId="4757A611">
      <w:pPr>
        <w:pStyle w:val="25"/>
        <w:rPr>
          <w:rFonts w:hint="eastAsia" w:asciiTheme="minorEastAsia" w:hAnsiTheme="minorEastAsia" w:eastAsiaTheme="minorEastAsia"/>
          <w:b/>
          <w:color w:val="auto"/>
          <w:sz w:val="24"/>
          <w:highlight w:val="none"/>
          <w:lang w:val="en-US" w:eastAsia="zh-CN"/>
        </w:rPr>
      </w:pPr>
    </w:p>
    <w:p w14:paraId="55CE3FBB">
      <w:pPr>
        <w:pStyle w:val="25"/>
        <w:rPr>
          <w:rFonts w:hint="eastAsia" w:asciiTheme="minorEastAsia" w:hAnsiTheme="minorEastAsia" w:eastAsiaTheme="minorEastAsia"/>
          <w:b/>
          <w:color w:val="auto"/>
          <w:sz w:val="24"/>
          <w:highlight w:val="none"/>
          <w:lang w:val="en-US" w:eastAsia="zh-CN"/>
        </w:rPr>
      </w:pPr>
    </w:p>
    <w:p w14:paraId="3123D93E">
      <w:pPr>
        <w:pStyle w:val="25"/>
        <w:rPr>
          <w:rFonts w:hint="eastAsia" w:asciiTheme="minorEastAsia" w:hAnsiTheme="minorEastAsia" w:eastAsiaTheme="minorEastAsia"/>
          <w:b/>
          <w:color w:val="auto"/>
          <w:sz w:val="24"/>
          <w:highlight w:val="none"/>
          <w:lang w:val="en-US" w:eastAsia="zh-CN"/>
        </w:rPr>
      </w:pPr>
    </w:p>
    <w:p w14:paraId="02291A01">
      <w:pPr>
        <w:pStyle w:val="25"/>
        <w:rPr>
          <w:rFonts w:hint="eastAsia" w:asciiTheme="minorEastAsia" w:hAnsiTheme="minorEastAsia" w:eastAsiaTheme="minorEastAsia"/>
          <w:b/>
          <w:color w:val="auto"/>
          <w:sz w:val="24"/>
          <w:highlight w:val="none"/>
          <w:lang w:val="en-US" w:eastAsia="zh-CN"/>
        </w:rPr>
      </w:pPr>
    </w:p>
    <w:p w14:paraId="64A2156E">
      <w:pPr>
        <w:pStyle w:val="25"/>
        <w:rPr>
          <w:rFonts w:hint="eastAsia" w:asciiTheme="minorEastAsia" w:hAnsiTheme="minorEastAsia" w:eastAsiaTheme="minorEastAsia"/>
          <w:b/>
          <w:color w:val="auto"/>
          <w:sz w:val="24"/>
          <w:highlight w:val="none"/>
          <w:lang w:val="en-US" w:eastAsia="zh-CN"/>
        </w:rPr>
      </w:pPr>
    </w:p>
    <w:p w14:paraId="04358E27">
      <w:pPr>
        <w:pStyle w:val="25"/>
        <w:rPr>
          <w:rFonts w:hint="eastAsia" w:asciiTheme="minorEastAsia" w:hAnsiTheme="minorEastAsia" w:eastAsiaTheme="minorEastAsia"/>
          <w:b/>
          <w:color w:val="auto"/>
          <w:sz w:val="24"/>
          <w:highlight w:val="none"/>
          <w:lang w:val="en-US" w:eastAsia="zh-CN"/>
        </w:rPr>
      </w:pPr>
    </w:p>
    <w:p w14:paraId="30597600">
      <w:pPr>
        <w:pStyle w:val="25"/>
        <w:rPr>
          <w:rFonts w:hint="eastAsia" w:asciiTheme="minorEastAsia" w:hAnsiTheme="minorEastAsia" w:eastAsiaTheme="minorEastAsia"/>
          <w:b/>
          <w:color w:val="auto"/>
          <w:sz w:val="24"/>
          <w:highlight w:val="none"/>
          <w:lang w:val="en-US" w:eastAsia="zh-CN"/>
        </w:rPr>
      </w:pPr>
    </w:p>
    <w:p w14:paraId="1052667C">
      <w:pPr>
        <w:pStyle w:val="25"/>
        <w:ind w:left="0" w:leftChars="0" w:firstLine="0" w:firstLineChars="0"/>
        <w:rPr>
          <w:rFonts w:hint="eastAsia" w:asciiTheme="minorEastAsia" w:hAnsiTheme="minorEastAsia" w:eastAsiaTheme="minorEastAsia"/>
          <w:b/>
          <w:color w:val="auto"/>
          <w:sz w:val="24"/>
          <w:highlight w:val="none"/>
          <w:lang w:val="en-US" w:eastAsia="zh-CN"/>
        </w:rPr>
      </w:pPr>
    </w:p>
    <w:p w14:paraId="40DF3B3A">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w:t>
      </w:r>
      <w:bookmarkEnd w:id="221"/>
      <w:bookmarkEnd w:id="222"/>
      <w:bookmarkEnd w:id="223"/>
      <w:r>
        <w:rPr>
          <w:rFonts w:hint="eastAsia" w:asciiTheme="minorEastAsia" w:hAnsiTheme="minorEastAsia" w:eastAsiaTheme="minorEastAsia"/>
          <w:b/>
          <w:color w:val="auto"/>
          <w:sz w:val="24"/>
          <w:highlight w:val="none"/>
          <w:lang w:val="en-US" w:eastAsia="zh-CN"/>
        </w:rPr>
        <w:t>诚信履约承诺函</w:t>
      </w:r>
      <w:bookmarkEnd w:id="224"/>
      <w:bookmarkEnd w:id="225"/>
    </w:p>
    <w:p w14:paraId="0E258856">
      <w:pPr>
        <w:spacing w:line="360" w:lineRule="auto"/>
        <w:rPr>
          <w:rFonts w:asciiTheme="minorEastAsia" w:hAnsiTheme="minorEastAsia" w:eastAsiaTheme="minorEastAsia"/>
          <w:b/>
          <w:bCs/>
          <w:color w:val="auto"/>
          <w:sz w:val="24"/>
          <w:highlight w:val="none"/>
        </w:rPr>
      </w:pPr>
    </w:p>
    <w:p w14:paraId="5D73717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7EDFBF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E7E46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248F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5FEE32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9A0347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0B24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2AAE4B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0B2D9C">
      <w:pPr>
        <w:spacing w:line="360" w:lineRule="auto"/>
        <w:rPr>
          <w:rFonts w:asciiTheme="minorEastAsia" w:hAnsiTheme="minorEastAsia" w:eastAsiaTheme="minorEastAsia"/>
          <w:bCs/>
          <w:color w:val="auto"/>
          <w:sz w:val="24"/>
          <w:highlight w:val="none"/>
        </w:rPr>
      </w:pPr>
    </w:p>
    <w:p w14:paraId="3FC54976">
      <w:pPr>
        <w:spacing w:line="360" w:lineRule="auto"/>
        <w:rPr>
          <w:rFonts w:asciiTheme="minorEastAsia" w:hAnsiTheme="minorEastAsia" w:eastAsiaTheme="minorEastAsia"/>
          <w:bCs/>
          <w:color w:val="auto"/>
          <w:sz w:val="24"/>
          <w:highlight w:val="none"/>
        </w:rPr>
      </w:pPr>
    </w:p>
    <w:p w14:paraId="032B6DC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9D177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5FE8DAB">
      <w:pPr>
        <w:rPr>
          <w:rFonts w:ascii="宋体" w:hAnsi="宋体" w:eastAsia="宋体" w:cs="Arial"/>
          <w:color w:val="auto"/>
          <w:sz w:val="24"/>
          <w:highlight w:val="none"/>
        </w:rPr>
      </w:pPr>
      <w:r>
        <w:rPr>
          <w:rFonts w:ascii="宋体" w:hAnsi="宋体" w:eastAsia="宋体" w:cs="Arial"/>
          <w:color w:val="auto"/>
          <w:sz w:val="24"/>
          <w:highlight w:val="none"/>
        </w:rPr>
        <w:br w:type="page"/>
      </w:r>
    </w:p>
    <w:p w14:paraId="7393438E">
      <w:pPr>
        <w:spacing w:line="360" w:lineRule="auto"/>
        <w:jc w:val="center"/>
        <w:outlineLvl w:val="1"/>
        <w:rPr>
          <w:rFonts w:hint="eastAsia" w:ascii="宋体" w:hAnsi="宋体" w:eastAsia="宋体"/>
          <w:b/>
          <w:color w:val="auto"/>
          <w:sz w:val="24"/>
          <w:szCs w:val="24"/>
          <w:highlight w:val="none"/>
        </w:rPr>
      </w:pPr>
      <w:r>
        <w:rPr>
          <w:rFonts w:hint="eastAsia" w:asciiTheme="minorEastAsia" w:hAnsiTheme="minorEastAsia" w:eastAsiaTheme="minorEastAsia"/>
          <w:b/>
          <w:color w:val="auto"/>
          <w:sz w:val="24"/>
          <w:highlight w:val="none"/>
          <w:lang w:val="en-US" w:eastAsia="zh-CN"/>
        </w:rPr>
        <w:t>十一、</w:t>
      </w:r>
      <w:r>
        <w:rPr>
          <w:rFonts w:hint="eastAsia" w:ascii="宋体" w:hAnsi="宋体" w:eastAsia="宋体" w:cs="宋体"/>
          <w:b/>
          <w:color w:val="auto"/>
          <w:sz w:val="24"/>
          <w:szCs w:val="24"/>
          <w:highlight w:val="none"/>
          <w:lang w:bidi="ar"/>
        </w:rPr>
        <w:t>诚信投标承诺书</w:t>
      </w:r>
    </w:p>
    <w:p w14:paraId="7908E88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6065394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4FA0970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E28CAD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7371DAF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53BF9A0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164F172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或</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2B77AFE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七、严格遵守开标现场纪律，服从监管人员管理；</w:t>
      </w:r>
    </w:p>
    <w:p w14:paraId="264A02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八、保证中标后不转包，若有分包征得招标人同意；</w:t>
      </w:r>
    </w:p>
    <w:p w14:paraId="7391BA2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九、保证中标之后，按照投标文件要求提供相关后续服务；</w:t>
      </w:r>
    </w:p>
    <w:p w14:paraId="1DFC1A6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十、保证企业及所属相关人员在本次投标中无行贿等犯罪行为；</w:t>
      </w:r>
    </w:p>
    <w:p w14:paraId="6831EA1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B9627F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2621FBB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421B22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579D5DC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1E911E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A378430">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189F4DCB">
      <w:pPr>
        <w:pStyle w:val="13"/>
        <w:rPr>
          <w:color w:val="auto"/>
          <w:highlight w:val="none"/>
        </w:rPr>
      </w:pPr>
    </w:p>
    <w:bookmarkEnd w:id="226"/>
    <w:p w14:paraId="0E2B603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27" w:name="_Toc2683"/>
      <w:bookmarkStart w:id="228" w:name="_Toc32633"/>
      <w:r>
        <w:rPr>
          <w:rFonts w:hint="eastAsia" w:asciiTheme="minorEastAsia" w:hAnsiTheme="minorEastAsia" w:eastAsiaTheme="minorEastAsia"/>
          <w:b/>
          <w:color w:val="auto"/>
          <w:sz w:val="24"/>
          <w:highlight w:val="none"/>
          <w:lang w:val="en-US" w:eastAsia="zh-CN"/>
        </w:rPr>
        <w:t>十二、其他相关证明材料</w:t>
      </w:r>
      <w:bookmarkEnd w:id="227"/>
      <w:bookmarkEnd w:id="228"/>
    </w:p>
    <w:p w14:paraId="48C53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asciiTheme="minorEastAsia" w:hAnsiTheme="minorEastAsia" w:eastAsiaTheme="minorEastAsia"/>
          <w:color w:val="auto"/>
          <w:sz w:val="24"/>
          <w:highlight w:val="none"/>
        </w:rPr>
      </w:pPr>
    </w:p>
    <w:p w14:paraId="0EF54B8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E44E95B">
      <w:pPr>
        <w:spacing w:line="360" w:lineRule="auto"/>
        <w:jc w:val="center"/>
        <w:outlineLvl w:val="0"/>
        <w:rPr>
          <w:rFonts w:ascii="宋体" w:hAnsi="宋体" w:eastAsia="宋体"/>
          <w:b/>
          <w:bCs/>
          <w:color w:val="auto"/>
          <w:sz w:val="28"/>
          <w:highlight w:val="none"/>
        </w:rPr>
      </w:pPr>
      <w:bookmarkStart w:id="229" w:name="_Toc18131"/>
      <w:bookmarkStart w:id="230"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9"/>
      <w:bookmarkEnd w:id="230"/>
    </w:p>
    <w:p w14:paraId="7A40B900">
      <w:pPr>
        <w:spacing w:line="360" w:lineRule="auto"/>
        <w:jc w:val="center"/>
        <w:outlineLvl w:val="1"/>
        <w:rPr>
          <w:rFonts w:ascii="仿宋" w:hAnsi="仿宋" w:eastAsia="仿宋" w:cs="仿宋"/>
          <w:b/>
          <w:bCs/>
          <w:color w:val="auto"/>
          <w:sz w:val="32"/>
          <w:szCs w:val="44"/>
          <w:highlight w:val="none"/>
        </w:rPr>
      </w:pPr>
      <w:bookmarkStart w:id="231" w:name="_Toc27489"/>
      <w:bookmarkStart w:id="232" w:name="_Toc27159"/>
      <w:r>
        <w:rPr>
          <w:rFonts w:hint="eastAsia" w:ascii="仿宋" w:hAnsi="仿宋" w:eastAsia="仿宋" w:cs="仿宋"/>
          <w:b/>
          <w:bCs/>
          <w:color w:val="auto"/>
          <w:sz w:val="32"/>
          <w:szCs w:val="44"/>
          <w:highlight w:val="none"/>
        </w:rPr>
        <w:t>询问函范本</w:t>
      </w:r>
      <w:bookmarkEnd w:id="231"/>
      <w:bookmarkEnd w:id="232"/>
    </w:p>
    <w:p w14:paraId="6CE43A1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828A0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33" w:name="_Toc13899"/>
      <w:r>
        <w:rPr>
          <w:rFonts w:hint="eastAsia" w:cs="仿宋" w:asciiTheme="minorEastAsia" w:hAnsiTheme="minorEastAsia" w:eastAsiaTheme="minorEastAsia"/>
          <w:color w:val="auto"/>
          <w:sz w:val="24"/>
          <w:szCs w:val="24"/>
          <w:highlight w:val="none"/>
        </w:rPr>
        <w:t>一、(事项一)</w:t>
      </w:r>
      <w:bookmarkEnd w:id="233"/>
    </w:p>
    <w:p w14:paraId="1819F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34" w:name="_Toc3352"/>
      <w:r>
        <w:rPr>
          <w:rFonts w:hint="eastAsia" w:cs="仿宋" w:asciiTheme="minorEastAsia" w:hAnsiTheme="minorEastAsia" w:eastAsiaTheme="minorEastAsia"/>
          <w:color w:val="auto"/>
          <w:sz w:val="24"/>
          <w:szCs w:val="24"/>
          <w:highlight w:val="none"/>
        </w:rPr>
        <w:t>二、(事项二)</w:t>
      </w:r>
      <w:bookmarkEnd w:id="234"/>
    </w:p>
    <w:p w14:paraId="0B8BB9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ascii="仿宋" w:hAnsi="仿宋" w:eastAsia="仿宋" w:cs="仿宋"/>
          <w:b/>
          <w:bCs/>
          <w:color w:val="auto"/>
          <w:sz w:val="32"/>
          <w:szCs w:val="44"/>
          <w:highlight w:val="none"/>
        </w:rPr>
      </w:pPr>
      <w:bookmarkStart w:id="235" w:name="_Toc3245"/>
      <w:bookmarkStart w:id="236" w:name="_Toc1575"/>
      <w:r>
        <w:rPr>
          <w:rFonts w:hint="eastAsia" w:ascii="仿宋" w:hAnsi="仿宋" w:eastAsia="仿宋" w:cs="仿宋"/>
          <w:b/>
          <w:bCs/>
          <w:color w:val="auto"/>
          <w:sz w:val="32"/>
          <w:szCs w:val="44"/>
          <w:highlight w:val="none"/>
        </w:rPr>
        <w:t>质疑函范本</w:t>
      </w:r>
      <w:bookmarkEnd w:id="235"/>
      <w:bookmarkEnd w:id="236"/>
    </w:p>
    <w:p w14:paraId="5906BD0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37" w:name="_Toc21381"/>
      <w:r>
        <w:rPr>
          <w:rFonts w:hint="eastAsia" w:cs="仿宋" w:asciiTheme="minorEastAsia" w:hAnsiTheme="minorEastAsia" w:eastAsiaTheme="minorEastAsia"/>
          <w:b/>
          <w:bCs/>
          <w:color w:val="auto"/>
          <w:sz w:val="24"/>
          <w:szCs w:val="24"/>
          <w:highlight w:val="none"/>
        </w:rPr>
        <w:t>一、质疑供应商基本信息</w:t>
      </w:r>
      <w:bookmarkEnd w:id="237"/>
    </w:p>
    <w:p w14:paraId="680477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8" w:name="_Toc28415"/>
      <w:r>
        <w:rPr>
          <w:rFonts w:hint="eastAsia" w:cs="仿宋" w:asciiTheme="minorEastAsia" w:hAnsiTheme="minorEastAsia" w:eastAsiaTheme="minorEastAsia"/>
          <w:b/>
          <w:bCs/>
          <w:color w:val="auto"/>
          <w:sz w:val="24"/>
          <w:szCs w:val="24"/>
          <w:highlight w:val="none"/>
        </w:rPr>
        <w:t>二、质疑项目基本情况</w:t>
      </w:r>
      <w:bookmarkEnd w:id="238"/>
    </w:p>
    <w:p w14:paraId="2860C1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9" w:name="_Toc19014"/>
      <w:r>
        <w:rPr>
          <w:rFonts w:hint="eastAsia" w:cs="仿宋" w:asciiTheme="minorEastAsia" w:hAnsiTheme="minorEastAsia" w:eastAsiaTheme="minorEastAsia"/>
          <w:b/>
          <w:bCs/>
          <w:color w:val="auto"/>
          <w:sz w:val="24"/>
          <w:szCs w:val="24"/>
          <w:highlight w:val="none"/>
        </w:rPr>
        <w:t>三、质疑事项具体内容</w:t>
      </w:r>
      <w:bookmarkEnd w:id="239"/>
    </w:p>
    <w:p w14:paraId="7A46C7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40" w:name="_Toc17919"/>
      <w:r>
        <w:rPr>
          <w:rFonts w:hint="eastAsia" w:cs="仿宋" w:asciiTheme="minorEastAsia" w:hAnsiTheme="minorEastAsia" w:eastAsiaTheme="minorEastAsia"/>
          <w:b/>
          <w:bCs/>
          <w:color w:val="auto"/>
          <w:sz w:val="24"/>
          <w:szCs w:val="24"/>
          <w:highlight w:val="none"/>
        </w:rPr>
        <w:t>四、与质疑事项相关的质疑请求</w:t>
      </w:r>
      <w:bookmarkEnd w:id="240"/>
    </w:p>
    <w:p w14:paraId="18CD4F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asciiTheme="minorEastAsia" w:hAnsiTheme="minorEastAsia" w:eastAsiaTheme="minorEastAsia"/>
          <w:b/>
          <w:color w:val="auto"/>
          <w:sz w:val="28"/>
          <w:szCs w:val="32"/>
          <w:highlight w:val="none"/>
        </w:rPr>
      </w:pPr>
      <w:bookmarkStart w:id="241" w:name="_Toc26836"/>
      <w:bookmarkStart w:id="242" w:name="_Toc9754"/>
      <w:r>
        <w:rPr>
          <w:rFonts w:hint="eastAsia" w:asciiTheme="minorEastAsia" w:hAnsiTheme="minorEastAsia" w:eastAsiaTheme="minorEastAsia"/>
          <w:b/>
          <w:color w:val="auto"/>
          <w:sz w:val="28"/>
          <w:szCs w:val="32"/>
          <w:highlight w:val="none"/>
        </w:rPr>
        <w:t>质疑函制作说明：</w:t>
      </w:r>
      <w:bookmarkEnd w:id="241"/>
      <w:bookmarkEnd w:id="242"/>
    </w:p>
    <w:p w14:paraId="72184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CDB3CC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1BA5323">
      <w:pP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2C37F840">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p w14:paraId="47AAB7E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29F24F1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A8F773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p w14:paraId="17D0C5C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43" w:name="OLE_LINK93"/>
      <w:bookmarkStart w:id="244" w:name="OLE_LINK92"/>
      <w:bookmarkStart w:id="245" w:name="OLE_LINK103"/>
      <w:bookmarkStart w:id="246" w:name="OLE_LINK91"/>
      <w:r>
        <w:rPr>
          <w:rFonts w:hint="eastAsia" w:ascii="仿宋_GB2312" w:hAnsi="宋体" w:eastAsia="仿宋_GB2312" w:cs="Times New Roman"/>
          <w:color w:val="auto"/>
          <w:sz w:val="28"/>
          <w:szCs w:val="28"/>
          <w:highlight w:val="none"/>
        </w:rPr>
        <w:t>投标人、法定代表人及其项目经理(建造师)</w:t>
      </w:r>
      <w:bookmarkEnd w:id="243"/>
      <w:bookmarkEnd w:id="244"/>
      <w:bookmarkEnd w:id="245"/>
      <w:bookmarkEnd w:id="246"/>
      <w:r>
        <w:rPr>
          <w:rFonts w:hint="eastAsia" w:ascii="仿宋_GB2312" w:hAnsi="宋体" w:eastAsia="仿宋_GB2312" w:cs="Times New Roman"/>
          <w:color w:val="auto"/>
          <w:sz w:val="28"/>
          <w:szCs w:val="28"/>
          <w:highlight w:val="none"/>
        </w:rPr>
        <w:t>以下失信行为：</w:t>
      </w:r>
    </w:p>
    <w:p w14:paraId="61E8F6DF">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47" w:name="OLE_LINK94"/>
      <w:bookmarkStart w:id="248" w:name="OLE_LINK86"/>
      <w:bookmarkStart w:id="249" w:name="OLE_LINK119"/>
      <w:bookmarkStart w:id="250" w:name="OLE_LINK87"/>
      <w:r>
        <w:rPr>
          <w:rFonts w:hint="eastAsia" w:ascii="仿宋_GB2312" w:hAnsi="宋体" w:eastAsia="仿宋_GB2312" w:cs="Times New Roman"/>
          <w:color w:val="auto"/>
          <w:sz w:val="28"/>
          <w:szCs w:val="28"/>
          <w:highlight w:val="none"/>
        </w:rPr>
        <w:t>①被列入“失信被执行人”的;</w:t>
      </w:r>
    </w:p>
    <w:p w14:paraId="1AD8D41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51" w:name="OLE_LINK118"/>
      <w:bookmarkStart w:id="252" w:name="OLE_LINK117"/>
      <w:bookmarkStart w:id="253" w:name="OLE_LINK116"/>
      <w:bookmarkStart w:id="254" w:name="OLE_LINK115"/>
      <w:r>
        <w:rPr>
          <w:rFonts w:hint="eastAsia" w:ascii="仿宋_GB2312" w:hAnsi="宋体" w:eastAsia="仿宋_GB2312" w:cs="Times New Roman"/>
          <w:color w:val="auto"/>
          <w:sz w:val="28"/>
          <w:szCs w:val="28"/>
          <w:highlight w:val="none"/>
        </w:rPr>
        <w:t>“重大税收违法失信主体”</w:t>
      </w:r>
      <w:bookmarkEnd w:id="251"/>
      <w:bookmarkEnd w:id="252"/>
      <w:bookmarkEnd w:id="253"/>
      <w:bookmarkEnd w:id="254"/>
      <w:r>
        <w:rPr>
          <w:rFonts w:hint="eastAsia" w:ascii="仿宋_GB2312" w:hAnsi="宋体" w:eastAsia="仿宋_GB2312" w:cs="Times New Roman"/>
          <w:color w:val="auto"/>
          <w:sz w:val="28"/>
          <w:szCs w:val="28"/>
          <w:highlight w:val="none"/>
        </w:rPr>
        <w:t>的；</w:t>
      </w:r>
    </w:p>
    <w:p w14:paraId="41EB0B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255" w:name="OLE_LINK85"/>
      <w:bookmarkStart w:id="256" w:name="OLE_LINK84"/>
      <w:r>
        <w:rPr>
          <w:rFonts w:hint="eastAsia" w:ascii="仿宋_GB2312" w:hAnsi="宋体" w:eastAsia="仿宋_GB2312" w:cs="Times New Roman"/>
          <w:color w:val="auto"/>
          <w:sz w:val="28"/>
          <w:szCs w:val="28"/>
          <w:highlight w:val="none"/>
        </w:rPr>
        <w:t>农民工工资失信联合惩戒对象</w:t>
      </w:r>
      <w:bookmarkEnd w:id="255"/>
      <w:bookmarkEnd w:id="256"/>
      <w:r>
        <w:rPr>
          <w:rFonts w:hint="eastAsia" w:ascii="仿宋_GB2312" w:hAnsi="宋体" w:eastAsia="仿宋_GB2312" w:cs="Times New Roman"/>
          <w:color w:val="auto"/>
          <w:sz w:val="28"/>
          <w:szCs w:val="28"/>
          <w:highlight w:val="none"/>
        </w:rPr>
        <w:t>名单”的；</w:t>
      </w:r>
    </w:p>
    <w:p w14:paraId="417FA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1E44E67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47"/>
    <w:bookmarkEnd w:id="248"/>
    <w:bookmarkEnd w:id="249"/>
    <w:bookmarkEnd w:id="250"/>
    <w:p w14:paraId="1C5DB25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57" w:name="OLE_LINK130"/>
      <w:r>
        <w:rPr>
          <w:rFonts w:hint="eastAsia" w:ascii="仿宋_GB2312" w:hAnsi="宋体" w:eastAsia="仿宋_GB2312" w:cs="Times New Roman"/>
          <w:color w:val="auto"/>
          <w:sz w:val="28"/>
          <w:szCs w:val="28"/>
          <w:highlight w:val="none"/>
        </w:rPr>
        <w:t>国家企业信用信息公示系统网站</w:t>
      </w:r>
      <w:bookmarkEnd w:id="257"/>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58" w:name="OLE_LINK89"/>
      <w:bookmarkStart w:id="259" w:name="OLE_LINK90"/>
      <w:r>
        <w:rPr>
          <w:rStyle w:val="32"/>
          <w:rFonts w:hint="eastAsia" w:ascii="仿宋_GB2312" w:hAnsi="宋体" w:eastAsia="仿宋_GB2312" w:cs="Times New Roman"/>
          <w:color w:val="auto"/>
          <w:sz w:val="28"/>
          <w:szCs w:val="28"/>
          <w:highlight w:val="none"/>
        </w:rPr>
        <w:t>www.gsxt.gov.cn</w:t>
      </w:r>
      <w:bookmarkEnd w:id="258"/>
      <w:bookmarkEnd w:id="259"/>
      <w:r>
        <w:rPr>
          <w:rStyle w:val="32"/>
          <w:rFonts w:hint="eastAsia" w:ascii="仿宋_GB2312" w:hAnsi="宋体" w:eastAsia="仿宋_GB2312" w:cs="Times New Roman"/>
          <w:color w:val="auto"/>
          <w:sz w:val="28"/>
          <w:szCs w:val="28"/>
          <w:highlight w:val="none"/>
        </w:rPr>
        <w:t>）</w:t>
      </w:r>
      <w:r>
        <w:rPr>
          <w:rStyle w:val="32"/>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F7CB4BC">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60" w:name="OLE_LINK122"/>
      <w:bookmarkStart w:id="261" w:name="OLE_LINK120"/>
      <w:bookmarkStart w:id="262" w:name="OLE_LINK121"/>
      <w:r>
        <w:rPr>
          <w:rFonts w:hint="eastAsia" w:ascii="仿宋_GB2312" w:hAnsi="宋体" w:eastAsia="仿宋_GB2312" w:cs="Times New Roman"/>
          <w:color w:val="auto"/>
          <w:sz w:val="28"/>
          <w:szCs w:val="28"/>
          <w:highlight w:val="none"/>
        </w:rPr>
        <w:t>①</w:t>
      </w:r>
      <w:bookmarkStart w:id="263" w:name="OLE_LINK113"/>
      <w:bookmarkStart w:id="264" w:name="OLE_LINK114"/>
      <w:r>
        <w:rPr>
          <w:rFonts w:hint="eastAsia" w:ascii="仿宋_GB2312" w:hAnsi="宋体" w:eastAsia="仿宋_GB2312" w:cs="Times New Roman"/>
          <w:color w:val="auto"/>
          <w:sz w:val="28"/>
          <w:szCs w:val="28"/>
          <w:highlight w:val="none"/>
        </w:rPr>
        <w:t>被列入“经营异常名录”或者“严重违法失信名单”的</w:t>
      </w:r>
      <w:bookmarkEnd w:id="263"/>
      <w:bookmarkEnd w:id="264"/>
      <w:r>
        <w:rPr>
          <w:rFonts w:hint="eastAsia" w:ascii="仿宋_GB2312" w:hAnsi="宋体" w:eastAsia="仿宋_GB2312" w:cs="Times New Roman"/>
          <w:color w:val="auto"/>
          <w:sz w:val="28"/>
          <w:szCs w:val="28"/>
          <w:highlight w:val="none"/>
        </w:rPr>
        <w:t>。</w:t>
      </w:r>
      <w:bookmarkEnd w:id="260"/>
      <w:bookmarkEnd w:id="261"/>
      <w:bookmarkEnd w:id="262"/>
    </w:p>
    <w:p w14:paraId="6E1718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14A9BD0">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65" w:name="OLE_LINK124"/>
      <w:bookmarkStart w:id="266" w:name="OLE_LINK123"/>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352B41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447A48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73CA14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67" w:name="OLE_LINK108"/>
      <w:bookmarkStart w:id="268" w:name="OLE_LINK107"/>
      <w:r>
        <w:rPr>
          <w:rFonts w:hint="eastAsia" w:ascii="仿宋_GB2312" w:hAnsi="宋体" w:eastAsia="仿宋_GB2312" w:cs="Times New Roman"/>
          <w:color w:val="auto"/>
          <w:sz w:val="28"/>
          <w:szCs w:val="28"/>
          <w:highlight w:val="none"/>
        </w:rPr>
        <w:t>县级及以上有关行政主管部门限制投标资格且在限制期限内的</w:t>
      </w:r>
      <w:bookmarkEnd w:id="267"/>
      <w:bookmarkEnd w:id="268"/>
      <w:r>
        <w:rPr>
          <w:rFonts w:hint="eastAsia" w:ascii="仿宋_GB2312" w:hAnsi="宋体" w:eastAsia="仿宋_GB2312" w:cs="Times New Roman"/>
          <w:color w:val="auto"/>
          <w:sz w:val="28"/>
          <w:szCs w:val="28"/>
          <w:highlight w:val="none"/>
        </w:rPr>
        <w:t>；</w:t>
      </w:r>
    </w:p>
    <w:p w14:paraId="42D14A7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65"/>
    <w:bookmarkEnd w:id="266"/>
    <w:p w14:paraId="3519D4F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2B95F61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2"/>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12F4339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17015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248F52A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474B684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35213B4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1DF6ED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269" w:name="OLE_LINK102"/>
      <w:bookmarkStart w:id="270" w:name="OLE_LINK101"/>
      <w:bookmarkStart w:id="271" w:name="OLE_LINK100"/>
      <w:r>
        <w:rPr>
          <w:rFonts w:hint="eastAsia" w:ascii="仿宋_GB2312" w:hAnsi="宋体" w:eastAsia="仿宋_GB2312" w:cs="Times New Roman"/>
          <w:color w:val="auto"/>
          <w:sz w:val="28"/>
          <w:szCs w:val="28"/>
          <w:highlight w:val="none"/>
        </w:rPr>
        <w:t>被列入“经营异常名录”或者“严重违法失信名单”的</w:t>
      </w:r>
      <w:bookmarkEnd w:id="269"/>
      <w:bookmarkEnd w:id="270"/>
      <w:bookmarkEnd w:id="271"/>
      <w:r>
        <w:rPr>
          <w:rFonts w:hint="eastAsia" w:ascii="仿宋_GB2312" w:hAnsi="宋体" w:eastAsia="仿宋_GB2312" w:cs="Times New Roman"/>
          <w:color w:val="auto"/>
          <w:sz w:val="28"/>
          <w:szCs w:val="28"/>
          <w:highlight w:val="none"/>
        </w:rPr>
        <w:t>。</w:t>
      </w:r>
    </w:p>
    <w:p w14:paraId="52937EF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272" w:name="OLE_LINK96"/>
      <w:bookmarkStart w:id="273"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272"/>
      <w:bookmarkEnd w:id="273"/>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008A8F8">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274" w:name="OLE_LINK105"/>
      <w:bookmarkStart w:id="275" w:name="OLE_LINK104"/>
      <w:bookmarkStart w:id="276" w:name="OLE_LINK106"/>
      <w:r>
        <w:rPr>
          <w:rFonts w:hint="eastAsia" w:ascii="仿宋_GB2312" w:hAnsi="宋体" w:eastAsia="仿宋_GB2312" w:cs="Times New Roman"/>
          <w:color w:val="auto"/>
          <w:sz w:val="28"/>
          <w:szCs w:val="28"/>
          <w:highlight w:val="none"/>
        </w:rPr>
        <w:t>被列入“政府采购严重违法失信行为信息记录”的</w:t>
      </w:r>
      <w:bookmarkEnd w:id="274"/>
      <w:bookmarkEnd w:id="275"/>
      <w:bookmarkEnd w:id="276"/>
      <w:r>
        <w:rPr>
          <w:rFonts w:hint="eastAsia" w:ascii="仿宋_GB2312" w:hAnsi="宋体" w:eastAsia="仿宋_GB2312" w:cs="楷体"/>
          <w:color w:val="auto"/>
          <w:sz w:val="28"/>
          <w:szCs w:val="28"/>
          <w:highlight w:val="none"/>
        </w:rPr>
        <w:t>。</w:t>
      </w:r>
    </w:p>
    <w:p w14:paraId="38361C2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71CC095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3D5CA77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77C544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82B53A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68A69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4717CC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B432AE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9598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7682911">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5B151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2DA2BEAC">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30E881E">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21AE9A5A">
      <w:pPr>
        <w:ind w:right="-92" w:rightChars="-44"/>
        <w:rPr>
          <w:rFonts w:ascii="宋体" w:hAnsi="宋体" w:eastAsia="宋体" w:cs="宋体"/>
          <w:bCs/>
          <w:color w:val="auto"/>
          <w:szCs w:val="21"/>
          <w:highlight w:val="none"/>
        </w:rPr>
      </w:pPr>
    </w:p>
    <w:p w14:paraId="0E856F63">
      <w:pPr>
        <w:ind w:right="-92" w:rightChars="-44"/>
        <w:rPr>
          <w:rFonts w:ascii="宋体" w:hAnsi="宋体" w:eastAsia="宋体" w:cs="宋体"/>
          <w:bCs/>
          <w:color w:val="auto"/>
          <w:sz w:val="32"/>
          <w:szCs w:val="32"/>
          <w:highlight w:val="none"/>
        </w:rPr>
      </w:pPr>
    </w:p>
    <w:p w14:paraId="78ADE4DE">
      <w:pPr>
        <w:ind w:right="-92" w:rightChars="-44"/>
        <w:rPr>
          <w:rFonts w:ascii="宋体" w:hAnsi="宋体" w:eastAsia="宋体" w:cs="宋体"/>
          <w:bCs/>
          <w:color w:val="auto"/>
          <w:sz w:val="32"/>
          <w:szCs w:val="32"/>
          <w:highlight w:val="none"/>
        </w:rPr>
      </w:pPr>
    </w:p>
    <w:p w14:paraId="1C76BF93">
      <w:pPr>
        <w:ind w:right="-92" w:rightChars="-44"/>
        <w:rPr>
          <w:rFonts w:ascii="宋体" w:hAnsi="宋体" w:eastAsia="宋体" w:cs="宋体"/>
          <w:bCs/>
          <w:color w:val="auto"/>
          <w:sz w:val="32"/>
          <w:szCs w:val="32"/>
          <w:highlight w:val="none"/>
        </w:rPr>
      </w:pPr>
    </w:p>
    <w:p w14:paraId="20A7A99F">
      <w:pPr>
        <w:ind w:right="-92" w:rightChars="-44"/>
        <w:rPr>
          <w:rFonts w:ascii="宋体" w:hAnsi="宋体" w:eastAsia="宋体" w:cs="宋体"/>
          <w:bCs/>
          <w:color w:val="auto"/>
          <w:sz w:val="32"/>
          <w:szCs w:val="32"/>
          <w:highlight w:val="none"/>
        </w:rPr>
      </w:pPr>
    </w:p>
    <w:p w14:paraId="3ED00CAE">
      <w:pPr>
        <w:ind w:right="-92" w:rightChars="-44"/>
        <w:rPr>
          <w:rFonts w:ascii="宋体" w:hAnsi="宋体" w:eastAsia="宋体" w:cs="宋体"/>
          <w:bCs/>
          <w:color w:val="auto"/>
          <w:sz w:val="32"/>
          <w:szCs w:val="32"/>
          <w:highlight w:val="none"/>
        </w:rPr>
      </w:pPr>
    </w:p>
    <w:p w14:paraId="2C848AF2">
      <w:pPr>
        <w:ind w:right="-92" w:rightChars="-44"/>
        <w:rPr>
          <w:rFonts w:ascii="宋体" w:hAnsi="宋体" w:eastAsia="宋体" w:cs="宋体"/>
          <w:bCs/>
          <w:color w:val="auto"/>
          <w:sz w:val="32"/>
          <w:szCs w:val="32"/>
          <w:highlight w:val="none"/>
        </w:rPr>
      </w:pPr>
    </w:p>
    <w:p w14:paraId="7054BF99">
      <w:pPr>
        <w:ind w:right="-92" w:rightChars="-44"/>
        <w:rPr>
          <w:rFonts w:ascii="宋体" w:hAnsi="宋体" w:eastAsia="宋体" w:cs="宋体"/>
          <w:bCs/>
          <w:color w:val="auto"/>
          <w:sz w:val="32"/>
          <w:szCs w:val="32"/>
          <w:highlight w:val="none"/>
        </w:rPr>
      </w:pPr>
    </w:p>
    <w:p w14:paraId="390728C5">
      <w:pPr>
        <w:ind w:right="-92" w:rightChars="-44"/>
        <w:rPr>
          <w:rFonts w:ascii="宋体" w:hAnsi="宋体" w:eastAsia="宋体" w:cs="宋体"/>
          <w:bCs/>
          <w:color w:val="auto"/>
          <w:sz w:val="32"/>
          <w:szCs w:val="32"/>
          <w:highlight w:val="none"/>
        </w:rPr>
      </w:pPr>
    </w:p>
    <w:p w14:paraId="00C1095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277" w:name="_Toc95223549"/>
      <w:bookmarkStart w:id="278" w:name="OLE_LINK31"/>
      <w:bookmarkStart w:id="279" w:name="OLE_LINK41"/>
      <w:bookmarkStart w:id="280" w:name="OLE_LINK32"/>
      <w:r>
        <w:rPr>
          <w:rFonts w:hint="eastAsia" w:ascii="黑体" w:hAnsi="黑体" w:eastAsia="黑体" w:cs="Times New Roman"/>
          <w:b/>
          <w:bCs/>
          <w:color w:val="auto"/>
          <w:kern w:val="44"/>
          <w:sz w:val="36"/>
          <w:szCs w:val="28"/>
          <w:highlight w:val="none"/>
        </w:rPr>
        <w:t xml:space="preserve">附件2 </w:t>
      </w:r>
      <w:bookmarkStart w:id="281" w:name="OLE_LINK75"/>
      <w:bookmarkStart w:id="282" w:name="OLE_LINK74"/>
      <w:r>
        <w:rPr>
          <w:rFonts w:hint="eastAsia" w:ascii="黑体" w:hAnsi="黑体" w:eastAsia="黑体" w:cs="Times New Roman"/>
          <w:b/>
          <w:bCs/>
          <w:color w:val="auto"/>
          <w:kern w:val="44"/>
          <w:sz w:val="36"/>
          <w:szCs w:val="28"/>
          <w:highlight w:val="none"/>
        </w:rPr>
        <w:t>“信用中国”查询的严重失信行为</w:t>
      </w:r>
      <w:bookmarkStart w:id="283" w:name="OLE_LINK76"/>
      <w:bookmarkStart w:id="284" w:name="OLE_LINK39"/>
      <w:bookmarkStart w:id="285" w:name="OLE_LINK40"/>
      <w:bookmarkStart w:id="286" w:name="OLE_LINK38"/>
      <w:r>
        <w:rPr>
          <w:rFonts w:hint="eastAsia" w:ascii="黑体" w:hAnsi="黑体" w:eastAsia="黑体" w:cs="Times New Roman"/>
          <w:b/>
          <w:bCs/>
          <w:color w:val="auto"/>
          <w:kern w:val="44"/>
          <w:sz w:val="36"/>
          <w:szCs w:val="28"/>
          <w:highlight w:val="none"/>
        </w:rPr>
        <w:t>类别及判定依据</w:t>
      </w:r>
      <w:bookmarkEnd w:id="277"/>
      <w:bookmarkEnd w:id="281"/>
      <w:bookmarkEnd w:id="282"/>
      <w:bookmarkEnd w:id="283"/>
      <w:bookmarkEnd w:id="284"/>
      <w:bookmarkEnd w:id="285"/>
      <w:bookmarkEnd w:id="286"/>
    </w:p>
    <w:bookmarkEnd w:id="278"/>
    <w:bookmarkEnd w:id="279"/>
    <w:bookmarkEnd w:id="280"/>
    <w:p w14:paraId="290D82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9F5BF9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C5BF78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3A1C08A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718B0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69B6F1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29AD17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3882638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AF93F8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FCA7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0FCD95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535FA5C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B131E8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96C2B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4535F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7D69378">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733EA3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B8025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0046421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7365A82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62B9F8D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75D772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E0DB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DB9F69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3328A9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45AEBA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10B0067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7576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B4F67E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03D41D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2A221AF">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87" w:name="OLE_LINK10"/>
      <w:bookmarkStart w:id="288" w:name="OLE_LINK8"/>
      <w:bookmarkStart w:id="289" w:name="OLE_LINK9"/>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287"/>
      <w:bookmarkEnd w:id="288"/>
      <w:bookmarkEnd w:id="289"/>
      <w:r>
        <w:rPr>
          <w:rFonts w:hint="eastAsia" w:ascii="仿宋_GB2312" w:hAnsi="宋体" w:eastAsia="仿宋_GB2312" w:cs="Times New Roman"/>
          <w:b/>
          <w:color w:val="auto"/>
          <w:sz w:val="28"/>
          <w:szCs w:val="28"/>
          <w:highlight w:val="none"/>
        </w:rPr>
        <w:t>》、《</w:t>
      </w:r>
      <w:bookmarkStart w:id="290" w:name="OLE_LINK11"/>
      <w:bookmarkStart w:id="291" w:name="OLE_LINK12"/>
      <w:r>
        <w:rPr>
          <w:rFonts w:hint="eastAsia" w:ascii="仿宋_GB2312" w:hAnsi="宋体" w:eastAsia="仿宋_GB2312" w:cs="Times New Roman"/>
          <w:b/>
          <w:color w:val="auto"/>
          <w:sz w:val="28"/>
          <w:szCs w:val="28"/>
          <w:highlight w:val="none"/>
        </w:rPr>
        <w:t>企业环境信用评价办法（试行）</w:t>
      </w:r>
      <w:bookmarkEnd w:id="290"/>
      <w:bookmarkEnd w:id="291"/>
      <w:r>
        <w:rPr>
          <w:rFonts w:hint="eastAsia" w:ascii="仿宋_GB2312" w:hAnsi="宋体" w:eastAsia="仿宋_GB2312" w:cs="Times New Roman"/>
          <w:b/>
          <w:color w:val="auto"/>
          <w:sz w:val="28"/>
          <w:szCs w:val="28"/>
          <w:highlight w:val="none"/>
        </w:rPr>
        <w:t>》（环发〔2013〕150号）</w:t>
      </w:r>
    </w:p>
    <w:p w14:paraId="3508ABA9">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5F1E3C0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D7D021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D96841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781B3F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73F89B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53A4D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0F0773E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361075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25D5312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D3C05E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0C59F6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10D80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50C7006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4409F73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DE84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8A17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12BD24A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13F118B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A03F8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0B51C89">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D507293">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依据：《关于对公共资源交易领域严重失信主体开展联合惩戒的备忘录》（发改法规〔2018〕457号）</w:t>
      </w:r>
    </w:p>
    <w:p w14:paraId="6F3F28EC">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19FF0761">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CAE2CC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6A36D60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C2EB5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7A0DC8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46BD90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562AF3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A20C47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E394B7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59AB4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2CAE86C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92" w:name="OLE_LINK16"/>
      <w:bookmarkStart w:id="293" w:name="OLE_LINK15"/>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292"/>
      <w:bookmarkEnd w:id="293"/>
      <w:r>
        <w:rPr>
          <w:rFonts w:hint="eastAsia" w:ascii="仿宋_GB2312" w:hAnsi="Calibri" w:eastAsia="仿宋_GB2312" w:cs="Times New Roman"/>
          <w:b/>
          <w:color w:val="auto"/>
          <w:sz w:val="28"/>
          <w:szCs w:val="28"/>
          <w:highlight w:val="none"/>
        </w:rPr>
        <w:t>》（发改财金〔2018〕1704号）</w:t>
      </w:r>
    </w:p>
    <w:p w14:paraId="68BDAC3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1A9808C">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4AF688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FE8C22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31494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9777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2C696C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7C75CA6">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94" w:name="OLE_LINK18"/>
      <w:bookmarkStart w:id="295" w:name="OLE_LINK17"/>
      <w:r>
        <w:rPr>
          <w:rFonts w:hint="eastAsia" w:ascii="仿宋_GB2312" w:hAnsi="Calibri" w:eastAsia="仿宋_GB2312" w:cs="Times New Roman"/>
          <w:b/>
          <w:color w:val="auto"/>
          <w:sz w:val="28"/>
          <w:szCs w:val="28"/>
          <w:highlight w:val="none"/>
        </w:rPr>
        <w:t>建筑市场信用管理暂行办法</w:t>
      </w:r>
      <w:bookmarkEnd w:id="294"/>
      <w:bookmarkEnd w:id="295"/>
      <w:r>
        <w:rPr>
          <w:rFonts w:hint="eastAsia" w:ascii="仿宋_GB2312" w:hAnsi="Calibri" w:eastAsia="仿宋_GB2312" w:cs="Times New Roman"/>
          <w:b/>
          <w:color w:val="auto"/>
          <w:sz w:val="28"/>
          <w:szCs w:val="28"/>
          <w:highlight w:val="none"/>
        </w:rPr>
        <w:t>》（建市〔2017〕241号）</w:t>
      </w:r>
    </w:p>
    <w:p w14:paraId="29226D5B">
      <w:pPr>
        <w:adjustRightInd w:val="0"/>
        <w:snapToGrid w:val="0"/>
        <w:spacing w:line="560" w:lineRule="exact"/>
        <w:rPr>
          <w:rFonts w:ascii="仿宋_GB2312" w:hAnsi="宋体" w:eastAsia="仿宋_GB2312" w:cs="Times New Roman"/>
          <w:b/>
          <w:color w:val="auto"/>
          <w:sz w:val="28"/>
          <w:szCs w:val="28"/>
          <w:highlight w:val="none"/>
        </w:rPr>
      </w:pPr>
    </w:p>
    <w:p w14:paraId="557F5F3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296" w:name="OLE_LINK20"/>
      <w:bookmarkStart w:id="297" w:name="OLE_LINK19"/>
      <w:r>
        <w:rPr>
          <w:rFonts w:hint="eastAsia" w:ascii="仿宋_GB2312" w:hAnsi="宋体" w:eastAsia="仿宋_GB2312" w:cs="Times New Roman"/>
          <w:b/>
          <w:color w:val="auto"/>
          <w:sz w:val="28"/>
          <w:szCs w:val="28"/>
          <w:highlight w:val="none"/>
        </w:rPr>
        <w:t>政府采购严重失信行为</w:t>
      </w:r>
      <w:bookmarkEnd w:id="296"/>
      <w:bookmarkEnd w:id="297"/>
    </w:p>
    <w:p w14:paraId="593D8D4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7281A92">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0BEE5C1F">
      <w:pPr>
        <w:adjustRightInd w:val="0"/>
        <w:snapToGrid w:val="0"/>
        <w:spacing w:line="560" w:lineRule="exact"/>
        <w:rPr>
          <w:rFonts w:ascii="仿宋_GB2312" w:hAnsi="宋体" w:eastAsia="仿宋_GB2312" w:cs="Times New Roman"/>
          <w:b/>
          <w:color w:val="auto"/>
          <w:sz w:val="28"/>
          <w:szCs w:val="28"/>
          <w:highlight w:val="none"/>
        </w:rPr>
      </w:pPr>
    </w:p>
    <w:p w14:paraId="4ED497B5">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2920C1A1">
      <w:pPr>
        <w:pStyle w:val="13"/>
        <w:rPr>
          <w:color w:val="auto"/>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25B2D">
                          <w:pPr>
                            <w:pStyle w:val="18"/>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F25B2D">
                    <w:pPr>
                      <w:pStyle w:val="18"/>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9"/>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EA2A8"/>
    <w:multiLevelType w:val="singleLevel"/>
    <w:tmpl w:val="C54EA2A8"/>
    <w:lvl w:ilvl="0" w:tentative="0">
      <w:start w:val="1"/>
      <w:numFmt w:val="decimal"/>
      <w:pStyle w:val="7"/>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1F7F7E"/>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D70C6"/>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054EB"/>
    <w:rsid w:val="01E93A1B"/>
    <w:rsid w:val="0214602E"/>
    <w:rsid w:val="02A93B2F"/>
    <w:rsid w:val="03486B27"/>
    <w:rsid w:val="03C2134C"/>
    <w:rsid w:val="03F9185C"/>
    <w:rsid w:val="040A094E"/>
    <w:rsid w:val="05041CFB"/>
    <w:rsid w:val="056F201D"/>
    <w:rsid w:val="05A21435"/>
    <w:rsid w:val="05B664D4"/>
    <w:rsid w:val="064B485A"/>
    <w:rsid w:val="068C65C4"/>
    <w:rsid w:val="07076C01"/>
    <w:rsid w:val="071C12AC"/>
    <w:rsid w:val="07A934B3"/>
    <w:rsid w:val="07EB6287"/>
    <w:rsid w:val="0806421B"/>
    <w:rsid w:val="0980799C"/>
    <w:rsid w:val="09944B8E"/>
    <w:rsid w:val="0A6A18DB"/>
    <w:rsid w:val="0A825391"/>
    <w:rsid w:val="0A975B48"/>
    <w:rsid w:val="0AE71698"/>
    <w:rsid w:val="0AEF3828"/>
    <w:rsid w:val="0B406381"/>
    <w:rsid w:val="0B4357EB"/>
    <w:rsid w:val="0BB452AA"/>
    <w:rsid w:val="0BBB665B"/>
    <w:rsid w:val="0CB37C3C"/>
    <w:rsid w:val="0E6F2305"/>
    <w:rsid w:val="0EEA6FC1"/>
    <w:rsid w:val="0F790928"/>
    <w:rsid w:val="0F9D3E5C"/>
    <w:rsid w:val="0FDF3286"/>
    <w:rsid w:val="10CD72BB"/>
    <w:rsid w:val="12197477"/>
    <w:rsid w:val="131B5CD3"/>
    <w:rsid w:val="133E02C4"/>
    <w:rsid w:val="13776448"/>
    <w:rsid w:val="13C02CCD"/>
    <w:rsid w:val="14263231"/>
    <w:rsid w:val="1466407E"/>
    <w:rsid w:val="14834E28"/>
    <w:rsid w:val="148E7D65"/>
    <w:rsid w:val="15231BF9"/>
    <w:rsid w:val="15A12DC3"/>
    <w:rsid w:val="15C4546D"/>
    <w:rsid w:val="1630783E"/>
    <w:rsid w:val="163634D4"/>
    <w:rsid w:val="186F7595"/>
    <w:rsid w:val="19DD2D01"/>
    <w:rsid w:val="1A064976"/>
    <w:rsid w:val="1A3B68AA"/>
    <w:rsid w:val="1A3E1C1E"/>
    <w:rsid w:val="1A6C1BBA"/>
    <w:rsid w:val="1B6F4F40"/>
    <w:rsid w:val="1C141836"/>
    <w:rsid w:val="1C76537D"/>
    <w:rsid w:val="1D24052A"/>
    <w:rsid w:val="1DEF28E6"/>
    <w:rsid w:val="1DF22353"/>
    <w:rsid w:val="1E6B6A14"/>
    <w:rsid w:val="1F6115C2"/>
    <w:rsid w:val="20550D9A"/>
    <w:rsid w:val="205545EA"/>
    <w:rsid w:val="21645399"/>
    <w:rsid w:val="218E2416"/>
    <w:rsid w:val="21B75E11"/>
    <w:rsid w:val="21C31F1F"/>
    <w:rsid w:val="226915FE"/>
    <w:rsid w:val="229273EC"/>
    <w:rsid w:val="2375280B"/>
    <w:rsid w:val="23BC656D"/>
    <w:rsid w:val="241804A5"/>
    <w:rsid w:val="244F2128"/>
    <w:rsid w:val="24B97929"/>
    <w:rsid w:val="24D632D7"/>
    <w:rsid w:val="25AD6EBE"/>
    <w:rsid w:val="2621364C"/>
    <w:rsid w:val="269D4675"/>
    <w:rsid w:val="26BF38D3"/>
    <w:rsid w:val="271E248E"/>
    <w:rsid w:val="27323351"/>
    <w:rsid w:val="27D65DBA"/>
    <w:rsid w:val="285F40CA"/>
    <w:rsid w:val="289E1AF0"/>
    <w:rsid w:val="28C01ECB"/>
    <w:rsid w:val="296138D0"/>
    <w:rsid w:val="29BF71E3"/>
    <w:rsid w:val="29D6387F"/>
    <w:rsid w:val="2A127B63"/>
    <w:rsid w:val="2A451A6C"/>
    <w:rsid w:val="2A990D4C"/>
    <w:rsid w:val="2AAA4765"/>
    <w:rsid w:val="2AC21606"/>
    <w:rsid w:val="2AD63D42"/>
    <w:rsid w:val="2B4104F9"/>
    <w:rsid w:val="2B7E7608"/>
    <w:rsid w:val="2B7F04E9"/>
    <w:rsid w:val="2B8B554A"/>
    <w:rsid w:val="2C604C5A"/>
    <w:rsid w:val="2CAB6572"/>
    <w:rsid w:val="2D496D68"/>
    <w:rsid w:val="2E7A48DE"/>
    <w:rsid w:val="2EBA5177"/>
    <w:rsid w:val="2EC41B6D"/>
    <w:rsid w:val="2EDC3ED8"/>
    <w:rsid w:val="2F104B00"/>
    <w:rsid w:val="2F6351B4"/>
    <w:rsid w:val="2FC86126"/>
    <w:rsid w:val="2FCF199E"/>
    <w:rsid w:val="2FE34275"/>
    <w:rsid w:val="30276124"/>
    <w:rsid w:val="30483E83"/>
    <w:rsid w:val="30BF3991"/>
    <w:rsid w:val="3111619A"/>
    <w:rsid w:val="31722B15"/>
    <w:rsid w:val="319775DB"/>
    <w:rsid w:val="31B139DC"/>
    <w:rsid w:val="32497AF3"/>
    <w:rsid w:val="327A0EC0"/>
    <w:rsid w:val="32AD2C28"/>
    <w:rsid w:val="339715FE"/>
    <w:rsid w:val="343C0775"/>
    <w:rsid w:val="356C50EC"/>
    <w:rsid w:val="36137E45"/>
    <w:rsid w:val="361A4309"/>
    <w:rsid w:val="36376E0A"/>
    <w:rsid w:val="3700166C"/>
    <w:rsid w:val="37985945"/>
    <w:rsid w:val="379A1012"/>
    <w:rsid w:val="38694EE9"/>
    <w:rsid w:val="38E069CE"/>
    <w:rsid w:val="394C69E7"/>
    <w:rsid w:val="3A6818FA"/>
    <w:rsid w:val="3B365CC9"/>
    <w:rsid w:val="3B9A7B88"/>
    <w:rsid w:val="3BA945C4"/>
    <w:rsid w:val="3D006466"/>
    <w:rsid w:val="3D2C7AC8"/>
    <w:rsid w:val="3D855D12"/>
    <w:rsid w:val="3D8B42FF"/>
    <w:rsid w:val="3D99232C"/>
    <w:rsid w:val="3D9F5C7F"/>
    <w:rsid w:val="3DE86C4C"/>
    <w:rsid w:val="3DF36A6E"/>
    <w:rsid w:val="3E0C4997"/>
    <w:rsid w:val="3EBA1EE9"/>
    <w:rsid w:val="3F792F1E"/>
    <w:rsid w:val="40552625"/>
    <w:rsid w:val="40824826"/>
    <w:rsid w:val="40E63923"/>
    <w:rsid w:val="40F44996"/>
    <w:rsid w:val="40FD6666"/>
    <w:rsid w:val="4292013E"/>
    <w:rsid w:val="43A91E5B"/>
    <w:rsid w:val="43DB7153"/>
    <w:rsid w:val="449E0D39"/>
    <w:rsid w:val="45E32B26"/>
    <w:rsid w:val="463A3650"/>
    <w:rsid w:val="46461627"/>
    <w:rsid w:val="469F0116"/>
    <w:rsid w:val="47315BD2"/>
    <w:rsid w:val="475259B7"/>
    <w:rsid w:val="475F022D"/>
    <w:rsid w:val="47F053B6"/>
    <w:rsid w:val="47FD26D5"/>
    <w:rsid w:val="488302AE"/>
    <w:rsid w:val="48831CF9"/>
    <w:rsid w:val="48864B54"/>
    <w:rsid w:val="49024C9C"/>
    <w:rsid w:val="4926170A"/>
    <w:rsid w:val="49B1408D"/>
    <w:rsid w:val="4A7D4FD2"/>
    <w:rsid w:val="4A913C9A"/>
    <w:rsid w:val="4B1F70AC"/>
    <w:rsid w:val="4B240F94"/>
    <w:rsid w:val="4C0832E5"/>
    <w:rsid w:val="4C3C565C"/>
    <w:rsid w:val="4C3E2B07"/>
    <w:rsid w:val="4C6267F5"/>
    <w:rsid w:val="4CC254E6"/>
    <w:rsid w:val="4CCC79C7"/>
    <w:rsid w:val="4CFB26C0"/>
    <w:rsid w:val="4D654E1D"/>
    <w:rsid w:val="4D7555C7"/>
    <w:rsid w:val="4EAE6DA0"/>
    <w:rsid w:val="4FE617D9"/>
    <w:rsid w:val="5016514B"/>
    <w:rsid w:val="504D156B"/>
    <w:rsid w:val="50BD4DF3"/>
    <w:rsid w:val="50FC1A26"/>
    <w:rsid w:val="51723664"/>
    <w:rsid w:val="518A7140"/>
    <w:rsid w:val="51CB1C78"/>
    <w:rsid w:val="51D35A9F"/>
    <w:rsid w:val="51FD6A51"/>
    <w:rsid w:val="526B680A"/>
    <w:rsid w:val="52836F71"/>
    <w:rsid w:val="52D26B02"/>
    <w:rsid w:val="541A5D30"/>
    <w:rsid w:val="54F71AA5"/>
    <w:rsid w:val="55C1559C"/>
    <w:rsid w:val="55F068CD"/>
    <w:rsid w:val="566C3136"/>
    <w:rsid w:val="568A72A5"/>
    <w:rsid w:val="568D04F2"/>
    <w:rsid w:val="57715B3F"/>
    <w:rsid w:val="58D04AE7"/>
    <w:rsid w:val="5A3D4DA8"/>
    <w:rsid w:val="5A526582"/>
    <w:rsid w:val="5A551748"/>
    <w:rsid w:val="5A5F5C77"/>
    <w:rsid w:val="5A711A0D"/>
    <w:rsid w:val="5ADD173D"/>
    <w:rsid w:val="5B1613E4"/>
    <w:rsid w:val="5B50604C"/>
    <w:rsid w:val="5B78003B"/>
    <w:rsid w:val="5BC11A60"/>
    <w:rsid w:val="5BE301AA"/>
    <w:rsid w:val="5C7A4D54"/>
    <w:rsid w:val="5CD23B73"/>
    <w:rsid w:val="5D7109D2"/>
    <w:rsid w:val="5E7D0F23"/>
    <w:rsid w:val="5F00691E"/>
    <w:rsid w:val="5F127819"/>
    <w:rsid w:val="5FD16DAD"/>
    <w:rsid w:val="60350ED3"/>
    <w:rsid w:val="609F1851"/>
    <w:rsid w:val="60B72AEE"/>
    <w:rsid w:val="61025188"/>
    <w:rsid w:val="61057D5F"/>
    <w:rsid w:val="6126068F"/>
    <w:rsid w:val="614D4977"/>
    <w:rsid w:val="62BB05B6"/>
    <w:rsid w:val="62FD1A73"/>
    <w:rsid w:val="634467FD"/>
    <w:rsid w:val="638702D0"/>
    <w:rsid w:val="63C60FC0"/>
    <w:rsid w:val="63CE12E5"/>
    <w:rsid w:val="63FD0222"/>
    <w:rsid w:val="64BA3D7A"/>
    <w:rsid w:val="64C556CB"/>
    <w:rsid w:val="64F179BC"/>
    <w:rsid w:val="65CF1CD4"/>
    <w:rsid w:val="665704D3"/>
    <w:rsid w:val="66E300DB"/>
    <w:rsid w:val="67A24288"/>
    <w:rsid w:val="67C065A4"/>
    <w:rsid w:val="67D359C9"/>
    <w:rsid w:val="68042537"/>
    <w:rsid w:val="68FE36DD"/>
    <w:rsid w:val="694E60FC"/>
    <w:rsid w:val="69E95A08"/>
    <w:rsid w:val="6A256904"/>
    <w:rsid w:val="6B656832"/>
    <w:rsid w:val="6BD66471"/>
    <w:rsid w:val="6C3629A5"/>
    <w:rsid w:val="6C675CE6"/>
    <w:rsid w:val="6D4F4321"/>
    <w:rsid w:val="6DE01BE6"/>
    <w:rsid w:val="6DF41B82"/>
    <w:rsid w:val="6DFF7360"/>
    <w:rsid w:val="6E7A5F73"/>
    <w:rsid w:val="6E873A42"/>
    <w:rsid w:val="6EE90F9D"/>
    <w:rsid w:val="6FD74228"/>
    <w:rsid w:val="7021106F"/>
    <w:rsid w:val="71633091"/>
    <w:rsid w:val="7199645D"/>
    <w:rsid w:val="71AF12E6"/>
    <w:rsid w:val="72734A09"/>
    <w:rsid w:val="73081CA5"/>
    <w:rsid w:val="73AF58DB"/>
    <w:rsid w:val="74201F7D"/>
    <w:rsid w:val="74474570"/>
    <w:rsid w:val="7487762D"/>
    <w:rsid w:val="74C33AA4"/>
    <w:rsid w:val="75210D7A"/>
    <w:rsid w:val="75385498"/>
    <w:rsid w:val="75E1612D"/>
    <w:rsid w:val="75F37776"/>
    <w:rsid w:val="76856AB9"/>
    <w:rsid w:val="76BC207F"/>
    <w:rsid w:val="76EB4904"/>
    <w:rsid w:val="77645DCD"/>
    <w:rsid w:val="777378F5"/>
    <w:rsid w:val="777A2D3C"/>
    <w:rsid w:val="78113F48"/>
    <w:rsid w:val="78474930"/>
    <w:rsid w:val="79074B81"/>
    <w:rsid w:val="794F0939"/>
    <w:rsid w:val="796B01E8"/>
    <w:rsid w:val="79AF0FCA"/>
    <w:rsid w:val="79BF22E2"/>
    <w:rsid w:val="7A396538"/>
    <w:rsid w:val="7A9D05C5"/>
    <w:rsid w:val="7AF9279C"/>
    <w:rsid w:val="7B3A5454"/>
    <w:rsid w:val="7CA96318"/>
    <w:rsid w:val="7CC51958"/>
    <w:rsid w:val="7CD53DF9"/>
    <w:rsid w:val="7D097C86"/>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3"/>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8"/>
    <w:autoRedefine/>
    <w:qFormat/>
    <w:uiPriority w:val="0"/>
    <w:pPr>
      <w:keepNext/>
      <w:keepLines/>
      <w:spacing w:before="280" w:after="290" w:line="376" w:lineRule="auto"/>
      <w:outlineLvl w:val="3"/>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cs="Calibri"/>
      <w:kern w:val="2"/>
      <w:sz w:val="18"/>
      <w:szCs w:val="18"/>
    </w:rPr>
  </w:style>
  <w:style w:type="paragraph" w:styleId="7">
    <w:name w:val="List Number"/>
    <w:basedOn w:val="1"/>
    <w:semiHidden/>
    <w:unhideWhenUsed/>
    <w:qFormat/>
    <w:uiPriority w:val="99"/>
    <w:pPr>
      <w:numPr>
        <w:ilvl w:val="0"/>
        <w:numId w:val="1"/>
      </w:numPr>
    </w:p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0"/>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6"/>
    <w:qFormat/>
    <w:uiPriority w:val="0"/>
    <w:pPr>
      <w:snapToGrid w:val="0"/>
    </w:pPr>
    <w:rPr>
      <w:rFonts w:ascii="Arial" w:hAnsi="Arial"/>
    </w:rPr>
  </w:style>
  <w:style w:type="paragraph" w:styleId="13">
    <w:name w:val="index 4"/>
    <w:basedOn w:val="1"/>
    <w:next w:val="1"/>
    <w:qFormat/>
    <w:uiPriority w:val="0"/>
    <w:pPr>
      <w:ind w:left="600" w:leftChars="600"/>
    </w:pPr>
    <w:rPr>
      <w:rFonts w:ascii="Times New Roman" w:hAnsi="Times New Roman" w:eastAsia="宋体" w:cs="Times New Roman"/>
    </w:rPr>
  </w:style>
  <w:style w:type="paragraph" w:styleId="14">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0"/>
    <w:autoRedefine/>
    <w:qFormat/>
    <w:uiPriority w:val="99"/>
    <w:rPr>
      <w:rFonts w:ascii="宋体" w:hAnsi="Courier New" w:eastAsiaTheme="minorEastAsia" w:cstheme="minorBidi"/>
      <w:szCs w:val="22"/>
    </w:rPr>
  </w:style>
  <w:style w:type="paragraph" w:styleId="16">
    <w:name w:val="Date"/>
    <w:basedOn w:val="1"/>
    <w:next w:val="1"/>
    <w:link w:val="47"/>
    <w:autoRedefine/>
    <w:qFormat/>
    <w:uiPriority w:val="0"/>
    <w:rPr>
      <w:rFonts w:ascii="Arial" w:hAnsi="Arial" w:eastAsia="宋体" w:cs="Arial"/>
      <w:b/>
      <w:sz w:val="28"/>
    </w:rPr>
  </w:style>
  <w:style w:type="paragraph" w:styleId="17">
    <w:name w:val="Balloon Text"/>
    <w:basedOn w:val="1"/>
    <w:link w:val="34"/>
    <w:autoRedefine/>
    <w:semiHidden/>
    <w:unhideWhenUsed/>
    <w:qFormat/>
    <w:uiPriority w:val="99"/>
    <w:rPr>
      <w:sz w:val="18"/>
      <w:szCs w:val="18"/>
    </w:rPr>
  </w:style>
  <w:style w:type="paragraph" w:styleId="18">
    <w:name w:val="footer"/>
    <w:basedOn w:val="1"/>
    <w:link w:val="39"/>
    <w:autoRedefine/>
    <w:unhideWhenUsed/>
    <w:qFormat/>
    <w:uiPriority w:val="99"/>
    <w:pPr>
      <w:tabs>
        <w:tab w:val="center" w:pos="4153"/>
        <w:tab w:val="right" w:pos="8306"/>
      </w:tabs>
      <w:snapToGrid w:val="0"/>
      <w:jc w:val="left"/>
    </w:pPr>
    <w:rPr>
      <w:sz w:val="18"/>
      <w:szCs w:val="18"/>
    </w:rPr>
  </w:style>
  <w:style w:type="paragraph" w:styleId="19">
    <w:name w:val="header"/>
    <w:basedOn w:val="1"/>
    <w:link w:val="3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9"/>
    <w:next w:val="9"/>
    <w:link w:val="61"/>
    <w:autoRedefine/>
    <w:semiHidden/>
    <w:unhideWhenUsed/>
    <w:qFormat/>
    <w:uiPriority w:val="99"/>
    <w:rPr>
      <w:rFonts w:ascii="@仿宋_GB2312" w:hAnsi="@仿宋_GB2312" w:eastAsia="@仿宋_GB2312" w:cs="@仿宋_GB2312"/>
      <w:b/>
      <w:bCs/>
    </w:rPr>
  </w:style>
  <w:style w:type="paragraph" w:styleId="25">
    <w:name w:val="Body Text First Indent"/>
    <w:basedOn w:val="10"/>
    <w:autoRedefine/>
    <w:unhideWhenUsed/>
    <w:qFormat/>
    <w:uiPriority w:val="99"/>
    <w:pPr>
      <w:ind w:firstLine="420" w:firstLineChars="100"/>
    </w:pPr>
  </w:style>
  <w:style w:type="paragraph" w:styleId="26">
    <w:name w:val="Body Text First Indent 2"/>
    <w:basedOn w:val="11"/>
    <w:next w:val="1"/>
    <w:qFormat/>
    <w:uiPriority w:val="0"/>
    <w:pPr>
      <w:spacing w:line="360" w:lineRule="auto"/>
      <w:ind w:firstLine="200"/>
    </w:pPr>
    <w:rPr>
      <w:sz w:val="21"/>
    </w:r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0"/>
    <w:rPr>
      <w:b/>
      <w:bCs/>
    </w:rPr>
  </w:style>
  <w:style w:type="character" w:styleId="31">
    <w:name w:val="Emphasis"/>
    <w:basedOn w:val="29"/>
    <w:qFormat/>
    <w:uiPriority w:val="0"/>
    <w:rPr>
      <w:i/>
    </w:rPr>
  </w:style>
  <w:style w:type="character" w:styleId="32">
    <w:name w:val="Hyperlink"/>
    <w:basedOn w:val="29"/>
    <w:autoRedefine/>
    <w:unhideWhenUsed/>
    <w:qFormat/>
    <w:uiPriority w:val="99"/>
    <w:rPr>
      <w:color w:val="0000FF" w:themeColor="hyperlink"/>
      <w:u w:val="single"/>
      <w14:textFill>
        <w14:solidFill>
          <w14:schemeClr w14:val="hlink"/>
        </w14:solidFill>
      </w14:textFill>
    </w:rPr>
  </w:style>
  <w:style w:type="character" w:styleId="33">
    <w:name w:val="annotation reference"/>
    <w:basedOn w:val="29"/>
    <w:autoRedefine/>
    <w:semiHidden/>
    <w:unhideWhenUsed/>
    <w:qFormat/>
    <w:uiPriority w:val="99"/>
    <w:rPr>
      <w:sz w:val="21"/>
      <w:szCs w:val="21"/>
    </w:rPr>
  </w:style>
  <w:style w:type="character" w:customStyle="1" w:styleId="34">
    <w:name w:val="批注框文本 Char"/>
    <w:basedOn w:val="29"/>
    <w:link w:val="17"/>
    <w:autoRedefine/>
    <w:semiHidden/>
    <w:qFormat/>
    <w:uiPriority w:val="99"/>
    <w:rPr>
      <w:rFonts w:ascii="@仿宋_GB2312" w:hAnsi="@仿宋_GB2312" w:eastAsia="@仿宋_GB2312" w:cs="@仿宋_GB2312"/>
      <w:sz w:val="18"/>
      <w:szCs w:val="18"/>
    </w:rPr>
  </w:style>
  <w:style w:type="paragraph" w:customStyle="1" w:styleId="35">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7">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8">
    <w:name w:val="页眉 Char"/>
    <w:basedOn w:val="29"/>
    <w:link w:val="19"/>
    <w:autoRedefine/>
    <w:qFormat/>
    <w:uiPriority w:val="99"/>
    <w:rPr>
      <w:rFonts w:ascii="@仿宋_GB2312" w:hAnsi="@仿宋_GB2312" w:eastAsia="@仿宋_GB2312" w:cs="@仿宋_GB2312"/>
      <w:sz w:val="18"/>
      <w:szCs w:val="18"/>
    </w:rPr>
  </w:style>
  <w:style w:type="character" w:customStyle="1" w:styleId="39">
    <w:name w:val="页脚 Char"/>
    <w:basedOn w:val="29"/>
    <w:link w:val="18"/>
    <w:autoRedefine/>
    <w:qFormat/>
    <w:uiPriority w:val="99"/>
    <w:rPr>
      <w:rFonts w:ascii="@仿宋_GB2312" w:hAnsi="@仿宋_GB2312" w:eastAsia="@仿宋_GB2312" w:cs="@仿宋_GB2312"/>
      <w:sz w:val="18"/>
      <w:szCs w:val="18"/>
    </w:rPr>
  </w:style>
  <w:style w:type="character" w:customStyle="1" w:styleId="40">
    <w:name w:val="纯文本 Char"/>
    <w:link w:val="15"/>
    <w:autoRedefine/>
    <w:qFormat/>
    <w:uiPriority w:val="0"/>
    <w:rPr>
      <w:rFonts w:ascii="宋体" w:hAnsi="Courier New"/>
    </w:rPr>
  </w:style>
  <w:style w:type="character" w:customStyle="1" w:styleId="41">
    <w:name w:val="纯文本 字符1"/>
    <w:basedOn w:val="29"/>
    <w:autoRedefine/>
    <w:semiHidden/>
    <w:qFormat/>
    <w:uiPriority w:val="99"/>
    <w:rPr>
      <w:rFonts w:hAnsi="Courier New" w:cs="Courier New" w:asciiTheme="minorEastAsia"/>
      <w:szCs w:val="20"/>
    </w:rPr>
  </w:style>
  <w:style w:type="character" w:customStyle="1" w:styleId="42">
    <w:name w:val="未处理的提及1"/>
    <w:basedOn w:val="29"/>
    <w:autoRedefine/>
    <w:semiHidden/>
    <w:unhideWhenUsed/>
    <w:qFormat/>
    <w:uiPriority w:val="99"/>
    <w:rPr>
      <w:color w:val="605E5C"/>
      <w:shd w:val="clear" w:color="auto" w:fill="E1DFDD"/>
    </w:rPr>
  </w:style>
  <w:style w:type="paragraph" w:styleId="43">
    <w:name w:val="List Paragraph"/>
    <w:basedOn w:val="1"/>
    <w:autoRedefine/>
    <w:qFormat/>
    <w:uiPriority w:val="34"/>
    <w:pPr>
      <w:ind w:firstLine="420" w:firstLineChars="200"/>
    </w:pPr>
  </w:style>
  <w:style w:type="paragraph" w:customStyle="1" w:styleId="44">
    <w:name w:val="Char Char Char Char Char Char Char1 Char"/>
    <w:basedOn w:val="1"/>
    <w:autoRedefine/>
    <w:qFormat/>
    <w:uiPriority w:val="0"/>
    <w:rPr>
      <w:rFonts w:ascii="Arial" w:hAnsi="Arial" w:eastAsia="宋体" w:cs="Arial"/>
      <w:sz w:val="24"/>
    </w:rPr>
  </w:style>
  <w:style w:type="table" w:customStyle="1" w:styleId="45">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6">
    <w:name w:val="日期 字符"/>
    <w:basedOn w:val="29"/>
    <w:autoRedefine/>
    <w:semiHidden/>
    <w:qFormat/>
    <w:uiPriority w:val="99"/>
    <w:rPr>
      <w:rFonts w:ascii="@仿宋_GB2312" w:hAnsi="@仿宋_GB2312" w:eastAsia="@仿宋_GB2312" w:cs="@仿宋_GB2312"/>
      <w:szCs w:val="20"/>
    </w:rPr>
  </w:style>
  <w:style w:type="character" w:customStyle="1" w:styleId="47">
    <w:name w:val="日期 Char"/>
    <w:link w:val="16"/>
    <w:autoRedefine/>
    <w:qFormat/>
    <w:uiPriority w:val="0"/>
    <w:rPr>
      <w:rFonts w:ascii="Arial" w:hAnsi="Arial" w:eastAsia="宋体" w:cs="Arial"/>
      <w:b/>
      <w:sz w:val="28"/>
      <w:szCs w:val="20"/>
    </w:rPr>
  </w:style>
  <w:style w:type="character" w:customStyle="1" w:styleId="48">
    <w:name w:val="纯文本 Char1"/>
    <w:autoRedefine/>
    <w:qFormat/>
    <w:locked/>
    <w:uiPriority w:val="99"/>
    <w:rPr>
      <w:rFonts w:ascii="Arial" w:hAnsi="Arial" w:eastAsia="Arial"/>
      <w:kern w:val="2"/>
      <w:sz w:val="21"/>
      <w:lang w:val="en-US" w:eastAsia="zh-CN" w:bidi="ar-SA"/>
    </w:rPr>
  </w:style>
  <w:style w:type="character" w:customStyle="1" w:styleId="49">
    <w:name w:val="批注文字 Char"/>
    <w:basedOn w:val="29"/>
    <w:autoRedefine/>
    <w:semiHidden/>
    <w:qFormat/>
    <w:uiPriority w:val="99"/>
    <w:rPr>
      <w:rFonts w:ascii="@仿宋_GB2312" w:hAnsi="@仿宋_GB2312" w:eastAsia="@仿宋_GB2312" w:cs="@仿宋_GB2312"/>
      <w:szCs w:val="20"/>
    </w:rPr>
  </w:style>
  <w:style w:type="character" w:customStyle="1" w:styleId="50">
    <w:name w:val="批注文字 Char1"/>
    <w:link w:val="9"/>
    <w:autoRedefine/>
    <w:qFormat/>
    <w:uiPriority w:val="0"/>
    <w:rPr>
      <w:rFonts w:ascii="Arial" w:hAnsi="Arial" w:eastAsia="黑体" w:cs="Arial"/>
      <w:szCs w:val="20"/>
    </w:rPr>
  </w:style>
  <w:style w:type="character" w:customStyle="1" w:styleId="51">
    <w:name w:val="标题 1 Char"/>
    <w:basedOn w:val="29"/>
    <w:link w:val="2"/>
    <w:autoRedefine/>
    <w:qFormat/>
    <w:uiPriority w:val="9"/>
    <w:rPr>
      <w:rFonts w:ascii="@仿宋_GB2312" w:hAnsi="@仿宋_GB2312" w:eastAsia="@仿宋_GB2312" w:cs="@仿宋_GB2312"/>
      <w:b/>
      <w:bCs/>
      <w:kern w:val="44"/>
      <w:sz w:val="44"/>
      <w:szCs w:val="44"/>
    </w:rPr>
  </w:style>
  <w:style w:type="paragraph" w:customStyle="1" w:styleId="5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3">
    <w:name w:val="标题 3 Char"/>
    <w:basedOn w:val="29"/>
    <w:link w:val="4"/>
    <w:autoRedefine/>
    <w:semiHidden/>
    <w:qFormat/>
    <w:uiPriority w:val="9"/>
    <w:rPr>
      <w:rFonts w:ascii="@仿宋_GB2312" w:hAnsi="@仿宋_GB2312" w:eastAsia="@仿宋_GB2312" w:cs="@仿宋_GB2312"/>
      <w:b/>
      <w:bCs/>
      <w:sz w:val="32"/>
      <w:szCs w:val="32"/>
    </w:rPr>
  </w:style>
  <w:style w:type="character" w:customStyle="1" w:styleId="54">
    <w:name w:val="fontstyle01"/>
    <w:basedOn w:val="29"/>
    <w:autoRedefine/>
    <w:qFormat/>
    <w:uiPriority w:val="0"/>
    <w:rPr>
      <w:rFonts w:hint="eastAsia" w:ascii="宋体" w:hAnsi="宋体" w:eastAsia="宋体"/>
      <w:color w:val="000000"/>
      <w:sz w:val="22"/>
      <w:szCs w:val="22"/>
    </w:rPr>
  </w:style>
  <w:style w:type="character" w:customStyle="1" w:styleId="55">
    <w:name w:val="fontstyle21"/>
    <w:basedOn w:val="29"/>
    <w:autoRedefine/>
    <w:qFormat/>
    <w:uiPriority w:val="0"/>
    <w:rPr>
      <w:rFonts w:hint="default" w:ascii="TimesNewRomanPSMT" w:hAnsi="TimesNewRomanPSMT"/>
      <w:color w:val="000000"/>
      <w:sz w:val="22"/>
      <w:szCs w:val="22"/>
    </w:rPr>
  </w:style>
  <w:style w:type="character" w:customStyle="1" w:styleId="5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7">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58">
    <w:name w:val="标题 4 Char1"/>
    <w:link w:val="5"/>
    <w:autoRedefine/>
    <w:qFormat/>
    <w:uiPriority w:val="0"/>
    <w:rPr>
      <w:rFonts w:ascii="@仿宋_GB2312" w:hAnsi="@仿宋_GB2312" w:eastAsia="@仿宋_GB2312" w:cs="@仿宋_GB2312"/>
      <w:b/>
      <w:bCs/>
      <w:sz w:val="28"/>
      <w:szCs w:val="28"/>
    </w:rPr>
  </w:style>
  <w:style w:type="character" w:customStyle="1" w:styleId="59">
    <w:name w:val="标题 4 Char"/>
    <w:autoRedefine/>
    <w:qFormat/>
    <w:uiPriority w:val="0"/>
    <w:rPr>
      <w:rFonts w:ascii="Arial" w:hAnsi="Arial" w:eastAsia="Arial"/>
      <w:b/>
      <w:bCs/>
      <w:kern w:val="2"/>
      <w:sz w:val="28"/>
      <w:szCs w:val="28"/>
      <w:lang w:val="en-US" w:eastAsia="zh-CN" w:bidi="ar-SA"/>
    </w:rPr>
  </w:style>
  <w:style w:type="table" w:customStyle="1" w:styleId="60">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1">
    <w:name w:val="批注主题 Char"/>
    <w:basedOn w:val="50"/>
    <w:link w:val="24"/>
    <w:autoRedefine/>
    <w:semiHidden/>
    <w:qFormat/>
    <w:uiPriority w:val="99"/>
    <w:rPr>
      <w:rFonts w:ascii="@仿宋_GB2312" w:hAnsi="@仿宋_GB2312" w:eastAsia="@仿宋_GB2312" w:cs="@仿宋_GB2312"/>
      <w:b/>
      <w:bCs/>
      <w:szCs w:val="20"/>
    </w:rPr>
  </w:style>
  <w:style w:type="table" w:customStyle="1" w:styleId="62">
    <w:name w:val="Table Normal"/>
    <w:autoRedefine/>
    <w:semiHidden/>
    <w:unhideWhenUsed/>
    <w:qFormat/>
    <w:uiPriority w:val="0"/>
    <w:tblPr>
      <w:tblCellMar>
        <w:top w:w="0" w:type="dxa"/>
        <w:left w:w="0" w:type="dxa"/>
        <w:bottom w:w="0" w:type="dxa"/>
        <w:right w:w="0" w:type="dxa"/>
      </w:tblCellMar>
    </w:tblPr>
  </w:style>
  <w:style w:type="paragraph" w:customStyle="1" w:styleId="63">
    <w:name w:val="Table Text"/>
    <w:basedOn w:val="1"/>
    <w:autoRedefine/>
    <w:semiHidden/>
    <w:qFormat/>
    <w:uiPriority w:val="0"/>
    <w:rPr>
      <w:rFonts w:ascii="Arial" w:hAnsi="Arial" w:eastAsia="Arial" w:cs="Arial"/>
      <w:sz w:val="21"/>
      <w:szCs w:val="21"/>
      <w:lang w:val="en-US" w:eastAsia="en-US" w:bidi="ar-SA"/>
    </w:rPr>
  </w:style>
  <w:style w:type="paragraph" w:customStyle="1" w:styleId="6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5">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82</Pages>
  <Words>2478</Words>
  <Characters>2836</Characters>
  <Lines>244</Lines>
  <Paragraphs>68</Paragraphs>
  <TotalTime>27</TotalTime>
  <ScaleCrop>false</ScaleCrop>
  <LinksUpToDate>false</LinksUpToDate>
  <CharactersWithSpaces>2954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韦韦</cp:lastModifiedBy>
  <cp:lastPrinted>2019-12-07T15:18:00Z</cp:lastPrinted>
  <dcterms:modified xsi:type="dcterms:W3CDTF">2026-04-29T07:43:34Z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1ECEA165F94845FFAF35C1C96E4FB9B0_12</vt:lpwstr>
  </property>
  <property fmtid="{D5CDD505-2E9C-101B-9397-08002B2CF9AE}" pid="4" name="KSOTemplateDocerSaveRecord">
    <vt:lpwstr>eyJoZGlkIjoiZmQ5MGI3YTdkMjVkZTZjM2ZjZTQ5YjMxYTJjZjRlOWEiLCJ1c2VySWQiOiIzNjE4MjQ5In0=</vt:lpwstr>
  </property>
</Properties>
</file>