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47D9A">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p>
    <w:p w14:paraId="14E24BA6">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p>
    <w:p w14:paraId="26EEBDFD">
      <w:pPr>
        <w:pStyle w:val="9"/>
        <w:rPr>
          <w:rFonts w:ascii="宋体" w:hAnsi="宋体" w:eastAsia="宋体"/>
          <w:b/>
          <w:bCs/>
          <w:color w:val="auto"/>
          <w:sz w:val="52"/>
          <w:szCs w:val="52"/>
          <w:highlight w:val="none"/>
        </w:rPr>
      </w:pPr>
    </w:p>
    <w:p w14:paraId="44F8A0EB">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安徽省政府采购项目</w:t>
      </w:r>
    </w:p>
    <w:p w14:paraId="038FD5AB">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竞争性磋商文件示范文本（服务类）</w:t>
      </w:r>
    </w:p>
    <w:bookmarkEnd w:id="0"/>
    <w:p w14:paraId="03E9729E">
      <w:pPr>
        <w:tabs>
          <w:tab w:val="left" w:pos="315"/>
          <w:tab w:val="left" w:pos="8820"/>
        </w:tabs>
        <w:spacing w:beforeLines="100" w:afterLines="50" w:line="500" w:lineRule="exact"/>
        <w:ind w:right="267" w:rightChars="127"/>
        <w:jc w:val="center"/>
        <w:rPr>
          <w:rFonts w:ascii="宋体" w:hAnsi="宋体" w:eastAsia="宋体"/>
          <w:bCs/>
          <w:color w:val="auto"/>
          <w:sz w:val="44"/>
          <w:szCs w:val="44"/>
          <w:highlight w:val="none"/>
        </w:rPr>
      </w:pPr>
      <w:r>
        <w:rPr>
          <w:rFonts w:hint="eastAsia" w:ascii="宋体" w:hAnsi="宋体" w:eastAsia="宋体"/>
          <w:b/>
          <w:bCs/>
          <w:color w:val="auto"/>
          <w:sz w:val="52"/>
          <w:szCs w:val="52"/>
          <w:highlight w:val="none"/>
        </w:rPr>
        <w:t>（2026版）</w:t>
      </w:r>
    </w:p>
    <w:p w14:paraId="0A9BFF5A">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38B32174">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7AE3B966">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551BDB92">
      <w:pPr>
        <w:pStyle w:val="9"/>
        <w:rPr>
          <w:rFonts w:ascii="宋体" w:hAnsi="宋体" w:eastAsia="宋体"/>
          <w:b/>
          <w:bCs/>
          <w:color w:val="auto"/>
          <w:sz w:val="44"/>
          <w:szCs w:val="44"/>
          <w:highlight w:val="none"/>
        </w:rPr>
      </w:pPr>
    </w:p>
    <w:p w14:paraId="66E5F5B9">
      <w:pPr>
        <w:pStyle w:val="9"/>
        <w:rPr>
          <w:rFonts w:ascii="宋体" w:hAnsi="宋体" w:eastAsia="宋体"/>
          <w:b/>
          <w:bCs/>
          <w:color w:val="auto"/>
          <w:sz w:val="44"/>
          <w:szCs w:val="44"/>
          <w:highlight w:val="none"/>
        </w:rPr>
      </w:pPr>
    </w:p>
    <w:p w14:paraId="1F3AFB20">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2BA832B3">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5EE4A8B2">
      <w:pPr>
        <w:tabs>
          <w:tab w:val="left" w:pos="2410"/>
        </w:tabs>
        <w:autoSpaceDE w:val="0"/>
        <w:autoSpaceDN w:val="0"/>
        <w:adjustRightInd w:val="0"/>
        <w:snapToGrid w:val="0"/>
        <w:spacing w:line="360" w:lineRule="auto"/>
        <w:ind w:left="2244" w:leftChars="304" w:hanging="1606" w:hangingChars="500"/>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rPr>
        <w:t>项目名称：</w:t>
      </w:r>
      <w:r>
        <w:rPr>
          <w:rFonts w:hint="eastAsia" w:ascii="宋体" w:hAnsi="宋体" w:eastAsia="宋体" w:cs="宋体"/>
          <w:b/>
          <w:color w:val="auto"/>
          <w:kern w:val="0"/>
          <w:sz w:val="32"/>
          <w:szCs w:val="32"/>
          <w:highlight w:val="none"/>
          <w:u w:val="single"/>
          <w:lang w:eastAsia="zh-CN"/>
        </w:rPr>
        <w:t>滁州职业技术学院房屋安全性鉴定项目</w:t>
      </w:r>
    </w:p>
    <w:p w14:paraId="5BAB736B">
      <w:pPr>
        <w:tabs>
          <w:tab w:val="left" w:pos="2410"/>
        </w:tabs>
        <w:autoSpaceDE w:val="0"/>
        <w:autoSpaceDN w:val="0"/>
        <w:adjustRightInd w:val="0"/>
        <w:snapToGrid w:val="0"/>
        <w:spacing w:line="360" w:lineRule="auto"/>
        <w:ind w:firstLine="643" w:firstLineChars="200"/>
        <w:rPr>
          <w:rFonts w:hint="default" w:ascii="宋体" w:hAnsi="宋体" w:eastAsia="宋体" w:cs="宋体"/>
          <w:b/>
          <w:color w:val="auto"/>
          <w:spacing w:val="-6"/>
          <w:kern w:val="0"/>
          <w:sz w:val="32"/>
          <w:szCs w:val="32"/>
          <w:highlight w:val="none"/>
          <w:u w:val="single"/>
          <w:lang w:val="en-US" w:eastAsia="zh-CN"/>
        </w:rPr>
      </w:pPr>
      <w:r>
        <w:rPr>
          <w:rFonts w:hint="eastAsia" w:ascii="宋体" w:hAnsi="宋体" w:eastAsia="宋体" w:cs="宋体"/>
          <w:b/>
          <w:color w:val="auto"/>
          <w:kern w:val="0"/>
          <w:sz w:val="32"/>
          <w:szCs w:val="32"/>
          <w:highlight w:val="none"/>
        </w:rPr>
        <w:t>项目编号：</w:t>
      </w:r>
      <w:r>
        <w:rPr>
          <w:rFonts w:hint="eastAsia" w:ascii="宋体" w:hAnsi="宋体" w:eastAsia="宋体" w:cs="宋体"/>
          <w:b/>
          <w:color w:val="auto"/>
          <w:spacing w:val="-6"/>
          <w:kern w:val="0"/>
          <w:sz w:val="32"/>
          <w:szCs w:val="32"/>
          <w:highlight w:val="none"/>
          <w:u w:val="single"/>
          <w:lang w:val="en-US" w:eastAsia="zh-CN"/>
        </w:rPr>
        <w:t xml:space="preserve">czsjcg202607-010 </w:t>
      </w:r>
    </w:p>
    <w:p w14:paraId="4538C7DE">
      <w:pPr>
        <w:tabs>
          <w:tab w:val="left" w:pos="2410"/>
        </w:tabs>
        <w:autoSpaceDE w:val="0"/>
        <w:autoSpaceDN w:val="0"/>
        <w:adjustRightInd w:val="0"/>
        <w:snapToGrid w:val="0"/>
        <w:spacing w:line="360" w:lineRule="auto"/>
        <w:ind w:firstLine="643" w:firstLineChars="200"/>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rPr>
        <w:t>采</w:t>
      </w: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b/>
          <w:color w:val="auto"/>
          <w:kern w:val="0"/>
          <w:sz w:val="32"/>
          <w:szCs w:val="32"/>
          <w:highlight w:val="none"/>
        </w:rPr>
        <w:t>购</w:t>
      </w: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b/>
          <w:color w:val="auto"/>
          <w:kern w:val="0"/>
          <w:sz w:val="32"/>
          <w:szCs w:val="32"/>
          <w:highlight w:val="none"/>
        </w:rPr>
        <w:t>人：</w:t>
      </w:r>
      <w:r>
        <w:rPr>
          <w:rFonts w:hint="eastAsia" w:ascii="宋体" w:hAnsi="宋体" w:eastAsia="宋体" w:cs="宋体"/>
          <w:b/>
          <w:color w:val="auto"/>
          <w:spacing w:val="-6"/>
          <w:kern w:val="0"/>
          <w:sz w:val="32"/>
          <w:szCs w:val="32"/>
          <w:highlight w:val="none"/>
          <w:u w:val="single"/>
          <w:lang w:eastAsia="zh-CN"/>
        </w:rPr>
        <w:t>滁州职业技术学院</w:t>
      </w:r>
    </w:p>
    <w:p w14:paraId="470DF800">
      <w:pPr>
        <w:tabs>
          <w:tab w:val="left" w:pos="2410"/>
        </w:tabs>
        <w:autoSpaceDE w:val="0"/>
        <w:autoSpaceDN w:val="0"/>
        <w:adjustRightInd w:val="0"/>
        <w:snapToGrid w:val="0"/>
        <w:spacing w:line="360" w:lineRule="auto"/>
        <w:ind w:firstLine="643" w:firstLineChars="200"/>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采购代理机构：</w:t>
      </w:r>
      <w:r>
        <w:rPr>
          <w:rFonts w:hint="eastAsia" w:ascii="宋体" w:hAnsi="宋体" w:eastAsia="宋体" w:cs="宋体"/>
          <w:b/>
          <w:color w:val="auto"/>
          <w:kern w:val="0"/>
          <w:sz w:val="32"/>
          <w:szCs w:val="32"/>
          <w:highlight w:val="none"/>
          <w:u w:val="single"/>
        </w:rPr>
        <w:t>滁州市城投工程咨询管理有限公司</w:t>
      </w:r>
    </w:p>
    <w:p w14:paraId="472A026C">
      <w:pPr>
        <w:tabs>
          <w:tab w:val="left" w:pos="2410"/>
        </w:tabs>
        <w:autoSpaceDE w:val="0"/>
        <w:autoSpaceDN w:val="0"/>
        <w:adjustRightInd w:val="0"/>
        <w:snapToGrid w:val="0"/>
        <w:spacing w:line="360" w:lineRule="auto"/>
        <w:ind w:left="2244" w:leftChars="304" w:hanging="1606" w:hangingChars="500"/>
        <w:rPr>
          <w:rFonts w:hint="eastAsia" w:ascii="宋体" w:hAnsi="宋体" w:eastAsia="宋体" w:cs="宋体"/>
          <w:b/>
          <w:color w:val="auto"/>
          <w:kern w:val="0"/>
          <w:sz w:val="32"/>
          <w:szCs w:val="32"/>
          <w:highlight w:val="none"/>
        </w:rPr>
      </w:pPr>
    </w:p>
    <w:p w14:paraId="4EA4673A">
      <w:pPr>
        <w:tabs>
          <w:tab w:val="left" w:pos="2410"/>
        </w:tabs>
        <w:autoSpaceDE w:val="0"/>
        <w:autoSpaceDN w:val="0"/>
        <w:adjustRightInd w:val="0"/>
        <w:snapToGrid w:val="0"/>
        <w:spacing w:line="360" w:lineRule="auto"/>
        <w:jc w:val="center"/>
        <w:rPr>
          <w:rFonts w:ascii="宋体" w:hAnsi="宋体" w:eastAsia="宋体" w:cs="宋体"/>
          <w:b/>
          <w:color w:val="auto"/>
          <w:sz w:val="36"/>
          <w:highlight w:val="none"/>
        </w:rPr>
      </w:pPr>
      <w:r>
        <w:rPr>
          <w:rFonts w:hint="eastAsia" w:ascii="宋体" w:hAnsi="宋体" w:eastAsia="宋体" w:cs="宋体"/>
          <w:b/>
          <w:color w:val="auto"/>
          <w:sz w:val="36"/>
          <w:highlight w:val="none"/>
          <w:u w:val="single"/>
        </w:rPr>
        <w:t xml:space="preserve"> 2026 </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u w:val="single"/>
          <w:lang w:val="en-US" w:eastAsia="zh-CN"/>
        </w:rPr>
        <w:t>7</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rPr>
        <w:t>月</w:t>
      </w:r>
    </w:p>
    <w:p w14:paraId="719323A2">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ascii="宋体" w:hAnsi="宋体" w:eastAsia="宋体"/>
          <w:b/>
          <w:color w:val="auto"/>
          <w:sz w:val="36"/>
          <w:highlight w:val="none"/>
        </w:rPr>
        <w:br w:type="page"/>
      </w:r>
    </w:p>
    <w:p w14:paraId="47923830">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3DDABA00">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p>
    <w:p w14:paraId="7F36F96E">
      <w:pPr>
        <w:pStyle w:val="18"/>
        <w:tabs>
          <w:tab w:val="right" w:leader="dot" w:pos="8279"/>
        </w:tabs>
        <w:rPr>
          <w:rFonts w:hint="eastAsia" w:ascii="宋体" w:hAnsi="宋体" w:eastAsia="宋体" w:cs="宋体"/>
          <w:sz w:val="24"/>
          <w:szCs w:val="24"/>
          <w:highlight w:val="none"/>
        </w:rPr>
      </w:pPr>
      <w:r>
        <w:rPr>
          <w:rFonts w:asciiTheme="minorEastAsia" w:hAnsiTheme="minorEastAsia"/>
          <w:b/>
          <w:color w:val="auto"/>
          <w:sz w:val="32"/>
          <w:highlight w:val="none"/>
        </w:rPr>
        <w:fldChar w:fldCharType="begin"/>
      </w:r>
      <w:r>
        <w:rPr>
          <w:rFonts w:asciiTheme="minorEastAsia" w:hAnsiTheme="minorEastAsia"/>
          <w:b/>
          <w:color w:val="auto"/>
          <w:sz w:val="32"/>
          <w:highlight w:val="none"/>
        </w:rPr>
        <w:instrText xml:space="preserve">TOC \o "1-1" \h \u </w:instrText>
      </w:r>
      <w:r>
        <w:rPr>
          <w:rFonts w:asciiTheme="minorEastAsia" w:hAnsiTheme="minorEastAsia"/>
          <w:b/>
          <w:color w:val="auto"/>
          <w:sz w:val="32"/>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_Toc28808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第一章  磋商邀请</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_Toc28808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E45134A">
      <w:pPr>
        <w:pStyle w:val="18"/>
        <w:tabs>
          <w:tab w:val="right" w:leader="dot" w:pos="8279"/>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_Toc17109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第二章  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_Toc17109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7C8058D">
      <w:pPr>
        <w:pStyle w:val="18"/>
        <w:tabs>
          <w:tab w:val="right" w:leader="dot" w:pos="8279"/>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_Toc14659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第三章  采购需</w:t>
      </w:r>
      <w:bookmarkStart w:id="303" w:name="_GoBack"/>
      <w:bookmarkEnd w:id="303"/>
      <w:r>
        <w:rPr>
          <w:rFonts w:hint="eastAsia" w:ascii="宋体" w:hAnsi="宋体" w:eastAsia="宋体" w:cs="宋体"/>
          <w:sz w:val="24"/>
          <w:szCs w:val="24"/>
          <w:highlight w:val="none"/>
        </w:rPr>
        <w:t>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_Toc14659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27</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6B8DC88">
      <w:pPr>
        <w:pStyle w:val="18"/>
        <w:tabs>
          <w:tab w:val="right" w:leader="dot" w:pos="8279"/>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_Toc30762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第四章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评审方法和标准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_Toc30762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7D52BDF">
      <w:pPr>
        <w:pStyle w:val="18"/>
        <w:tabs>
          <w:tab w:val="right" w:leader="dot" w:pos="8279"/>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_Toc22097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第五章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政府采购合同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_Toc22097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93184F1">
      <w:pPr>
        <w:pStyle w:val="18"/>
        <w:tabs>
          <w:tab w:val="right" w:leader="dot" w:pos="8279"/>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_Toc9979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第六章  响应文件格式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_Toc9979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57</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6D11E52">
      <w:pPr>
        <w:pStyle w:val="18"/>
        <w:tabs>
          <w:tab w:val="right" w:leader="dot" w:pos="8279"/>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_Toc145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第七章  政府采购</w:t>
      </w:r>
      <w:r>
        <w:rPr>
          <w:rFonts w:hint="eastAsia" w:ascii="宋体" w:hAnsi="宋体" w:eastAsia="宋体" w:cs="宋体"/>
          <w:sz w:val="24"/>
          <w:szCs w:val="24"/>
          <w:highlight w:val="none"/>
        </w:rPr>
        <w:t>供应</w:t>
      </w:r>
      <w:r>
        <w:rPr>
          <w:rFonts w:hint="eastAsia" w:ascii="宋体" w:hAnsi="宋体" w:eastAsia="宋体" w:cs="宋体"/>
          <w:bCs/>
          <w:sz w:val="24"/>
          <w:szCs w:val="24"/>
          <w:highlight w:val="none"/>
        </w:rPr>
        <w:t>商询问函和质疑函范本</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70</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5B04BAE">
      <w:pPr>
        <w:pStyle w:val="18"/>
        <w:tabs>
          <w:tab w:val="right" w:leader="dot" w:pos="8279"/>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_Toc32335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
        </w:rPr>
        <w:t>附件1关于联合惩戒失信行为加强信用查询管理的通知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_Toc32335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73</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246CAAD">
      <w:pPr>
        <w:pStyle w:val="18"/>
        <w:tabs>
          <w:tab w:val="right" w:leader="dot" w:pos="8279"/>
        </w:tabs>
        <w:rPr>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_Toc29061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
        </w:rPr>
        <w:t>附件2“信用中国”查询的严重失信行为类别及判定依据</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_Toc29061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D2F3BEE">
      <w:pPr>
        <w:pStyle w:val="19"/>
        <w:tabs>
          <w:tab w:val="right" w:leader="dot" w:pos="8296"/>
        </w:tabs>
        <w:rPr>
          <w:rFonts w:asciiTheme="minorEastAsia" w:hAnsiTheme="minorEastAsia"/>
          <w:b/>
          <w:color w:val="auto"/>
          <w:sz w:val="32"/>
          <w:highlight w:val="none"/>
        </w:rPr>
      </w:pPr>
      <w:r>
        <w:rPr>
          <w:rFonts w:asciiTheme="minorEastAsia" w:hAnsiTheme="minorEastAsia"/>
          <w:color w:val="auto"/>
          <w:highlight w:val="none"/>
        </w:rPr>
        <w:fldChar w:fldCharType="end"/>
      </w:r>
    </w:p>
    <w:p w14:paraId="07BDC853">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09734234">
      <w:pPr>
        <w:spacing w:line="360" w:lineRule="auto"/>
        <w:jc w:val="center"/>
        <w:outlineLvl w:val="0"/>
        <w:rPr>
          <w:rFonts w:asciiTheme="minorEastAsia" w:hAnsiTheme="minorEastAsia" w:eastAsiaTheme="minorEastAsia"/>
          <w:b/>
          <w:color w:val="auto"/>
          <w:sz w:val="28"/>
          <w:highlight w:val="none"/>
        </w:rPr>
      </w:pPr>
      <w:bookmarkStart w:id="1" w:name="_Toc28808"/>
      <w:bookmarkStart w:id="2" w:name="_Toc19988"/>
      <w:bookmarkStart w:id="3" w:name="_Toc501"/>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bookmarkEnd w:id="2"/>
      <w:bookmarkEnd w:id="3"/>
    </w:p>
    <w:p w14:paraId="65CFC92C">
      <w:pPr>
        <w:autoSpaceDE w:val="0"/>
        <w:autoSpaceDN w:val="0"/>
        <w:adjustRightInd w:val="0"/>
        <w:spacing w:line="480" w:lineRule="exact"/>
        <w:ind w:firstLine="436" w:firstLineChars="182"/>
        <w:jc w:val="left"/>
        <w:rPr>
          <w:rFonts w:ascii="宋体" w:hAnsi="宋体" w:eastAsia="宋体" w:cs="宋体"/>
          <w:color w:val="auto"/>
          <w:sz w:val="24"/>
          <w:szCs w:val="24"/>
          <w:highlight w:val="none"/>
        </w:rPr>
      </w:pPr>
      <w:bookmarkStart w:id="4" w:name="_Toc7162"/>
      <w:r>
        <w:rPr>
          <w:rFonts w:hint="eastAsia" w:ascii="宋体" w:hAnsi="宋体" w:eastAsia="宋体" w:cs="宋体"/>
          <w:color w:val="auto"/>
          <w:sz w:val="24"/>
          <w:szCs w:val="24"/>
          <w:highlight w:val="none"/>
        </w:rPr>
        <w:t>项目概况</w:t>
      </w:r>
    </w:p>
    <w:p w14:paraId="648EA412">
      <w:pPr>
        <w:autoSpaceDE w:val="0"/>
        <w:autoSpaceDN w:val="0"/>
        <w:adjustRightInd w:val="0"/>
        <w:spacing w:line="480" w:lineRule="exact"/>
        <w:ind w:firstLine="436" w:firstLineChars="182"/>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滁州职业技术学院房屋安全性鉴定项目</w:t>
      </w:r>
      <w:r>
        <w:rPr>
          <w:rFonts w:hint="eastAsia" w:ascii="宋体" w:hAnsi="宋体" w:eastAsia="宋体" w:cs="宋体"/>
          <w:color w:val="auto"/>
          <w:sz w:val="24"/>
          <w:szCs w:val="24"/>
          <w:highlight w:val="none"/>
        </w:rPr>
        <w:t>的潜在供应商应在滁州市公共资源交易中心网（http://ggzy.chuzhou.gov.cn/）获取采购文件，并于2026年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分（北京时间）前递交响应文件。</w:t>
      </w:r>
    </w:p>
    <w:p w14:paraId="4AE71D09">
      <w:pPr>
        <w:spacing w:line="480" w:lineRule="exact"/>
        <w:ind w:firstLine="435"/>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一、项目名称及内容</w:t>
      </w:r>
    </w:p>
    <w:p w14:paraId="771014F7">
      <w:pPr>
        <w:autoSpaceDE w:val="0"/>
        <w:autoSpaceDN w:val="0"/>
        <w:adjustRightInd w:val="0"/>
        <w:spacing w:line="480" w:lineRule="exact"/>
        <w:ind w:firstLine="436" w:firstLineChars="1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项目编号：czsjcg202607-010 </w:t>
      </w:r>
    </w:p>
    <w:p w14:paraId="58733C5A">
      <w:pPr>
        <w:autoSpaceDE w:val="0"/>
        <w:autoSpaceDN w:val="0"/>
        <w:adjustRightInd w:val="0"/>
        <w:spacing w:line="480" w:lineRule="exact"/>
        <w:ind w:firstLine="436" w:firstLineChars="182"/>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滁州职业技术学院房屋安全性鉴定项目</w:t>
      </w:r>
    </w:p>
    <w:p w14:paraId="54489BFF">
      <w:pPr>
        <w:autoSpaceDE w:val="0"/>
        <w:autoSpaceDN w:val="0"/>
        <w:adjustRightInd w:val="0"/>
        <w:spacing w:line="480" w:lineRule="exact"/>
        <w:ind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采购方式：竞争性磋商</w:t>
      </w:r>
    </w:p>
    <w:p w14:paraId="731A8EFF">
      <w:pPr>
        <w:autoSpaceDE w:val="0"/>
        <w:autoSpaceDN w:val="0"/>
        <w:adjustRightInd w:val="0"/>
        <w:spacing w:line="480" w:lineRule="exact"/>
        <w:ind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882000.00</w:t>
      </w:r>
      <w:r>
        <w:rPr>
          <w:rFonts w:hint="eastAsia" w:ascii="宋体" w:hAnsi="宋体" w:eastAsia="宋体" w:cs="宋体"/>
          <w:color w:val="auto"/>
          <w:sz w:val="24"/>
          <w:szCs w:val="24"/>
          <w:highlight w:val="none"/>
        </w:rPr>
        <w:t xml:space="preserve">元； </w:t>
      </w:r>
    </w:p>
    <w:p w14:paraId="02F497B7">
      <w:pPr>
        <w:autoSpaceDE w:val="0"/>
        <w:autoSpaceDN w:val="0"/>
        <w:adjustRightInd w:val="0"/>
        <w:spacing w:line="480" w:lineRule="exact"/>
        <w:ind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882000.00元</w:t>
      </w:r>
      <w:r>
        <w:rPr>
          <w:rFonts w:hint="eastAsia" w:ascii="宋体" w:hAnsi="宋体" w:eastAsia="宋体" w:cs="宋体"/>
          <w:color w:val="auto"/>
          <w:sz w:val="24"/>
          <w:szCs w:val="24"/>
          <w:highlight w:val="none"/>
        </w:rPr>
        <w:t>（综合单价最高限价为3.00元/平方米），</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总价和综合单价报价均不得高于各最高限价，否则按无效响应处理。</w:t>
      </w:r>
    </w:p>
    <w:p w14:paraId="56BF59FA">
      <w:pPr>
        <w:pStyle w:val="71"/>
        <w:spacing w:line="500" w:lineRule="exact"/>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w:t>
      </w:r>
      <w:r>
        <w:rPr>
          <w:rFonts w:hint="eastAsia" w:ascii="宋体" w:hAnsi="宋体" w:eastAsia="宋体" w:cs="宋体"/>
          <w:color w:val="auto"/>
          <w:kern w:val="2"/>
          <w:sz w:val="24"/>
          <w:szCs w:val="24"/>
          <w:highlight w:val="none"/>
          <w:lang w:val="en-US" w:eastAsia="zh-CN" w:bidi="ar-SA"/>
        </w:rPr>
        <w:t>滁州职业技术学院共有南、北两个校区，北校区（新校区）有17处房产，合计总建筑面积约为22.58万㎡；南校区（原技师学院）有8处房产，合计总建筑面积约为6.84万㎡，上述房屋最早于2005年建成并投入使用。根据相关规范要求，负责编制《房屋结构安全性鉴定报告》（含抗震、地基基础、主体结构和钢结构鉴定等相关内容），满足属地相关行政主管部门要求并完成备案。</w:t>
      </w:r>
    </w:p>
    <w:p w14:paraId="347D6587">
      <w:pPr>
        <w:autoSpaceDE w:val="0"/>
        <w:autoSpaceDN w:val="0"/>
        <w:adjustRightInd w:val="0"/>
        <w:spacing w:line="480" w:lineRule="exact"/>
        <w:ind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lang w:val="en-US" w:eastAsia="zh-CN"/>
        </w:rPr>
        <w:t>自合同签订之日起30个日历天内完成项目鉴定内容。</w:t>
      </w:r>
    </w:p>
    <w:p w14:paraId="0A4AA876">
      <w:pPr>
        <w:autoSpaceDE w:val="0"/>
        <w:autoSpaceDN w:val="0"/>
        <w:adjustRightInd w:val="0"/>
        <w:spacing w:line="480" w:lineRule="exact"/>
        <w:ind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w:t>
      </w:r>
    </w:p>
    <w:p w14:paraId="563073A3">
      <w:pPr>
        <w:spacing w:line="480" w:lineRule="exact"/>
        <w:ind w:firstLine="435"/>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申请人的资格要求</w:t>
      </w:r>
    </w:p>
    <w:p w14:paraId="3E6C11C2">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404B104D">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1F54A757">
      <w:pPr>
        <w:spacing w:line="360" w:lineRule="auto"/>
        <w:ind w:firstLine="435"/>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3.本项目的特定资格要求：</w:t>
      </w:r>
      <w:r>
        <w:rPr>
          <w:rFonts w:hint="eastAsia" w:ascii="宋体" w:hAnsi="宋体" w:eastAsia="宋体" w:cs="宋体"/>
          <w:color w:val="auto"/>
          <w:sz w:val="24"/>
          <w:szCs w:val="24"/>
          <w:highlight w:val="none"/>
          <w:lang w:val="en-US" w:eastAsia="zh-CN"/>
        </w:rPr>
        <w:t>供应商须具备下列条件之一：</w:t>
      </w:r>
    </w:p>
    <w:p w14:paraId="38452DF8">
      <w:pPr>
        <w:keepNext w:val="0"/>
        <w:keepLines w:val="0"/>
        <w:widowControl w:val="0"/>
        <w:suppressLineNumbers w:val="0"/>
        <w:autoSpaceDE w:val="0"/>
        <w:autoSpaceDN w:val="0"/>
        <w:adjustRightInd w:val="0"/>
        <w:spacing w:before="0" w:beforeAutospacing="0" w:after="0" w:afterAutospacing="0" w:line="480" w:lineRule="exact"/>
        <w:ind w:left="0" w:right="0" w:firstLine="436" w:firstLineChars="1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①具有建设主管部门颁发的有效期内的建设工程质量检测机构综合资质证书；</w:t>
      </w:r>
    </w:p>
    <w:p w14:paraId="610E7B26">
      <w:pPr>
        <w:keepNext w:val="0"/>
        <w:keepLines w:val="0"/>
        <w:widowControl w:val="0"/>
        <w:suppressLineNumbers w:val="0"/>
        <w:autoSpaceDE w:val="0"/>
        <w:autoSpaceDN w:val="0"/>
        <w:adjustRightInd w:val="0"/>
        <w:spacing w:before="0" w:beforeAutospacing="0" w:after="0" w:afterAutospacing="0" w:line="480" w:lineRule="exact"/>
        <w:ind w:left="0" w:right="0" w:firstLine="436" w:firstLineChars="1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②具有建设主管部门颁发的有效期内的建设工程质量检测机构专项资质证书（专项资质须同时包括：地基基础、主体结构及装饰装修、钢结构）</w:t>
      </w:r>
      <w:r>
        <w:rPr>
          <w:rFonts w:hint="eastAsia" w:ascii="宋体" w:hAnsi="宋体" w:eastAsia="宋体" w:cs="宋体"/>
          <w:color w:val="auto"/>
          <w:kern w:val="2"/>
          <w:sz w:val="24"/>
          <w:szCs w:val="24"/>
          <w:highlight w:val="none"/>
          <w:lang w:val="en-US" w:eastAsia="zh-CN" w:bidi="ar"/>
        </w:rPr>
        <w:t>。</w:t>
      </w:r>
    </w:p>
    <w:p w14:paraId="44C417BC">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4.信誉要求：供应商不得存在以下情形：</w:t>
      </w:r>
    </w:p>
    <w:p w14:paraId="6E257E52">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①被列入“信用中国”网站“失信被执行人”的；</w:t>
      </w:r>
    </w:p>
    <w:p w14:paraId="68575F92">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②被列入“信用中国”网站“重大税收违法失信主体”的；</w:t>
      </w:r>
    </w:p>
    <w:p w14:paraId="5CCA54C3">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③被列入“信用中国”网站“严重失信主体名单”的；</w:t>
      </w:r>
    </w:p>
    <w:p w14:paraId="7FFDE20F">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④在“信用中国”网站上披露的仍在公示期的严重失信行为(具体行为类别及判定依据见“信用中国”查询的严重失信行为类别及判定依据)的。</w:t>
      </w:r>
    </w:p>
    <w:p w14:paraId="787B1341">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⑤被列入国家企业信用信息公示系统网站“经营异常名录”或者“严重违法失信名单”的。</w:t>
      </w:r>
    </w:p>
    <w:p w14:paraId="156EDDCA">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⑥被列入中国政府采购网站“政府采购严重违法失信行为信息记录”的。</w:t>
      </w:r>
    </w:p>
    <w:p w14:paraId="0B69A00A">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⑦前三年有行贿犯罪行为的单位和个人。</w:t>
      </w:r>
    </w:p>
    <w:p w14:paraId="553CCC3C">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5.供应商所属分公司、办事处等分支机构存在第4条信誉要求①-</w:t>
      </w:r>
      <w:r>
        <w:rPr>
          <w:rFonts w:hint="eastAsia" w:ascii="宋体" w:hAnsi="宋体" w:eastAsia="宋体" w:cs="宋体"/>
          <w:color w:val="auto"/>
          <w:sz w:val="24"/>
          <w:szCs w:val="24"/>
          <w:highlight w:val="none"/>
          <w:lang w:val="en-US" w:eastAsia="zh-CN"/>
        </w:rPr>
        <w:t>⑦</w:t>
      </w:r>
      <w:r>
        <w:rPr>
          <w:rFonts w:hint="eastAsia" w:ascii="宋体" w:hAnsi="宋体" w:eastAsia="宋体" w:cs="宋体"/>
          <w:color w:val="auto"/>
          <w:sz w:val="24"/>
          <w:szCs w:val="24"/>
          <w:highlight w:val="none"/>
        </w:rPr>
        <w:t>项情形之一的，接受供应商参加本项目；</w:t>
      </w:r>
    </w:p>
    <w:p w14:paraId="187D4E71">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备注：第4、5条按照“关于联合惩戒失信行为加强信用查询管理的通知”查询或承诺。</w:t>
      </w:r>
    </w:p>
    <w:p w14:paraId="7E48817D">
      <w:pPr>
        <w:spacing w:line="480" w:lineRule="exact"/>
        <w:ind w:firstLine="435"/>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w:t>
      </w:r>
      <w:r>
        <w:rPr>
          <w:rFonts w:hint="eastAsia" w:ascii="宋体" w:hAnsi="宋体" w:eastAsia="宋体" w:cs="宋体"/>
          <w:b/>
          <w:color w:val="auto"/>
          <w:sz w:val="24"/>
          <w:szCs w:val="24"/>
          <w:highlight w:val="none"/>
        </w:rPr>
        <w:t>、获取采购文件</w:t>
      </w:r>
    </w:p>
    <w:p w14:paraId="4A114082">
      <w:pPr>
        <w:adjustRightInd w:val="0"/>
        <w:snapToGrid w:val="0"/>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7</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7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17 </w:t>
      </w:r>
      <w:r>
        <w:rPr>
          <w:rFonts w:hint="eastAsia" w:ascii="宋体" w:hAnsi="宋体" w:eastAsia="宋体" w:cs="宋体"/>
          <w:color w:val="auto"/>
          <w:sz w:val="24"/>
          <w:szCs w:val="24"/>
          <w:highlight w:val="none"/>
        </w:rPr>
        <w:t>日（磋商文件的发售期限自开始之日起不得少于5个工作日）</w:t>
      </w:r>
    </w:p>
    <w:p w14:paraId="369C1945">
      <w:pPr>
        <w:adjustRightInd w:val="0"/>
        <w:snapToGrid w:val="0"/>
        <w:spacing w:line="48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滁州市公共资源交易中心网</w:t>
      </w:r>
    </w:p>
    <w:p w14:paraId="2F67AA7F">
      <w:pPr>
        <w:autoSpaceDE w:val="0"/>
        <w:spacing w:line="48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网上下载</w:t>
      </w:r>
    </w:p>
    <w:p w14:paraId="412CCB49">
      <w:pPr>
        <w:autoSpaceDE w:val="0"/>
        <w:spacing w:line="48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售价：</w:t>
      </w:r>
      <w:r>
        <w:rPr>
          <w:rFonts w:hint="eastAsia" w:ascii="宋体" w:hAnsi="宋体" w:eastAsia="宋体" w:cs="宋体"/>
          <w:color w:val="auto"/>
          <w:sz w:val="24"/>
          <w:szCs w:val="24"/>
          <w:highlight w:val="none"/>
          <w:u w:val="single"/>
        </w:rPr>
        <w:t>0元</w:t>
      </w:r>
    </w:p>
    <w:p w14:paraId="4F922194">
      <w:pPr>
        <w:spacing w:line="480" w:lineRule="exact"/>
        <w:ind w:firstLine="435"/>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响应文件提交</w:t>
      </w:r>
    </w:p>
    <w:p w14:paraId="7D57F4D7">
      <w:pPr>
        <w:spacing w:line="48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2026</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17</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lang w:val="en-US" w:eastAsia="zh-CN"/>
        </w:rPr>
        <w:t>8</w:t>
      </w:r>
      <w:r>
        <w:rPr>
          <w:rFonts w:hint="eastAsia" w:ascii="宋体" w:hAnsi="宋体" w:eastAsia="宋体" w:cs="宋体"/>
          <w:bCs/>
          <w:color w:val="auto"/>
          <w:sz w:val="24"/>
          <w:szCs w:val="24"/>
          <w:highlight w:val="none"/>
        </w:rPr>
        <w:t>点</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0</w:t>
      </w:r>
      <w:r>
        <w:rPr>
          <w:rFonts w:hint="eastAsia" w:ascii="宋体" w:hAnsi="宋体" w:eastAsia="宋体" w:cs="宋体"/>
          <w:bCs/>
          <w:color w:val="auto"/>
          <w:sz w:val="24"/>
          <w:szCs w:val="24"/>
          <w:highlight w:val="none"/>
        </w:rPr>
        <w:t>分（北京时间）（从磋商文件开始发出之日起至供应商提交首次响应文件截止之日止不得少于10日）</w:t>
      </w:r>
    </w:p>
    <w:p w14:paraId="7598B083">
      <w:pPr>
        <w:spacing w:line="48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地点：滁州市公共资源交易平台电子交易系统</w:t>
      </w:r>
    </w:p>
    <w:p w14:paraId="37729193">
      <w:pPr>
        <w:spacing w:line="480" w:lineRule="exact"/>
        <w:ind w:firstLine="435"/>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开启</w:t>
      </w:r>
    </w:p>
    <w:p w14:paraId="7AB04FE1">
      <w:pPr>
        <w:adjustRightInd w:val="0"/>
        <w:snapToGrid w:val="0"/>
        <w:spacing w:line="48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2026</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7</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17</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lang w:val="en-US" w:eastAsia="zh-CN"/>
        </w:rPr>
        <w:t>8</w:t>
      </w:r>
      <w:r>
        <w:rPr>
          <w:rFonts w:hint="eastAsia" w:ascii="宋体" w:hAnsi="宋体" w:eastAsia="宋体" w:cs="宋体"/>
          <w:bCs/>
          <w:color w:val="auto"/>
          <w:sz w:val="24"/>
          <w:szCs w:val="24"/>
          <w:highlight w:val="none"/>
        </w:rPr>
        <w:t>点</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0</w:t>
      </w:r>
      <w:r>
        <w:rPr>
          <w:rFonts w:hint="eastAsia" w:ascii="宋体" w:hAnsi="宋体" w:eastAsia="宋体" w:cs="宋体"/>
          <w:bCs/>
          <w:color w:val="auto"/>
          <w:sz w:val="24"/>
          <w:szCs w:val="24"/>
          <w:highlight w:val="none"/>
        </w:rPr>
        <w:t>分（北京时间）</w:t>
      </w:r>
    </w:p>
    <w:p w14:paraId="33F88DF8">
      <w:pPr>
        <w:adjustRightInd w:val="0"/>
        <w:snapToGrid w:val="0"/>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地点：滁州市公共资源交易平台电子交易系统</w:t>
      </w:r>
    </w:p>
    <w:p w14:paraId="1E53E748">
      <w:pPr>
        <w:spacing w:line="480" w:lineRule="exact"/>
        <w:ind w:firstLine="435"/>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408AB06D">
      <w:pPr>
        <w:adjustRightInd w:val="0"/>
        <w:snapToGrid w:val="0"/>
        <w:spacing w:line="48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自本公告发布之日起3个工作日。</w:t>
      </w:r>
    </w:p>
    <w:p w14:paraId="129AF461">
      <w:pPr>
        <w:spacing w:line="480" w:lineRule="exact"/>
        <w:ind w:firstLine="435"/>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七、其他补充事宜</w:t>
      </w:r>
    </w:p>
    <w:p w14:paraId="03D49B27">
      <w:pPr>
        <w:wordWrap w:val="0"/>
        <w:autoSpaceDE w:val="0"/>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只接受在安徽省公共资源交易市场主体库（http://ggzy.ah.gov.cn/ahggfwpt-zhutiku/dengludenglu）登记并进行信息确认提交的供应商参与，未登记的供应商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w:t>
      </w:r>
      <w:r>
        <w:rPr>
          <w:rFonts w:hint="eastAsia" w:ascii="宋体" w:hAnsi="宋体" w:eastAsia="宋体" w:cs="宋体"/>
          <w:color w:val="auto"/>
          <w:sz w:val="24"/>
          <w:szCs w:val="24"/>
          <w:highlight w:val="none"/>
          <w:lang w:eastAsia="zh-CN"/>
        </w:rPr>
        <w:t>400-615-8899</w:t>
      </w:r>
      <w:r>
        <w:rPr>
          <w:rFonts w:hint="eastAsia" w:ascii="宋体" w:hAnsi="宋体" w:eastAsia="宋体" w:cs="宋体"/>
          <w:color w:val="auto"/>
          <w:sz w:val="24"/>
          <w:szCs w:val="24"/>
          <w:highlight w:val="none"/>
        </w:rPr>
        <w:t>、0550-3019013（工作日），CFCA客服025-66085508 、0550-3801669（工作日）；3.市场主体招标环节和投标环节系统使用问题：</w:t>
      </w:r>
      <w:r>
        <w:rPr>
          <w:rFonts w:hint="eastAsia" w:ascii="宋体" w:hAnsi="宋体" w:eastAsia="宋体" w:cs="宋体"/>
          <w:color w:val="auto"/>
          <w:sz w:val="24"/>
          <w:szCs w:val="24"/>
          <w:highlight w:val="none"/>
          <w:lang w:eastAsia="zh-CN"/>
        </w:rPr>
        <w:t>0512-58188516</w:t>
      </w:r>
      <w:r>
        <w:rPr>
          <w:rFonts w:hint="eastAsia" w:ascii="宋体" w:hAnsi="宋体" w:eastAsia="宋体" w:cs="宋体"/>
          <w:color w:val="auto"/>
          <w:sz w:val="24"/>
          <w:szCs w:val="24"/>
          <w:highlight w:val="none"/>
        </w:rPr>
        <w:t>（8：00-21：00）、0550-3801701（工作日）。因未及时通过CA数字证书登录省主体库对相关信息进行补充完善并确认提交，导致无法参与本项目的，责任自负。为保证系统使用过程中产生的问题能够及时得到解决，请各主体进行主体信息登记、更新、响应文件制作等相关操作。</w:t>
      </w:r>
    </w:p>
    <w:p w14:paraId="62A9DA4E">
      <w:pPr>
        <w:wordWrap w:val="0"/>
        <w:autoSpaceDE w:val="0"/>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2.请供应商登录滁州市公共资源交易中心网站查看参加本项目的程序。（具体操作步骤和程序请参见服务指南&gt;交易须知&gt;投标人填写投标信息、下载文件及网上提问操作手册）。</w:t>
      </w:r>
    </w:p>
    <w:p w14:paraId="10B59280">
      <w:pPr>
        <w:wordWrap w:val="0"/>
        <w:autoSpaceDE w:val="0"/>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采用不见面（远程解密)方式，开启时供应商无须至现场进行解密，采取远程解密方式解密响应文件，解密方式为：供应商在开启时间前使用CA数字证书登录滁州市“不见面开标系统”，网址为https://ggzy.chuzhou.gov.cn/BidOpening,等待开启并按系统提示进行相应的供应商解密等事项，无需到现场。采用本方式可以观看开启现场音视频直播并进行互动交流。具体操作方法见中心网站&gt;服务指南&gt;交易须知中的《滁州市不见面开标系统操作手册》。</w:t>
      </w:r>
    </w:p>
    <w:p w14:paraId="677F3327">
      <w:pPr>
        <w:wordWrap w:val="0"/>
        <w:autoSpaceDE w:val="0"/>
        <w:spacing w:line="48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供应商接到远程解密指令后，须在规定时间内解密。因供应商自身原因导致响应文件在规定时间内未能解密、解密失败或解密超时，响应文件无效；因采购代理机构原因或网上平台发生故障，导致无法按时完成响应文件解密的，经采购代理机构申请后可延迟解密时间。</w:t>
      </w:r>
    </w:p>
    <w:p w14:paraId="27668B59">
      <w:pPr>
        <w:spacing w:line="360" w:lineRule="auto"/>
        <w:ind w:firstLine="435"/>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凡对本次采购提出询问，请按以下方式联系</w:t>
      </w:r>
    </w:p>
    <w:p w14:paraId="2ECFB497">
      <w:pPr>
        <w:spacing w:line="360" w:lineRule="auto"/>
        <w:ind w:firstLine="437"/>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4DDDFC55">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lang w:eastAsia="zh-CN"/>
        </w:rPr>
        <w:t>滁州职业技术学院</w:t>
      </w:r>
    </w:p>
    <w:p w14:paraId="7AFC25AA">
      <w:pPr>
        <w:spacing w:line="360" w:lineRule="auto"/>
        <w:ind w:firstLine="435"/>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eastAsia="zh-CN"/>
        </w:rPr>
        <w:t>安徽省滁州市丰乐大道2188号</w:t>
      </w:r>
    </w:p>
    <w:p w14:paraId="5634A82C">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易老师、</w:t>
      </w:r>
      <w:r>
        <w:rPr>
          <w:rFonts w:hint="eastAsia" w:ascii="宋体" w:hAnsi="宋体" w:eastAsia="宋体" w:cs="宋体"/>
          <w:color w:val="auto"/>
          <w:sz w:val="24"/>
          <w:szCs w:val="24"/>
          <w:highlight w:val="none"/>
          <w:u w:val="single"/>
          <w:lang w:eastAsia="zh-CN"/>
        </w:rPr>
        <w:t>陈老师、李老师</w:t>
      </w:r>
    </w:p>
    <w:p w14:paraId="758B71D6">
      <w:pPr>
        <w:spacing w:line="360" w:lineRule="auto"/>
        <w:ind w:firstLine="437"/>
        <w:outlineLvl w:val="2"/>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lang w:eastAsia="zh-CN"/>
        </w:rPr>
        <w:t>0550</w:t>
      </w:r>
      <w:r>
        <w:rPr>
          <w:rFonts w:hint="eastAsia" w:ascii="宋体" w:hAnsi="宋体" w:eastAsia="宋体" w:cs="宋体"/>
          <w:color w:val="auto"/>
          <w:sz w:val="24"/>
          <w:szCs w:val="24"/>
          <w:highlight w:val="none"/>
          <w:u w:val="single"/>
          <w:lang w:val="en-US" w:eastAsia="zh-CN"/>
        </w:rPr>
        <w:t>-3854572、0550</w:t>
      </w:r>
      <w:r>
        <w:rPr>
          <w:rFonts w:hint="eastAsia" w:ascii="宋体" w:hAnsi="宋体" w:eastAsia="宋体" w:cs="宋体"/>
          <w:color w:val="auto"/>
          <w:sz w:val="24"/>
          <w:szCs w:val="24"/>
          <w:highlight w:val="none"/>
          <w:u w:val="single"/>
          <w:lang w:eastAsia="zh-CN"/>
        </w:rPr>
        <w:t>-3854662</w:t>
      </w:r>
    </w:p>
    <w:p w14:paraId="66838953">
      <w:pPr>
        <w:spacing w:line="360" w:lineRule="auto"/>
        <w:ind w:firstLine="437"/>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507D4E62">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滁州市城投工程咨询管理有限公司</w:t>
      </w:r>
    </w:p>
    <w:p w14:paraId="71F00B7D">
      <w:pPr>
        <w:spacing w:line="360" w:lineRule="auto"/>
        <w:ind w:firstLine="435"/>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滁州市龙蟠大道109号房产商务大厦6楼</w:t>
      </w:r>
    </w:p>
    <w:p w14:paraId="585D535A">
      <w:pPr>
        <w:spacing w:line="360" w:lineRule="auto"/>
        <w:ind w:firstLine="435"/>
        <w:rPr>
          <w:rFonts w:hint="eastAsia" w:ascii="宋体" w:hAnsi="宋体" w:eastAsia="宋体" w:cs="宋体"/>
          <w:color w:val="auto"/>
          <w:szCs w:val="21"/>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eastAsia="zh-CN"/>
        </w:rPr>
        <w:t>胡国庆</w:t>
      </w:r>
    </w:p>
    <w:p w14:paraId="6AE6A654">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lang w:eastAsia="zh-CN"/>
        </w:rPr>
        <w:t>0550-3519517、18005500950</w:t>
      </w:r>
    </w:p>
    <w:p w14:paraId="4153D2A8">
      <w:pPr>
        <w:spacing w:line="360" w:lineRule="auto"/>
        <w:ind w:firstLine="437"/>
        <w:outlineLvl w:val="2"/>
        <w:rPr>
          <w:rFonts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政府采购监督管理部门信息</w:t>
      </w:r>
    </w:p>
    <w:p w14:paraId="39D85075">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滁州市公共资源交易监督管理局</w:t>
      </w:r>
    </w:p>
    <w:p w14:paraId="385F7037">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滁州市龙蟠大道109号房产大厦三楼</w:t>
      </w:r>
    </w:p>
    <w:p w14:paraId="36398658">
      <w:pPr>
        <w:spacing w:line="360" w:lineRule="auto"/>
        <w:ind w:firstLine="435"/>
        <w:rPr>
          <w:rFonts w:hint="default" w:ascii="宋体" w:hAnsi="宋体" w:eastAsia="宋体" w:cs="宋体"/>
          <w:color w:val="auto"/>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0550-38016</w:t>
      </w:r>
      <w:r>
        <w:rPr>
          <w:rFonts w:hint="eastAsia" w:ascii="宋体" w:hAnsi="宋体" w:eastAsia="宋体" w:cs="宋体"/>
          <w:color w:val="auto"/>
          <w:sz w:val="24"/>
          <w:szCs w:val="24"/>
          <w:highlight w:val="none"/>
          <w:u w:val="single"/>
          <w:lang w:val="en-US" w:eastAsia="zh-CN"/>
        </w:rPr>
        <w:t>01</w:t>
      </w:r>
    </w:p>
    <w:p w14:paraId="465F2B34">
      <w:pP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3162F7FE">
      <w:pPr>
        <w:spacing w:line="360" w:lineRule="auto"/>
        <w:jc w:val="center"/>
        <w:outlineLvl w:val="0"/>
        <w:rPr>
          <w:rFonts w:asciiTheme="minorEastAsia" w:hAnsiTheme="minorEastAsia" w:eastAsiaTheme="minorEastAsia"/>
          <w:b/>
          <w:color w:val="auto"/>
          <w:sz w:val="28"/>
          <w:highlight w:val="none"/>
        </w:rPr>
      </w:pPr>
      <w:bookmarkStart w:id="5" w:name="_Toc17109"/>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4"/>
      <w:bookmarkEnd w:id="5"/>
    </w:p>
    <w:p w14:paraId="19AC5941">
      <w:pPr>
        <w:spacing w:line="360" w:lineRule="auto"/>
        <w:jc w:val="center"/>
        <w:outlineLvl w:val="1"/>
        <w:rPr>
          <w:rFonts w:asciiTheme="minorEastAsia" w:hAnsiTheme="minorEastAsia" w:eastAsiaTheme="minorEastAsia"/>
          <w:b/>
          <w:color w:val="auto"/>
          <w:sz w:val="24"/>
          <w:highlight w:val="none"/>
        </w:rPr>
      </w:pPr>
      <w:bookmarkStart w:id="6" w:name="_Toc11383"/>
      <w:bookmarkStart w:id="7" w:name="_Toc11709"/>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6"/>
      <w:bookmarkEnd w:id="7"/>
    </w:p>
    <w:p w14:paraId="500EE0D3">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4"/>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031"/>
        <w:gridCol w:w="5722"/>
      </w:tblGrid>
      <w:tr w14:paraId="0357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3E46B72F">
            <w:pPr>
              <w:pStyle w:val="43"/>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60" w:type="pct"/>
            <w:vAlign w:val="center"/>
          </w:tcPr>
          <w:p w14:paraId="158038D3">
            <w:pPr>
              <w:pStyle w:val="43"/>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67" w:type="pct"/>
            <w:vAlign w:val="center"/>
          </w:tcPr>
          <w:p w14:paraId="79195AFE">
            <w:pPr>
              <w:pStyle w:val="43"/>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428C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F085B59">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5</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2227" w:type="dxa"/>
            <w:vAlign w:val="center"/>
          </w:tcPr>
          <w:p w14:paraId="326BA86C">
            <w:pPr>
              <w:pStyle w:val="43"/>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cs="宋体"/>
                <w:b w:val="0"/>
                <w:color w:val="auto"/>
                <w:kern w:val="2"/>
                <w:sz w:val="24"/>
                <w:szCs w:val="22"/>
                <w:highlight w:val="none"/>
              </w:rPr>
              <w:t>现场考察或标前答疑会</w:t>
            </w:r>
          </w:p>
        </w:tc>
        <w:tc>
          <w:tcPr>
            <w:tcW w:w="6274" w:type="dxa"/>
            <w:vAlign w:val="center"/>
          </w:tcPr>
          <w:p w14:paraId="651DE3E8">
            <w:pPr>
              <w:keepNext w:val="0"/>
              <w:keepLines w:val="0"/>
              <w:suppressLineNumbers w:val="0"/>
              <w:spacing w:before="0" w:beforeAutospacing="0" w:after="0" w:afterAutospacing="0" w:line="360" w:lineRule="auto"/>
              <w:ind w:left="0" w:right="0"/>
              <w:rPr>
                <w:rFonts w:hint="default" w:ascii="宋体" w:hAnsi="宋体" w:eastAsia="宋体" w:cs="宋体"/>
                <w:bCs/>
                <w:color w:val="auto"/>
                <w:sz w:val="24"/>
                <w:szCs w:val="20"/>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0"/>
                <w:highlight w:val="none"/>
              </w:rPr>
              <w:t>不组织或不召开</w:t>
            </w:r>
          </w:p>
          <w:p w14:paraId="50AC5CDF">
            <w:pPr>
              <w:keepNext w:val="0"/>
              <w:keepLines w:val="0"/>
              <w:suppressLineNumbers w:val="0"/>
              <w:spacing w:before="0" w:beforeAutospacing="0" w:after="0" w:afterAutospacing="0" w:line="360" w:lineRule="auto"/>
              <w:ind w:left="0" w:right="0"/>
              <w:rPr>
                <w:rFonts w:hint="default" w:ascii="宋体" w:hAnsi="宋体" w:eastAsia="宋体" w:cs="宋体"/>
                <w:bCs/>
                <w:color w:val="auto"/>
                <w:sz w:val="24"/>
                <w:szCs w:val="20"/>
                <w:highlight w:val="none"/>
              </w:rPr>
            </w:pPr>
            <w:r>
              <w:rPr>
                <w:rFonts w:hint="eastAsia" w:ascii="宋体" w:hAnsi="宋体" w:eastAsia="宋体" w:cs="宋体"/>
                <w:color w:val="auto"/>
                <w:sz w:val="24"/>
                <w:szCs w:val="20"/>
                <w:highlight w:val="none"/>
              </w:rPr>
              <w:t>□</w:t>
            </w:r>
            <w:r>
              <w:rPr>
                <w:rFonts w:hint="eastAsia" w:ascii="宋体" w:hAnsi="宋体" w:eastAsia="宋体" w:cs="宋体"/>
                <w:bCs/>
                <w:color w:val="auto"/>
                <w:sz w:val="24"/>
                <w:szCs w:val="20"/>
                <w:highlight w:val="none"/>
              </w:rPr>
              <w:t>统一组织</w:t>
            </w:r>
          </w:p>
          <w:p w14:paraId="4D6F8317">
            <w:pPr>
              <w:keepNext w:val="0"/>
              <w:keepLines w:val="0"/>
              <w:suppressLineNumbers w:val="0"/>
              <w:spacing w:before="0" w:beforeAutospacing="0" w:after="0" w:afterAutospacing="0" w:line="360" w:lineRule="auto"/>
              <w:ind w:left="0" w:right="0"/>
              <w:rPr>
                <w:rFonts w:hint="default"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时间：</w:t>
            </w:r>
            <w:r>
              <w:rPr>
                <w:rFonts w:hint="eastAsia" w:ascii="宋体" w:hAnsi="宋体" w:eastAsia="宋体" w:cs="宋体"/>
                <w:bCs/>
                <w:color w:val="auto"/>
                <w:sz w:val="24"/>
                <w:szCs w:val="20"/>
                <w:highlight w:val="none"/>
                <w:u w:val="single"/>
              </w:rPr>
              <w:t xml:space="preserve"> /  </w:t>
            </w:r>
            <w:r>
              <w:rPr>
                <w:rFonts w:hint="eastAsia" w:ascii="宋体" w:hAnsi="宋体" w:eastAsia="宋体" w:cs="宋体"/>
                <w:bCs/>
                <w:color w:val="auto"/>
                <w:sz w:val="24"/>
                <w:szCs w:val="20"/>
                <w:highlight w:val="none"/>
              </w:rPr>
              <w:t>年</w:t>
            </w:r>
            <w:r>
              <w:rPr>
                <w:rFonts w:hint="eastAsia" w:ascii="宋体" w:hAnsi="宋体" w:eastAsia="宋体" w:cs="宋体"/>
                <w:bCs/>
                <w:color w:val="auto"/>
                <w:sz w:val="24"/>
                <w:szCs w:val="20"/>
                <w:highlight w:val="none"/>
                <w:u w:val="single"/>
              </w:rPr>
              <w:t xml:space="preserve"> /  </w:t>
            </w:r>
            <w:r>
              <w:rPr>
                <w:rFonts w:hint="eastAsia" w:ascii="宋体" w:hAnsi="宋体" w:eastAsia="宋体" w:cs="宋体"/>
                <w:bCs/>
                <w:color w:val="auto"/>
                <w:sz w:val="24"/>
                <w:szCs w:val="20"/>
                <w:highlight w:val="none"/>
              </w:rPr>
              <w:t>月</w:t>
            </w:r>
            <w:r>
              <w:rPr>
                <w:rFonts w:hint="eastAsia" w:ascii="宋体" w:hAnsi="宋体" w:eastAsia="宋体" w:cs="宋体"/>
                <w:bCs/>
                <w:color w:val="auto"/>
                <w:sz w:val="24"/>
                <w:szCs w:val="20"/>
                <w:highlight w:val="none"/>
                <w:u w:val="single"/>
              </w:rPr>
              <w:t xml:space="preserve"> /  </w:t>
            </w:r>
            <w:r>
              <w:rPr>
                <w:rFonts w:hint="eastAsia" w:ascii="宋体" w:hAnsi="宋体" w:eastAsia="宋体" w:cs="宋体"/>
                <w:bCs/>
                <w:color w:val="auto"/>
                <w:sz w:val="24"/>
                <w:szCs w:val="20"/>
                <w:highlight w:val="none"/>
              </w:rPr>
              <w:t>日</w:t>
            </w:r>
            <w:r>
              <w:rPr>
                <w:rFonts w:hint="eastAsia" w:ascii="宋体" w:hAnsi="宋体" w:eastAsia="宋体" w:cs="宋体"/>
                <w:bCs/>
                <w:color w:val="auto"/>
                <w:sz w:val="24"/>
                <w:szCs w:val="20"/>
                <w:highlight w:val="none"/>
                <w:u w:val="single"/>
              </w:rPr>
              <w:t xml:space="preserve"> /  </w:t>
            </w:r>
            <w:r>
              <w:rPr>
                <w:rFonts w:hint="eastAsia" w:ascii="宋体" w:hAnsi="宋体" w:eastAsia="宋体" w:cs="宋体"/>
                <w:bCs/>
                <w:color w:val="auto"/>
                <w:sz w:val="24"/>
                <w:szCs w:val="20"/>
                <w:highlight w:val="none"/>
              </w:rPr>
              <w:t>时</w:t>
            </w:r>
            <w:r>
              <w:rPr>
                <w:rFonts w:hint="eastAsia" w:ascii="宋体" w:hAnsi="宋体" w:eastAsia="宋体" w:cs="宋体"/>
                <w:bCs/>
                <w:color w:val="auto"/>
                <w:sz w:val="24"/>
                <w:szCs w:val="20"/>
                <w:highlight w:val="none"/>
                <w:u w:val="single"/>
              </w:rPr>
              <w:t xml:space="preserve"> /  </w:t>
            </w:r>
            <w:r>
              <w:rPr>
                <w:rFonts w:hint="eastAsia" w:ascii="宋体" w:hAnsi="宋体" w:eastAsia="宋体" w:cs="宋体"/>
                <w:bCs/>
                <w:color w:val="auto"/>
                <w:sz w:val="24"/>
                <w:szCs w:val="20"/>
                <w:highlight w:val="none"/>
              </w:rPr>
              <w:t>分</w:t>
            </w:r>
          </w:p>
          <w:p w14:paraId="22AA1763">
            <w:pPr>
              <w:keepNext w:val="0"/>
              <w:keepLines w:val="0"/>
              <w:suppressLineNumbers w:val="0"/>
              <w:spacing w:before="0" w:beforeAutospacing="0" w:after="0" w:afterAutospacing="0" w:line="360" w:lineRule="auto"/>
              <w:ind w:left="0" w:right="0"/>
              <w:rPr>
                <w:rFonts w:hint="default"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地点：</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u w:val="single"/>
                <w:lang w:val="en-US" w:eastAsia="zh-CN"/>
              </w:rPr>
              <w:t>/</w:t>
            </w:r>
            <w:r>
              <w:rPr>
                <w:rFonts w:hint="eastAsia" w:ascii="宋体" w:hAnsi="宋体" w:eastAsia="宋体" w:cs="宋体"/>
                <w:bCs/>
                <w:color w:val="auto"/>
                <w:sz w:val="24"/>
                <w:szCs w:val="20"/>
                <w:highlight w:val="none"/>
                <w:u w:val="single"/>
              </w:rPr>
              <w:t xml:space="preserve">    </w:t>
            </w:r>
          </w:p>
          <w:p w14:paraId="501CC87E">
            <w:pPr>
              <w:keepNext w:val="0"/>
              <w:keepLines w:val="0"/>
              <w:suppressLineNumbers w:val="0"/>
              <w:spacing w:before="0" w:beforeAutospacing="0" w:after="0" w:afterAutospacing="0" w:line="360" w:lineRule="auto"/>
              <w:ind w:left="0" w:right="0"/>
              <w:rPr>
                <w:rFonts w:hint="default" w:ascii="宋体" w:hAnsi="宋体" w:eastAsia="宋体" w:cs="宋体"/>
                <w:bCs/>
                <w:color w:val="auto"/>
                <w:sz w:val="24"/>
                <w:szCs w:val="20"/>
                <w:highlight w:val="none"/>
                <w:u w:val="single"/>
                <w:lang w:val="en-US" w:eastAsia="zh-CN"/>
              </w:rPr>
            </w:pPr>
            <w:r>
              <w:rPr>
                <w:rFonts w:hint="eastAsia" w:ascii="宋体" w:hAnsi="宋体" w:eastAsia="宋体" w:cs="宋体"/>
                <w:bCs/>
                <w:color w:val="auto"/>
                <w:sz w:val="24"/>
                <w:szCs w:val="20"/>
                <w:highlight w:val="none"/>
              </w:rPr>
              <w:t>联系人及联系电话：</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u w:val="single"/>
                <w:lang w:val="en-US" w:eastAsia="zh-CN"/>
              </w:rPr>
              <w:t xml:space="preserve">/ </w:t>
            </w:r>
          </w:p>
          <w:p w14:paraId="7CCF13F5">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cs="宋体"/>
                <w:bCs w:val="0"/>
                <w:color w:val="auto"/>
                <w:sz w:val="24"/>
                <w:highlight w:val="none"/>
              </w:rPr>
              <w:t>注：如供应商未参加采购人统一组织的现场考察或采购人统一召开的标前答疑会，视同放弃现场考察或标前答疑会，由此引起的一切责任由供应商自行承担。</w:t>
            </w:r>
          </w:p>
        </w:tc>
      </w:tr>
      <w:tr w14:paraId="4D88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91EB4E2">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6</w:t>
            </w:r>
            <w:r>
              <w:rPr>
                <w:rFonts w:hint="default" w:ascii="宋体" w:hAnsi="宋体" w:eastAsia="宋体"/>
                <w:bCs/>
                <w:color w:val="auto"/>
                <w:kern w:val="2"/>
                <w:highlight w:val="none"/>
              </w:rPr>
              <w:t>.1</w:t>
            </w:r>
          </w:p>
        </w:tc>
        <w:tc>
          <w:tcPr>
            <w:tcW w:w="2227" w:type="dxa"/>
            <w:vAlign w:val="center"/>
          </w:tcPr>
          <w:p w14:paraId="7821C6A4">
            <w:pPr>
              <w:pStyle w:val="43"/>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cs="宋体"/>
                <w:b w:val="0"/>
                <w:color w:val="auto"/>
                <w:sz w:val="24"/>
                <w:highlight w:val="none"/>
              </w:rPr>
              <w:t>网上询问截止时间</w:t>
            </w:r>
          </w:p>
        </w:tc>
        <w:tc>
          <w:tcPr>
            <w:tcW w:w="6274" w:type="dxa"/>
            <w:vAlign w:val="center"/>
          </w:tcPr>
          <w:p w14:paraId="1FD31837">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cs="宋体"/>
                <w:b w:val="0"/>
                <w:color w:val="auto"/>
                <w:sz w:val="24"/>
                <w:highlight w:val="none"/>
                <w:u w:val="single"/>
              </w:rPr>
              <w:t xml:space="preserve"> 2026 </w:t>
            </w:r>
            <w:r>
              <w:rPr>
                <w:rFonts w:hint="eastAsia" w:ascii="宋体" w:hAnsi="宋体" w:eastAsia="宋体" w:cs="宋体"/>
                <w:b w:val="0"/>
                <w:color w:val="auto"/>
                <w:sz w:val="24"/>
                <w:highlight w:val="none"/>
              </w:rPr>
              <w:t>年</w:t>
            </w:r>
            <w:r>
              <w:rPr>
                <w:rFonts w:hint="eastAsia" w:ascii="宋体" w:hAnsi="宋体" w:eastAsia="宋体" w:cs="宋体"/>
                <w:b w:val="0"/>
                <w:color w:val="auto"/>
                <w:sz w:val="24"/>
                <w:highlight w:val="none"/>
                <w:u w:val="single"/>
                <w:lang w:val="en-US" w:eastAsia="zh-CN"/>
              </w:rPr>
              <w:t xml:space="preserve"> 7</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u w:val="single"/>
                <w:lang w:val="en-US" w:eastAsia="zh-CN"/>
              </w:rPr>
              <w:t>10</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u w:val="single"/>
              </w:rPr>
              <w:t xml:space="preserve"> 17 </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rPr>
              <w:t xml:space="preserve"> 30 </w:t>
            </w:r>
            <w:r>
              <w:rPr>
                <w:rFonts w:hint="eastAsia" w:ascii="宋体" w:hAnsi="宋体" w:eastAsia="宋体" w:cs="宋体"/>
                <w:b w:val="0"/>
                <w:color w:val="auto"/>
                <w:sz w:val="24"/>
                <w:highlight w:val="none"/>
              </w:rPr>
              <w:t>分</w:t>
            </w:r>
          </w:p>
        </w:tc>
      </w:tr>
      <w:tr w14:paraId="6680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2" w:type="dxa"/>
            <w:vAlign w:val="center"/>
          </w:tcPr>
          <w:p w14:paraId="15A6C1BD">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7.1</w:t>
            </w:r>
          </w:p>
        </w:tc>
        <w:tc>
          <w:tcPr>
            <w:tcW w:w="1160" w:type="pct"/>
            <w:vAlign w:val="center"/>
          </w:tcPr>
          <w:p w14:paraId="1FB19F8B">
            <w:pPr>
              <w:pStyle w:val="43"/>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67" w:type="pct"/>
            <w:vAlign w:val="center"/>
          </w:tcPr>
          <w:p w14:paraId="20D8148D">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default" w:ascii="宋体" w:hAnsi="宋体" w:eastAsia="宋体"/>
                <w:b w:val="0"/>
                <w:color w:val="auto"/>
                <w:sz w:val="24"/>
                <w:highlight w:val="none"/>
              </w:rPr>
              <w:t xml:space="preserve">不分包     □分为 </w:t>
            </w:r>
            <w:r>
              <w:rPr>
                <w:rFonts w:hint="eastAsia" w:ascii="宋体" w:hAnsi="宋体" w:eastAsia="宋体"/>
                <w:b w:val="0"/>
                <w:color w:val="auto"/>
                <w:sz w:val="24"/>
                <w:highlight w:val="none"/>
                <w:lang w:val="en-US" w:eastAsia="zh-CN"/>
              </w:rPr>
              <w:t>/</w:t>
            </w:r>
            <w:r>
              <w:rPr>
                <w:rFonts w:hint="default" w:ascii="宋体" w:hAnsi="宋体" w:eastAsia="宋体"/>
                <w:b w:val="0"/>
                <w:color w:val="auto"/>
                <w:sz w:val="24"/>
                <w:highlight w:val="none"/>
              </w:rPr>
              <w:t xml:space="preserve"> 个包</w:t>
            </w:r>
          </w:p>
          <w:p w14:paraId="7E174869">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rPr>
              <w:t>供应商参加多个包磋商的成交</w:t>
            </w:r>
            <w:r>
              <w:rPr>
                <w:rFonts w:hint="default" w:ascii="宋体" w:hAnsi="宋体" w:eastAsia="宋体"/>
                <w:b w:val="0"/>
                <w:bCs w:val="0"/>
                <w:color w:val="auto"/>
                <w:sz w:val="24"/>
                <w:szCs w:val="24"/>
                <w:highlight w:val="none"/>
              </w:rPr>
              <w:t>包</w:t>
            </w:r>
            <w:r>
              <w:rPr>
                <w:rFonts w:hint="eastAsia" w:ascii="宋体" w:hAnsi="宋体" w:eastAsia="宋体"/>
                <w:b w:val="0"/>
                <w:bCs w:val="0"/>
                <w:color w:val="auto"/>
                <w:sz w:val="24"/>
                <w:szCs w:val="24"/>
                <w:highlight w:val="none"/>
              </w:rPr>
              <w:t>数规定：</w:t>
            </w:r>
            <w:r>
              <w:rPr>
                <w:rFonts w:hint="eastAsia" w:ascii="宋体" w:hAnsi="宋体" w:eastAsia="宋体"/>
                <w:b w:val="0"/>
                <w:bCs w:val="0"/>
                <w:color w:val="auto"/>
                <w:sz w:val="24"/>
                <w:szCs w:val="18"/>
                <w:highlight w:val="none"/>
                <w:u w:val="single"/>
              </w:rPr>
              <w:t xml:space="preserve"> </w:t>
            </w:r>
            <w:r>
              <w:rPr>
                <w:rFonts w:hint="default" w:ascii="宋体" w:hAnsi="宋体" w:eastAsia="宋体"/>
                <w:b w:val="0"/>
                <w:bCs w:val="0"/>
                <w:color w:val="auto"/>
                <w:sz w:val="24"/>
                <w:szCs w:val="18"/>
                <w:highlight w:val="none"/>
                <w:u w:val="single"/>
              </w:rPr>
              <w:t xml:space="preserve">  </w:t>
            </w:r>
            <w:r>
              <w:rPr>
                <w:rFonts w:hint="eastAsia" w:ascii="宋体" w:hAnsi="宋体" w:eastAsia="宋体"/>
                <w:b w:val="0"/>
                <w:bCs w:val="0"/>
                <w:color w:val="auto"/>
                <w:sz w:val="24"/>
                <w:szCs w:val="18"/>
                <w:highlight w:val="none"/>
                <w:u w:val="single"/>
              </w:rPr>
              <w:t>/</w:t>
            </w:r>
            <w:r>
              <w:rPr>
                <w:rFonts w:hint="default" w:ascii="宋体" w:hAnsi="宋体" w:eastAsia="宋体"/>
                <w:b w:val="0"/>
                <w:bCs w:val="0"/>
                <w:color w:val="auto"/>
                <w:sz w:val="24"/>
                <w:szCs w:val="18"/>
                <w:highlight w:val="none"/>
                <w:u w:val="single"/>
              </w:rPr>
              <w:t xml:space="preserve">    </w:t>
            </w:r>
          </w:p>
        </w:tc>
      </w:tr>
      <w:tr w14:paraId="2E51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02" w:type="dxa"/>
            <w:vAlign w:val="center"/>
          </w:tcPr>
          <w:p w14:paraId="5B7793B7">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10.1</w:t>
            </w:r>
          </w:p>
        </w:tc>
        <w:tc>
          <w:tcPr>
            <w:tcW w:w="1160" w:type="pct"/>
            <w:vAlign w:val="center"/>
          </w:tcPr>
          <w:p w14:paraId="2320995D">
            <w:pPr>
              <w:pStyle w:val="43"/>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3267" w:type="pct"/>
            <w:vAlign w:val="center"/>
          </w:tcPr>
          <w:p w14:paraId="2773E891">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0847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367EC1F">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11</w:t>
            </w:r>
            <w:r>
              <w:rPr>
                <w:rFonts w:hint="default" w:ascii="宋体" w:hAnsi="宋体" w:eastAsia="宋体"/>
                <w:bCs/>
                <w:color w:val="auto"/>
                <w:kern w:val="2"/>
                <w:highlight w:val="none"/>
              </w:rPr>
              <w:t>.1</w:t>
            </w:r>
          </w:p>
        </w:tc>
        <w:tc>
          <w:tcPr>
            <w:tcW w:w="2227" w:type="dxa"/>
            <w:vAlign w:val="center"/>
          </w:tcPr>
          <w:p w14:paraId="7822E934">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cs="宋体"/>
                <w:b w:val="0"/>
                <w:color w:val="auto"/>
                <w:sz w:val="24"/>
                <w:highlight w:val="none"/>
              </w:rPr>
              <w:t>磋商有效期</w:t>
            </w:r>
          </w:p>
        </w:tc>
        <w:tc>
          <w:tcPr>
            <w:tcW w:w="6274" w:type="dxa"/>
            <w:vAlign w:val="center"/>
          </w:tcPr>
          <w:p w14:paraId="6FDFE9DF">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cs="宋体"/>
                <w:b w:val="0"/>
                <w:color w:val="auto"/>
                <w:sz w:val="24"/>
                <w:highlight w:val="none"/>
                <w:u w:val="single"/>
              </w:rPr>
              <w:t xml:space="preserve"> 90 </w:t>
            </w:r>
            <w:r>
              <w:rPr>
                <w:rFonts w:hint="eastAsia" w:ascii="宋体" w:hAnsi="宋体" w:eastAsia="宋体" w:cs="宋体"/>
                <w:b w:val="0"/>
                <w:color w:val="auto"/>
                <w:sz w:val="24"/>
                <w:highlight w:val="none"/>
              </w:rPr>
              <w:t>日历日</w:t>
            </w:r>
          </w:p>
        </w:tc>
      </w:tr>
      <w:tr w14:paraId="6B66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40A7BD8">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12</w:t>
            </w:r>
            <w:r>
              <w:rPr>
                <w:rFonts w:hint="default" w:ascii="宋体" w:hAnsi="宋体" w:eastAsia="宋体"/>
                <w:bCs/>
                <w:color w:val="auto"/>
                <w:kern w:val="2"/>
                <w:highlight w:val="none"/>
              </w:rPr>
              <w:t>.</w:t>
            </w:r>
            <w:r>
              <w:rPr>
                <w:rFonts w:hint="eastAsia" w:ascii="宋体" w:hAnsi="宋体" w:eastAsia="宋体"/>
                <w:bCs/>
                <w:color w:val="auto"/>
                <w:kern w:val="2"/>
                <w:highlight w:val="none"/>
              </w:rPr>
              <w:t>3</w:t>
            </w:r>
          </w:p>
        </w:tc>
        <w:tc>
          <w:tcPr>
            <w:tcW w:w="2227" w:type="dxa"/>
            <w:vAlign w:val="center"/>
          </w:tcPr>
          <w:p w14:paraId="53DC1395">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cs="宋体"/>
                <w:b w:val="0"/>
                <w:color w:val="auto"/>
                <w:sz w:val="24"/>
                <w:highlight w:val="none"/>
              </w:rPr>
              <w:t>响应文件解密时间</w:t>
            </w:r>
          </w:p>
        </w:tc>
        <w:tc>
          <w:tcPr>
            <w:tcW w:w="6274" w:type="dxa"/>
            <w:vAlign w:val="center"/>
          </w:tcPr>
          <w:p w14:paraId="325DE702">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eastAsia" w:ascii="宋体" w:hAnsi="宋体" w:eastAsia="宋体" w:cs="宋体"/>
                <w:b w:val="0"/>
                <w:color w:val="auto"/>
                <w:sz w:val="24"/>
                <w:highlight w:val="none"/>
              </w:rPr>
              <w:t>响应文件提交截止时间后</w:t>
            </w:r>
            <w:r>
              <w:rPr>
                <w:rFonts w:hint="eastAsia" w:ascii="宋体" w:hAnsi="宋体" w:eastAsia="宋体" w:cs="宋体"/>
                <w:b w:val="0"/>
                <w:color w:val="auto"/>
                <w:sz w:val="24"/>
                <w:highlight w:val="none"/>
                <w:u w:val="single"/>
              </w:rPr>
              <w:t xml:space="preserve"> 60 </w:t>
            </w:r>
            <w:r>
              <w:rPr>
                <w:rFonts w:hint="eastAsia" w:ascii="宋体" w:hAnsi="宋体" w:eastAsia="宋体" w:cs="宋体"/>
                <w:b w:val="0"/>
                <w:color w:val="auto"/>
                <w:sz w:val="24"/>
                <w:highlight w:val="none"/>
              </w:rPr>
              <w:t>分钟内（以本项目网上招投标系统解密倒计时为准）。</w:t>
            </w:r>
          </w:p>
        </w:tc>
      </w:tr>
      <w:tr w14:paraId="3953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EECC48A">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14.2</w:t>
            </w:r>
          </w:p>
        </w:tc>
        <w:tc>
          <w:tcPr>
            <w:tcW w:w="1160" w:type="pct"/>
            <w:vAlign w:val="center"/>
          </w:tcPr>
          <w:p w14:paraId="727DFDD1">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3267" w:type="pct"/>
            <w:vAlign w:val="center"/>
          </w:tcPr>
          <w:p w14:paraId="56232816">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综合评分法</w:t>
            </w:r>
          </w:p>
        </w:tc>
      </w:tr>
      <w:tr w14:paraId="3105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6D7C99E">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17.4</w:t>
            </w:r>
          </w:p>
        </w:tc>
        <w:tc>
          <w:tcPr>
            <w:tcW w:w="2227" w:type="dxa"/>
            <w:vAlign w:val="center"/>
          </w:tcPr>
          <w:p w14:paraId="3FAF68DC">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cs="宋体"/>
                <w:b w:val="0"/>
                <w:color w:val="auto"/>
                <w:sz w:val="24"/>
                <w:highlight w:val="none"/>
              </w:rPr>
              <w:t>最后报价扣除</w:t>
            </w:r>
            <w:r>
              <w:rPr>
                <w:rFonts w:hint="eastAsia" w:ascii="宋体" w:hAnsi="宋体" w:eastAsia="宋体" w:cs="宋体"/>
                <w:b w:val="0"/>
                <w:i/>
                <w:color w:val="auto"/>
                <w:sz w:val="24"/>
                <w:highlight w:val="none"/>
              </w:rPr>
              <w:t>（非专门面向中小企业采购项目适用）</w:t>
            </w:r>
          </w:p>
        </w:tc>
        <w:tc>
          <w:tcPr>
            <w:tcW w:w="6274" w:type="dxa"/>
            <w:vAlign w:val="center"/>
          </w:tcPr>
          <w:p w14:paraId="3421C921">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（1）小型和微型企业价格扣除：</w:t>
            </w:r>
            <w:r>
              <w:rPr>
                <w:rFonts w:hint="eastAsia" w:ascii="宋体" w:hAnsi="宋体" w:eastAsia="宋体" w:cs="宋体"/>
                <w:b w:val="0"/>
                <w:color w:val="auto"/>
                <w:sz w:val="24"/>
                <w:highlight w:val="none"/>
                <w:u w:val="single"/>
              </w:rPr>
              <w:t>对小型和微型企业产品的价格给予10%的扣除后参与评审；其评审价=投标报价*90%</w:t>
            </w:r>
            <w:r>
              <w:rPr>
                <w:rFonts w:hint="eastAsia" w:ascii="宋体" w:hAnsi="宋体" w:eastAsia="宋体" w:cs="宋体"/>
                <w:b w:val="0"/>
                <w:color w:val="auto"/>
                <w:sz w:val="24"/>
                <w:highlight w:val="none"/>
              </w:rPr>
              <w:t>。</w:t>
            </w:r>
          </w:p>
          <w:p w14:paraId="4E1CCC9B">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（2）监狱企业价格扣除：同小型和微型企业。</w:t>
            </w:r>
          </w:p>
          <w:p w14:paraId="449425D5">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（3）残疾人福利性单位价格扣除：同小型和微型企业。</w:t>
            </w:r>
          </w:p>
          <w:p w14:paraId="007FA0C9">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b w:val="0"/>
                <w:i/>
                <w:iCs/>
                <w:color w:val="auto"/>
                <w:sz w:val="24"/>
                <w:highlight w:val="none"/>
              </w:rPr>
            </w:pPr>
            <w:r>
              <w:rPr>
                <w:rFonts w:hint="eastAsia" w:ascii="宋体" w:hAnsi="宋体" w:eastAsia="宋体" w:cs="宋体"/>
                <w:b w:val="0"/>
                <w:color w:val="auto"/>
                <w:sz w:val="24"/>
                <w:highlight w:val="none"/>
              </w:rPr>
              <w:t>（4）符合条件的联合体价格扣除：</w:t>
            </w:r>
            <w:r>
              <w:rPr>
                <w:rFonts w:hint="eastAsia" w:ascii="宋体" w:hAnsi="宋体" w:eastAsia="宋体" w:cs="宋体"/>
                <w:b w:val="0"/>
                <w:color w:val="auto"/>
                <w:sz w:val="24"/>
                <w:highlight w:val="none"/>
                <w:u w:val="single"/>
              </w:rPr>
              <w:t>联合体投标的，小型、微型企业的协议合同金额占联合体协议合同总金额30%以上的，价格给予联合体4%的扣除后参与评审；其评审价=投标报价*96%；联合体各方均为小型、微型企业的，联合体视同为小型、微型企业，其评审价按（1）款执行</w:t>
            </w:r>
            <w:r>
              <w:rPr>
                <w:rFonts w:hint="eastAsia" w:ascii="宋体" w:hAnsi="宋体" w:eastAsia="宋体" w:cs="宋体"/>
                <w:b w:val="0"/>
                <w:color w:val="auto"/>
                <w:sz w:val="24"/>
                <w:highlight w:val="none"/>
              </w:rPr>
              <w:t>。</w:t>
            </w:r>
            <w:r>
              <w:rPr>
                <w:rFonts w:hint="eastAsia" w:ascii="宋体" w:hAnsi="宋体" w:eastAsia="宋体" w:cs="宋体"/>
                <w:b w:val="0"/>
                <w:i/>
                <w:iCs/>
                <w:color w:val="auto"/>
                <w:sz w:val="24"/>
                <w:highlight w:val="none"/>
              </w:rPr>
              <w:t>（接受联合体投标的项目适用）</w:t>
            </w:r>
          </w:p>
          <w:p w14:paraId="3BC2E692">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cs="宋体"/>
                <w:b w:val="0"/>
                <w:color w:val="auto"/>
                <w:sz w:val="24"/>
                <w:highlight w:val="none"/>
              </w:rPr>
              <w:t>（5）符合条件的向小微企业分包的大中型企业价格扣除：</w:t>
            </w:r>
            <w:r>
              <w:rPr>
                <w:rFonts w:hint="eastAsia" w:ascii="宋体" w:hAnsi="宋体" w:eastAsia="宋体" w:cs="宋体"/>
                <w:b w:val="0"/>
                <w:color w:val="auto"/>
                <w:sz w:val="24"/>
                <w:highlight w:val="none"/>
                <w:u w:val="single"/>
              </w:rPr>
              <w:t xml:space="preserve"> 允许大中型企业向一家或者多家小微企业分包的，对于分包意向协议约定小微企业的合同份额占到合同总金额30%以上的，给予大中型企业的投标报价按照4%标准扣除后的价格参与评审；其评审价=投标报价*96%</w:t>
            </w:r>
            <w:r>
              <w:rPr>
                <w:rFonts w:hint="eastAsia" w:ascii="宋体" w:hAnsi="宋体" w:eastAsia="宋体" w:cs="宋体"/>
                <w:b w:val="0"/>
                <w:color w:val="auto"/>
                <w:sz w:val="24"/>
                <w:highlight w:val="none"/>
              </w:rPr>
              <w:t>。</w:t>
            </w:r>
            <w:r>
              <w:rPr>
                <w:rFonts w:hint="eastAsia" w:ascii="宋体" w:hAnsi="宋体" w:eastAsia="宋体" w:cs="宋体"/>
                <w:b w:val="0"/>
                <w:i/>
                <w:iCs/>
                <w:color w:val="auto"/>
                <w:sz w:val="24"/>
                <w:highlight w:val="none"/>
              </w:rPr>
              <w:t>（允许大中型企业向小微企业分包的项目适用）</w:t>
            </w:r>
          </w:p>
        </w:tc>
      </w:tr>
      <w:tr w14:paraId="13F0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B29FC43">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17.5</w:t>
            </w:r>
          </w:p>
        </w:tc>
        <w:tc>
          <w:tcPr>
            <w:tcW w:w="2227" w:type="dxa"/>
            <w:vAlign w:val="center"/>
          </w:tcPr>
          <w:p w14:paraId="3221896D">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i/>
                <w:color w:val="auto"/>
                <w:sz w:val="24"/>
                <w:highlight w:val="none"/>
              </w:rPr>
            </w:pPr>
            <w:r>
              <w:rPr>
                <w:rFonts w:hint="eastAsia" w:ascii="宋体" w:hAnsi="宋体" w:eastAsia="宋体"/>
                <w:b w:val="0"/>
                <w:color w:val="auto"/>
                <w:sz w:val="24"/>
                <w:highlight w:val="none"/>
              </w:rPr>
              <w:t>本国产品价格扣除</w:t>
            </w:r>
            <w:r>
              <w:rPr>
                <w:rFonts w:hint="eastAsia" w:ascii="宋体" w:hAnsi="宋体" w:eastAsia="宋体" w:cs="Times New Roman"/>
                <w:b w:val="0"/>
                <w:bCs w:val="0"/>
                <w:i/>
                <w:iCs/>
                <w:color w:val="auto"/>
                <w:sz w:val="24"/>
                <w:highlight w:val="none"/>
              </w:rPr>
              <w:t>（本项目不适用）</w:t>
            </w:r>
          </w:p>
        </w:tc>
        <w:tc>
          <w:tcPr>
            <w:tcW w:w="6274" w:type="dxa"/>
            <w:vAlign w:val="center"/>
          </w:tcPr>
          <w:p w14:paraId="01EE5AEB">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（1）项目或者采购包中采购内容为单一产品的，既有本国产品又有非本国产品参与竞争的，对本国产品给予价格扣除</w:t>
            </w:r>
            <w:r>
              <w:rPr>
                <w:rFonts w:hint="eastAsia" w:ascii="宋体" w:hAnsi="宋体" w:eastAsia="宋体"/>
                <w:b w:val="0"/>
                <w:color w:val="auto"/>
                <w:sz w:val="24"/>
                <w:highlight w:val="none"/>
                <w:u w:val="single"/>
              </w:rPr>
              <w:t>20%</w:t>
            </w:r>
            <w:r>
              <w:rPr>
                <w:rFonts w:hint="eastAsia" w:ascii="宋体" w:hAnsi="宋体" w:eastAsia="宋体"/>
                <w:b w:val="0"/>
                <w:color w:val="auto"/>
                <w:sz w:val="24"/>
                <w:highlight w:val="none"/>
              </w:rPr>
              <w:t>。</w:t>
            </w:r>
          </w:p>
          <w:p w14:paraId="5931484F">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（2）项目或者采购包中含有多种产品的，符合本国产品标准的产品成本之和占该供应商提供的全部产品成本之和的比例≥80%，所有产品价格扣除</w:t>
            </w:r>
            <w:r>
              <w:rPr>
                <w:rFonts w:hint="eastAsia" w:ascii="宋体" w:hAnsi="宋体" w:eastAsia="宋体"/>
                <w:b w:val="0"/>
                <w:color w:val="auto"/>
                <w:sz w:val="24"/>
                <w:highlight w:val="none"/>
                <w:u w:val="single"/>
              </w:rPr>
              <w:t>20%</w:t>
            </w:r>
            <w:r>
              <w:rPr>
                <w:rFonts w:hint="eastAsia" w:ascii="宋体" w:hAnsi="宋体" w:eastAsia="宋体"/>
                <w:b w:val="0"/>
                <w:color w:val="auto"/>
                <w:sz w:val="24"/>
                <w:highlight w:val="none"/>
              </w:rPr>
              <w:t>。</w:t>
            </w:r>
          </w:p>
        </w:tc>
      </w:tr>
      <w:tr w14:paraId="141B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Merge w:val="restart"/>
            <w:vAlign w:val="center"/>
          </w:tcPr>
          <w:p w14:paraId="7617C37D">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19</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60" w:type="pct"/>
            <w:vMerge w:val="restart"/>
            <w:vAlign w:val="center"/>
          </w:tcPr>
          <w:p w14:paraId="13ED263F">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267" w:type="pct"/>
            <w:vAlign w:val="center"/>
          </w:tcPr>
          <w:p w14:paraId="0A825C66">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磋商小组推荐成交</w:t>
            </w:r>
            <w:r>
              <w:rPr>
                <w:rFonts w:hint="default"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hint="default" w:ascii="宋体" w:hAnsi="宋体" w:eastAsia="宋体"/>
                <w:b w:val="0"/>
                <w:color w:val="auto"/>
                <w:sz w:val="24"/>
                <w:highlight w:val="none"/>
              </w:rPr>
              <w:t>数</w:t>
            </w:r>
            <w:r>
              <w:rPr>
                <w:rFonts w:hint="eastAsia" w:ascii="宋体" w:hAnsi="宋体" w:eastAsia="宋体"/>
                <w:b w:val="0"/>
                <w:color w:val="auto"/>
                <w:sz w:val="24"/>
                <w:highlight w:val="none"/>
              </w:rPr>
              <w:t>量：3</w:t>
            </w:r>
            <w:r>
              <w:rPr>
                <w:rFonts w:hint="eastAsia" w:ascii="宋体" w:hAnsi="宋体" w:eastAsia="宋体"/>
                <w:b w:val="0"/>
                <w:color w:val="auto"/>
                <w:sz w:val="24"/>
                <w:highlight w:val="none"/>
                <w:lang w:val="en-US" w:eastAsia="zh-CN"/>
              </w:rPr>
              <w:t>名</w:t>
            </w:r>
          </w:p>
          <w:p w14:paraId="291C167E">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注：法律、法规另有规定的，从其规定</w:t>
            </w:r>
          </w:p>
        </w:tc>
      </w:tr>
      <w:tr w14:paraId="6DD7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continue"/>
            <w:vAlign w:val="center"/>
          </w:tcPr>
          <w:p w14:paraId="7589C1B3">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color w:val="auto"/>
                <w:kern w:val="2"/>
                <w:highlight w:val="none"/>
              </w:rPr>
            </w:pPr>
          </w:p>
        </w:tc>
        <w:tc>
          <w:tcPr>
            <w:tcW w:w="1160" w:type="pct"/>
            <w:vMerge w:val="continue"/>
            <w:vAlign w:val="center"/>
          </w:tcPr>
          <w:p w14:paraId="638279C5">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p>
        </w:tc>
        <w:tc>
          <w:tcPr>
            <w:tcW w:w="3267" w:type="pct"/>
            <w:vAlign w:val="center"/>
          </w:tcPr>
          <w:p w14:paraId="4E7DAF05">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28FCA1F1">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sym w:font="Wingdings" w:char="00A8"/>
            </w:r>
            <w:r>
              <w:rPr>
                <w:rFonts w:hint="eastAsia" w:ascii="宋体" w:hAnsi="宋体" w:eastAsia="宋体"/>
                <w:b w:val="0"/>
                <w:color w:val="auto"/>
                <w:sz w:val="24"/>
                <w:highlight w:val="none"/>
              </w:rPr>
              <w:t xml:space="preserve">采购人委托磋商小组确定 </w:t>
            </w:r>
            <w:r>
              <w:rPr>
                <w:rFonts w:hint="default"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14:paraId="1B4C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B2F02C4">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22</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60" w:type="pct"/>
            <w:vAlign w:val="center"/>
          </w:tcPr>
          <w:p w14:paraId="4FB2868D">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随成交结果公告同时公告的内容</w:t>
            </w:r>
          </w:p>
        </w:tc>
        <w:tc>
          <w:tcPr>
            <w:tcW w:w="3267" w:type="pct"/>
            <w:vAlign w:val="center"/>
          </w:tcPr>
          <w:p w14:paraId="2DA1F4D8">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（1）中小企业声明函；</w:t>
            </w:r>
          </w:p>
          <w:p w14:paraId="5B6F8961">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i/>
                <w:color w:val="auto"/>
                <w:sz w:val="24"/>
                <w:highlight w:val="none"/>
              </w:rPr>
            </w:pPr>
            <w:r>
              <w:rPr>
                <w:rFonts w:hint="eastAsia" w:ascii="宋体" w:hAnsi="宋体" w:eastAsia="宋体"/>
                <w:b w:val="0"/>
                <w:color w:val="auto"/>
                <w:sz w:val="24"/>
                <w:highlight w:val="none"/>
              </w:rPr>
              <w:t>（2）残疾人福利性单位声明函；</w:t>
            </w:r>
            <w:r>
              <w:rPr>
                <w:rFonts w:hint="eastAsia" w:ascii="宋体" w:hAnsi="宋体" w:eastAsia="宋体"/>
                <w:b w:val="0"/>
                <w:i/>
                <w:iCs/>
                <w:color w:val="auto"/>
                <w:sz w:val="24"/>
                <w:highlight w:val="none"/>
              </w:rPr>
              <w:t>（如有）</w:t>
            </w:r>
          </w:p>
          <w:p w14:paraId="7463B793">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color w:val="auto"/>
                <w:sz w:val="24"/>
                <w:highlight w:val="none"/>
              </w:rPr>
              <w:t>（3）</w:t>
            </w:r>
            <w:r>
              <w:rPr>
                <w:rFonts w:hint="eastAsia" w:ascii="宋体" w:hAnsi="宋体" w:eastAsia="宋体" w:cs="宋体"/>
                <w:b w:val="0"/>
                <w:color w:val="auto"/>
                <w:sz w:val="24"/>
                <w:highlight w:val="none"/>
              </w:rPr>
              <w:t>成交供应商的评审总得分。</w:t>
            </w:r>
          </w:p>
        </w:tc>
      </w:tr>
      <w:tr w14:paraId="5DBA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3303C63">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23</w:t>
            </w:r>
            <w:r>
              <w:rPr>
                <w:rFonts w:hint="default" w:ascii="宋体" w:hAnsi="宋体" w:eastAsia="宋体"/>
                <w:bCs/>
                <w:color w:val="auto"/>
                <w:kern w:val="2"/>
                <w:highlight w:val="none"/>
              </w:rPr>
              <w:t>.1</w:t>
            </w:r>
          </w:p>
        </w:tc>
        <w:tc>
          <w:tcPr>
            <w:tcW w:w="1160" w:type="pct"/>
            <w:vAlign w:val="center"/>
          </w:tcPr>
          <w:p w14:paraId="4EA8D79A">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3267" w:type="pct"/>
            <w:vAlign w:val="center"/>
          </w:tcPr>
          <w:p w14:paraId="4A1E7441">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 xml:space="preserve">□书面 </w:t>
            </w:r>
            <w:r>
              <w:rPr>
                <w:rFonts w:hint="default"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color w:val="auto"/>
                <w:sz w:val="24"/>
                <w:highlight w:val="none"/>
              </w:rPr>
              <w:t>数据电文</w:t>
            </w:r>
          </w:p>
        </w:tc>
      </w:tr>
      <w:tr w14:paraId="0059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2E63DBD">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24</w:t>
            </w:r>
            <w:r>
              <w:rPr>
                <w:rFonts w:hint="default" w:ascii="宋体" w:hAnsi="宋体" w:eastAsia="宋体"/>
                <w:bCs/>
                <w:color w:val="auto"/>
                <w:kern w:val="2"/>
                <w:highlight w:val="none"/>
              </w:rPr>
              <w:t>.1</w:t>
            </w:r>
          </w:p>
        </w:tc>
        <w:tc>
          <w:tcPr>
            <w:tcW w:w="2227" w:type="dxa"/>
            <w:vAlign w:val="center"/>
          </w:tcPr>
          <w:p w14:paraId="70E4E929">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cs="宋体"/>
                <w:b w:val="0"/>
                <w:color w:val="auto"/>
                <w:sz w:val="24"/>
                <w:highlight w:val="none"/>
              </w:rPr>
              <w:t>告知磋商结果的形式</w:t>
            </w:r>
          </w:p>
        </w:tc>
        <w:tc>
          <w:tcPr>
            <w:tcW w:w="6274" w:type="dxa"/>
            <w:vAlign w:val="center"/>
          </w:tcPr>
          <w:p w14:paraId="381B8820">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sym w:font="Wingdings" w:char="00FE"/>
            </w:r>
            <w:r>
              <w:rPr>
                <w:rFonts w:hint="eastAsia" w:ascii="宋体" w:hAnsi="宋体" w:eastAsia="宋体" w:cs="宋体"/>
                <w:b w:val="0"/>
                <w:bCs w:val="0"/>
                <w:color w:val="auto"/>
                <w:sz w:val="24"/>
                <w:szCs w:val="24"/>
                <w:highlight w:val="none"/>
              </w:rPr>
              <w:t>供应商自行登录电子交易系统查看</w:t>
            </w:r>
          </w:p>
          <w:p w14:paraId="29D776EF">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cs="宋体"/>
                <w:b w:val="0"/>
                <w:color w:val="auto"/>
                <w:sz w:val="24"/>
                <w:highlight w:val="none"/>
              </w:rPr>
              <w:t>□磋商现场告知</w:t>
            </w:r>
          </w:p>
        </w:tc>
      </w:tr>
      <w:tr w14:paraId="4959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DDA7A07">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25</w:t>
            </w:r>
            <w:r>
              <w:rPr>
                <w:rFonts w:hint="default" w:ascii="宋体" w:hAnsi="宋体" w:eastAsia="宋体"/>
                <w:bCs/>
                <w:color w:val="auto"/>
                <w:kern w:val="2"/>
                <w:highlight w:val="none"/>
              </w:rPr>
              <w:t>.1</w:t>
            </w:r>
          </w:p>
        </w:tc>
        <w:tc>
          <w:tcPr>
            <w:tcW w:w="2227" w:type="dxa"/>
            <w:vAlign w:val="center"/>
          </w:tcPr>
          <w:p w14:paraId="0F8F630A">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cs="宋体"/>
                <w:b w:val="0"/>
                <w:color w:val="auto"/>
                <w:sz w:val="24"/>
                <w:highlight w:val="none"/>
              </w:rPr>
              <w:t>履约保证金</w:t>
            </w:r>
          </w:p>
        </w:tc>
        <w:tc>
          <w:tcPr>
            <w:tcW w:w="6274" w:type="dxa"/>
          </w:tcPr>
          <w:p w14:paraId="4C4E3A5B">
            <w:pPr>
              <w:keepNext w:val="0"/>
              <w:keepLines w:val="0"/>
              <w:suppressLineNumbers w:val="0"/>
              <w:spacing w:before="0" w:beforeAutospacing="0" w:after="0" w:afterAutospacing="0" w:line="360" w:lineRule="auto"/>
              <w:ind w:left="0" w:right="0"/>
              <w:rPr>
                <w:rFonts w:hint="default"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3B3C7279">
            <w:pPr>
              <w:keepNext w:val="0"/>
              <w:keepLines w:val="0"/>
              <w:suppressLineNumbers w:val="0"/>
              <w:spacing w:before="0" w:beforeAutospacing="0" w:after="0" w:afterAutospacing="0" w:line="360" w:lineRule="auto"/>
              <w:ind w:left="0" w:right="0"/>
              <w:rPr>
                <w:rFonts w:hint="default"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免收</w:t>
            </w:r>
          </w:p>
          <w:p w14:paraId="37C0D894">
            <w:pPr>
              <w:keepNext w:val="0"/>
              <w:keepLines w:val="0"/>
              <w:suppressLineNumbers w:val="0"/>
              <w:spacing w:before="0" w:beforeAutospacing="0" w:after="0" w:afterAutospacing="0" w:line="360" w:lineRule="auto"/>
              <w:ind w:left="0" w:right="0"/>
              <w:rPr>
                <w:rFonts w:hint="default"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u w:val="single"/>
                <w:lang w:val="en-US" w:eastAsia="zh-CN"/>
              </w:rPr>
              <w:t>/</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w:t>
            </w:r>
          </w:p>
          <w:p w14:paraId="1AEE2F52">
            <w:pPr>
              <w:keepNext w:val="0"/>
              <w:keepLines w:val="0"/>
              <w:suppressLineNumbers w:val="0"/>
              <w:spacing w:before="0" w:beforeAutospacing="0" w:after="0" w:afterAutospacing="0" w:line="360" w:lineRule="auto"/>
              <w:ind w:left="0" w:right="0"/>
              <w:rPr>
                <w:rFonts w:hint="default"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□定额收取：人民币</w:t>
            </w:r>
            <w:r>
              <w:rPr>
                <w:rFonts w:hint="eastAsia" w:ascii="宋体" w:hAnsi="宋体" w:eastAsia="宋体" w:cs="宋体"/>
                <w:bCs/>
                <w:color w:val="auto"/>
                <w:kern w:val="0"/>
                <w:sz w:val="24"/>
                <w:szCs w:val="28"/>
                <w:highlight w:val="none"/>
                <w:u w:val="single"/>
              </w:rPr>
              <w:t xml:space="preserve">      /        </w:t>
            </w:r>
            <w:r>
              <w:rPr>
                <w:rFonts w:hint="eastAsia" w:ascii="宋体" w:hAnsi="宋体" w:eastAsia="宋体" w:cs="宋体"/>
                <w:bCs/>
                <w:color w:val="auto"/>
                <w:kern w:val="0"/>
                <w:sz w:val="24"/>
                <w:szCs w:val="28"/>
                <w:highlight w:val="none"/>
              </w:rPr>
              <w:t>元</w:t>
            </w:r>
          </w:p>
          <w:p w14:paraId="04E9F8C5">
            <w:pPr>
              <w:keepNext w:val="0"/>
              <w:keepLines w:val="0"/>
              <w:suppressLineNumbers w:val="0"/>
              <w:spacing w:before="0" w:beforeAutospacing="0" w:after="0" w:afterAutospacing="0" w:line="360" w:lineRule="auto"/>
              <w:ind w:left="0" w:right="0"/>
              <w:rPr>
                <w:rFonts w:hint="default"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7675F139">
            <w:pPr>
              <w:keepNext w:val="0"/>
              <w:keepLines w:val="0"/>
              <w:suppressLineNumbers w:val="0"/>
              <w:spacing w:before="0" w:beforeAutospacing="0" w:after="0" w:afterAutospacing="0" w:line="360" w:lineRule="auto"/>
              <w:ind w:left="0" w:right="0"/>
              <w:rPr>
                <w:rFonts w:hint="default"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转账/电汇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汇票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保险</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保函</w:t>
            </w:r>
          </w:p>
          <w:p w14:paraId="70B9D299">
            <w:pPr>
              <w:keepNext w:val="0"/>
              <w:keepLines w:val="0"/>
              <w:suppressLineNumbers w:val="0"/>
              <w:spacing w:before="0" w:beforeAutospacing="0" w:after="0" w:afterAutospacing="0" w:line="360" w:lineRule="auto"/>
              <w:ind w:left="0" w:right="0"/>
              <w:rPr>
                <w:rFonts w:hint="default"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（3）收取单位：</w:t>
            </w:r>
            <w:r>
              <w:rPr>
                <w:rFonts w:hint="eastAsia" w:ascii="宋体" w:hAnsi="宋体" w:eastAsia="宋体" w:cs="宋体"/>
                <w:bCs/>
                <w:color w:val="auto"/>
                <w:kern w:val="0"/>
                <w:sz w:val="24"/>
                <w:szCs w:val="28"/>
                <w:highlight w:val="none"/>
                <w:u w:val="single"/>
              </w:rPr>
              <w:t xml:space="preserve">     /         </w:t>
            </w:r>
            <w:r>
              <w:rPr>
                <w:rFonts w:hint="eastAsia" w:ascii="宋体" w:hAnsi="宋体" w:eastAsia="宋体" w:cs="宋体"/>
                <w:bCs/>
                <w:color w:val="auto"/>
                <w:kern w:val="0"/>
                <w:sz w:val="24"/>
                <w:szCs w:val="28"/>
                <w:highlight w:val="none"/>
              </w:rPr>
              <w:t xml:space="preserve">              </w:t>
            </w:r>
          </w:p>
          <w:p w14:paraId="76F00AC0">
            <w:pPr>
              <w:keepNext w:val="0"/>
              <w:keepLines w:val="0"/>
              <w:suppressLineNumbers w:val="0"/>
              <w:spacing w:before="0" w:beforeAutospacing="0" w:after="0" w:afterAutospacing="0" w:line="360" w:lineRule="auto"/>
              <w:ind w:left="0" w:right="0"/>
              <w:rPr>
                <w:rFonts w:hint="default"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（4）收取账号：</w:t>
            </w:r>
            <w:r>
              <w:rPr>
                <w:rFonts w:hint="eastAsia" w:ascii="宋体" w:hAnsi="宋体" w:eastAsia="宋体" w:cs="宋体"/>
                <w:bCs/>
                <w:color w:val="auto"/>
                <w:kern w:val="0"/>
                <w:sz w:val="24"/>
                <w:szCs w:val="28"/>
                <w:highlight w:val="none"/>
                <w:u w:val="single"/>
              </w:rPr>
              <w:t xml:space="preserve">     /         </w:t>
            </w:r>
          </w:p>
          <w:p w14:paraId="47E0CD77">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0"/>
                <w:highlight w:val="none"/>
              </w:rPr>
            </w:pPr>
            <w:r>
              <w:rPr>
                <w:rFonts w:hint="eastAsia" w:ascii="宋体" w:hAnsi="宋体" w:eastAsia="宋体" w:cs="宋体"/>
                <w:bCs/>
                <w:color w:val="auto"/>
                <w:kern w:val="0"/>
                <w:sz w:val="24"/>
                <w:szCs w:val="28"/>
                <w:highlight w:val="none"/>
              </w:rPr>
              <w:t>（5）</w:t>
            </w:r>
            <w:r>
              <w:rPr>
                <w:rFonts w:hint="eastAsia" w:ascii="宋体" w:hAnsi="宋体" w:eastAsia="宋体" w:cs="宋体"/>
                <w:color w:val="auto"/>
                <w:sz w:val="24"/>
                <w:szCs w:val="20"/>
                <w:highlight w:val="none"/>
              </w:rPr>
              <w:t>退还时间：</w:t>
            </w:r>
            <w:r>
              <w:rPr>
                <w:rFonts w:hint="eastAsia" w:ascii="宋体" w:hAnsi="宋体" w:eastAsia="宋体" w:cs="宋体"/>
                <w:bCs/>
                <w:color w:val="auto"/>
                <w:kern w:val="0"/>
                <w:sz w:val="24"/>
                <w:szCs w:val="28"/>
                <w:highlight w:val="none"/>
                <w:u w:val="single"/>
              </w:rPr>
              <w:t xml:space="preserve">     /         </w:t>
            </w:r>
          </w:p>
          <w:p w14:paraId="34225F60">
            <w:pPr>
              <w:keepNext w:val="0"/>
              <w:keepLines w:val="0"/>
              <w:suppressLineNumbers w:val="0"/>
              <w:spacing w:before="0" w:beforeAutospacing="0" w:after="0" w:afterAutospacing="0" w:line="360" w:lineRule="auto"/>
              <w:ind w:left="0" w:right="0"/>
              <w:rPr>
                <w:rFonts w:hint="default"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481E15BD">
            <w:pPr>
              <w:keepNext w:val="0"/>
              <w:keepLines w:val="0"/>
              <w:suppressLineNumbers w:val="0"/>
              <w:spacing w:before="0" w:beforeAutospacing="0" w:after="0" w:afterAutospacing="0" w:line="360" w:lineRule="auto"/>
              <w:ind w:left="0" w:right="0"/>
              <w:rPr>
                <w:rFonts w:hint="default"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0B75A6DA">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color w:val="auto"/>
                <w:sz w:val="24"/>
                <w:highlight w:val="none"/>
              </w:rPr>
            </w:pPr>
            <w:r>
              <w:rPr>
                <w:rFonts w:hint="eastAsia" w:ascii="宋体" w:hAnsi="宋体" w:eastAsia="宋体" w:cs="宋体"/>
                <w:bCs w:val="0"/>
                <w:color w:val="auto"/>
                <w:sz w:val="24"/>
                <w:szCs w:val="24"/>
                <w:highlight w:val="none"/>
              </w:rPr>
              <w:t>（2）以担保函、保证保险形式缴纳履约保证金的，受益人和收取单位须为采购人。</w:t>
            </w:r>
          </w:p>
        </w:tc>
      </w:tr>
      <w:tr w14:paraId="689C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0E9BBC3">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26</w:t>
            </w:r>
            <w:r>
              <w:rPr>
                <w:rFonts w:hint="default" w:ascii="宋体" w:hAnsi="宋体" w:eastAsia="宋体"/>
                <w:bCs/>
                <w:color w:val="auto"/>
                <w:kern w:val="2"/>
                <w:highlight w:val="none"/>
              </w:rPr>
              <w:t>.1</w:t>
            </w:r>
          </w:p>
        </w:tc>
        <w:tc>
          <w:tcPr>
            <w:tcW w:w="2227" w:type="dxa"/>
            <w:vAlign w:val="center"/>
          </w:tcPr>
          <w:p w14:paraId="1AEC86FF">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cs="宋体"/>
                <w:b w:val="0"/>
                <w:color w:val="auto"/>
                <w:sz w:val="24"/>
                <w:highlight w:val="none"/>
              </w:rPr>
              <w:t>代理费用</w:t>
            </w:r>
          </w:p>
        </w:tc>
        <w:tc>
          <w:tcPr>
            <w:tcW w:w="6274" w:type="dxa"/>
            <w:vAlign w:val="center"/>
          </w:tcPr>
          <w:p w14:paraId="50DF78D5">
            <w:pPr>
              <w:keepNext w:val="0"/>
              <w:keepLines w:val="0"/>
              <w:suppressLineNumbers w:val="0"/>
              <w:spacing w:before="39" w:beforeAutospacing="0" w:after="0" w:afterAutospacing="0" w:line="360" w:lineRule="auto"/>
              <w:ind w:left="0" w:right="0"/>
              <w:rPr>
                <w:rFonts w:hint="default" w:ascii="宋体" w:hAnsi="宋体" w:eastAsia="宋体" w:cs="宋体"/>
                <w:color w:val="auto"/>
                <w:sz w:val="24"/>
                <w:szCs w:val="24"/>
                <w:highlight w:val="none"/>
              </w:rPr>
            </w:pPr>
            <w:r>
              <w:rPr>
                <w:rFonts w:hint="eastAsia" w:ascii="宋体" w:hAnsi="宋体" w:eastAsia="宋体" w:cs="宋体"/>
                <w:bCs/>
                <w:color w:val="auto"/>
                <w:kern w:val="0"/>
                <w:sz w:val="24"/>
                <w:szCs w:val="28"/>
                <w:highlight w:val="none"/>
              </w:rPr>
              <w:t>（1）收费对象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color w:val="auto"/>
                <w:spacing w:val="14"/>
                <w:sz w:val="24"/>
                <w:szCs w:val="24"/>
                <w:highlight w:val="none"/>
              </w:rPr>
              <w:t xml:space="preserve">采购人   </w:t>
            </w:r>
            <w:r>
              <w:rPr>
                <w:rFonts w:hint="eastAsia" w:ascii="宋体" w:hAnsi="宋体" w:eastAsia="宋体" w:cs="宋体"/>
                <w:bCs/>
                <w:color w:val="auto"/>
                <w:kern w:val="0"/>
                <w:sz w:val="24"/>
                <w:szCs w:val="28"/>
                <w:highlight w:val="none"/>
              </w:rPr>
              <w:sym w:font="Wingdings" w:char="00FE"/>
            </w:r>
            <w:r>
              <w:rPr>
                <w:rFonts w:hint="eastAsia" w:ascii="宋体" w:hAnsi="宋体" w:eastAsia="宋体" w:cs="宋体"/>
                <w:color w:val="auto"/>
                <w:spacing w:val="14"/>
                <w:sz w:val="24"/>
                <w:szCs w:val="24"/>
                <w:highlight w:val="none"/>
              </w:rPr>
              <w:t>成交供应商</w:t>
            </w:r>
          </w:p>
          <w:p w14:paraId="2EA4B50E">
            <w:pPr>
              <w:keepNext w:val="0"/>
              <w:keepLines w:val="0"/>
              <w:suppressLineNumbers w:val="0"/>
              <w:spacing w:before="24" w:beforeAutospacing="0" w:after="0" w:afterAutospacing="0" w:line="360" w:lineRule="auto"/>
              <w:ind w:left="0" w:right="0"/>
              <w:rPr>
                <w:rFonts w:hint="default"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领取成交通知书时一次性支付给代理机构。</w:t>
            </w:r>
          </w:p>
          <w:p w14:paraId="5CBF569A">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cs="宋体"/>
                <w:b w:val="0"/>
                <w:bCs w:val="0"/>
                <w:color w:val="auto"/>
                <w:sz w:val="24"/>
                <w:highlight w:val="none"/>
              </w:rPr>
              <w:t>（3）</w:t>
            </w:r>
            <w:r>
              <w:rPr>
                <w:rFonts w:hint="eastAsia" w:ascii="宋体" w:hAnsi="宋体" w:eastAsia="宋体" w:cs="宋体"/>
                <w:b w:val="0"/>
                <w:color w:val="auto"/>
                <w:sz w:val="24"/>
                <w:highlight w:val="none"/>
              </w:rPr>
              <w:t>收费标准：</w:t>
            </w:r>
            <w:r>
              <w:rPr>
                <w:rFonts w:hint="eastAsia" w:ascii="宋体" w:hAnsi="宋体" w:eastAsia="宋体" w:cs="宋体"/>
                <w:b w:val="0"/>
                <w:bCs w:val="0"/>
                <w:color w:val="auto"/>
                <w:kern w:val="2"/>
                <w:sz w:val="24"/>
                <w:szCs w:val="24"/>
                <w:highlight w:val="none"/>
                <w:u w:val="single"/>
                <w:lang w:val="en-US" w:eastAsia="zh-CN"/>
              </w:rPr>
              <w:t>参考计价格【2002】1980号文件计算标准，按最高限价计算费用的50%计取</w:t>
            </w:r>
            <w:r>
              <w:rPr>
                <w:rFonts w:hint="eastAsia" w:ascii="宋体" w:hAnsi="宋体" w:eastAsia="宋体" w:cs="宋体"/>
                <w:b w:val="0"/>
                <w:color w:val="auto"/>
                <w:sz w:val="24"/>
                <w:szCs w:val="24"/>
                <w:highlight w:val="none"/>
                <w:u w:val="single"/>
                <w:lang w:eastAsia="zh-CN"/>
              </w:rPr>
              <w:t>；代理费用</w:t>
            </w:r>
            <w:r>
              <w:rPr>
                <w:rFonts w:hint="eastAsia" w:ascii="宋体" w:hAnsi="宋体" w:eastAsia="宋体" w:cs="宋体"/>
                <w:b w:val="0"/>
                <w:bCs w:val="0"/>
                <w:color w:val="auto"/>
                <w:kern w:val="2"/>
                <w:sz w:val="24"/>
                <w:szCs w:val="24"/>
                <w:highlight w:val="none"/>
                <w:u w:val="single"/>
                <w:lang w:val="en-US" w:eastAsia="zh-CN"/>
              </w:rPr>
              <w:t>6615</w:t>
            </w:r>
            <w:r>
              <w:rPr>
                <w:rFonts w:hint="eastAsia" w:ascii="宋体" w:hAnsi="宋体" w:eastAsia="宋体" w:cs="宋体"/>
                <w:b w:val="0"/>
                <w:bCs w:val="0"/>
                <w:color w:val="auto"/>
                <w:kern w:val="2"/>
                <w:sz w:val="24"/>
                <w:szCs w:val="24"/>
                <w:highlight w:val="none"/>
                <w:u w:val="single"/>
              </w:rPr>
              <w:t>元。</w:t>
            </w:r>
          </w:p>
        </w:tc>
      </w:tr>
      <w:tr w14:paraId="7E38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66954B2">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27.1</w:t>
            </w:r>
          </w:p>
        </w:tc>
        <w:tc>
          <w:tcPr>
            <w:tcW w:w="1160" w:type="pct"/>
            <w:vAlign w:val="center"/>
          </w:tcPr>
          <w:p w14:paraId="28E1116A">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67" w:type="pct"/>
            <w:vAlign w:val="center"/>
          </w:tcPr>
          <w:p w14:paraId="3FFA7F11">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Cs w:val="0"/>
                <w:color w:val="auto"/>
                <w:sz w:val="24"/>
                <w:highlight w:val="none"/>
              </w:rPr>
            </w:pPr>
            <w:r>
              <w:rPr>
                <w:rFonts w:hint="eastAsia" w:ascii="宋体" w:hAnsi="宋体" w:eastAsia="宋体"/>
                <w:bCs w:val="0"/>
                <w:color w:val="auto"/>
                <w:sz w:val="24"/>
                <w:highlight w:val="none"/>
              </w:rPr>
              <w:t>（1）采购人与成交供应商应当自发出成交通知书之日起7个工作日内签订合同，采购合同签订之日起2个工作日内完成政府采购合同公开。</w:t>
            </w:r>
          </w:p>
          <w:p w14:paraId="1FADE452">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default" w:ascii="宋体" w:hAnsi="宋体" w:eastAsia="宋体" w:cs="宋体"/>
                <w:bCs w:val="0"/>
                <w:color w:val="auto"/>
                <w:sz w:val="24"/>
                <w:szCs w:val="24"/>
                <w:highlight w:val="none"/>
              </w:rPr>
              <w:t>（2）采购人与</w:t>
            </w:r>
            <w:r>
              <w:rPr>
                <w:rFonts w:hint="eastAsia" w:ascii="宋体" w:hAnsi="宋体" w:eastAsia="宋体"/>
                <w:bCs w:val="0"/>
                <w:color w:val="auto"/>
                <w:sz w:val="24"/>
                <w:highlight w:val="none"/>
              </w:rPr>
              <w:t>成交供应商</w:t>
            </w:r>
            <w:r>
              <w:rPr>
                <w:rFonts w:hint="default" w:ascii="宋体" w:hAnsi="宋体" w:eastAsia="宋体" w:cs="宋体"/>
                <w:color w:val="auto"/>
                <w:sz w:val="24"/>
                <w:szCs w:val="24"/>
                <w:highlight w:val="none"/>
              </w:rPr>
              <w:t>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596E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077A2F2">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29.3</w:t>
            </w:r>
          </w:p>
        </w:tc>
        <w:tc>
          <w:tcPr>
            <w:tcW w:w="2227" w:type="dxa"/>
            <w:vAlign w:val="center"/>
          </w:tcPr>
          <w:p w14:paraId="262AAD49">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6274" w:type="dxa"/>
            <w:vAlign w:val="center"/>
          </w:tcPr>
          <w:p w14:paraId="56C987AB">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递交方式：</w:t>
            </w:r>
            <w:r>
              <w:rPr>
                <w:rFonts w:hint="eastAsia" w:ascii="宋体" w:hAnsi="宋体" w:eastAsia="宋体" w:cs="宋体"/>
                <w:color w:val="auto"/>
                <w:sz w:val="24"/>
                <w:highlight w:val="none"/>
                <w:u w:val="single"/>
              </w:rPr>
              <w:t>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399506FD">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color w:val="auto"/>
                <w:sz w:val="24"/>
                <w:highlight w:val="none"/>
                <w:u w:val="single"/>
                <w:lang w:eastAsia="zh-CN"/>
              </w:rPr>
              <w:t>滁州职业技术学院</w:t>
            </w:r>
            <w:r>
              <w:rPr>
                <w:rFonts w:hint="eastAsia" w:ascii="宋体" w:hAnsi="宋体" w:eastAsia="宋体" w:cs="宋体"/>
                <w:color w:val="auto"/>
                <w:sz w:val="24"/>
                <w:highlight w:val="none"/>
                <w:u w:val="single"/>
              </w:rPr>
              <w:t>、滁州市城投工程咨询管理有限公司；</w:t>
            </w:r>
          </w:p>
          <w:p w14:paraId="0FD16930">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联系电话：</w:t>
            </w:r>
            <w:r>
              <w:rPr>
                <w:rFonts w:hint="eastAsia" w:ascii="宋体" w:hAnsi="宋体" w:eastAsia="宋体" w:cs="宋体"/>
                <w:b/>
                <w:bCs w:val="0"/>
                <w:color w:val="auto"/>
                <w:sz w:val="24"/>
                <w:highlight w:val="none"/>
                <w:u w:val="single"/>
              </w:rPr>
              <w:t>0550-3854572、</w:t>
            </w:r>
            <w:r>
              <w:rPr>
                <w:rFonts w:hint="eastAsia" w:ascii="宋体" w:hAnsi="宋体" w:eastAsia="宋体" w:cs="宋体"/>
                <w:color w:val="auto"/>
                <w:sz w:val="24"/>
                <w:highlight w:val="none"/>
                <w:u w:val="single"/>
                <w:lang w:val="en-US" w:eastAsia="zh-CN"/>
              </w:rPr>
              <w:t>0550-3854662</w:t>
            </w:r>
            <w:r>
              <w:rPr>
                <w:rFonts w:hint="eastAsia" w:ascii="宋体" w:hAnsi="宋体" w:eastAsia="宋体" w:cs="宋体"/>
                <w:color w:val="auto"/>
                <w:sz w:val="24"/>
                <w:highlight w:val="none"/>
                <w:u w:val="single"/>
              </w:rPr>
              <w:t>、0550-351951</w:t>
            </w:r>
            <w:r>
              <w:rPr>
                <w:rFonts w:hint="eastAsia" w:ascii="宋体" w:hAnsi="宋体" w:eastAsia="宋体" w:cs="宋体"/>
                <w:color w:val="auto"/>
                <w:sz w:val="24"/>
                <w:highlight w:val="none"/>
                <w:u w:val="single"/>
                <w:lang w:val="en-US" w:eastAsia="zh-CN"/>
              </w:rPr>
              <w:t>7</w:t>
            </w:r>
            <w:r>
              <w:rPr>
                <w:rFonts w:hint="eastAsia" w:ascii="宋体" w:hAnsi="宋体" w:eastAsia="宋体" w:cs="宋体"/>
                <w:color w:val="auto"/>
                <w:sz w:val="24"/>
                <w:highlight w:val="none"/>
                <w:u w:val="single"/>
              </w:rPr>
              <w:t>；</w:t>
            </w:r>
          </w:p>
          <w:p w14:paraId="4BF4546A">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color w:val="auto"/>
                <w:sz w:val="24"/>
                <w:highlight w:val="none"/>
                <w:u w:val="single"/>
                <w:lang w:eastAsia="zh-CN"/>
              </w:rPr>
              <w:t>安徽省滁州市丰乐大道2188号</w:t>
            </w:r>
            <w:r>
              <w:rPr>
                <w:rFonts w:hint="eastAsia" w:ascii="宋体" w:hAnsi="宋体" w:eastAsia="宋体" w:cs="宋体"/>
                <w:color w:val="auto"/>
                <w:sz w:val="24"/>
                <w:highlight w:val="none"/>
                <w:u w:val="single"/>
              </w:rPr>
              <w:t>、滁州市龙蟠大道109号房产商务大厦6楼。</w:t>
            </w:r>
          </w:p>
        </w:tc>
      </w:tr>
      <w:tr w14:paraId="58FD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D2366E2">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30</w:t>
            </w:r>
          </w:p>
        </w:tc>
        <w:tc>
          <w:tcPr>
            <w:tcW w:w="2227" w:type="dxa"/>
            <w:vAlign w:val="center"/>
          </w:tcPr>
          <w:p w14:paraId="1DA563F0">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cs="宋体"/>
                <w:b w:val="0"/>
                <w:color w:val="auto"/>
                <w:sz w:val="24"/>
                <w:highlight w:val="none"/>
              </w:rPr>
              <w:t>其他内容</w:t>
            </w:r>
          </w:p>
        </w:tc>
        <w:tc>
          <w:tcPr>
            <w:tcW w:w="6274" w:type="dxa"/>
            <w:vAlign w:val="center"/>
          </w:tcPr>
          <w:p w14:paraId="1B510337">
            <w:pPr>
              <w:keepNext w:val="0"/>
              <w:keepLines w:val="0"/>
              <w:suppressLineNumbers w:val="0"/>
              <w:spacing w:before="0" w:beforeAutospacing="0" w:after="0" w:afterAutospacing="0" w:line="360" w:lineRule="auto"/>
              <w:ind w:left="0" w:right="0"/>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1.解释权</w:t>
            </w:r>
          </w:p>
          <w:p w14:paraId="21779DD8">
            <w:pPr>
              <w:keepNext w:val="0"/>
              <w:keepLines w:val="0"/>
              <w:suppressLineNumbers w:val="0"/>
              <w:spacing w:before="0" w:beforeAutospacing="0" w:after="0" w:afterAutospacing="0" w:line="360" w:lineRule="auto"/>
              <w:ind w:left="0" w:right="0"/>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（1）构成本磋商文件的各个组成文件应互为解释，互为说明；</w:t>
            </w:r>
          </w:p>
          <w:p w14:paraId="1C3A5BD0">
            <w:pPr>
              <w:keepNext w:val="0"/>
              <w:keepLines w:val="0"/>
              <w:suppressLineNumbers w:val="0"/>
              <w:spacing w:before="0" w:beforeAutospacing="0" w:after="0" w:afterAutospacing="0" w:line="360" w:lineRule="auto"/>
              <w:ind w:left="0" w:right="0"/>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3EF5607B">
            <w:pPr>
              <w:keepNext w:val="0"/>
              <w:keepLines w:val="0"/>
              <w:suppressLineNumbers w:val="0"/>
              <w:spacing w:before="0" w:beforeAutospacing="0" w:after="0" w:afterAutospacing="0" w:line="360" w:lineRule="auto"/>
              <w:ind w:left="0" w:right="0"/>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2E006883">
            <w:pPr>
              <w:keepNext w:val="0"/>
              <w:keepLines w:val="0"/>
              <w:suppressLineNumbers w:val="0"/>
              <w:spacing w:before="0" w:beforeAutospacing="0" w:after="0" w:afterAutospacing="0" w:line="360" w:lineRule="auto"/>
              <w:ind w:left="0" w:right="0"/>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（4）除磋商文件中有特别规定外，仅适用于磋商及响应文件提交阶段的规定，按竞争性磋商公告、磋商邀请、供应商须知、评审方法和标准、响应文件格式的先后顺序解释；</w:t>
            </w:r>
          </w:p>
          <w:p w14:paraId="5D106AE9">
            <w:pPr>
              <w:keepNext w:val="0"/>
              <w:keepLines w:val="0"/>
              <w:suppressLineNumbers w:val="0"/>
              <w:spacing w:before="0" w:beforeAutospacing="0" w:after="0" w:afterAutospacing="0" w:line="360" w:lineRule="auto"/>
              <w:ind w:left="0" w:right="0"/>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（5）按本款前述规定仍不能形成结论的，由采购人负责解释。</w:t>
            </w:r>
          </w:p>
          <w:p w14:paraId="50D0C056">
            <w:pPr>
              <w:keepNext w:val="0"/>
              <w:keepLines w:val="0"/>
              <w:suppressLineNumbers w:val="0"/>
              <w:spacing w:before="0" w:beforeAutospacing="0" w:after="0" w:afterAutospacing="0" w:line="360" w:lineRule="auto"/>
              <w:ind w:left="0" w:right="0"/>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2.“政采贷”融资指引：有融资需求的</w:t>
            </w:r>
            <w:r>
              <w:rPr>
                <w:rFonts w:hint="eastAsia" w:ascii="宋体" w:hAnsi="宋体" w:eastAsia="宋体" w:cs="宋体"/>
                <w:color w:val="auto"/>
                <w:sz w:val="24"/>
                <w:szCs w:val="24"/>
                <w:highlight w:val="none"/>
              </w:rPr>
              <w:t>供应商</w:t>
            </w:r>
            <w:r>
              <w:rPr>
                <w:rFonts w:hint="eastAsia" w:ascii="宋体" w:hAnsi="宋体" w:eastAsia="宋体" w:cs="宋体"/>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供应商</w:t>
            </w:r>
            <w:r>
              <w:rPr>
                <w:rFonts w:hint="eastAsia" w:ascii="宋体" w:hAnsi="宋体" w:eastAsia="宋体" w:cs="宋体"/>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成交供应商</w:t>
            </w:r>
            <w:r>
              <w:rPr>
                <w:rFonts w:hint="eastAsia" w:ascii="宋体" w:hAnsi="宋体" w:eastAsia="宋体" w:cs="宋体"/>
                <w:bCs/>
                <w:color w:val="auto"/>
                <w:sz w:val="24"/>
                <w:szCs w:val="24"/>
                <w:highlight w:val="none"/>
              </w:rPr>
              <w:t>融资申请信息推送第三方平台、意向金融机构。</w:t>
            </w:r>
          </w:p>
          <w:p w14:paraId="02273703">
            <w:pPr>
              <w:keepNext w:val="0"/>
              <w:keepLines w:val="0"/>
              <w:suppressLineNumbers w:val="0"/>
              <w:spacing w:before="0" w:beforeAutospacing="0" w:after="0" w:afterAutospacing="0" w:line="360" w:lineRule="auto"/>
              <w:ind w:left="0" w:right="0"/>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3.电子保函指引：成交供应商可访问安徽省政府采购网“融资/保函”栏目，申请办理电子保函（包括：履约保函、预付款保函）。</w:t>
            </w:r>
          </w:p>
          <w:p w14:paraId="6CFA3F08">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color w:val="auto"/>
                <w:sz w:val="24"/>
                <w:szCs w:val="24"/>
                <w:highlight w:val="none"/>
              </w:rPr>
              <w:t>部分可提供线下政采贷的金融机构：</w:t>
            </w:r>
          </w:p>
          <w:p w14:paraId="537BC897">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市本级</w:t>
            </w:r>
          </w:p>
          <w:p w14:paraId="130C09F9">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金融机构名称：兴业银行滁州分行</w:t>
            </w:r>
          </w:p>
          <w:p w14:paraId="111671D2">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安徽省滁州市琅琊区丰乐大道1090号</w:t>
            </w:r>
          </w:p>
          <w:p w14:paraId="065CAB49">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伏庚：17755080811</w:t>
            </w:r>
          </w:p>
          <w:p w14:paraId="54A1727C">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5.特别提示：</w:t>
            </w:r>
          </w:p>
          <w:p w14:paraId="62E83219">
            <w:pPr>
              <w:pStyle w:val="43"/>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rPr>
              <w:t>（1）供应商应填写投标信息并下载采购文件，否则无法上传响应文件</w:t>
            </w:r>
            <w:r>
              <w:rPr>
                <w:rFonts w:hint="eastAsia" w:ascii="宋体" w:hAnsi="宋体" w:eastAsia="宋体" w:cs="宋体"/>
                <w:b w:val="0"/>
                <w:bCs w:val="0"/>
                <w:color w:val="auto"/>
                <w:kern w:val="2"/>
                <w:sz w:val="24"/>
                <w:szCs w:val="24"/>
                <w:highlight w:val="none"/>
                <w:lang w:eastAsia="zh-CN"/>
              </w:rPr>
              <w:t>。</w:t>
            </w:r>
          </w:p>
          <w:p w14:paraId="2E42DCE2">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采用电子招标投标，请供应商在滁州市公共资源交易中心网&gt;服务指南&gt;软件下载栏目点击下载响应文件制作工具。供应商需采用最新版响应文件制作工具。软件运行需在国际互联网络通畅状态，供应商需注意更新，以免造成响应文件制作错误，如因此导致磋商小组否决其磋商资格，责任自负。如有技术问题请联系0550-3801701，</w:t>
            </w:r>
            <w:r>
              <w:rPr>
                <w:rFonts w:hint="eastAsia" w:ascii="宋体" w:hAnsi="宋体" w:eastAsia="宋体" w:cs="宋体"/>
                <w:color w:val="auto"/>
                <w:sz w:val="24"/>
                <w:szCs w:val="24"/>
                <w:highlight w:val="none"/>
                <w:lang w:eastAsia="zh-CN"/>
              </w:rPr>
              <w:t>0512-58188516</w:t>
            </w:r>
            <w:r>
              <w:rPr>
                <w:rFonts w:hint="eastAsia" w:ascii="宋体" w:hAnsi="宋体" w:eastAsia="宋体" w:cs="宋体"/>
                <w:color w:val="auto"/>
                <w:sz w:val="24"/>
                <w:szCs w:val="24"/>
                <w:highlight w:val="none"/>
              </w:rPr>
              <w:t>。</w:t>
            </w:r>
          </w:p>
          <w:p w14:paraId="388C4942">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（3）如果过程中出现采购文件更改，应以最后发布的招标答疑澄清文件中的模板制作本项目最新响应文件。</w:t>
            </w:r>
          </w:p>
          <w:p w14:paraId="0A70C6E6">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（4）供应商应当用本单位CA数字证书制作响应文件，制作成功后进行响应文件上传。 </w:t>
            </w:r>
          </w:p>
          <w:p w14:paraId="4CB32FB9">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须用CA数字证书盖章和加密响应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332B92F6">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（6）请供应商注意加密响应文件CA数字证书的有效期，不在有效期的CA数字证书无法解密响应文件。</w:t>
            </w:r>
          </w:p>
          <w:p w14:paraId="6DAA0BD3">
            <w:pPr>
              <w:pStyle w:val="20"/>
              <w:keepNext w:val="0"/>
              <w:keepLines w:val="0"/>
              <w:suppressLineNumbers w:val="0"/>
              <w:spacing w:before="0" w:beforeAutospacing="0" w:after="0" w:afterAutospacing="0" w:line="440" w:lineRule="exact"/>
              <w:ind w:left="0" w:right="0"/>
              <w:jc w:val="both"/>
              <w:rPr>
                <w:rFonts w:hint="default" w:ascii="宋体" w:hAnsi="宋体" w:eastAsia="宋体" w:cs="宋体"/>
                <w:bCs/>
                <w:color w:val="auto"/>
                <w:kern w:val="2"/>
                <w:szCs w:val="24"/>
                <w:highlight w:val="none"/>
              </w:rPr>
            </w:pPr>
            <w:r>
              <w:rPr>
                <w:rFonts w:hint="eastAsia" w:ascii="宋体" w:hAnsi="宋体" w:eastAsia="宋体" w:cs="宋体"/>
                <w:color w:val="auto"/>
                <w:kern w:val="2"/>
                <w:szCs w:val="24"/>
                <w:highlight w:val="none"/>
              </w:rPr>
              <w:t>（7）</w:t>
            </w:r>
            <w:r>
              <w:rPr>
                <w:rFonts w:hint="eastAsia" w:ascii="宋体" w:hAnsi="宋体" w:eastAsia="宋体" w:cs="宋体"/>
                <w:bCs/>
                <w:color w:val="auto"/>
                <w:kern w:val="2"/>
                <w:szCs w:val="24"/>
                <w:highlight w:val="none"/>
              </w:rPr>
              <w:t>供应商投标MAC地址或供应商联系人或联系电话相同的，由磋商小组否决其响应，并报告监管部门作不良行为处理和进一步调查。</w:t>
            </w:r>
          </w:p>
          <w:p w14:paraId="528EE096">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（8）供应商单方面出现其他供应商材料的，由磋商小组否决其响应。</w:t>
            </w:r>
          </w:p>
          <w:p w14:paraId="170CA1B9">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9）评审时查询响应文件制作机器码、文件创建标识码及造价软件加密锁号。若存在响应文件制作机器码或创建标识码或造价软件加密锁号信息与其他供应商雷同的，由磋商小组否决其响应，依法依规予以处理。</w:t>
            </w:r>
          </w:p>
          <w:p w14:paraId="4E8D89FD">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10）电子加密响应文件上传到系统后，需要供应商和采购代理公司到截止时间后共同解锁，不存在商务报价等投标信息通过系统泄密的风险；截止时间前，已上传的响应文件也可以撤回修改。集中到开标截止时间前上传电子加密响应文件，可能出现由于投标企业制作电子响应文件不熟练、网络拥堵等不可预知的情况而且无法及时解决，丧失投标机会，请各投标企业提前制作、上传电子加密响应文件，否则由于无法及时上传电子加密响应文件而无效响应的情况，责任自负！</w:t>
            </w:r>
          </w:p>
          <w:p w14:paraId="5A078BCB">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6.评审过程中的澄清、说明或补正：</w:t>
            </w:r>
          </w:p>
          <w:p w14:paraId="17EA49E7">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（1）磋商小组通过网上招投标系统将需要澄清、说明或补正的内容以询标函的形式发送给供应商，供应商应安排专人登录网上招投标系统并保持在线状态，以便及时接收磋商小组可能发出的询标函。</w:t>
            </w:r>
          </w:p>
          <w:p w14:paraId="0B4A0CBE">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因供应商未登录网上招投标系统导致无法及时接收询标函（远程网上询标）或未在规定时间内按磋商小组要求进行澄清、说明或补正内容的视同供应商放弃澄清、说明或补正内容的权利，磋商小组可按对供应商不利的解释进行判定。</w:t>
            </w:r>
          </w:p>
          <w:p w14:paraId="5C0B869B">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7.同义词语：</w:t>
            </w:r>
          </w:p>
          <w:p w14:paraId="462B9B82">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磋商文件第六章  响应文件格式、附件1“关于联合惩戒失信行为 加强信用查询管理的通知”等章节中 “招标人”、“投标人”，等同于“采购人”、“供应商”。</w:t>
            </w:r>
          </w:p>
          <w:p w14:paraId="691059E4">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8.落实政府采购支持节能产品、环境标志产品政策。</w:t>
            </w:r>
          </w:p>
          <w:p w14:paraId="60470432">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color w:val="auto"/>
                <w:sz w:val="24"/>
                <w:szCs w:val="24"/>
                <w:highlight w:val="none"/>
              </w:rPr>
            </w:pPr>
            <w:r>
              <w:rPr>
                <w:rFonts w:hint="eastAsia" w:ascii="宋体" w:hAnsi="宋体" w:eastAsia="宋体" w:cs="宋体"/>
                <w:color w:val="auto"/>
                <w:sz w:val="24"/>
                <w:szCs w:val="24"/>
                <w:highlight w:val="none"/>
              </w:rPr>
              <w:t>9.系统中提供的表格与采购文件中不一致时，以采购文件中提供的表格格式为准。</w:t>
            </w:r>
          </w:p>
        </w:tc>
      </w:tr>
    </w:tbl>
    <w:p w14:paraId="0B9BCA25">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8" w:name="_Toc14293"/>
      <w:bookmarkStart w:id="9" w:name="_Toc27470"/>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8"/>
      <w:bookmarkEnd w:id="9"/>
    </w:p>
    <w:p w14:paraId="2BBB94E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5FA0341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1.1采购人：是指依法开展政府采购活动的国家机关、事业单位、团体组织。</w:t>
      </w:r>
    </w:p>
    <w:p w14:paraId="5BA6DD6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1.2采购代理机构：是指集中采购机构或从事采购代理业务的社会中介机构。</w:t>
      </w:r>
    </w:p>
    <w:p w14:paraId="5222A03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1.3政府采购监督管理部门：各级人民政府指定的有关部门依法履行与政府采购活动有关的监督管理职责。</w:t>
      </w:r>
    </w:p>
    <w:p w14:paraId="2D2652B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供应商：是指向采购人提供货物、工程或者服务的法人、其他组织或者自然人。分支机构不得参加政府采购活动，但银行、保险、石油石化、电力、电信等特殊行业除外。本项目的供应商及其所投货物须满足以下条件：</w:t>
      </w:r>
    </w:p>
    <w:p w14:paraId="71EAC4E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1.4.1具备《中华人民共和国政府采购法》第二十二条关于供应商条件的规定，遵守本项目采购人本级和上级财政部门政府采购的有关规定。</w:t>
      </w:r>
    </w:p>
    <w:p w14:paraId="4D7CC37D">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1.4.2以采购代理机构认可的方式获得了本项目的磋商文件。</w:t>
      </w:r>
    </w:p>
    <w:p w14:paraId="5CCC093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1.4.3若采购需求中写明允许采购进口产品，供应商应保证所投产品可履行合法报通关手续进入中国关境内。</w:t>
      </w:r>
    </w:p>
    <w:p w14:paraId="56D6E10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若采购需求中未写明允许采购进口产品，如供应商所投产品为进口产品，其响应文件将被认定为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5B7C3D9B">
      <w:pPr>
        <w:spacing w:line="360" w:lineRule="auto"/>
        <w:ind w:firstLine="435"/>
        <w:rPr>
          <w:rFonts w:ascii="宋体" w:hAnsi="宋体" w:eastAsia="宋体" w:cs="宋体"/>
          <w:color w:val="auto"/>
          <w:sz w:val="24"/>
          <w:highlight w:val="none"/>
        </w:rPr>
      </w:pPr>
      <w:bookmarkStart w:id="10" w:name="_Hlk60607583"/>
      <w:r>
        <w:rPr>
          <w:rFonts w:hint="eastAsia" w:ascii="宋体" w:hAnsi="宋体" w:eastAsia="宋体" w:cs="宋体"/>
          <w:bCs/>
          <w:color w:val="auto"/>
          <w:kern w:val="0"/>
          <w:sz w:val="24"/>
          <w:szCs w:val="28"/>
          <w:highlight w:val="none"/>
        </w:rPr>
        <w:t>1.5若竞争性磋商公告中允许联合体参加磋商，对联合体规定如下：</w:t>
      </w:r>
    </w:p>
    <w:bookmarkEnd w:id="10"/>
    <w:p w14:paraId="6771DBB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1.5.1两个以上供应商可以组成一个磋商联合体，以一个供应商的身份磋商。联合体参加磋商的，磋商文件获取手续由联合体中任一成员单位办理均可。</w:t>
      </w:r>
    </w:p>
    <w:p w14:paraId="0B01F92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1.5.2联合体各方均应符合《中华人民共和国政府采购法》第二十二条规定的条件。</w:t>
      </w:r>
    </w:p>
    <w:p w14:paraId="6A6FB7C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1.5.3采购人根据采购项目对供应商的特殊要求，联合体中至少应当有一方符合相关规定。</w:t>
      </w:r>
    </w:p>
    <w:p w14:paraId="3E21D75D">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1.5.4联合体各方应签订联合协议，明确约定联合体各方承担的工作和相应的责任，并将联合协议作为响应文件的一部分提交。</w:t>
      </w:r>
    </w:p>
    <w:p w14:paraId="4091BB9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1.5.5大中型企业、其他自然人、法人或者非法人组织与小型、微型企业组成联合体共同参加磋商，联合协议中应写明小型、微型企业的协议合同金额占到联合协议合同总金额的比例。</w:t>
      </w:r>
    </w:p>
    <w:p w14:paraId="07A369C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1.5.6联合体中有同类资质的供应商按照联合体分工承担相同工作的，应当按照资质等级较低的供应商确定资质等级。</w:t>
      </w:r>
    </w:p>
    <w:p w14:paraId="6C0BE26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1.5.7以联合体形式参加政府采购活动的，联合体各方不得再单独参加或者与其他供应商另外组成联合体参加本项目磋商，否则相关响应文件将被认定为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45B3E2D8">
      <w:pPr>
        <w:spacing w:line="360" w:lineRule="auto"/>
        <w:ind w:firstLine="435"/>
        <w:rPr>
          <w:rFonts w:ascii="宋体" w:hAnsi="宋体" w:eastAsia="宋体"/>
          <w:color w:val="auto"/>
          <w:sz w:val="24"/>
          <w:highlight w:val="none"/>
        </w:rPr>
      </w:pPr>
      <w:r>
        <w:rPr>
          <w:rFonts w:hint="eastAsia" w:ascii="宋体" w:hAnsi="宋体" w:eastAsia="宋体" w:cs="宋体"/>
          <w:color w:val="auto"/>
          <w:sz w:val="24"/>
          <w:highlight w:val="none"/>
        </w:rPr>
        <w:t>1.5.8对联合体参加磋商的其他资格要求见申请人的资格要求</w:t>
      </w:r>
      <w:r>
        <w:rPr>
          <w:rFonts w:ascii="宋体" w:hAnsi="宋体" w:eastAsia="宋体"/>
          <w:color w:val="auto"/>
          <w:sz w:val="24"/>
          <w:highlight w:val="none"/>
        </w:rPr>
        <w:t>。</w:t>
      </w:r>
    </w:p>
    <w:p w14:paraId="16B06AB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资金落实情况</w:t>
      </w:r>
    </w:p>
    <w:p w14:paraId="2ECEBE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.1本项目的采购人已获得足以支付本次磋商后所签订的合同项下的资金。</w:t>
      </w:r>
    </w:p>
    <w:p w14:paraId="74A6589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4B6637AA">
      <w:pPr>
        <w:spacing w:line="360" w:lineRule="auto"/>
        <w:ind w:firstLine="480" w:firstLineChars="200"/>
        <w:outlineLvl w:val="2"/>
        <w:rPr>
          <w:rFonts w:ascii="宋体" w:hAnsi="宋体" w:eastAsia="宋体"/>
          <w:color w:val="auto"/>
          <w:sz w:val="24"/>
          <w:highlight w:val="none"/>
        </w:rPr>
      </w:pPr>
      <w:r>
        <w:rPr>
          <w:rFonts w:hint="eastAsia" w:ascii="宋体" w:hAnsi="宋体" w:eastAsia="宋体"/>
          <w:color w:val="auto"/>
          <w:sz w:val="24"/>
          <w:highlight w:val="none"/>
        </w:rPr>
        <w:t>不论磋商的结果如何，供应商应承担其所有与准备和参加磋商有关的费用</w:t>
      </w:r>
    </w:p>
    <w:p w14:paraId="01405494">
      <w:pPr>
        <w:spacing w:line="360" w:lineRule="auto"/>
        <w:ind w:firstLine="482" w:firstLineChars="200"/>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537ACAB6">
      <w:pPr>
        <w:spacing w:line="360" w:lineRule="auto"/>
        <w:ind w:firstLine="480" w:firstLineChars="200"/>
        <w:outlineLvl w:val="2"/>
        <w:rPr>
          <w:rFonts w:ascii="宋体" w:hAnsi="宋体" w:eastAsia="宋体"/>
          <w:color w:val="auto"/>
          <w:sz w:val="24"/>
          <w:highlight w:val="none"/>
        </w:rPr>
      </w:pPr>
      <w:r>
        <w:rPr>
          <w:rFonts w:hint="eastAsia" w:ascii="宋体" w:hAnsi="宋体" w:eastAsia="宋体"/>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0B60679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292CDD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5.1磋商文件包括下列内容：</w:t>
      </w:r>
    </w:p>
    <w:p w14:paraId="7785801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076988D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06AA75D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38E4DA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7FD4751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7EF814F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38DEC78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0206D9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5D9B90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50F1D52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55C0AAF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6.1供应商如对磋商文件内容有疑问，可在</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规定的网上询问截止时间前以网上提问形式（电子交易系统）提交给采购代理机构。</w:t>
      </w:r>
    </w:p>
    <w:p w14:paraId="5C64509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6.2采购人可主动地或在答复供应商提出的询问时对磋商文件进行澄清与修改。采购代理机构将在</w:t>
      </w:r>
      <w:bookmarkStart w:id="11" w:name="_Hlk16458572"/>
      <w:r>
        <w:rPr>
          <w:rFonts w:hint="eastAsia" w:ascii="宋体" w:hAnsi="宋体" w:eastAsia="宋体" w:cs="宋体"/>
          <w:color w:val="auto"/>
          <w:sz w:val="24"/>
          <w:szCs w:val="18"/>
          <w:highlight w:val="none"/>
        </w:rPr>
        <w:t>安徽省政府采购网</w:t>
      </w:r>
      <w:bookmarkEnd w:id="11"/>
      <w:r>
        <w:rPr>
          <w:rFonts w:hint="eastAsia" w:ascii="宋体" w:hAnsi="宋体" w:eastAsia="宋体" w:cs="宋体"/>
          <w:color w:val="auto"/>
          <w:sz w:val="24"/>
          <w:szCs w:val="18"/>
          <w:highlight w:val="none"/>
        </w:rPr>
        <w:t>和滁州市公共资源交易中心网</w:t>
      </w:r>
      <w:r>
        <w:rPr>
          <w:rFonts w:hint="eastAsia" w:ascii="宋体" w:hAnsi="宋体" w:eastAsia="宋体" w:cs="宋体"/>
          <w:color w:val="auto"/>
          <w:sz w:val="24"/>
          <w:highlight w:val="none"/>
        </w:rPr>
        <w:t>以发布更正公告的方式澄清或者修改磋商文件，更正公告的内容作为磋商文件的组成部分，对供应商起约束作用。供应商应主动上网查询。采购代理机构不承担供应商未及时关注相关信息引发的相关责任。</w:t>
      </w:r>
    </w:p>
    <w:p w14:paraId="3DFAA35D">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6.3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2BD4BF88">
      <w:pPr>
        <w:spacing w:line="360" w:lineRule="auto"/>
        <w:ind w:firstLine="435"/>
        <w:rPr>
          <w:rFonts w:asciiTheme="minorEastAsia" w:hAnsiTheme="minorEastAsia" w:eastAsiaTheme="minorEastAsia"/>
          <w:iCs/>
          <w:color w:val="auto"/>
          <w:sz w:val="24"/>
          <w:highlight w:val="none"/>
        </w:rPr>
      </w:pPr>
      <w:r>
        <w:rPr>
          <w:rFonts w:hint="eastAsia" w:ascii="宋体" w:hAnsi="宋体" w:eastAsia="宋体" w:cs="宋体"/>
          <w:color w:val="auto"/>
          <w:sz w:val="24"/>
          <w:highlight w:val="none"/>
        </w:rPr>
        <w:t>6.4对于没有提出询问又参与了本项目磋商的供应商将被视为完全认同本磋商文件（含更正公告的内容）</w:t>
      </w:r>
      <w:r>
        <w:rPr>
          <w:rFonts w:hint="eastAsia" w:asciiTheme="minorEastAsia" w:hAnsiTheme="minorEastAsia" w:eastAsiaTheme="minorEastAsia"/>
          <w:color w:val="auto"/>
          <w:sz w:val="24"/>
          <w:highlight w:val="none"/>
        </w:rPr>
        <w:t>。</w:t>
      </w:r>
    </w:p>
    <w:p w14:paraId="625BD40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6F046AC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7.1项目有分包的，供应商可参与其中某一个或多个分包的磋商，成交包数详见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中规定。</w:t>
      </w:r>
    </w:p>
    <w:p w14:paraId="21E55672">
      <w:pPr>
        <w:spacing w:line="360" w:lineRule="auto"/>
        <w:ind w:firstLine="435"/>
        <w:rPr>
          <w:rFonts w:ascii="宋体" w:hAnsi="宋体" w:eastAsia="宋体" w:cs="宋体"/>
          <w:color w:val="auto"/>
          <w:highlight w:val="none"/>
        </w:rPr>
      </w:pPr>
      <w:r>
        <w:rPr>
          <w:rFonts w:hint="eastAsia" w:ascii="宋体" w:hAnsi="宋体" w:eastAsia="宋体" w:cs="宋体"/>
          <w:color w:val="auto"/>
          <w:sz w:val="24"/>
          <w:highlight w:val="none"/>
        </w:rPr>
        <w:t>7.2 供应商应当对所投分包磋商文件中“采购需求”所列的所有内容进行响应，如仅响应所投包别中的部分内容，其所投包别的响应将被认定为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72EACBF5">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7.3无论磋商文件中是否要求，供应商所投货物及伴随的服务和工程均应符合国家强制性标准。</w:t>
      </w:r>
    </w:p>
    <w:p w14:paraId="63EFD02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7.4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30E0B18F">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7.5除磋商文件中有特殊要求外，响应文件中所使用的计量单位，应采用中华人民共和国法定计量单位</w:t>
      </w:r>
      <w:r>
        <w:rPr>
          <w:rFonts w:asciiTheme="minorEastAsia" w:hAnsiTheme="minorEastAsia" w:eastAsiaTheme="minorEastAsia"/>
          <w:color w:val="auto"/>
          <w:sz w:val="24"/>
          <w:highlight w:val="none"/>
        </w:rPr>
        <w:t>。</w:t>
      </w:r>
    </w:p>
    <w:p w14:paraId="1E13EFA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435A077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8.1供应商应完整地按磋商文件提供的响应文件格式及要求编写响应文件，具体内容详见本项目响应文件格式的相关内容。</w:t>
      </w:r>
    </w:p>
    <w:p w14:paraId="63706A7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8.2供应商应提交磋商文件要求的证明文件，证明其响应内容符合磋商文件规定，该证明文件是响应文件的一部分。证明文件形式可以是文字资料、图纸和数据等。</w:t>
      </w:r>
    </w:p>
    <w:p w14:paraId="62099FC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8.3为保证公平公正，除非另有规定或说明，供应商对同一项目磋商时，不得同时提供备选磋商方案</w:t>
      </w:r>
      <w:r>
        <w:rPr>
          <w:rFonts w:asciiTheme="minorEastAsia" w:hAnsiTheme="minorEastAsia" w:eastAsiaTheme="minorEastAsia"/>
          <w:color w:val="auto"/>
          <w:sz w:val="24"/>
          <w:highlight w:val="none"/>
        </w:rPr>
        <w:t>。</w:t>
      </w:r>
    </w:p>
    <w:p w14:paraId="312515D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3F2AD46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9.1供应商的报价应当包括满足本次磋商全部采购需求所应提供的货物，以及伴随的服务和工程。除磋商文件另有规定外，所有内容均应以人民币报价，供应商的磋商报价应遵守《中华人民共和国价格法》。</w:t>
      </w:r>
    </w:p>
    <w:p w14:paraId="35124E57">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9.2除非磋商文件另有规定或经采购人同意支付的，最后报价均不得高于磋商文件（公告）列明的项目预算，否则其响应文件将被认定为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23A5E3B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9.3报价在合同履行过程中是固定不变的，不得以任何理由予以变更。任何包含价格调整要求的磋商，其响应文件将被认定为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0E2D2A53">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9.4采购人不接受具有附加条件的报价</w:t>
      </w:r>
      <w:r>
        <w:rPr>
          <w:rFonts w:asciiTheme="minorEastAsia" w:hAnsiTheme="minorEastAsia" w:eastAsiaTheme="minorEastAsia"/>
          <w:color w:val="auto"/>
          <w:sz w:val="24"/>
          <w:highlight w:val="none"/>
        </w:rPr>
        <w:t>。</w:t>
      </w:r>
    </w:p>
    <w:p w14:paraId="44CAC6B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560A1A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10.1本项目不收取磋商保证金。</w:t>
      </w:r>
    </w:p>
    <w:p w14:paraId="47C0C1C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202BA22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11.1磋商有效期为从响应文件提交截止之日算起的日历天数，磋商有效期详见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14:paraId="53E65A8D">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11.2在磋商有效期内，供应商的磋商保持有效，供应商不得要求撤销或修改其响应文件。磋商有效期不满足要求的响应，其响应文件将被认定为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03E3D65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11.3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r>
        <w:rPr>
          <w:rFonts w:asciiTheme="minorEastAsia" w:hAnsiTheme="minorEastAsia" w:eastAsiaTheme="minorEastAsia"/>
          <w:color w:val="auto"/>
          <w:sz w:val="24"/>
          <w:highlight w:val="none"/>
        </w:rPr>
        <w:t>。</w:t>
      </w:r>
    </w:p>
    <w:p w14:paraId="1538880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5A043B8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.1响应文件的提交</w:t>
      </w:r>
    </w:p>
    <w:p w14:paraId="21556DE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在滁州市公共资源交易中心网，利用用户名或CA锁登录下载磋商文件(.czzf格式)后，在下载“响应文件制作工具”安装后，在线制作响应文件，制作好的响应文件格式有2种:第一种.cztf格式加密响应文件；第二种.ncztf格式是非加密响应文件。请供应商将第一种响应文件通过系统“上传响应文件”上传到系统中。</w:t>
      </w:r>
    </w:p>
    <w:p w14:paraId="08F68BE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（2）如果一个项目有多个标段，则需按标段下载对应标段磋商文件分别生成对应的响应文件，通过系统“上传响应文件”按标段分别上传到系统中。</w:t>
      </w:r>
    </w:p>
    <w:p w14:paraId="4841318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（3）请供应商通过系统下载“响应文件制作工具”制作响应文件，并利用CA锁进行上传响应文件，上传已加密的响应文件，务必通过此方式上传响应文件。</w:t>
      </w:r>
    </w:p>
    <w:p w14:paraId="0F1874B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（4）供应商在响应文件编制、签章、上传过程中如有任何操作的疑问请及时联系技术支持，电话：0550-3801701。</w:t>
      </w:r>
    </w:p>
    <w:p w14:paraId="5BDAAE4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如果因供应商自身原因导致响应文件在规定时间内未能解密、解密失败或解密超时，响应文件无效；因采购代理机构原因或网上平台发生故障，导致无法按时完成响应文件解密的，经采购代理机构申请后可延迟解密时间。</w:t>
      </w:r>
    </w:p>
    <w:p w14:paraId="669CCD5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42D63126">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12.3供应商应在</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规定的解密时间前对其响应文件进行解密。未在规定时间内进行解密的，</w:t>
      </w:r>
      <w:r>
        <w:rPr>
          <w:rFonts w:hint="eastAsia" w:ascii="宋体" w:hAnsi="宋体" w:eastAsia="宋体" w:cs="宋体"/>
          <w:b/>
          <w:bCs/>
          <w:color w:val="auto"/>
          <w:sz w:val="24"/>
          <w:highlight w:val="none"/>
        </w:rPr>
        <w:t>响应无效</w:t>
      </w:r>
      <w:r>
        <w:rPr>
          <w:rFonts w:hint="eastAsia" w:asciiTheme="minorEastAsia" w:hAnsiTheme="minorEastAsia" w:eastAsiaTheme="minorEastAsia"/>
          <w:b/>
          <w:bCs/>
          <w:color w:val="auto"/>
          <w:sz w:val="24"/>
          <w:highlight w:val="none"/>
        </w:rPr>
        <w:t>。</w:t>
      </w:r>
    </w:p>
    <w:p w14:paraId="0E5FE073">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12.4在响应文件提交截止时间之后，供应商不得对其响应文件做任何修改。</w:t>
      </w:r>
      <w:r>
        <w:rPr>
          <w:rFonts w:hint="eastAsia" w:ascii="宋体" w:hAnsi="宋体" w:eastAsia="宋体"/>
          <w:color w:val="auto"/>
          <w:sz w:val="24"/>
          <w:highlight w:val="none"/>
        </w:rPr>
        <w:t>但属于磋商小组在评审中发现的计算错误并进行核实的修改、按照磋商文件的变动情况和磋商小组的要求重新提交响应文件的，不在此列。</w:t>
      </w:r>
    </w:p>
    <w:p w14:paraId="69BC772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25634F5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13.1本项目将依法组建磋商小组，磋商小组成员由3人以上（含）单数组成，磋商小组及其成员应当依照政府采购的有关规定履行相关职责和义务。</w:t>
      </w:r>
    </w:p>
    <w:p w14:paraId="3D4B8B1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13.2磋商小组依法对响应文件进行评审，并根据磋商文件规定的程序、评定成交的标准等事项与实质性响应磋商文件要求的供应商进行磋商。</w:t>
      </w:r>
    </w:p>
    <w:p w14:paraId="52A9E99E">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13.3磋商小组应当从质量和服务均能满足磋商文件实质性响应要求的供应商中，按照评审方法和标准推荐成交候选供应商，并编写评审报告</w:t>
      </w:r>
      <w:r>
        <w:rPr>
          <w:rFonts w:asciiTheme="minorEastAsia" w:hAnsiTheme="minorEastAsia" w:eastAsiaTheme="minorEastAsia"/>
          <w:color w:val="auto"/>
          <w:sz w:val="24"/>
          <w:highlight w:val="none"/>
        </w:rPr>
        <w:t>。</w:t>
      </w:r>
    </w:p>
    <w:p w14:paraId="22ACCC8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.响应文件的评审与磋商</w:t>
      </w:r>
    </w:p>
    <w:p w14:paraId="4A70C16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14.1采购人和采购代理机构将在竞争性磋商公告规定的时间和地点组织磋商。</w:t>
      </w:r>
    </w:p>
    <w:p w14:paraId="305C202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14.2竞争性磋商活动采用综合评分法评审。</w:t>
      </w:r>
    </w:p>
    <w:p w14:paraId="2639F41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综合评分法，是指响应文件满足磋商文件全部实质性要求且按评审因素的量化指标评审得分最高的供应商为成交候选供应商的评审方法。</w:t>
      </w:r>
    </w:p>
    <w:p w14:paraId="48CF910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14.3磋商小组将按照磋商文件规定的评审方法和标准对供应商独立进行评审。评审程序如下：</w:t>
      </w:r>
    </w:p>
    <w:p w14:paraId="4FF2693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14.3.1</w:t>
      </w:r>
      <w:r>
        <w:rPr>
          <w:rFonts w:hint="eastAsia" w:ascii="宋体" w:hAnsi="宋体" w:eastAsia="宋体" w:cs="宋体"/>
          <w:b/>
          <w:color w:val="auto"/>
          <w:sz w:val="24"/>
          <w:highlight w:val="none"/>
        </w:rPr>
        <w:t>初审</w:t>
      </w:r>
      <w:r>
        <w:rPr>
          <w:rFonts w:hint="eastAsia" w:ascii="宋体" w:hAnsi="宋体" w:eastAsia="宋体" w:cs="宋体"/>
          <w:color w:val="auto"/>
          <w:sz w:val="24"/>
          <w:highlight w:val="none"/>
        </w:rPr>
        <w:t>。磋商小组对供应商必须满足和实质性响应的内容进行评审，供应商未实质性响应磋商文件要求导致响应无效的，磋商小组将以书面询标的方式告知有关供应商。</w:t>
      </w:r>
    </w:p>
    <w:p w14:paraId="54952506">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5F3BF62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4E214655">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14.3.2</w:t>
      </w:r>
      <w:r>
        <w:rPr>
          <w:rFonts w:hint="eastAsia" w:ascii="宋体" w:hAnsi="宋体" w:eastAsia="宋体" w:cs="宋体"/>
          <w:b/>
          <w:color w:val="auto"/>
          <w:sz w:val="24"/>
          <w:highlight w:val="none"/>
        </w:rPr>
        <w:t>磋商</w:t>
      </w:r>
      <w:r>
        <w:rPr>
          <w:rFonts w:hint="eastAsia" w:ascii="宋体" w:hAnsi="宋体" w:eastAsia="宋体" w:cs="宋体"/>
          <w:color w:val="auto"/>
          <w:sz w:val="24"/>
          <w:highlight w:val="none"/>
        </w:rPr>
        <w:t>。初审合格后，磋商小组将按网上加密电子响应文件提交顺序集中与单一供应商分别进行磋商，并给予所有参加磋商的供应商平等的磋商机会。</w:t>
      </w:r>
    </w:p>
    <w:p w14:paraId="048A700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0F049206">
      <w:pPr>
        <w:spacing w:line="360" w:lineRule="auto"/>
        <w:ind w:firstLine="435"/>
        <w:rPr>
          <w:color w:val="auto"/>
          <w:highlight w:val="none"/>
        </w:rPr>
      </w:pPr>
      <w:r>
        <w:rPr>
          <w:rFonts w:hint="eastAsia" w:asciiTheme="minorEastAsia" w:hAnsiTheme="minorEastAsia" w:eastAsiaTheme="minorEastAsia"/>
          <w:color w:val="auto"/>
          <w:sz w:val="24"/>
          <w:highlight w:val="none"/>
        </w:rPr>
        <w:t xml:space="preserve">14.3.4 </w:t>
      </w:r>
      <w:r>
        <w:rPr>
          <w:rFonts w:hint="eastAsia" w:asciiTheme="minorEastAsia" w:hAnsiTheme="minorEastAsia" w:eastAsiaTheme="minorEastAsia"/>
          <w:b/>
          <w:bCs/>
          <w:color w:val="auto"/>
          <w:sz w:val="24"/>
          <w:highlight w:val="none"/>
        </w:rPr>
        <w:t>异常低价响应审查。</w:t>
      </w:r>
      <w:r>
        <w:rPr>
          <w:rFonts w:hint="eastAsia" w:ascii="宋体" w:hAnsi="宋体" w:eastAsia="宋体"/>
          <w:color w:val="auto"/>
          <w:sz w:val="24"/>
          <w:highlight w:val="none"/>
        </w:rPr>
        <w:t>根据《关于推进解决政府采购异常低价问题的通知》（财库〔</w:t>
      </w:r>
      <w:r>
        <w:rPr>
          <w:rFonts w:ascii="宋体" w:hAnsi="宋体" w:eastAsia="宋体"/>
          <w:color w:val="auto"/>
          <w:sz w:val="24"/>
          <w:highlight w:val="none"/>
        </w:rPr>
        <w:t>202</w:t>
      </w:r>
      <w:r>
        <w:rPr>
          <w:rFonts w:hint="eastAsia" w:ascii="宋体" w:hAnsi="宋体" w:eastAsia="宋体"/>
          <w:color w:val="auto"/>
          <w:sz w:val="24"/>
          <w:highlight w:val="none"/>
        </w:rPr>
        <w:t>6</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号</w:t>
      </w:r>
      <w:r>
        <w:rPr>
          <w:rFonts w:hint="eastAsia" w:ascii="宋体" w:hAnsi="宋体" w:eastAsia="宋体"/>
          <w:color w:val="auto"/>
          <w:sz w:val="24"/>
          <w:highlight w:val="none"/>
        </w:rPr>
        <w:t>），磋商小组进行异常低价响应审查。</w:t>
      </w:r>
    </w:p>
    <w:p w14:paraId="7A6C75A4">
      <w:pPr>
        <w:spacing w:line="360" w:lineRule="auto"/>
        <w:ind w:firstLine="435"/>
        <w:rPr>
          <w:rFonts w:ascii="宋体" w:hAnsi="宋体" w:eastAsia="宋体" w:cs="宋体"/>
          <w:color w:val="auto"/>
          <w:sz w:val="24"/>
          <w:highlight w:val="none"/>
        </w:rPr>
      </w:pPr>
      <w:r>
        <w:rPr>
          <w:rFonts w:hint="eastAsia" w:asciiTheme="minorEastAsia" w:hAnsiTheme="minorEastAsia" w:eastAsiaTheme="minorEastAsia"/>
          <w:color w:val="auto"/>
          <w:sz w:val="24"/>
          <w:highlight w:val="none"/>
        </w:rPr>
        <w:t>14.3.5</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w:t>
      </w:r>
      <w:r>
        <w:rPr>
          <w:rFonts w:hint="eastAsia" w:ascii="宋体" w:hAnsi="宋体" w:eastAsia="宋体"/>
          <w:color w:val="auto"/>
          <w:sz w:val="24"/>
          <w:highlight w:val="none"/>
        </w:rPr>
        <w:t>异常低价响应审查</w:t>
      </w:r>
      <w:r>
        <w:rPr>
          <w:rFonts w:hint="eastAsia" w:asciiTheme="minorEastAsia" w:hAnsiTheme="minorEastAsia" w:eastAsiaTheme="minorEastAsia"/>
          <w:color w:val="auto"/>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r>
        <w:rPr>
          <w:rFonts w:hint="eastAsia" w:ascii="宋体" w:hAnsi="宋体" w:eastAsia="宋体" w:cs="宋体"/>
          <w:color w:val="auto"/>
          <w:sz w:val="24"/>
          <w:highlight w:val="none"/>
        </w:rPr>
        <w:t>。</w:t>
      </w:r>
    </w:p>
    <w:p w14:paraId="69B1818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14.4相关说明。</w:t>
      </w:r>
    </w:p>
    <w:p w14:paraId="6D0F6501">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 xml:space="preserve">14.4.1为保证磋商活动顺利进行，供应商可派相关技术人员进行网上答疑； </w:t>
      </w:r>
    </w:p>
    <w:p w14:paraId="3FF94C0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14.4.2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w:t>
      </w:r>
    </w:p>
    <w:p w14:paraId="39B7E95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335D5C2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14.4.4无论何种原因，即使供应商磋商时携带了证书材料的原件，但响应文件中未提供与之内容完全一致的扫描件的，磋商小组可以视同其未提供。</w:t>
      </w:r>
    </w:p>
    <w:p w14:paraId="28CC4CE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14.4.5磋商小组决定响应文件的响应性及符合性只根据响应文件本身的内容，而不寻求其他外部证据。</w:t>
      </w:r>
    </w:p>
    <w:p w14:paraId="1DC200B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 xml:space="preserve">14.5供应商授权代表对磋商过程有疑义，以及认为采购人、采购代理机构相关工作人员有需要回避的情形的，应当场提出询问或者回避申请，并说明理由。 </w:t>
      </w:r>
    </w:p>
    <w:p w14:paraId="7B0F58FA">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15.终止竞争性磋商</w:t>
      </w:r>
    </w:p>
    <w:p w14:paraId="18FC5DD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15.1出现下列情况之一时，采购人和采购代理机构有权宣布终止竞争性磋商采购，并将理由通知所有供应商：</w:t>
      </w:r>
    </w:p>
    <w:p w14:paraId="0A9486A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（1）有效供应商数量不足，导致本次磋商缺乏竞争的；</w:t>
      </w:r>
    </w:p>
    <w:p w14:paraId="634D632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6FE1FA27">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（3）因重大变故，采购任务取消的；</w:t>
      </w:r>
    </w:p>
    <w:p w14:paraId="6FDA4EA8">
      <w:pPr>
        <w:spacing w:line="360" w:lineRule="auto"/>
        <w:ind w:firstLine="437"/>
        <w:outlineLvl w:val="2"/>
        <w:rPr>
          <w:rFonts w:ascii="宋体" w:hAnsi="宋体" w:eastAsia="宋体" w:cs="宋体"/>
          <w:color w:val="auto"/>
          <w:sz w:val="24"/>
          <w:highlight w:val="none"/>
        </w:rPr>
      </w:pPr>
      <w:r>
        <w:rPr>
          <w:rFonts w:hint="eastAsia" w:ascii="宋体" w:hAnsi="宋体" w:eastAsia="宋体" w:cs="宋体"/>
          <w:color w:val="auto"/>
          <w:sz w:val="24"/>
          <w:highlight w:val="none"/>
        </w:rPr>
        <w:t>（4）政府采购法律法规规定的其他情形。</w:t>
      </w:r>
    </w:p>
    <w:p w14:paraId="3BD69205">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16.响应文件的澄清、说明或更正</w:t>
      </w:r>
    </w:p>
    <w:p w14:paraId="3774E8F6">
      <w:pPr>
        <w:spacing w:line="360" w:lineRule="auto"/>
        <w:ind w:firstLine="470" w:firstLineChars="196"/>
        <w:rPr>
          <w:rFonts w:ascii="宋体" w:hAnsi="宋体" w:eastAsia="宋体" w:cs="宋体"/>
          <w:color w:val="auto"/>
          <w:sz w:val="24"/>
          <w:highlight w:val="none"/>
        </w:rPr>
      </w:pPr>
      <w:r>
        <w:rPr>
          <w:rFonts w:hint="eastAsia" w:ascii="宋体" w:hAnsi="宋体" w:eastAsia="宋体" w:cs="宋体"/>
          <w:color w:val="auto"/>
          <w:sz w:val="24"/>
          <w:highlight w:val="none"/>
        </w:rPr>
        <w:t>16.1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4003025C">
      <w:pPr>
        <w:spacing w:line="360" w:lineRule="auto"/>
        <w:ind w:firstLine="470" w:firstLineChars="196"/>
        <w:rPr>
          <w:rFonts w:ascii="宋体" w:hAnsi="宋体" w:eastAsia="宋体" w:cs="宋体"/>
          <w:color w:val="auto"/>
          <w:sz w:val="24"/>
          <w:highlight w:val="none"/>
        </w:rPr>
      </w:pPr>
      <w:r>
        <w:rPr>
          <w:rFonts w:hint="eastAsia" w:ascii="宋体" w:hAnsi="宋体" w:eastAsia="宋体" w:cs="宋体"/>
          <w:color w:val="auto"/>
          <w:sz w:val="24"/>
          <w:highlight w:val="none"/>
        </w:rPr>
        <w:t>16.2磋商小组要求供应商澄清、说明或者更正响应文件应当以书面形式（询标）作出。供应商的澄清、说明或者更正应当由法定代表人或其授权代表签字或者加盖公章（电子签章）。</w:t>
      </w:r>
    </w:p>
    <w:p w14:paraId="07718E29">
      <w:pPr>
        <w:spacing w:line="360" w:lineRule="auto"/>
        <w:ind w:firstLine="435"/>
        <w:rPr>
          <w:rFonts w:ascii="宋体" w:hAnsi="宋体" w:eastAsia="宋体" w:cs="宋体"/>
          <w:b/>
          <w:color w:val="auto"/>
          <w:sz w:val="24"/>
          <w:highlight w:val="none"/>
        </w:rPr>
      </w:pPr>
      <w:r>
        <w:rPr>
          <w:rFonts w:hint="eastAsia" w:ascii="宋体" w:hAnsi="宋体" w:eastAsia="宋体" w:cs="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cs="宋体"/>
          <w:b/>
          <w:bCs/>
          <w:color w:val="auto"/>
          <w:sz w:val="24"/>
          <w:highlight w:val="none"/>
        </w:rPr>
        <w:t>、没有及时登录系统等情形</w:t>
      </w:r>
      <w:r>
        <w:rPr>
          <w:rFonts w:hint="eastAsia" w:ascii="宋体" w:hAnsi="宋体" w:eastAsia="宋体" w:cs="宋体"/>
          <w:b/>
          <w:color w:val="auto"/>
          <w:sz w:val="24"/>
          <w:highlight w:val="none"/>
        </w:rPr>
        <w:t>而无法接受磋商小组询标的，供应商自行承担相关风险。</w:t>
      </w:r>
    </w:p>
    <w:p w14:paraId="725E5938">
      <w:pPr>
        <w:spacing w:line="360" w:lineRule="auto"/>
        <w:ind w:firstLine="435"/>
        <w:rPr>
          <w:rFonts w:ascii="宋体" w:hAnsi="宋体" w:eastAsia="宋体" w:cs="宋体"/>
          <w:color w:val="auto"/>
          <w:sz w:val="24"/>
          <w:highlight w:val="none"/>
        </w:rPr>
      </w:pPr>
      <w:r>
        <w:rPr>
          <w:rFonts w:hint="eastAsia" w:ascii="宋体" w:hAnsi="宋体" w:eastAsia="宋体" w:cs="宋体"/>
          <w:b/>
          <w:color w:val="auto"/>
          <w:sz w:val="24"/>
          <w:highlight w:val="none"/>
        </w:rPr>
        <w:t>本项目采用远程开标，具体操作方法详见服务指南&gt;交易须知&gt;开标大厅远程解密、质疑(异议)及回复以及评标过程中询标流程操作手册。</w:t>
      </w:r>
    </w:p>
    <w:p w14:paraId="7C6A98C8">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17.最后报价</w:t>
      </w:r>
    </w:p>
    <w:p w14:paraId="3106F09C">
      <w:pPr>
        <w:spacing w:line="360" w:lineRule="auto"/>
        <w:ind w:firstLine="435"/>
        <w:rPr>
          <w:rFonts w:hint="eastAsia" w:ascii="宋体" w:hAnsi="宋体" w:eastAsia="宋体" w:cs="宋体"/>
          <w:color w:val="auto"/>
          <w:sz w:val="24"/>
          <w:highlight w:val="none"/>
          <w:lang w:eastAsia="zh-CN"/>
        </w:rPr>
      </w:pPr>
      <w:bookmarkStart w:id="12" w:name="_Hlk60607655"/>
      <w:bookmarkStart w:id="13" w:name="_Hlk60607673"/>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本项目约定为两次报价</w:t>
      </w:r>
      <w:r>
        <w:rPr>
          <w:rFonts w:hint="eastAsia" w:ascii="宋体" w:hAnsi="宋体" w:eastAsia="宋体" w:cs="宋体"/>
          <w:color w:val="auto"/>
          <w:sz w:val="24"/>
          <w:highlight w:val="none"/>
          <w:lang w:eastAsia="zh-CN"/>
        </w:rPr>
        <w:t>）</w:t>
      </w:r>
    </w:p>
    <w:p w14:paraId="7BA18922">
      <w:pPr>
        <w:spacing w:line="360" w:lineRule="auto"/>
        <w:ind w:firstLine="435"/>
        <w:rPr>
          <w:rFonts w:hint="eastAsia" w:ascii="宋体" w:hAnsi="宋体" w:eastAsia="宋体" w:cs="Times New Roman"/>
          <w:b/>
          <w:color w:val="auto"/>
          <w:kern w:val="0"/>
          <w:sz w:val="24"/>
          <w:szCs w:val="20"/>
          <w:highlight w:val="none"/>
          <w:lang w:val="en-US" w:eastAsia="zh-CN" w:bidi="ar-SA"/>
        </w:rPr>
      </w:pPr>
      <w:r>
        <w:rPr>
          <w:rFonts w:hint="eastAsia" w:ascii="宋体" w:hAnsi="宋体" w:eastAsia="宋体" w:cs="Times New Roman"/>
          <w:b/>
          <w:color w:val="auto"/>
          <w:kern w:val="0"/>
          <w:sz w:val="24"/>
          <w:szCs w:val="20"/>
          <w:highlight w:val="none"/>
          <w:lang w:val="en-US" w:eastAsia="zh-CN" w:bidi="ar-SA"/>
        </w:rPr>
        <w:t>本次磋商实行两次报价。第一次报价为供应商在响应文件中填报的报价，第二次报价在响应文件通过评审后，由磋商小组通过评标系统以询标方式，向响应文件评审有效的各供应商进行询标，各供应商应在评标系统询标规定的时间内，通过“评标澄清回复”进行二次报价。各供应商应及时查看系统质询问题并及时进行二次报价，第二次报价即为最后报价，即满足磋商文件要求且最后报价最低的供应商的价格为磋商基准价，其价格分为满分。供应商最后报价均不得高于磋商文件（公告）列明的项目预算、最高限价，否则其响应文件将被认定为响应无效。望各供应商务必全程在线，及时进行回复，否则，因此给其造成相关后果，自行承担。采用分项报价的项目，最后报价的各分项结合一次报价中的各项单价按总价同比例下浮，价款结算时按成交下浮比率进行调整。</w:t>
      </w:r>
    </w:p>
    <w:p w14:paraId="53752A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72AA9A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17.3</w:t>
      </w:r>
      <w:r>
        <w:rPr>
          <w:rFonts w:asciiTheme="minorEastAsia" w:hAnsiTheme="minorEastAsia" w:eastAsiaTheme="minorEastAsia"/>
          <w:color w:val="auto"/>
          <w:sz w:val="24"/>
          <w:highlight w:val="none"/>
        </w:rPr>
        <w:t>最后报价是供应商响应文件的有效组成部分，最后报价也是签订合同的依据。</w:t>
      </w:r>
    </w:p>
    <w:p w14:paraId="51A78079">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17.</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4378D75F">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77E5ABA3">
      <w:pPr>
        <w:spacing w:line="360" w:lineRule="auto"/>
        <w:ind w:firstLine="435"/>
        <w:rPr>
          <w:rFonts w:asciiTheme="minorEastAsia" w:hAnsiTheme="minorEastAsia" w:eastAsiaTheme="min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p>
    <w:p w14:paraId="379BC034">
      <w:pPr>
        <w:pStyle w:val="43"/>
        <w:widowControl w:val="0"/>
        <w:spacing w:before="0" w:beforeAutospacing="0" w:after="0" w:afterAutospacing="0" w:line="360" w:lineRule="auto"/>
        <w:ind w:firstLine="480" w:firstLineChars="200"/>
        <w:jc w:val="both"/>
        <w:rPr>
          <w:rFonts w:ascii="宋体" w:hAnsi="宋体" w:eastAsia="宋体"/>
          <w:b w:val="0"/>
          <w:color w:val="auto"/>
          <w:sz w:val="24"/>
          <w:highlight w:val="none"/>
        </w:rPr>
      </w:pPr>
      <w:r>
        <w:rPr>
          <w:rFonts w:hint="eastAsia" w:ascii="宋体" w:hAnsi="宋体" w:eastAsia="宋体"/>
          <w:b w:val="0"/>
          <w:bCs w:val="0"/>
          <w:color w:val="auto"/>
          <w:kern w:val="2"/>
          <w:sz w:val="24"/>
          <w:szCs w:val="20"/>
          <w:highlight w:val="none"/>
        </w:rPr>
        <w:t>17.5</w:t>
      </w:r>
      <w:r>
        <w:rPr>
          <w:rFonts w:hint="eastAsia" w:ascii="宋体" w:hAnsi="宋体" w:eastAsia="宋体"/>
          <w:b w:val="0"/>
          <w:color w:val="auto"/>
          <w:sz w:val="24"/>
          <w:highlight w:val="none"/>
        </w:rPr>
        <w:t>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AE664D2">
      <w:pPr>
        <w:pStyle w:val="43"/>
        <w:widowControl w:val="0"/>
        <w:spacing w:before="0" w:beforeAutospacing="0" w:after="0" w:afterAutospacing="0" w:line="360" w:lineRule="auto"/>
        <w:ind w:firstLine="480" w:firstLineChars="200"/>
        <w:jc w:val="both"/>
        <w:rPr>
          <w:rFonts w:ascii="宋体" w:hAnsi="宋体" w:eastAsia="宋体" w:cs="Times New Roman"/>
          <w:b w:val="0"/>
          <w:color w:val="auto"/>
          <w:sz w:val="24"/>
          <w:highlight w:val="none"/>
        </w:rPr>
      </w:pPr>
      <w:r>
        <w:rPr>
          <w:rFonts w:hint="eastAsia" w:ascii="宋体" w:hAnsi="宋体" w:eastAsia="宋体" w:cs="Times New Roman"/>
          <w:b w:val="0"/>
          <w:color w:val="auto"/>
          <w:sz w:val="24"/>
          <w:highlight w:val="none"/>
        </w:rPr>
        <w:t>磋商小组应当对</w:t>
      </w:r>
      <w:r>
        <w:rPr>
          <w:rFonts w:hint="eastAsia" w:ascii="宋体" w:hAnsi="宋体" w:eastAsia="宋体"/>
          <w:b w:val="0"/>
          <w:color w:val="auto"/>
          <w:sz w:val="24"/>
          <w:highlight w:val="none"/>
        </w:rPr>
        <w:t>供应商</w:t>
      </w:r>
      <w:r>
        <w:rPr>
          <w:rFonts w:hint="eastAsia" w:ascii="宋体" w:hAnsi="宋体" w:eastAsia="宋体" w:cs="Times New Roman"/>
          <w:b w:val="0"/>
          <w:color w:val="auto"/>
          <w:sz w:val="24"/>
          <w:highlight w:val="none"/>
        </w:rPr>
        <w:t>所出具的《关于符合本国产品标准的声明函》（以下简称《声明函》）的完整性、准确性进行审查，评审中发现《声明函》内容含义不明确、同类事项与响应文件表述不一致或者有明显文字错误等情况的，应当以书面形式要求</w:t>
      </w:r>
      <w:r>
        <w:rPr>
          <w:rFonts w:hint="eastAsia" w:ascii="宋体" w:hAnsi="宋体" w:eastAsia="宋体"/>
          <w:b w:val="0"/>
          <w:color w:val="auto"/>
          <w:sz w:val="24"/>
          <w:highlight w:val="none"/>
        </w:rPr>
        <w:t>供应商</w:t>
      </w:r>
      <w:r>
        <w:rPr>
          <w:rFonts w:hint="eastAsia" w:ascii="宋体" w:hAnsi="宋体" w:eastAsia="宋体" w:cs="Times New Roman"/>
          <w:b w:val="0"/>
          <w:color w:val="auto"/>
          <w:sz w:val="24"/>
          <w:highlight w:val="none"/>
        </w:rPr>
        <w:t>作出必要的澄清、说明或者补正。经澄清、说明或者补正的《声明函》仍然不符合规定要求的，</w:t>
      </w:r>
      <w:r>
        <w:rPr>
          <w:rFonts w:hint="eastAsia" w:ascii="宋体" w:hAnsi="宋体" w:eastAsia="宋体"/>
          <w:b w:val="0"/>
          <w:color w:val="auto"/>
          <w:sz w:val="24"/>
          <w:highlight w:val="none"/>
        </w:rPr>
        <w:t>供应商</w:t>
      </w:r>
      <w:r>
        <w:rPr>
          <w:rFonts w:hint="eastAsia" w:ascii="宋体" w:hAnsi="宋体" w:eastAsia="宋体" w:cs="Times New Roman"/>
          <w:b w:val="0"/>
          <w:color w:val="auto"/>
          <w:sz w:val="24"/>
          <w:highlight w:val="none"/>
        </w:rPr>
        <w:t>提供的相关产品视为不符合本国产品标准。</w:t>
      </w:r>
    </w:p>
    <w:p w14:paraId="3F89A8B8">
      <w:pPr>
        <w:spacing w:line="360" w:lineRule="auto"/>
        <w:ind w:firstLine="437"/>
        <w:rPr>
          <w:rFonts w:ascii="宋体" w:hAnsi="宋体" w:eastAsia="宋体" w:cs="宋体"/>
          <w:color w:val="auto"/>
          <w:sz w:val="24"/>
          <w:highlight w:val="none"/>
        </w:rPr>
      </w:pPr>
      <w:r>
        <w:rPr>
          <w:rFonts w:hint="eastAsia" w:ascii="宋体" w:hAnsi="宋体" w:eastAsia="宋体" w:cs="Times New Roman"/>
          <w:b/>
          <w:bCs/>
          <w:color w:val="auto"/>
          <w:sz w:val="24"/>
          <w:highlight w:val="none"/>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ascii="宋体" w:hAnsi="宋体" w:eastAsia="宋体" w:cs="宋体"/>
          <w:color w:val="auto"/>
          <w:sz w:val="24"/>
          <w:highlight w:val="none"/>
        </w:rPr>
        <w:t>。</w:t>
      </w:r>
      <w:bookmarkEnd w:id="12"/>
    </w:p>
    <w:bookmarkEnd w:id="13"/>
    <w:p w14:paraId="0F1A3706">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18.成交候选供应商的推荐原则及标准</w:t>
      </w:r>
    </w:p>
    <w:p w14:paraId="5F6999F3">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18.1磋商小组依据本项目磋商文件所约定的评审方法和标准，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r>
        <w:rPr>
          <w:rFonts w:hint="eastAsia" w:ascii="宋体" w:hAnsi="宋体" w:eastAsia="宋体" w:cs="宋体"/>
          <w:color w:val="auto"/>
          <w:sz w:val="24"/>
          <w:highlight w:val="none"/>
          <w:lang w:val="en-US" w:eastAsia="zh-CN"/>
        </w:rPr>
        <w:t>磋商小组认为技术指标优劣也一致的，可采取随机抽取的方式确定。</w:t>
      </w:r>
    </w:p>
    <w:p w14:paraId="6E21C31A">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19.确定成交候选供应商和成交供应商</w:t>
      </w:r>
    </w:p>
    <w:p w14:paraId="4C07D7E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19.1磋商小组根据综合评分的结果和</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中规定确定成交候选供应商，并标明排列顺序。按</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中规定，由磋商小组或采购人确定成交供应商。</w:t>
      </w:r>
    </w:p>
    <w:p w14:paraId="53318F7E">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20.编写评审报告</w:t>
      </w:r>
    </w:p>
    <w:p w14:paraId="4442E87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20.1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56443C20">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21.保密要求</w:t>
      </w:r>
    </w:p>
    <w:p w14:paraId="7FFDC1D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21.1评审将在严格保密的情况下进行。</w:t>
      </w:r>
    </w:p>
    <w:p w14:paraId="2041849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21.2有关人员应当遵守评审工作纪律，不得泄露评审文件、评审情况和评审中获悉的国家秘密、商业秘密。</w:t>
      </w:r>
    </w:p>
    <w:p w14:paraId="23095A12">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22.成交结果公告</w:t>
      </w:r>
    </w:p>
    <w:p w14:paraId="3793E26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22.1为体现“公开、公平、公正”的原则，磋商结束后，</w:t>
      </w:r>
      <w:r>
        <w:rPr>
          <w:rFonts w:hint="eastAsia" w:ascii="宋体" w:hAnsi="宋体" w:eastAsia="宋体" w:cs="宋体"/>
          <w:color w:val="auto"/>
          <w:sz w:val="24"/>
          <w:szCs w:val="18"/>
          <w:highlight w:val="none"/>
        </w:rPr>
        <w:t>采购代理机构将在安徽省政府采购网（www.ccgp-anhui.gov.cn）和</w:t>
      </w:r>
      <w:r>
        <w:rPr>
          <w:rFonts w:hint="eastAsia" w:ascii="宋体" w:hAnsi="宋体" w:eastAsia="宋体" w:cs="宋体"/>
          <w:color w:val="auto"/>
          <w:sz w:val="24"/>
          <w:szCs w:val="24"/>
          <w:highlight w:val="none"/>
        </w:rPr>
        <w:t>滁州市公共资源交易中心网（http://ggzy.chuzhou.gov.cn/）</w:t>
      </w:r>
      <w:r>
        <w:rPr>
          <w:rFonts w:hint="eastAsia" w:ascii="宋体" w:hAnsi="宋体" w:eastAsia="宋体" w:cs="宋体"/>
          <w:color w:val="auto"/>
          <w:sz w:val="24"/>
          <w:highlight w:val="none"/>
        </w:rPr>
        <w:t>上发布成交结果公告。</w:t>
      </w:r>
    </w:p>
    <w:p w14:paraId="4C70ABC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22.2成交结果公告内容应当包括采购人及其委托的采购代理机构的名称、地址、联系方式，项目名称和项目编号，成交供应商名称、地址和成交金额，主要成交标的的名称、服务范围、服务要求、服务时间、服务标准，成交结果公告期限、评审专家名单以及</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中约定进行公告的内容。</w:t>
      </w:r>
    </w:p>
    <w:p w14:paraId="2A6E1620">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23.成交通知书</w:t>
      </w:r>
    </w:p>
    <w:p w14:paraId="45868165">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23.1采购代理机构发布成交结果公告的同时以</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规定的形式向成交供应商发出成交通知书。成交通知书须加盖采购人、采购代理机构公章并经公共资源交易中心加盖见证章后，方可发出。</w:t>
      </w:r>
    </w:p>
    <w:p w14:paraId="48A9F9C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23.2成交通知书对采购人和成交供应商具有同等法律效力。成交通知书发出以后，采购人改变成交结果或者成交供应商放弃成交资格，应当承担相应的法律责任。</w:t>
      </w:r>
    </w:p>
    <w:p w14:paraId="019D676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23.3成交通知书是合同的组成部分。</w:t>
      </w:r>
    </w:p>
    <w:p w14:paraId="301ADDA4">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24.告知磋商结果</w:t>
      </w:r>
    </w:p>
    <w:p w14:paraId="3660F27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24.1在公告成交结果的同时，采购代理机构同时以</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规定的形式告知未成交供应商本人的评审得分和排序。</w:t>
      </w:r>
    </w:p>
    <w:p w14:paraId="589E212B">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24.2采购代理机构对未成交的供应商不做未成交原因的解释。</w:t>
      </w:r>
    </w:p>
    <w:p w14:paraId="00363163">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25.履约保证金</w:t>
      </w:r>
    </w:p>
    <w:p w14:paraId="427A9CC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25.1成交供应商应按照</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规定缴纳履约保证金。</w:t>
      </w:r>
    </w:p>
    <w:p w14:paraId="51B6675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25.2如果成交供应商没有按照上述履约保证金的规定执行，将视为放弃成交资格。在此情况下，采购人可确定下一成交候选供应商为成交供应商，也可以重新开展采购活动。</w:t>
      </w:r>
    </w:p>
    <w:p w14:paraId="37FFB918">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26.代理费用</w:t>
      </w:r>
    </w:p>
    <w:p w14:paraId="12C8BD55">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26.1本项目代理费用的收取按</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的规定执行。</w:t>
      </w:r>
    </w:p>
    <w:p w14:paraId="4728C509">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27.签订合同</w:t>
      </w:r>
    </w:p>
    <w:p w14:paraId="26C932B7">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27.1</w:t>
      </w:r>
      <w:r>
        <w:rPr>
          <w:rFonts w:hint="eastAsia" w:ascii="宋体" w:hAnsi="宋体" w:eastAsia="宋体" w:cs="宋体"/>
          <w:color w:val="auto"/>
          <w:sz w:val="24"/>
          <w:szCs w:val="24"/>
          <w:highlight w:val="none"/>
        </w:rPr>
        <w:t>采购人与成交供应商应当按照</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规定的时间内完成政府采购合同签订及合同公告。</w:t>
      </w:r>
    </w:p>
    <w:p w14:paraId="58D6939D">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27.2磋商文件、成交供应商的响应文件及其澄清文件等，均为签订合同的依据。</w:t>
      </w:r>
    </w:p>
    <w:p w14:paraId="3AE7855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27.3成交供应商拒绝与采购人签订合同的，采购人可以按照评审报告推荐的成交候选供应商名单排序，确定下一成交候选供应商为成交供应商，也可以重新开展采购活动。成交供应商拒绝签订政府采购合同的不得参加对该项目重新开展的采购活动。</w:t>
      </w:r>
    </w:p>
    <w:p w14:paraId="4B01E0CD">
      <w:pPr>
        <w:spacing w:line="360" w:lineRule="auto"/>
        <w:ind w:firstLine="470" w:firstLineChars="196"/>
        <w:rPr>
          <w:rFonts w:ascii="宋体" w:hAnsi="宋体" w:eastAsia="宋体" w:cs="宋体"/>
          <w:color w:val="auto"/>
          <w:sz w:val="24"/>
          <w:highlight w:val="none"/>
        </w:rPr>
      </w:pPr>
      <w:bookmarkStart w:id="14" w:name="_Hlk60264926"/>
      <w:r>
        <w:rPr>
          <w:rFonts w:hint="eastAsia" w:ascii="宋体" w:hAnsi="宋体" w:eastAsia="宋体" w:cs="宋体"/>
          <w:color w:val="auto"/>
          <w:sz w:val="24"/>
          <w:highlight w:val="none"/>
        </w:rPr>
        <w:t>27.4依据《政府采购促进中小企业发展管理办法》（财库〔2020〕46号）规定享受扶持政策获得政府采购合同的，小微企业不得将合同分包给大中型企业，中型企业不得将合同分包给大型企业。</w:t>
      </w:r>
      <w:bookmarkEnd w:id="14"/>
    </w:p>
    <w:p w14:paraId="573CF42E">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28.廉洁自律规定</w:t>
      </w:r>
    </w:p>
    <w:p w14:paraId="0A92C23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28.1采购代理机构工作人员不得以不正当手段获取政府采购代理业务，不得与采购人、供应商恶意串通。</w:t>
      </w:r>
    </w:p>
    <w:p w14:paraId="7AA7B34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28.2采购代理机构工作人员不得接受采购人或者供应商组织的宴请、旅游、娱乐，不得收受礼品、现金、有价证券等，不得向采购人或者供应商报销应当由个人承担的费用。</w:t>
      </w:r>
    </w:p>
    <w:p w14:paraId="06CFC6EA">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29.质疑的提出与接收</w:t>
      </w:r>
    </w:p>
    <w:p w14:paraId="21B7910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29.1供应商认为磋商文件、采购过程和成交结果使自己的权益受到损害的，可以在知道或者应知其权益受到损害之日起七个工作日内，以书面形式向采购人或其委托的采购代理机构提出质疑。</w:t>
      </w:r>
    </w:p>
    <w:p w14:paraId="63169F67">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29.2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26359A53">
      <w:pPr>
        <w:spacing w:line="360" w:lineRule="auto"/>
        <w:ind w:firstLine="435"/>
        <w:rPr>
          <w:rFonts w:ascii="宋体" w:hAnsi="宋体" w:eastAsia="宋体" w:cs="宋体"/>
          <w:color w:val="auto"/>
          <w:sz w:val="24"/>
          <w:highlight w:val="none"/>
          <w:u w:val="single"/>
        </w:rPr>
      </w:pPr>
      <w:r>
        <w:rPr>
          <w:rFonts w:hint="eastAsia" w:ascii="宋体" w:hAnsi="宋体" w:eastAsia="宋体" w:cs="宋体"/>
          <w:color w:val="auto"/>
          <w:sz w:val="24"/>
          <w:highlight w:val="none"/>
        </w:rPr>
        <w:t>29.3采购代理机构质疑函接收部门、联系电话和通讯地址，见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14:paraId="3FA16C3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29.4采购人或采购代理机构在收到供应商的质疑函后，将审查质疑函的格式、内容以及所附的证明文件是否符合要求。如不符合，说明原因退回供应商；如符合要求，则接受该质疑函。供应商对评审过程、成交结果提出质疑的，采购人、采购代理机构可以组织原磋商小组协助答复质疑。处理质疑的时间，从实际接受供应商质疑函的时间开始计算。</w:t>
      </w:r>
    </w:p>
    <w:p w14:paraId="6EA8B93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注：上述条款中所要求的书面形式包含通过电子交易系统递交方式。</w:t>
      </w:r>
    </w:p>
    <w:p w14:paraId="459C1400">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30.投诉</w:t>
      </w:r>
    </w:p>
    <w:p w14:paraId="717CC9C5">
      <w:pPr>
        <w:wordWrap w:val="0"/>
        <w:spacing w:line="360" w:lineRule="auto"/>
        <w:ind w:firstLine="437"/>
        <w:rPr>
          <w:rFonts w:ascii="宋体" w:hAnsi="宋体" w:eastAsia="宋体" w:cs="宋体"/>
          <w:color w:val="auto"/>
          <w:sz w:val="24"/>
          <w:highlight w:val="none"/>
        </w:rPr>
      </w:pPr>
      <w:r>
        <w:rPr>
          <w:rFonts w:hint="eastAsia" w:ascii="宋体" w:hAnsi="宋体" w:eastAsia="宋体" w:cs="宋体"/>
          <w:color w:val="auto"/>
          <w:sz w:val="24"/>
          <w:highlight w:val="none"/>
        </w:rPr>
        <w:t>30.1质疑供应商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5F2B6B9F">
      <w:pPr>
        <w:wordWrap w:val="0"/>
        <w:spacing w:line="360" w:lineRule="auto"/>
        <w:ind w:firstLine="437"/>
        <w:rPr>
          <w:rFonts w:ascii="宋体" w:hAnsi="宋体" w:eastAsia="宋体" w:cs="宋体"/>
          <w:color w:val="auto"/>
          <w:sz w:val="24"/>
          <w:highlight w:val="none"/>
        </w:rPr>
      </w:pPr>
      <w:r>
        <w:rPr>
          <w:rFonts w:hint="eastAsia" w:ascii="宋体" w:hAnsi="宋体" w:eastAsia="宋体" w:cs="宋体"/>
          <w:color w:val="auto"/>
          <w:sz w:val="24"/>
          <w:highlight w:val="none"/>
        </w:rPr>
        <w:t>30.2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3751C8B6">
      <w:pPr>
        <w:wordWrap w:val="0"/>
        <w:spacing w:line="360" w:lineRule="auto"/>
        <w:ind w:firstLine="437"/>
        <w:rPr>
          <w:rFonts w:ascii="宋体" w:hAnsi="宋体" w:eastAsia="宋体" w:cs="宋体"/>
          <w:color w:val="auto"/>
          <w:sz w:val="24"/>
          <w:highlight w:val="none"/>
        </w:rPr>
      </w:pPr>
      <w:r>
        <w:rPr>
          <w:rFonts w:hint="eastAsia" w:ascii="宋体" w:hAnsi="宋体" w:eastAsia="宋体" w:cs="宋体"/>
          <w:color w:val="auto"/>
          <w:sz w:val="24"/>
          <w:highlight w:val="none"/>
        </w:rPr>
        <w:t>30.3政府采购监督管理部门在处理投诉事项期间，可以视具体情况书面通知采购人暂停采购活动，但暂停时间最长不得超过30日。</w:t>
      </w:r>
    </w:p>
    <w:p w14:paraId="2D345BE9">
      <w:pPr>
        <w:spacing w:line="360" w:lineRule="auto"/>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31.需要补充的其他内容</w:t>
      </w:r>
    </w:p>
    <w:p w14:paraId="45A56257">
      <w:pPr>
        <w:spacing w:line="360" w:lineRule="auto"/>
        <w:ind w:firstLine="437"/>
        <w:outlineLvl w:val="2"/>
        <w:rPr>
          <w:rFonts w:asciiTheme="minorEastAsia" w:hAnsiTheme="minorEastAsia" w:eastAsiaTheme="minorEastAsia"/>
          <w:b/>
          <w:color w:val="auto"/>
          <w:sz w:val="28"/>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供应商须知前附表</w:t>
      </w:r>
      <w:r>
        <w:rPr>
          <w:rFonts w:hint="eastAsia" w:ascii="宋体" w:hAnsi="宋体" w:eastAsia="宋体"/>
          <w:color w:val="auto"/>
          <w:sz w:val="24"/>
          <w:highlight w:val="none"/>
        </w:rPr>
        <w:t>。</w:t>
      </w:r>
      <w:r>
        <w:rPr>
          <w:rFonts w:asciiTheme="minorEastAsia" w:hAnsiTheme="minorEastAsia" w:eastAsiaTheme="minorEastAsia"/>
          <w:color w:val="auto"/>
          <w:sz w:val="24"/>
          <w:highlight w:val="none"/>
        </w:rPr>
        <w:br w:type="page"/>
      </w:r>
    </w:p>
    <w:p w14:paraId="16D706A6">
      <w:pPr>
        <w:spacing w:line="360" w:lineRule="auto"/>
        <w:jc w:val="center"/>
        <w:outlineLvl w:val="0"/>
        <w:rPr>
          <w:rFonts w:asciiTheme="minorEastAsia" w:hAnsiTheme="minorEastAsia" w:eastAsiaTheme="minorEastAsia"/>
          <w:b/>
          <w:color w:val="auto"/>
          <w:sz w:val="28"/>
          <w:highlight w:val="none"/>
        </w:rPr>
      </w:pPr>
      <w:bookmarkStart w:id="15" w:name="_Toc14659"/>
      <w:bookmarkStart w:id="16" w:name="_Toc19440"/>
      <w:r>
        <w:rPr>
          <w:rFonts w:hint="eastAsia" w:asciiTheme="minorEastAsia" w:hAnsiTheme="minorEastAsia" w:eastAsiaTheme="minorEastAsia"/>
          <w:b/>
          <w:color w:val="auto"/>
          <w:sz w:val="28"/>
          <w:highlight w:val="none"/>
        </w:rPr>
        <w:t>第三章  采购需求</w:t>
      </w:r>
      <w:bookmarkEnd w:id="15"/>
      <w:bookmarkEnd w:id="16"/>
    </w:p>
    <w:p w14:paraId="45360B46">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3E5A1A0C">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1.本采购需求中提出的服务方案仅为参考，如无明确限制，供应商可以进行优化，提供满足采购人实际需要的更优（或者性能实质上不低于的）服务方案，且此方案须经磋商小组评审认可。</w:t>
      </w:r>
    </w:p>
    <w:p w14:paraId="5BDB5B13">
      <w:pPr>
        <w:spacing w:line="360" w:lineRule="auto"/>
        <w:ind w:firstLine="435"/>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2.下列采购需求中</w:t>
      </w:r>
      <w:r>
        <w:rPr>
          <w:rFonts w:hint="eastAsia" w:ascii="宋体" w:hAnsi="宋体" w:eastAsia="宋体" w:cs="宋体"/>
          <w:color w:val="auto"/>
          <w:sz w:val="24"/>
          <w:szCs w:val="24"/>
          <w:highlight w:val="none"/>
        </w:rPr>
        <w:t>（包括但不限于下列具体政策要求）</w:t>
      </w:r>
      <w:r>
        <w:rPr>
          <w:rFonts w:hint="eastAsia" w:ascii="宋体" w:hAnsi="宋体" w:eastAsia="宋体" w:cs="宋体"/>
          <w:color w:val="auto"/>
          <w:sz w:val="24"/>
          <w:szCs w:val="18"/>
          <w:highlight w:val="none"/>
        </w:rPr>
        <w:t>：</w:t>
      </w:r>
    </w:p>
    <w:p w14:paraId="41028F7A">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供应商在响应文件中提供所投产品须具有市场监管总局公布的《参与实施政府采购节能产品认证机构目录》中的认证机构出具的、处于有效期内的节能产品认证证书。</w:t>
      </w:r>
    </w:p>
    <w:p w14:paraId="3443E263">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D5E29D7">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18"/>
          <w:highlight w:val="none"/>
        </w:rPr>
        <w:t>3.如采购人允许采用分包方式履行合同的，应当明确可以分包履行的相关内容：</w:t>
      </w:r>
      <w:r>
        <w:rPr>
          <w:rFonts w:hint="eastAsia" w:ascii="宋体" w:hAnsi="宋体" w:eastAsia="宋体" w:cs="宋体"/>
          <w:color w:val="auto"/>
          <w:sz w:val="24"/>
          <w:szCs w:val="18"/>
          <w:highlight w:val="none"/>
          <w:u w:val="single"/>
        </w:rPr>
        <w:t>本项目不允许分包</w:t>
      </w:r>
      <w:r>
        <w:rPr>
          <w:rFonts w:hint="eastAsia" w:ascii="宋体" w:hAnsi="宋体" w:eastAsia="宋体"/>
          <w:color w:val="auto"/>
          <w:sz w:val="24"/>
          <w:szCs w:val="18"/>
          <w:highlight w:val="none"/>
        </w:rPr>
        <w:t>。</w:t>
      </w:r>
    </w:p>
    <w:p w14:paraId="3981E801">
      <w:pPr>
        <w:spacing w:line="360" w:lineRule="auto"/>
        <w:ind w:firstLine="437"/>
        <w:outlineLvl w:val="1"/>
        <w:rPr>
          <w:rFonts w:ascii="宋体" w:hAnsi="宋体" w:eastAsia="宋体"/>
          <w:b/>
          <w:color w:val="auto"/>
          <w:sz w:val="24"/>
          <w:szCs w:val="18"/>
          <w:highlight w:val="none"/>
        </w:rPr>
      </w:pPr>
      <w:bookmarkStart w:id="17" w:name="_Toc26349"/>
      <w:bookmarkStart w:id="18" w:name="_Toc7699"/>
      <w:r>
        <w:rPr>
          <w:rFonts w:hint="eastAsia" w:ascii="宋体" w:hAnsi="宋体" w:eastAsia="宋体"/>
          <w:b/>
          <w:color w:val="auto"/>
          <w:sz w:val="24"/>
          <w:szCs w:val="18"/>
          <w:highlight w:val="none"/>
        </w:rPr>
        <w:t>一、采购需求前附表</w:t>
      </w:r>
      <w:bookmarkEnd w:id="17"/>
      <w:bookmarkEnd w:id="18"/>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124B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4328F54">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bookmarkStart w:id="19" w:name="_Hlk16461016"/>
            <w:r>
              <w:rPr>
                <w:rFonts w:hint="eastAsia" w:ascii="宋体" w:hAnsi="宋体" w:eastAsia="宋体"/>
                <w:b/>
                <w:color w:val="auto"/>
                <w:kern w:val="2"/>
                <w:highlight w:val="none"/>
              </w:rPr>
              <w:t>序号</w:t>
            </w:r>
          </w:p>
        </w:tc>
        <w:tc>
          <w:tcPr>
            <w:tcW w:w="1192" w:type="pct"/>
            <w:vAlign w:val="center"/>
          </w:tcPr>
          <w:p w14:paraId="27290695">
            <w:pPr>
              <w:pStyle w:val="43"/>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1B52E074">
            <w:pPr>
              <w:pStyle w:val="43"/>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61E2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2A4C058">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12294256">
            <w:pPr>
              <w:pStyle w:val="43"/>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cs="宋体"/>
                <w:b w:val="0"/>
                <w:color w:val="auto"/>
                <w:sz w:val="24"/>
                <w:highlight w:val="none"/>
              </w:rPr>
              <w:t>付款方式</w:t>
            </w:r>
          </w:p>
        </w:tc>
        <w:tc>
          <w:tcPr>
            <w:tcW w:w="3217" w:type="pct"/>
            <w:vAlign w:val="center"/>
          </w:tcPr>
          <w:p w14:paraId="45F2C9B2">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eastAsia" w:ascii="宋体" w:hAnsi="宋体" w:eastAsia="宋体" w:cs="宋体"/>
                <w:b w:val="0"/>
                <w:color w:val="auto"/>
                <w:sz w:val="24"/>
                <w:highlight w:val="none"/>
                <w:lang w:val="en-US" w:eastAsia="zh-CN"/>
              </w:rPr>
              <w:t>合同签订且具备实施条件后，采购人支付合同价的40%预付款（预付款支付前，成交人须提供同等金额的见索即付保函）；成交人出具本项目《房屋结构安全性鉴定报告》（含抗震、地基基础、主体结构和钢结构鉴定等相关内容），鉴定结果符合安全标准的并经市住房城乡建设主管部门对鉴定报告登记确认，出具收讫意见后后支付对应合同金额的90%；余款待采购人办理房屋不动产登记手续后付清。</w:t>
            </w:r>
          </w:p>
        </w:tc>
      </w:tr>
      <w:tr w14:paraId="0E59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0830288">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2DD6C589">
            <w:pPr>
              <w:pStyle w:val="43"/>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cs="宋体"/>
                <w:b w:val="0"/>
                <w:color w:val="auto"/>
                <w:sz w:val="24"/>
                <w:highlight w:val="none"/>
              </w:rPr>
              <w:t>服务地点</w:t>
            </w:r>
          </w:p>
        </w:tc>
        <w:tc>
          <w:tcPr>
            <w:tcW w:w="3217" w:type="pct"/>
            <w:vAlign w:val="center"/>
          </w:tcPr>
          <w:p w14:paraId="3955E5A5">
            <w:pPr>
              <w:pStyle w:val="43"/>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cs="宋体"/>
                <w:b w:val="0"/>
                <w:color w:val="auto"/>
                <w:sz w:val="24"/>
                <w:highlight w:val="none"/>
                <w:lang w:eastAsia="zh-CN"/>
              </w:rPr>
              <w:t>滁州职业技术学院，采购人指定地点。</w:t>
            </w:r>
            <w:r>
              <w:rPr>
                <w:rFonts w:hint="eastAsia" w:ascii="宋体" w:hAnsi="宋体" w:eastAsia="宋体" w:cs="宋体"/>
                <w:b w:val="0"/>
                <w:color w:val="auto"/>
                <w:sz w:val="24"/>
                <w:highlight w:val="none"/>
              </w:rPr>
              <w:t xml:space="preserve"> </w:t>
            </w:r>
          </w:p>
        </w:tc>
      </w:tr>
      <w:tr w14:paraId="4F1B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E330A29">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57B3D43F">
            <w:pPr>
              <w:pStyle w:val="43"/>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cs="宋体"/>
                <w:b w:val="0"/>
                <w:color w:val="auto"/>
                <w:sz w:val="24"/>
                <w:highlight w:val="none"/>
              </w:rPr>
              <w:t>服务期限</w:t>
            </w:r>
          </w:p>
        </w:tc>
        <w:tc>
          <w:tcPr>
            <w:tcW w:w="3217" w:type="pct"/>
            <w:vAlign w:val="center"/>
          </w:tcPr>
          <w:p w14:paraId="74E6B6F8">
            <w:pPr>
              <w:keepNext w:val="0"/>
              <w:keepLines w:val="0"/>
              <w:widowControl/>
              <w:suppressLineNumbers w:val="0"/>
              <w:spacing w:before="0" w:beforeAutospacing="0" w:after="0" w:afterAutospacing="0"/>
              <w:ind w:left="0" w:right="0"/>
              <w:jc w:val="left"/>
              <w:rPr>
                <w:rFonts w:hint="default" w:ascii="宋体" w:hAnsi="宋体" w:eastAsia="宋体"/>
                <w:color w:val="auto"/>
                <w:sz w:val="24"/>
                <w:szCs w:val="20"/>
                <w:highlight w:val="none"/>
              </w:rPr>
            </w:pPr>
            <w:r>
              <w:rPr>
                <w:rFonts w:hint="eastAsia" w:ascii="宋体" w:hAnsi="宋体" w:eastAsia="宋体" w:cs="宋体"/>
                <w:color w:val="auto"/>
                <w:sz w:val="24"/>
                <w:szCs w:val="24"/>
                <w:highlight w:val="none"/>
                <w:lang w:val="en-US" w:eastAsia="zh-CN"/>
              </w:rPr>
              <w:t>自合同签订之日起30个日历天内完成项目鉴定内容</w:t>
            </w:r>
          </w:p>
        </w:tc>
      </w:tr>
      <w:tr w14:paraId="77A3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56D8468">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5208A33B">
            <w:pPr>
              <w:pStyle w:val="43"/>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cs="宋体"/>
                <w:b w:val="0"/>
                <w:color w:val="auto"/>
                <w:sz w:val="24"/>
                <w:highlight w:val="none"/>
              </w:rPr>
              <w:t>本项目采购标的名称及所属行业</w:t>
            </w:r>
          </w:p>
        </w:tc>
        <w:tc>
          <w:tcPr>
            <w:tcW w:w="3217" w:type="pct"/>
            <w:vAlign w:val="center"/>
          </w:tcPr>
          <w:p w14:paraId="040584D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标的名称：</w:t>
            </w:r>
            <w:r>
              <w:rPr>
                <w:rFonts w:hint="eastAsia" w:ascii="宋体" w:hAnsi="宋体" w:eastAsia="宋体" w:cs="宋体"/>
                <w:color w:val="auto"/>
                <w:sz w:val="24"/>
                <w:szCs w:val="20"/>
                <w:highlight w:val="none"/>
                <w:lang w:eastAsia="zh-CN"/>
              </w:rPr>
              <w:t>滁州职业技术学院房屋安全性鉴定项目</w:t>
            </w:r>
          </w:p>
          <w:p w14:paraId="32C23CA3">
            <w:pPr>
              <w:keepNext w:val="0"/>
              <w:keepLines w:val="0"/>
              <w:widowControl/>
              <w:suppressLineNumbers w:val="0"/>
              <w:spacing w:before="0" w:beforeAutospacing="0" w:after="0" w:afterAutospacing="0"/>
              <w:ind w:left="0" w:right="0"/>
              <w:jc w:val="left"/>
              <w:rPr>
                <w:rFonts w:hint="default" w:ascii="宋体" w:hAnsi="宋体" w:eastAsia="宋体"/>
                <w:color w:val="auto"/>
                <w:sz w:val="24"/>
                <w:szCs w:val="20"/>
                <w:highlight w:val="none"/>
                <w:u w:val="single"/>
              </w:rPr>
            </w:pPr>
            <w:r>
              <w:rPr>
                <w:rFonts w:hint="eastAsia" w:ascii="宋体" w:hAnsi="宋体" w:eastAsia="宋体" w:cs="宋体"/>
                <w:color w:val="auto"/>
                <w:sz w:val="24"/>
                <w:szCs w:val="20"/>
                <w:highlight w:val="none"/>
              </w:rPr>
              <w:t>所属行业：</w:t>
            </w:r>
            <w:r>
              <w:rPr>
                <w:rFonts w:hint="eastAsia" w:ascii="宋体" w:hAnsi="宋体" w:eastAsia="宋体" w:cs="宋体"/>
                <w:b/>
                <w:bCs/>
                <w:color w:val="auto"/>
                <w:kern w:val="0"/>
                <w:sz w:val="24"/>
                <w:szCs w:val="24"/>
                <w:highlight w:val="none"/>
              </w:rPr>
              <w:t>其他未列明行业</w:t>
            </w:r>
          </w:p>
        </w:tc>
      </w:tr>
    </w:tbl>
    <w:p w14:paraId="30EF1E4F">
      <w:pPr>
        <w:numPr>
          <w:ilvl w:val="0"/>
          <w:numId w:val="0"/>
        </w:numPr>
        <w:spacing w:line="360" w:lineRule="auto"/>
        <w:ind w:firstLine="437" w:firstLineChars="0"/>
        <w:outlineLvl w:val="1"/>
        <w:rPr>
          <w:rFonts w:hint="eastAsia" w:ascii="宋体" w:hAnsi="宋体" w:eastAsia="宋体"/>
          <w:b/>
          <w:color w:val="auto"/>
          <w:sz w:val="24"/>
          <w:szCs w:val="18"/>
          <w:highlight w:val="none"/>
        </w:rPr>
      </w:pPr>
      <w:bookmarkStart w:id="20" w:name="_Toc25144"/>
      <w:bookmarkStart w:id="21" w:name="_Toc23116"/>
      <w:r>
        <w:rPr>
          <w:rFonts w:hint="eastAsia" w:ascii="宋体" w:hAnsi="宋体" w:eastAsia="宋体" w:cs="@仿宋_GB2312"/>
          <w:b/>
          <w:color w:val="auto"/>
          <w:kern w:val="2"/>
          <w:sz w:val="24"/>
          <w:szCs w:val="18"/>
          <w:highlight w:val="none"/>
          <w:lang w:val="en-US" w:eastAsia="zh-CN" w:bidi="ar-SA"/>
        </w:rPr>
        <w:t>二、</w:t>
      </w:r>
      <w:r>
        <w:rPr>
          <w:rFonts w:hint="eastAsia" w:ascii="宋体" w:hAnsi="宋体" w:eastAsia="宋体"/>
          <w:b/>
          <w:color w:val="auto"/>
          <w:sz w:val="24"/>
          <w:szCs w:val="18"/>
          <w:highlight w:val="none"/>
        </w:rPr>
        <w:t>项目概况</w:t>
      </w:r>
      <w:bookmarkEnd w:id="20"/>
      <w:bookmarkEnd w:id="21"/>
    </w:p>
    <w:p w14:paraId="326DC09D">
      <w:pPr>
        <w:pStyle w:val="71"/>
        <w:spacing w:line="500" w:lineRule="exact"/>
        <w:ind w:firstLine="480"/>
        <w:jc w:val="left"/>
        <w:rPr>
          <w:rFonts w:hint="eastAsia" w:ascii="宋体" w:hAnsi="宋体" w:cs="仿宋"/>
          <w:sz w:val="24"/>
          <w:szCs w:val="24"/>
          <w:highlight w:val="none"/>
        </w:rPr>
      </w:pPr>
      <w:r>
        <w:rPr>
          <w:rFonts w:hint="eastAsia" w:ascii="宋体" w:hAnsi="宋体" w:cs="仿宋"/>
          <w:sz w:val="24"/>
          <w:szCs w:val="24"/>
          <w:highlight w:val="none"/>
          <w:lang w:val="en-US" w:eastAsia="zh-CN"/>
        </w:rPr>
        <w:t>滁州职业技术学院共有南、北两个校区，因历史原因，北校区（新校区）有17处房产未能在项目建设期内完成产权办理，合计总建筑面积约为22.58万㎡（具体详见附件1）；南校区（原技师学院）有8处房产未能在项目建设期内完成产权办理，合计总建筑面积约为6.84万㎡（具体详见附件2），上述房屋最早于2005年建成并投入使用。根据滁州市自然资源和规划局等五部门联合颁发的《关于印发滁州市推进“大资产”统筹管理涉及不动产登记历史遗留问题化解工作方案的通知》滁自然资规函(2025)299号文件要求及附件3市级行政事业单位和国有企业不动产登记历史遗留问题化解工作指引中具体实施办法，对上述房产进行房屋结构安全性及抗震鉴定评估。负责编制《房屋结构安全性鉴定报告》（含抗震、地基基础、主体结构和钢结构鉴定等相关内容），并通过属地相关行政主管部门对鉴定报告登记确认，出具收讫意见。</w:t>
      </w:r>
    </w:p>
    <w:p w14:paraId="2F649CB2">
      <w:pPr>
        <w:numPr>
          <w:ilvl w:val="0"/>
          <w:numId w:val="0"/>
        </w:numPr>
        <w:spacing w:line="360" w:lineRule="auto"/>
        <w:ind w:firstLine="437" w:firstLineChars="0"/>
        <w:outlineLvl w:val="1"/>
        <w:rPr>
          <w:rFonts w:hint="eastAsia" w:ascii="宋体" w:hAnsi="宋体" w:eastAsia="宋体"/>
          <w:b/>
          <w:color w:val="auto"/>
          <w:sz w:val="24"/>
          <w:szCs w:val="18"/>
          <w:highlight w:val="none"/>
        </w:rPr>
      </w:pPr>
      <w:bookmarkStart w:id="22" w:name="_Toc21757"/>
      <w:bookmarkStart w:id="23" w:name="_Toc8586"/>
      <w:r>
        <w:rPr>
          <w:rFonts w:hint="eastAsia" w:ascii="宋体" w:hAnsi="宋体" w:eastAsia="宋体" w:cs="@仿宋_GB2312"/>
          <w:b/>
          <w:color w:val="auto"/>
          <w:kern w:val="2"/>
          <w:sz w:val="24"/>
          <w:szCs w:val="18"/>
          <w:highlight w:val="none"/>
          <w:lang w:val="en-US" w:eastAsia="zh-CN" w:bidi="ar-SA"/>
        </w:rPr>
        <w:t>三、</w:t>
      </w:r>
      <w:r>
        <w:rPr>
          <w:rFonts w:hint="eastAsia" w:ascii="宋体" w:hAnsi="宋体" w:eastAsia="宋体"/>
          <w:b/>
          <w:color w:val="auto"/>
          <w:sz w:val="24"/>
          <w:szCs w:val="18"/>
          <w:highlight w:val="none"/>
        </w:rPr>
        <w:t>服务内容</w:t>
      </w:r>
    </w:p>
    <w:p w14:paraId="1A4FBF96">
      <w:pPr>
        <w:pStyle w:val="71"/>
        <w:spacing w:line="500" w:lineRule="exact"/>
        <w:ind w:firstLine="480"/>
        <w:jc w:val="left"/>
        <w:rPr>
          <w:rFonts w:hint="eastAsia" w:ascii="宋体" w:hAnsi="宋体" w:cs="仿宋"/>
          <w:sz w:val="24"/>
          <w:szCs w:val="24"/>
          <w:highlight w:val="none"/>
        </w:rPr>
      </w:pPr>
      <w:r>
        <w:rPr>
          <w:rFonts w:hint="eastAsia" w:ascii="宋体" w:hAnsi="宋体" w:cs="仿宋"/>
          <w:sz w:val="24"/>
          <w:szCs w:val="24"/>
          <w:highlight w:val="none"/>
        </w:rPr>
        <w:t>1.质量（结构）安全性鉴定</w:t>
      </w:r>
    </w:p>
    <w:p w14:paraId="071759D7">
      <w:pPr>
        <w:pStyle w:val="71"/>
        <w:spacing w:line="500" w:lineRule="exact"/>
        <w:ind w:firstLine="480"/>
        <w:jc w:val="left"/>
        <w:rPr>
          <w:rFonts w:hint="eastAsia" w:ascii="宋体" w:hAnsi="宋体" w:cs="仿宋"/>
          <w:sz w:val="24"/>
          <w:szCs w:val="24"/>
          <w:highlight w:val="none"/>
        </w:rPr>
      </w:pPr>
      <w:r>
        <w:rPr>
          <w:rFonts w:hint="eastAsia" w:ascii="宋体" w:hAnsi="宋体" w:cs="仿宋"/>
          <w:sz w:val="24"/>
          <w:szCs w:val="24"/>
          <w:highlight w:val="none"/>
        </w:rPr>
        <w:t>本次对建筑物类（钢筋混凝土结构、砖混结构）检测鉴定主要内容及技术要求包括但不限于以下内容：</w:t>
      </w:r>
    </w:p>
    <w:p w14:paraId="26E5B9E5">
      <w:pPr>
        <w:pStyle w:val="71"/>
        <w:spacing w:line="500" w:lineRule="exact"/>
        <w:ind w:firstLine="480"/>
        <w:jc w:val="left"/>
        <w:rPr>
          <w:rFonts w:hint="eastAsia" w:ascii="宋体" w:hAnsi="宋体" w:cs="仿宋"/>
          <w:sz w:val="24"/>
          <w:szCs w:val="24"/>
          <w:highlight w:val="none"/>
        </w:rPr>
      </w:pPr>
      <w:r>
        <w:rPr>
          <w:rFonts w:hint="eastAsia" w:ascii="宋体" w:hAnsi="宋体" w:cs="仿宋"/>
          <w:sz w:val="24"/>
          <w:szCs w:val="24"/>
          <w:highlight w:val="none"/>
        </w:rPr>
        <w:t>（1）档案调查及踏勘现场：查阅原设计施工资料，包括工程地质勘察报告、设计图纸、施工记录、竣工资料等。并调查房屋的现状、使用条件、内外环境、存在的问题等。</w:t>
      </w:r>
    </w:p>
    <w:p w14:paraId="552B5416">
      <w:pPr>
        <w:pStyle w:val="71"/>
        <w:spacing w:line="500" w:lineRule="exact"/>
        <w:ind w:firstLine="480"/>
        <w:jc w:val="left"/>
        <w:rPr>
          <w:rFonts w:hint="eastAsia" w:ascii="宋体" w:hAnsi="宋体" w:cs="仿宋"/>
          <w:sz w:val="24"/>
          <w:szCs w:val="24"/>
          <w:highlight w:val="none"/>
        </w:rPr>
      </w:pPr>
      <w:r>
        <w:rPr>
          <w:rFonts w:hint="eastAsia" w:ascii="宋体" w:hAnsi="宋体" w:cs="仿宋"/>
          <w:sz w:val="24"/>
          <w:szCs w:val="24"/>
          <w:highlight w:val="none"/>
        </w:rPr>
        <w:t>（2）几何尺寸复核：通过对房屋承重结构构件现场检测与设计图纸进行比较，反映房屋目前实际几何状况与设计状况的差异。</w:t>
      </w:r>
    </w:p>
    <w:p w14:paraId="5A2F7620">
      <w:pPr>
        <w:pStyle w:val="71"/>
        <w:spacing w:line="500" w:lineRule="exact"/>
        <w:ind w:firstLine="480"/>
        <w:jc w:val="left"/>
        <w:rPr>
          <w:rFonts w:hint="eastAsia" w:ascii="宋体" w:hAnsi="宋体" w:cs="仿宋"/>
          <w:sz w:val="24"/>
          <w:szCs w:val="24"/>
          <w:highlight w:val="none"/>
        </w:rPr>
      </w:pPr>
      <w:r>
        <w:rPr>
          <w:rFonts w:hint="eastAsia" w:ascii="宋体" w:hAnsi="宋体" w:cs="仿宋"/>
          <w:sz w:val="24"/>
          <w:szCs w:val="24"/>
          <w:highlight w:val="none"/>
        </w:rPr>
        <w:t>（3）钢筋配置及保护层厚度检测：对承重结构构件梁、板、柱钢筋配置及保护层厚度进行抽检。</w:t>
      </w:r>
    </w:p>
    <w:p w14:paraId="57CA19CD">
      <w:pPr>
        <w:pStyle w:val="71"/>
        <w:spacing w:line="500" w:lineRule="exact"/>
        <w:ind w:firstLine="480"/>
        <w:jc w:val="left"/>
        <w:rPr>
          <w:rFonts w:hint="eastAsia" w:ascii="宋体" w:hAnsi="宋体" w:cs="仿宋"/>
          <w:sz w:val="24"/>
          <w:szCs w:val="24"/>
          <w:highlight w:val="none"/>
        </w:rPr>
      </w:pPr>
      <w:r>
        <w:rPr>
          <w:rFonts w:hint="eastAsia" w:ascii="宋体" w:hAnsi="宋体" w:cs="仿宋"/>
          <w:sz w:val="24"/>
          <w:szCs w:val="24"/>
          <w:highlight w:val="none"/>
        </w:rPr>
        <w:t>（4）材料强度测试：反映承重结构构件梁、板、柱混凝土强度值。</w:t>
      </w:r>
    </w:p>
    <w:p w14:paraId="301D0E10">
      <w:pPr>
        <w:pStyle w:val="71"/>
        <w:spacing w:line="500" w:lineRule="exact"/>
        <w:ind w:firstLine="480"/>
        <w:jc w:val="left"/>
        <w:rPr>
          <w:rFonts w:hint="eastAsia" w:ascii="宋体" w:hAnsi="宋体" w:cs="仿宋"/>
          <w:sz w:val="24"/>
          <w:szCs w:val="24"/>
          <w:highlight w:val="none"/>
        </w:rPr>
      </w:pPr>
      <w:r>
        <w:rPr>
          <w:rFonts w:hint="eastAsia" w:ascii="宋体" w:hAnsi="宋体" w:cs="仿宋"/>
          <w:sz w:val="24"/>
          <w:szCs w:val="24"/>
          <w:highlight w:val="none"/>
        </w:rPr>
        <w:t>（5）结构构件损伤检查：结构构件是否存在裂缝、混凝土保护层剥落、露筋、缺棱掉角、锈胀、块材风化、砂浆粉化、渗漏水等损伤情况及损伤程度进行检测。</w:t>
      </w:r>
    </w:p>
    <w:p w14:paraId="16E55509">
      <w:pPr>
        <w:pStyle w:val="71"/>
        <w:spacing w:line="500" w:lineRule="exact"/>
        <w:ind w:firstLine="480"/>
        <w:jc w:val="left"/>
        <w:rPr>
          <w:rFonts w:hint="eastAsia" w:ascii="宋体" w:hAnsi="宋体" w:cs="仿宋"/>
          <w:sz w:val="24"/>
          <w:szCs w:val="24"/>
          <w:highlight w:val="none"/>
        </w:rPr>
      </w:pPr>
      <w:r>
        <w:rPr>
          <w:rFonts w:hint="eastAsia" w:ascii="宋体" w:hAnsi="宋体" w:cs="仿宋"/>
          <w:sz w:val="24"/>
          <w:szCs w:val="24"/>
          <w:highlight w:val="none"/>
        </w:rPr>
        <w:t>（6）变形检测：对建筑物整体倾斜、大跨度构件下挠变形情况进行量测并评定。</w:t>
      </w:r>
    </w:p>
    <w:p w14:paraId="143F8839">
      <w:pPr>
        <w:pStyle w:val="71"/>
        <w:spacing w:line="500" w:lineRule="exact"/>
        <w:ind w:firstLine="480"/>
        <w:jc w:val="left"/>
        <w:rPr>
          <w:rFonts w:hint="eastAsia" w:ascii="宋体" w:hAnsi="宋体" w:cs="仿宋"/>
          <w:sz w:val="24"/>
          <w:szCs w:val="24"/>
          <w:highlight w:val="none"/>
        </w:rPr>
      </w:pPr>
      <w:r>
        <w:rPr>
          <w:rFonts w:hint="eastAsia" w:ascii="宋体" w:hAnsi="宋体" w:cs="仿宋"/>
          <w:sz w:val="24"/>
          <w:szCs w:val="24"/>
          <w:highlight w:val="none"/>
        </w:rPr>
        <w:t>（7）耐久性检测：对混凝土构件碳化深度、腐蚀深度进行检测。</w:t>
      </w:r>
    </w:p>
    <w:p w14:paraId="189AE8D4">
      <w:pPr>
        <w:pStyle w:val="71"/>
        <w:spacing w:line="500" w:lineRule="exact"/>
        <w:ind w:firstLine="480"/>
        <w:jc w:val="left"/>
        <w:rPr>
          <w:rFonts w:hint="eastAsia" w:ascii="宋体" w:hAnsi="宋体" w:cs="仿宋"/>
          <w:sz w:val="24"/>
          <w:szCs w:val="24"/>
          <w:highlight w:val="none"/>
        </w:rPr>
      </w:pPr>
      <w:r>
        <w:rPr>
          <w:rFonts w:hint="eastAsia" w:ascii="宋体" w:hAnsi="宋体" w:cs="仿宋"/>
          <w:sz w:val="24"/>
          <w:szCs w:val="24"/>
          <w:highlight w:val="none"/>
        </w:rPr>
        <w:t>（8）非结构构件检查：对局部易掉落伤人的非结构构件、部件的连接构造及其牢固性进行检查。如出入口处女儿墙、高低跨封墙、纵横墙交接处的悬墙等。</w:t>
      </w:r>
    </w:p>
    <w:p w14:paraId="332133C1">
      <w:pPr>
        <w:pStyle w:val="71"/>
        <w:spacing w:line="500" w:lineRule="exact"/>
        <w:ind w:firstLine="480"/>
        <w:jc w:val="left"/>
        <w:rPr>
          <w:rFonts w:hint="eastAsia" w:ascii="宋体" w:hAnsi="宋体" w:cs="仿宋"/>
          <w:sz w:val="24"/>
          <w:szCs w:val="24"/>
          <w:highlight w:val="none"/>
        </w:rPr>
      </w:pPr>
      <w:r>
        <w:rPr>
          <w:rFonts w:hint="eastAsia" w:ascii="宋体" w:hAnsi="宋体" w:cs="仿宋"/>
          <w:sz w:val="24"/>
          <w:szCs w:val="24"/>
          <w:highlight w:val="none"/>
        </w:rPr>
        <w:t>（9）结构验算：根据实测结果结合设计图纸对建筑物目前状况做出科学的计算评判，进行承载力验算，评估建筑物的承载功能。</w:t>
      </w:r>
    </w:p>
    <w:p w14:paraId="1E2C7FB1">
      <w:pPr>
        <w:pStyle w:val="71"/>
        <w:spacing w:line="500" w:lineRule="exact"/>
        <w:ind w:firstLine="480"/>
        <w:jc w:val="left"/>
        <w:rPr>
          <w:rFonts w:hint="eastAsia" w:ascii="宋体" w:hAnsi="宋体" w:cs="仿宋"/>
          <w:sz w:val="24"/>
          <w:szCs w:val="24"/>
          <w:highlight w:val="none"/>
        </w:rPr>
      </w:pPr>
      <w:r>
        <w:rPr>
          <w:rFonts w:hint="eastAsia" w:ascii="宋体" w:hAnsi="宋体" w:cs="仿宋"/>
          <w:sz w:val="24"/>
          <w:szCs w:val="24"/>
          <w:highlight w:val="none"/>
        </w:rPr>
        <w:t>（10）安全性评价及处理建议：根据国家规范、现行规定和现场检查、检测结果，对建筑物结构受损现状及安全性进行鉴定，对现有主体结构在目前状况下的损伤情况进行分析，评定建筑物的安全性等级，出具正式的检测报告，并对存在的问题提出处理建议。</w:t>
      </w:r>
    </w:p>
    <w:p w14:paraId="73289A7C">
      <w:pPr>
        <w:pStyle w:val="71"/>
        <w:spacing w:line="500" w:lineRule="exact"/>
        <w:ind w:firstLine="480"/>
        <w:jc w:val="left"/>
        <w:rPr>
          <w:rFonts w:hint="eastAsia" w:ascii="宋体" w:hAnsi="宋体" w:cs="仿宋"/>
          <w:sz w:val="24"/>
          <w:szCs w:val="24"/>
          <w:highlight w:val="none"/>
        </w:rPr>
      </w:pPr>
      <w:r>
        <w:rPr>
          <w:rFonts w:hint="eastAsia" w:ascii="宋体" w:hAnsi="宋体" w:cs="仿宋"/>
          <w:sz w:val="24"/>
          <w:szCs w:val="24"/>
          <w:highlight w:val="none"/>
        </w:rPr>
        <w:t>2.建筑物类（钢结构）技术要求：</w:t>
      </w:r>
    </w:p>
    <w:p w14:paraId="592EEF1E">
      <w:pPr>
        <w:pStyle w:val="71"/>
        <w:spacing w:line="500" w:lineRule="exact"/>
        <w:ind w:firstLine="480"/>
        <w:jc w:val="left"/>
        <w:rPr>
          <w:rFonts w:hint="eastAsia" w:ascii="宋体" w:hAnsi="宋体" w:cs="仿宋"/>
          <w:sz w:val="24"/>
          <w:szCs w:val="24"/>
          <w:highlight w:val="none"/>
        </w:rPr>
      </w:pPr>
      <w:r>
        <w:rPr>
          <w:rFonts w:hint="eastAsia" w:ascii="宋体" w:hAnsi="宋体" w:cs="仿宋"/>
          <w:sz w:val="24"/>
          <w:szCs w:val="24"/>
          <w:highlight w:val="none"/>
        </w:rPr>
        <w:t>本次建筑物类（钢结构）现状综合检测鉴定主要内容及技术要求包括但不限于以下内容：</w:t>
      </w:r>
    </w:p>
    <w:p w14:paraId="1D1CE5A3">
      <w:pPr>
        <w:pStyle w:val="71"/>
        <w:spacing w:line="500" w:lineRule="exact"/>
        <w:ind w:firstLine="480"/>
        <w:jc w:val="left"/>
        <w:rPr>
          <w:rFonts w:hint="eastAsia" w:ascii="宋体" w:hAnsi="宋体" w:cs="仿宋"/>
          <w:sz w:val="24"/>
          <w:szCs w:val="24"/>
          <w:highlight w:val="none"/>
        </w:rPr>
      </w:pPr>
      <w:r>
        <w:rPr>
          <w:rFonts w:hint="eastAsia" w:ascii="宋体" w:hAnsi="宋体" w:cs="仿宋"/>
          <w:sz w:val="24"/>
          <w:szCs w:val="24"/>
          <w:highlight w:val="none"/>
        </w:rPr>
        <w:t>（1）档案调查及考察现场：查阅原设计施工资料，包括工程地质勘察报告、设计图纸、施工记录、竣工资料等。并调建筑物的现状、使用条件、内外环境、存在的问题等。</w:t>
      </w:r>
    </w:p>
    <w:p w14:paraId="2986442A">
      <w:pPr>
        <w:pStyle w:val="71"/>
        <w:spacing w:line="500" w:lineRule="exact"/>
        <w:ind w:firstLine="480"/>
        <w:jc w:val="left"/>
        <w:rPr>
          <w:rFonts w:hint="eastAsia" w:ascii="宋体" w:hAnsi="宋体" w:cs="仿宋"/>
          <w:sz w:val="24"/>
          <w:szCs w:val="24"/>
          <w:highlight w:val="none"/>
        </w:rPr>
      </w:pPr>
      <w:r>
        <w:rPr>
          <w:rFonts w:hint="eastAsia" w:ascii="宋体" w:hAnsi="宋体" w:cs="仿宋"/>
          <w:sz w:val="24"/>
          <w:szCs w:val="24"/>
          <w:highlight w:val="none"/>
        </w:rPr>
        <w:t>（2）调查结构上的作用和环境中的不利因素，调查或测量地基的变形，检查地基变形对上部承重结构、围护结构系统及吊车运行等的影响，必要时须开挖基础检查，补充勘察或进行现场地基承载能力试验。</w:t>
      </w:r>
    </w:p>
    <w:p w14:paraId="6DD12405">
      <w:pPr>
        <w:pStyle w:val="71"/>
        <w:spacing w:line="500" w:lineRule="exact"/>
        <w:ind w:firstLine="480"/>
        <w:jc w:val="left"/>
        <w:rPr>
          <w:rFonts w:hint="eastAsia" w:ascii="宋体" w:hAnsi="宋体" w:cs="仿宋"/>
          <w:sz w:val="24"/>
          <w:szCs w:val="24"/>
          <w:highlight w:val="none"/>
        </w:rPr>
      </w:pPr>
      <w:r>
        <w:rPr>
          <w:rFonts w:hint="eastAsia" w:ascii="宋体" w:hAnsi="宋体" w:cs="仿宋"/>
          <w:sz w:val="24"/>
          <w:szCs w:val="24"/>
          <w:highlight w:val="none"/>
        </w:rPr>
        <w:t>（3）结构布置和构造：检查结构布置和构造、支撑系统、结构构件及连接情况。</w:t>
      </w:r>
    </w:p>
    <w:p w14:paraId="6DFDAE84">
      <w:pPr>
        <w:pStyle w:val="71"/>
        <w:spacing w:line="500" w:lineRule="exact"/>
        <w:ind w:firstLine="480"/>
        <w:jc w:val="left"/>
        <w:rPr>
          <w:rFonts w:hint="eastAsia" w:ascii="宋体" w:hAnsi="宋体" w:cs="仿宋"/>
          <w:sz w:val="24"/>
          <w:szCs w:val="24"/>
          <w:highlight w:val="none"/>
        </w:rPr>
      </w:pPr>
      <w:r>
        <w:rPr>
          <w:rFonts w:hint="eastAsia" w:ascii="宋体" w:hAnsi="宋体" w:cs="仿宋"/>
          <w:sz w:val="24"/>
          <w:szCs w:val="24"/>
          <w:highlight w:val="none"/>
        </w:rPr>
        <w:t>（4）整体检查：对钢结构外观进行整体检查，主要检查是否存在杆件弯曲、挠度变形、构件锈蚀、节点裂缝、焊缝开裂等情况。</w:t>
      </w:r>
    </w:p>
    <w:p w14:paraId="6812EE2A">
      <w:pPr>
        <w:pStyle w:val="71"/>
        <w:spacing w:line="500" w:lineRule="exact"/>
        <w:ind w:firstLine="480"/>
        <w:jc w:val="left"/>
        <w:rPr>
          <w:rFonts w:hint="eastAsia" w:ascii="宋体" w:hAnsi="宋体" w:cs="仿宋"/>
          <w:sz w:val="24"/>
          <w:szCs w:val="24"/>
          <w:highlight w:val="none"/>
        </w:rPr>
      </w:pPr>
      <w:r>
        <w:rPr>
          <w:rFonts w:hint="eastAsia" w:ascii="宋体" w:hAnsi="宋体" w:cs="仿宋"/>
          <w:sz w:val="24"/>
          <w:szCs w:val="24"/>
          <w:highlight w:val="none"/>
        </w:rPr>
        <w:t>（5）结构布置及几何尺寸：对钢结构平面尺寸（包括柱距、悬挑）、结构布置进行测量。</w:t>
      </w:r>
    </w:p>
    <w:p w14:paraId="2B948EDF">
      <w:pPr>
        <w:pStyle w:val="71"/>
        <w:spacing w:line="500" w:lineRule="exact"/>
        <w:ind w:firstLine="480"/>
        <w:jc w:val="left"/>
        <w:rPr>
          <w:rFonts w:hint="eastAsia" w:ascii="宋体" w:hAnsi="宋体" w:cs="仿宋"/>
          <w:sz w:val="24"/>
          <w:szCs w:val="24"/>
          <w:highlight w:val="none"/>
        </w:rPr>
      </w:pPr>
      <w:r>
        <w:rPr>
          <w:rFonts w:hint="eastAsia" w:ascii="宋体" w:hAnsi="宋体" w:cs="仿宋"/>
          <w:sz w:val="24"/>
          <w:szCs w:val="24"/>
          <w:highlight w:val="none"/>
        </w:rPr>
        <w:t>（6）杆件及球节点直径、壁厚：对钢构件截面尺寸、壁厚等进行测量。</w:t>
      </w:r>
    </w:p>
    <w:p w14:paraId="52069CD1">
      <w:pPr>
        <w:pStyle w:val="71"/>
        <w:spacing w:line="500" w:lineRule="exact"/>
        <w:ind w:firstLine="480"/>
        <w:jc w:val="left"/>
        <w:rPr>
          <w:rFonts w:hint="eastAsia" w:ascii="宋体" w:hAnsi="宋体" w:cs="仿宋"/>
          <w:sz w:val="24"/>
          <w:szCs w:val="24"/>
          <w:highlight w:val="none"/>
        </w:rPr>
      </w:pPr>
      <w:r>
        <w:rPr>
          <w:rFonts w:hint="eastAsia" w:ascii="宋体" w:hAnsi="宋体" w:cs="仿宋"/>
          <w:sz w:val="24"/>
          <w:szCs w:val="24"/>
          <w:highlight w:val="none"/>
        </w:rPr>
        <w:t>（7）焊缝质量：焊缝尺寸、焊缝外观质量（焊缝是否存在焊瘤、弧坑、气孔、咬边等质量缺陷）及内部质量进行超声波探伤。</w:t>
      </w:r>
    </w:p>
    <w:p w14:paraId="638BD656">
      <w:pPr>
        <w:pStyle w:val="71"/>
        <w:spacing w:line="500" w:lineRule="exact"/>
        <w:ind w:firstLine="480"/>
        <w:jc w:val="left"/>
        <w:rPr>
          <w:rFonts w:hint="eastAsia" w:ascii="宋体" w:hAnsi="宋体" w:cs="仿宋"/>
          <w:sz w:val="24"/>
          <w:szCs w:val="24"/>
          <w:highlight w:val="none"/>
        </w:rPr>
      </w:pPr>
      <w:r>
        <w:rPr>
          <w:rFonts w:hint="eastAsia" w:ascii="宋体" w:hAnsi="宋体" w:cs="仿宋"/>
          <w:sz w:val="24"/>
          <w:szCs w:val="24"/>
          <w:highlight w:val="none"/>
        </w:rPr>
        <w:t>（8）挠度变形：对大跨度钢梁或网架的变形进行检测。</w:t>
      </w:r>
    </w:p>
    <w:p w14:paraId="61B85B4B">
      <w:pPr>
        <w:pStyle w:val="71"/>
        <w:spacing w:line="500" w:lineRule="exact"/>
        <w:ind w:firstLine="480"/>
        <w:jc w:val="left"/>
        <w:rPr>
          <w:rFonts w:hint="eastAsia" w:ascii="宋体" w:hAnsi="宋体" w:cs="仿宋"/>
          <w:sz w:val="24"/>
          <w:szCs w:val="24"/>
          <w:highlight w:val="none"/>
        </w:rPr>
      </w:pPr>
      <w:r>
        <w:rPr>
          <w:rFonts w:hint="eastAsia" w:ascii="宋体" w:hAnsi="宋体" w:cs="仿宋"/>
          <w:sz w:val="24"/>
          <w:szCs w:val="24"/>
          <w:highlight w:val="none"/>
        </w:rPr>
        <w:t>（9）钢构件及连接件外观质量缺陷：对钢构件进行检测，看是否存在过烧、裂纹等情况；对连接的高强螺栓进行检测，看是否存在裂纹或损伤等情况；对封</w:t>
      </w:r>
    </w:p>
    <w:p w14:paraId="6ED35DCB">
      <w:pPr>
        <w:pStyle w:val="71"/>
        <w:spacing w:line="500" w:lineRule="exact"/>
        <w:ind w:firstLine="480"/>
        <w:jc w:val="left"/>
        <w:rPr>
          <w:rFonts w:hint="eastAsia" w:ascii="宋体" w:hAnsi="宋体" w:cs="仿宋"/>
          <w:sz w:val="24"/>
          <w:szCs w:val="24"/>
          <w:highlight w:val="none"/>
        </w:rPr>
      </w:pPr>
      <w:r>
        <w:rPr>
          <w:rFonts w:hint="eastAsia" w:ascii="宋体" w:hAnsi="宋体" w:cs="仿宋"/>
          <w:sz w:val="24"/>
          <w:szCs w:val="24"/>
          <w:highlight w:val="none"/>
        </w:rPr>
        <w:t>板、锥头、套筒进行检测，看是否存在裂纹、过烧及氧化皮等情况；对杆件与锥头间焊缝及支座节点焊缝进行检测，看焊缝是否存在焊瘤、弧坑、气孔、咬边等质量缺陷。</w:t>
      </w:r>
    </w:p>
    <w:p w14:paraId="47021950">
      <w:pPr>
        <w:pStyle w:val="71"/>
        <w:spacing w:line="500" w:lineRule="exact"/>
        <w:ind w:firstLine="480"/>
        <w:jc w:val="left"/>
        <w:rPr>
          <w:rFonts w:hint="eastAsia" w:ascii="宋体" w:hAnsi="宋体" w:cs="仿宋"/>
          <w:sz w:val="24"/>
          <w:szCs w:val="24"/>
          <w:highlight w:val="none"/>
        </w:rPr>
      </w:pPr>
      <w:r>
        <w:rPr>
          <w:rFonts w:hint="eastAsia" w:ascii="宋体" w:hAnsi="宋体" w:cs="仿宋"/>
          <w:sz w:val="24"/>
          <w:szCs w:val="24"/>
          <w:highlight w:val="none"/>
        </w:rPr>
        <w:t>（10）结构验算：根据实测结果结合设计图纸对建筑物目前状况做出科学的计算评判，进行承载力验算，评估建筑物的承载功能。</w:t>
      </w:r>
    </w:p>
    <w:p w14:paraId="47CB5C91">
      <w:pPr>
        <w:pStyle w:val="71"/>
        <w:spacing w:line="500" w:lineRule="exact"/>
        <w:ind w:firstLine="480"/>
        <w:jc w:val="left"/>
        <w:rPr>
          <w:rFonts w:ascii="宋体" w:hAnsi="宋体" w:cs="仿宋"/>
          <w:sz w:val="24"/>
          <w:szCs w:val="24"/>
          <w:highlight w:val="none"/>
        </w:rPr>
      </w:pPr>
      <w:r>
        <w:rPr>
          <w:rFonts w:hint="eastAsia" w:ascii="宋体" w:hAnsi="宋体" w:cs="仿宋"/>
          <w:sz w:val="24"/>
          <w:szCs w:val="24"/>
          <w:highlight w:val="none"/>
        </w:rPr>
        <w:t>（11）根据国家规范、现行规定和现场检查、检测结果，对建筑物结构受损现状及安全性进行鉴定，对现有主体结构在目前状况下的损伤情况进行分析，出具正式的检测报告，并对存在的问题提出维修处理建议。</w:t>
      </w:r>
    </w:p>
    <w:p w14:paraId="6C0B26A2">
      <w:pPr>
        <w:numPr>
          <w:ilvl w:val="0"/>
          <w:numId w:val="0"/>
        </w:numPr>
        <w:spacing w:line="360" w:lineRule="auto"/>
        <w:ind w:firstLine="437" w:firstLineChars="0"/>
        <w:outlineLvl w:val="1"/>
        <w:rPr>
          <w:rFonts w:hint="eastAsia" w:ascii="宋体" w:hAnsi="宋体" w:eastAsia="宋体"/>
          <w:b/>
          <w:color w:val="auto"/>
          <w:sz w:val="24"/>
          <w:szCs w:val="18"/>
          <w:highlight w:val="none"/>
        </w:rPr>
      </w:pPr>
      <w:r>
        <w:rPr>
          <w:rFonts w:hint="eastAsia" w:ascii="宋体" w:hAnsi="宋体" w:eastAsia="宋体" w:cs="@仿宋_GB2312"/>
          <w:b/>
          <w:color w:val="auto"/>
          <w:kern w:val="2"/>
          <w:sz w:val="24"/>
          <w:szCs w:val="18"/>
          <w:highlight w:val="none"/>
          <w:lang w:val="en-US" w:eastAsia="zh-CN" w:bidi="ar-SA"/>
        </w:rPr>
        <w:t>四、</w:t>
      </w:r>
      <w:r>
        <w:rPr>
          <w:rFonts w:hint="eastAsia" w:ascii="宋体" w:hAnsi="宋体" w:eastAsia="宋体"/>
          <w:b/>
          <w:color w:val="auto"/>
          <w:sz w:val="24"/>
          <w:szCs w:val="18"/>
          <w:highlight w:val="none"/>
        </w:rPr>
        <w:t>服务需求</w:t>
      </w:r>
    </w:p>
    <w:p w14:paraId="66F0E122">
      <w:pPr>
        <w:pStyle w:val="71"/>
        <w:spacing w:line="500" w:lineRule="exact"/>
        <w:ind w:firstLine="480"/>
        <w:jc w:val="left"/>
        <w:rPr>
          <w:rFonts w:hint="eastAsia" w:ascii="宋体" w:hAnsi="宋体" w:eastAsia="宋体" w:cs="仿宋"/>
          <w:sz w:val="24"/>
          <w:szCs w:val="24"/>
          <w:highlight w:val="none"/>
          <w:lang w:val="en-US" w:eastAsia="zh-CN"/>
        </w:rPr>
      </w:pPr>
      <w:bookmarkStart w:id="24" w:name="1._数学基础"/>
      <w:bookmarkEnd w:id="24"/>
      <w:r>
        <w:rPr>
          <w:rFonts w:hint="eastAsia" w:ascii="宋体" w:hAnsi="宋体" w:eastAsia="宋体" w:cs="仿宋"/>
          <w:sz w:val="24"/>
          <w:szCs w:val="24"/>
          <w:highlight w:val="none"/>
          <w:lang w:val="en-US" w:eastAsia="zh-CN"/>
        </w:rPr>
        <w:t>1.</w:t>
      </w:r>
      <w:r>
        <w:rPr>
          <w:rFonts w:hint="eastAsia" w:ascii="宋体" w:hAnsi="宋体" w:cs="仿宋"/>
          <w:sz w:val="24"/>
          <w:szCs w:val="24"/>
          <w:highlight w:val="none"/>
          <w:lang w:val="en-US" w:eastAsia="zh-CN"/>
        </w:rPr>
        <w:t>成交人</w:t>
      </w:r>
      <w:r>
        <w:rPr>
          <w:rFonts w:hint="eastAsia" w:ascii="宋体" w:hAnsi="宋体" w:eastAsia="宋体" w:cs="仿宋"/>
          <w:sz w:val="24"/>
          <w:szCs w:val="24"/>
          <w:highlight w:val="none"/>
          <w:lang w:val="en-US" w:eastAsia="zh-CN"/>
        </w:rPr>
        <w:t>根据采购人提供的施工图等房屋资料，结合现场调查和检测的结果，按照有关国家规范的规定，对该房屋进行结构安全检测鉴定、抗震检测鉴定。检测过程中对房屋造成的损伤，</w:t>
      </w:r>
      <w:r>
        <w:rPr>
          <w:rFonts w:hint="eastAsia" w:ascii="宋体" w:hAnsi="宋体" w:cs="仿宋"/>
          <w:sz w:val="24"/>
          <w:szCs w:val="24"/>
          <w:highlight w:val="none"/>
          <w:lang w:val="en-US" w:eastAsia="zh-CN"/>
        </w:rPr>
        <w:t>成交人</w:t>
      </w:r>
      <w:r>
        <w:rPr>
          <w:rFonts w:hint="eastAsia" w:ascii="宋体" w:hAnsi="宋体" w:eastAsia="宋体" w:cs="仿宋"/>
          <w:sz w:val="24"/>
          <w:szCs w:val="24"/>
          <w:highlight w:val="none"/>
          <w:lang w:val="en-US" w:eastAsia="zh-CN"/>
        </w:rPr>
        <w:t>要负责恢复原样，此费用包含在其综合单价投标报价中。</w:t>
      </w:r>
    </w:p>
    <w:p w14:paraId="25D20D20">
      <w:pPr>
        <w:pStyle w:val="71"/>
        <w:spacing w:line="500" w:lineRule="exact"/>
        <w:ind w:firstLine="480"/>
        <w:jc w:val="left"/>
        <w:rPr>
          <w:rFonts w:hint="eastAsia" w:ascii="宋体" w:hAnsi="宋体" w:eastAsia="宋体" w:cs="仿宋"/>
          <w:sz w:val="24"/>
          <w:szCs w:val="24"/>
          <w:highlight w:val="none"/>
          <w:lang w:val="en-US" w:eastAsia="zh-CN"/>
        </w:rPr>
      </w:pPr>
      <w:r>
        <w:rPr>
          <w:rFonts w:hint="eastAsia" w:ascii="宋体" w:hAnsi="宋体" w:eastAsia="宋体" w:cs="仿宋"/>
          <w:sz w:val="24"/>
          <w:szCs w:val="24"/>
          <w:highlight w:val="none"/>
          <w:lang w:val="en-US" w:eastAsia="zh-CN"/>
        </w:rPr>
        <w:t>2.对于部分房产原始资料缺失不齐的，由</w:t>
      </w:r>
      <w:r>
        <w:rPr>
          <w:rFonts w:hint="eastAsia" w:ascii="宋体" w:hAnsi="宋体" w:cs="仿宋"/>
          <w:sz w:val="24"/>
          <w:szCs w:val="24"/>
          <w:highlight w:val="none"/>
          <w:lang w:val="en-US" w:eastAsia="zh-CN"/>
        </w:rPr>
        <w:t>成交人</w:t>
      </w:r>
      <w:r>
        <w:rPr>
          <w:rFonts w:hint="eastAsia" w:ascii="宋体" w:hAnsi="宋体" w:eastAsia="宋体" w:cs="仿宋"/>
          <w:sz w:val="24"/>
          <w:szCs w:val="24"/>
          <w:highlight w:val="none"/>
          <w:lang w:val="en-US" w:eastAsia="zh-CN"/>
        </w:rPr>
        <w:t>对建筑物进行全面调查和核实工作，核实结果须经市相关主管部门确认，同时满足检测、鉴定要求，此费用包含在其综合单价投标报价中。</w:t>
      </w:r>
    </w:p>
    <w:p w14:paraId="014FD76B">
      <w:pPr>
        <w:pStyle w:val="71"/>
        <w:spacing w:line="500" w:lineRule="exact"/>
        <w:ind w:firstLine="480"/>
        <w:jc w:val="left"/>
        <w:rPr>
          <w:rFonts w:hint="eastAsia" w:ascii="宋体" w:hAnsi="宋体" w:eastAsia="宋体" w:cs="仿宋"/>
          <w:sz w:val="24"/>
          <w:szCs w:val="24"/>
          <w:highlight w:val="none"/>
          <w:lang w:val="en-US" w:eastAsia="zh-CN"/>
        </w:rPr>
      </w:pPr>
      <w:r>
        <w:rPr>
          <w:rFonts w:hint="eastAsia" w:ascii="宋体" w:hAnsi="宋体" w:eastAsia="宋体" w:cs="仿宋"/>
          <w:sz w:val="24"/>
          <w:szCs w:val="24"/>
          <w:highlight w:val="none"/>
          <w:lang w:val="en-US" w:eastAsia="zh-CN"/>
        </w:rPr>
        <w:t>3.</w:t>
      </w:r>
      <w:r>
        <w:rPr>
          <w:rFonts w:hint="eastAsia" w:ascii="宋体" w:hAnsi="宋体" w:cs="仿宋"/>
          <w:sz w:val="24"/>
          <w:szCs w:val="24"/>
          <w:highlight w:val="none"/>
          <w:lang w:val="en-US" w:eastAsia="zh-CN"/>
        </w:rPr>
        <w:t>成交人</w:t>
      </w:r>
      <w:r>
        <w:rPr>
          <w:rFonts w:hint="eastAsia" w:ascii="宋体" w:hAnsi="宋体" w:eastAsia="宋体" w:cs="仿宋"/>
          <w:sz w:val="24"/>
          <w:szCs w:val="24"/>
          <w:highlight w:val="none"/>
          <w:lang w:val="en-US" w:eastAsia="zh-CN"/>
        </w:rPr>
        <w:t>首先根据房屋现状提出检测结论，对于需要加固、改造的房屋提出加固改造处理建议，最终提供正式的安全性及抗震检测鉴定报告，所有报告需经市相关主管部门审核备案通过，满足房产办证需要。</w:t>
      </w:r>
    </w:p>
    <w:p w14:paraId="05CEB287">
      <w:pPr>
        <w:pStyle w:val="71"/>
        <w:spacing w:line="500" w:lineRule="exact"/>
        <w:ind w:firstLine="480"/>
        <w:jc w:val="left"/>
        <w:rPr>
          <w:rFonts w:hint="eastAsia" w:ascii="宋体" w:hAnsi="宋体" w:eastAsia="宋体" w:cs="仿宋"/>
          <w:sz w:val="24"/>
          <w:szCs w:val="24"/>
          <w:highlight w:val="none"/>
          <w:lang w:val="en-US" w:eastAsia="zh-CN"/>
        </w:rPr>
      </w:pPr>
      <w:r>
        <w:rPr>
          <w:rFonts w:hint="eastAsia" w:ascii="宋体" w:hAnsi="宋体" w:eastAsia="宋体" w:cs="仿宋"/>
          <w:sz w:val="24"/>
          <w:szCs w:val="24"/>
          <w:highlight w:val="none"/>
          <w:lang w:val="en-US" w:eastAsia="zh-CN"/>
        </w:rPr>
        <w:t>4.采购人配合</w:t>
      </w:r>
      <w:r>
        <w:rPr>
          <w:rFonts w:hint="eastAsia" w:ascii="宋体" w:hAnsi="宋体" w:cs="仿宋"/>
          <w:sz w:val="24"/>
          <w:szCs w:val="24"/>
          <w:highlight w:val="none"/>
          <w:lang w:val="en-US" w:eastAsia="zh-CN"/>
        </w:rPr>
        <w:t>成交人</w:t>
      </w:r>
      <w:r>
        <w:rPr>
          <w:rFonts w:hint="eastAsia" w:ascii="宋体" w:hAnsi="宋体" w:eastAsia="宋体" w:cs="仿宋"/>
          <w:sz w:val="24"/>
          <w:szCs w:val="24"/>
          <w:highlight w:val="none"/>
          <w:lang w:val="en-US" w:eastAsia="zh-CN"/>
        </w:rPr>
        <w:t>工作人员的现场调查及检测工作(包括：现场准备工作和提供水电等)，相关费用包含在其综合单价投标报价中。</w:t>
      </w:r>
    </w:p>
    <w:p w14:paraId="75EF8F2F">
      <w:pPr>
        <w:pStyle w:val="71"/>
        <w:spacing w:line="500" w:lineRule="exact"/>
        <w:ind w:firstLine="480"/>
        <w:jc w:val="left"/>
        <w:rPr>
          <w:rFonts w:hint="eastAsia" w:ascii="宋体" w:hAnsi="宋体" w:eastAsia="宋体" w:cs="仿宋"/>
          <w:sz w:val="24"/>
          <w:szCs w:val="24"/>
          <w:highlight w:val="none"/>
          <w:lang w:val="en-US" w:eastAsia="zh-CN"/>
        </w:rPr>
      </w:pPr>
      <w:r>
        <w:rPr>
          <w:rFonts w:hint="eastAsia" w:ascii="宋体" w:hAnsi="宋体" w:eastAsia="宋体" w:cs="仿宋"/>
          <w:sz w:val="24"/>
          <w:szCs w:val="24"/>
          <w:highlight w:val="none"/>
          <w:lang w:val="en-US" w:eastAsia="zh-CN"/>
        </w:rPr>
        <w:t>5.质量要求：负责编制《房屋结构安全性鉴定报告》（含抗震、地基基础、主体结构和钢结构鉴定等相关内容），满足属地相关行政主管部门要求并完成备案。</w:t>
      </w:r>
    </w:p>
    <w:p w14:paraId="7E571FCC">
      <w:pPr>
        <w:pStyle w:val="71"/>
        <w:spacing w:line="500" w:lineRule="exact"/>
        <w:ind w:firstLine="480"/>
        <w:jc w:val="left"/>
        <w:rPr>
          <w:rFonts w:hint="eastAsia" w:ascii="宋体" w:hAnsi="宋体" w:eastAsia="宋体" w:cs="仿宋"/>
          <w:sz w:val="24"/>
          <w:szCs w:val="24"/>
          <w:highlight w:val="none"/>
          <w:lang w:val="en-US" w:eastAsia="zh-CN"/>
        </w:rPr>
      </w:pPr>
      <w:r>
        <w:rPr>
          <w:rFonts w:hint="eastAsia" w:ascii="宋体" w:hAnsi="宋体" w:eastAsia="宋体" w:cs="仿宋"/>
          <w:sz w:val="24"/>
          <w:szCs w:val="24"/>
          <w:highlight w:val="none"/>
          <w:lang w:val="en-US" w:eastAsia="zh-CN"/>
        </w:rPr>
        <w:t>6.成果文件：</w:t>
      </w:r>
    </w:p>
    <w:p w14:paraId="3B957560">
      <w:pPr>
        <w:pStyle w:val="71"/>
        <w:spacing w:line="500" w:lineRule="exact"/>
        <w:ind w:firstLine="480"/>
        <w:jc w:val="left"/>
        <w:rPr>
          <w:rFonts w:hint="eastAsia" w:ascii="宋体" w:hAnsi="宋体" w:eastAsia="宋体" w:cs="仿宋"/>
          <w:sz w:val="24"/>
          <w:szCs w:val="24"/>
          <w:highlight w:val="none"/>
          <w:lang w:val="en-US" w:eastAsia="zh-CN"/>
        </w:rPr>
      </w:pPr>
      <w:r>
        <w:rPr>
          <w:rFonts w:hint="eastAsia" w:ascii="宋体" w:hAnsi="宋体" w:eastAsia="宋体" w:cs="仿宋"/>
          <w:sz w:val="24"/>
          <w:szCs w:val="24"/>
          <w:highlight w:val="none"/>
          <w:lang w:val="en-US" w:eastAsia="zh-CN"/>
        </w:rPr>
        <w:t>（1）本项目报告按照单体检测报告至少提供五份原件；</w:t>
      </w:r>
    </w:p>
    <w:p w14:paraId="72496D3E">
      <w:pPr>
        <w:pStyle w:val="71"/>
        <w:spacing w:line="500" w:lineRule="exact"/>
        <w:ind w:firstLine="480"/>
        <w:jc w:val="left"/>
        <w:rPr>
          <w:rFonts w:hint="eastAsia" w:ascii="宋体" w:hAnsi="宋体" w:eastAsia="宋体" w:cs="仿宋"/>
          <w:sz w:val="24"/>
          <w:szCs w:val="24"/>
          <w:highlight w:val="none"/>
          <w:lang w:val="en-US" w:eastAsia="zh-CN"/>
        </w:rPr>
      </w:pPr>
      <w:r>
        <w:rPr>
          <w:rFonts w:hint="eastAsia" w:ascii="宋体" w:hAnsi="宋体" w:eastAsia="宋体" w:cs="仿宋"/>
          <w:sz w:val="24"/>
          <w:szCs w:val="24"/>
          <w:highlight w:val="none"/>
          <w:lang w:val="en-US" w:eastAsia="zh-CN"/>
        </w:rPr>
        <w:t>（2）整改措施建议（如检测结果需要整改的）；</w:t>
      </w:r>
    </w:p>
    <w:p w14:paraId="4EC9EACF">
      <w:pPr>
        <w:pStyle w:val="71"/>
        <w:spacing w:line="500" w:lineRule="exact"/>
        <w:ind w:firstLine="480"/>
        <w:jc w:val="left"/>
        <w:rPr>
          <w:rFonts w:hint="eastAsia" w:ascii="宋体" w:hAnsi="宋体" w:eastAsia="宋体" w:cs="仿宋"/>
          <w:sz w:val="24"/>
          <w:szCs w:val="24"/>
          <w:highlight w:val="none"/>
        </w:rPr>
      </w:pPr>
      <w:r>
        <w:rPr>
          <w:rFonts w:hint="eastAsia" w:ascii="宋体" w:hAnsi="宋体" w:eastAsia="宋体" w:cs="仿宋"/>
          <w:sz w:val="24"/>
          <w:szCs w:val="24"/>
          <w:highlight w:val="none"/>
          <w:lang w:val="en-US" w:eastAsia="zh-CN"/>
        </w:rPr>
        <w:t>（3）按采购人要求及进度安排出具南北校区(按项目清单名称)鉴定报告。</w:t>
      </w:r>
      <w:r>
        <w:rPr>
          <w:rFonts w:hint="eastAsia" w:ascii="宋体" w:hAnsi="宋体" w:eastAsia="宋体" w:cs="仿宋"/>
          <w:sz w:val="24"/>
          <w:szCs w:val="24"/>
          <w:highlight w:val="none"/>
          <w:lang w:val="en-US"/>
        </w:rPr>
        <w:t xml:space="preserve">          </w:t>
      </w:r>
    </w:p>
    <w:bookmarkEnd w:id="22"/>
    <w:bookmarkEnd w:id="23"/>
    <w:p w14:paraId="5AEE57CE">
      <w:pPr>
        <w:numPr>
          <w:ilvl w:val="0"/>
          <w:numId w:val="0"/>
        </w:numPr>
        <w:spacing w:line="360" w:lineRule="auto"/>
        <w:ind w:firstLine="437" w:firstLineChars="0"/>
        <w:outlineLvl w:val="1"/>
        <w:rPr>
          <w:rFonts w:hint="eastAsia" w:ascii="宋体" w:hAnsi="宋体" w:eastAsia="宋体"/>
          <w:b/>
          <w:color w:val="auto"/>
          <w:sz w:val="24"/>
          <w:szCs w:val="18"/>
          <w:highlight w:val="none"/>
          <w:lang w:val="en-US" w:eastAsia="zh-CN"/>
        </w:rPr>
      </w:pPr>
      <w:r>
        <w:rPr>
          <w:rFonts w:hint="eastAsia" w:ascii="宋体" w:hAnsi="宋体" w:eastAsia="宋体" w:cs="@仿宋_GB2312"/>
          <w:b/>
          <w:color w:val="auto"/>
          <w:kern w:val="2"/>
          <w:sz w:val="24"/>
          <w:szCs w:val="18"/>
          <w:highlight w:val="none"/>
          <w:lang w:val="en-US" w:eastAsia="zh-CN" w:bidi="ar-SA"/>
        </w:rPr>
        <w:t>五、</w:t>
      </w:r>
      <w:r>
        <w:rPr>
          <w:rFonts w:hint="eastAsia" w:ascii="宋体" w:hAnsi="宋体" w:eastAsia="宋体"/>
          <w:b/>
          <w:color w:val="auto"/>
          <w:sz w:val="24"/>
          <w:szCs w:val="18"/>
          <w:highlight w:val="none"/>
          <w:lang w:val="en-US" w:eastAsia="zh-CN"/>
        </w:rPr>
        <w:t>检测鉴定要求</w:t>
      </w:r>
    </w:p>
    <w:p w14:paraId="79F52B70">
      <w:pPr>
        <w:pStyle w:val="71"/>
        <w:spacing w:line="500" w:lineRule="exact"/>
        <w:ind w:firstLine="480"/>
        <w:jc w:val="left"/>
        <w:rPr>
          <w:rFonts w:hint="eastAsia" w:ascii="宋体" w:hAnsi="宋体" w:eastAsia="宋体" w:cs="仿宋"/>
          <w:sz w:val="24"/>
          <w:szCs w:val="24"/>
          <w:highlight w:val="none"/>
          <w:lang w:val="en-US" w:eastAsia="zh-CN"/>
        </w:rPr>
      </w:pPr>
      <w:bookmarkStart w:id="25" w:name="_Toc12910"/>
      <w:bookmarkStart w:id="26" w:name="_Toc18052"/>
      <w:r>
        <w:rPr>
          <w:rFonts w:hint="eastAsia" w:ascii="宋体" w:hAnsi="宋体" w:eastAsia="宋体" w:cs="仿宋"/>
          <w:sz w:val="24"/>
          <w:szCs w:val="24"/>
          <w:highlight w:val="none"/>
          <w:lang w:val="en-US" w:eastAsia="zh-CN"/>
        </w:rPr>
        <w:t>1.</w:t>
      </w:r>
      <w:r>
        <w:rPr>
          <w:rFonts w:hint="eastAsia" w:ascii="宋体" w:hAnsi="宋体" w:cs="仿宋"/>
          <w:sz w:val="24"/>
          <w:szCs w:val="24"/>
          <w:highlight w:val="none"/>
          <w:lang w:val="en-US" w:eastAsia="zh-CN"/>
        </w:rPr>
        <w:t>成交人</w:t>
      </w:r>
      <w:r>
        <w:rPr>
          <w:rFonts w:hint="eastAsia" w:ascii="宋体" w:hAnsi="宋体" w:eastAsia="宋体" w:cs="仿宋"/>
          <w:sz w:val="24"/>
          <w:szCs w:val="24"/>
          <w:highlight w:val="none"/>
          <w:lang w:val="en-US" w:eastAsia="zh-CN"/>
        </w:rPr>
        <w:t>须编制切实可行的检测鉴定方案经专家评审通过后报采购人审批，并严格按评审通过后的方案开展鉴定工作。</w:t>
      </w:r>
    </w:p>
    <w:p w14:paraId="6C16CF83">
      <w:pPr>
        <w:pStyle w:val="71"/>
        <w:spacing w:line="500" w:lineRule="exact"/>
        <w:ind w:firstLine="480"/>
        <w:jc w:val="left"/>
        <w:rPr>
          <w:rFonts w:hint="eastAsia" w:ascii="宋体" w:hAnsi="宋体" w:eastAsia="宋体" w:cs="仿宋"/>
          <w:sz w:val="24"/>
          <w:szCs w:val="24"/>
          <w:highlight w:val="none"/>
          <w:lang w:val="en-US" w:eastAsia="zh-CN"/>
        </w:rPr>
      </w:pPr>
      <w:r>
        <w:rPr>
          <w:rFonts w:hint="eastAsia" w:ascii="宋体" w:hAnsi="宋体" w:eastAsia="宋体" w:cs="仿宋"/>
          <w:sz w:val="24"/>
          <w:szCs w:val="24"/>
          <w:highlight w:val="none"/>
          <w:lang w:val="en-US" w:eastAsia="zh-CN"/>
        </w:rPr>
        <w:t>2.</w:t>
      </w:r>
      <w:r>
        <w:rPr>
          <w:rFonts w:hint="eastAsia" w:ascii="宋体" w:hAnsi="宋体" w:cs="仿宋"/>
          <w:sz w:val="24"/>
          <w:szCs w:val="24"/>
          <w:highlight w:val="none"/>
          <w:lang w:val="en-US" w:eastAsia="zh-CN"/>
        </w:rPr>
        <w:t>成交人</w:t>
      </w:r>
      <w:r>
        <w:rPr>
          <w:rFonts w:hint="eastAsia" w:ascii="宋体" w:hAnsi="宋体" w:eastAsia="宋体" w:cs="仿宋"/>
          <w:sz w:val="24"/>
          <w:szCs w:val="24"/>
          <w:highlight w:val="none"/>
          <w:lang w:val="en-US" w:eastAsia="zh-CN"/>
        </w:rPr>
        <w:t>按工程需要和投标文件承诺配备工程技术人员和设备仪器并保持人员相对稳定，在采购人的统一领导下按经审批过的检测方案开展工作,否则愿承担由此带来的一切后果。</w:t>
      </w:r>
    </w:p>
    <w:p w14:paraId="5B149D80">
      <w:pPr>
        <w:pStyle w:val="71"/>
        <w:spacing w:line="500" w:lineRule="exact"/>
        <w:ind w:firstLine="480"/>
        <w:jc w:val="left"/>
        <w:rPr>
          <w:rFonts w:hint="eastAsia" w:ascii="宋体" w:hAnsi="宋体" w:eastAsia="宋体" w:cs="仿宋"/>
          <w:sz w:val="24"/>
          <w:szCs w:val="24"/>
          <w:highlight w:val="none"/>
        </w:rPr>
      </w:pPr>
      <w:r>
        <w:rPr>
          <w:rFonts w:hint="eastAsia" w:ascii="宋体" w:hAnsi="宋体" w:eastAsia="宋体" w:cs="仿宋"/>
          <w:sz w:val="24"/>
          <w:szCs w:val="24"/>
          <w:highlight w:val="none"/>
          <w:lang w:val="en-US" w:eastAsia="zh-CN"/>
        </w:rPr>
        <w:t>3.</w:t>
      </w:r>
      <w:r>
        <w:rPr>
          <w:rFonts w:hint="eastAsia" w:ascii="宋体" w:hAnsi="宋体" w:cs="仿宋"/>
          <w:sz w:val="24"/>
          <w:szCs w:val="24"/>
          <w:highlight w:val="none"/>
          <w:lang w:val="en-US" w:eastAsia="zh-CN"/>
        </w:rPr>
        <w:t>成交人</w:t>
      </w:r>
      <w:r>
        <w:rPr>
          <w:rFonts w:hint="eastAsia" w:ascii="宋体" w:hAnsi="宋体" w:eastAsia="宋体" w:cs="仿宋"/>
          <w:sz w:val="24"/>
          <w:szCs w:val="24"/>
          <w:highlight w:val="none"/>
          <w:lang w:val="en-US" w:eastAsia="zh-CN"/>
        </w:rPr>
        <w:t>应制定安全作业细则并在现场检测时严格执行，否则愿承担由此带来的一切安全后果</w:t>
      </w:r>
      <w:r>
        <w:rPr>
          <w:rFonts w:hint="eastAsia" w:ascii="宋体" w:hAnsi="宋体" w:eastAsia="宋体" w:cs="仿宋"/>
          <w:sz w:val="24"/>
          <w:szCs w:val="24"/>
          <w:highlight w:val="none"/>
        </w:rPr>
        <w:t>。</w:t>
      </w:r>
    </w:p>
    <w:p w14:paraId="552AC771">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lang w:val="en-US" w:eastAsia="zh-CN"/>
        </w:rPr>
        <w:t>六</w:t>
      </w:r>
      <w:r>
        <w:rPr>
          <w:rFonts w:hint="eastAsia" w:ascii="宋体" w:hAnsi="宋体" w:eastAsia="宋体"/>
          <w:b/>
          <w:color w:val="auto"/>
          <w:sz w:val="24"/>
          <w:szCs w:val="18"/>
          <w:highlight w:val="none"/>
        </w:rPr>
        <w:t>、</w:t>
      </w:r>
      <w:bookmarkEnd w:id="25"/>
      <w:bookmarkEnd w:id="26"/>
      <w:r>
        <w:rPr>
          <w:rFonts w:hint="eastAsia" w:ascii="宋体" w:hAnsi="宋体" w:eastAsia="宋体"/>
          <w:b/>
          <w:color w:val="auto"/>
          <w:sz w:val="24"/>
          <w:szCs w:val="18"/>
          <w:highlight w:val="none"/>
        </w:rPr>
        <w:t>人员配备要求</w:t>
      </w:r>
    </w:p>
    <w:p w14:paraId="056642FE">
      <w:pPr>
        <w:spacing w:line="360" w:lineRule="auto"/>
        <w:ind w:firstLine="480" w:firstLineChars="200"/>
        <w:outlineLvl w:val="2"/>
        <w:rPr>
          <w:rFonts w:hint="eastAsia" w:ascii="宋体" w:hAnsi="宋体" w:eastAsia="宋体" w:cs="宋体"/>
          <w:bCs/>
          <w:color w:val="auto"/>
          <w:sz w:val="24"/>
          <w:szCs w:val="18"/>
          <w:highlight w:val="none"/>
        </w:rPr>
      </w:pPr>
      <w:bookmarkStart w:id="27" w:name="_Toc23590"/>
      <w:bookmarkStart w:id="28" w:name="_Toc3530"/>
      <w:r>
        <w:rPr>
          <w:rFonts w:hint="eastAsia" w:ascii="宋体" w:hAnsi="宋体" w:eastAsia="宋体" w:cs="宋体"/>
          <w:bCs/>
          <w:color w:val="auto"/>
          <w:sz w:val="24"/>
          <w:szCs w:val="18"/>
          <w:highlight w:val="none"/>
        </w:rPr>
        <w:t>1.项目负责人：须同时具有建设工程类专业高级或以上职称证书和检测人员岗位证书。</w:t>
      </w:r>
    </w:p>
    <w:p w14:paraId="0ADAA7DA">
      <w:pPr>
        <w:spacing w:line="360" w:lineRule="auto"/>
        <w:ind w:firstLine="480" w:firstLineChars="200"/>
        <w:outlineLvl w:val="2"/>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2.项目组成员</w:t>
      </w:r>
    </w:p>
    <w:p w14:paraId="4C913334">
      <w:pPr>
        <w:spacing w:line="360" w:lineRule="auto"/>
        <w:ind w:firstLine="480" w:firstLineChars="200"/>
        <w:outlineLvl w:val="2"/>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（1）技术负责人（至少1名）：须同时具有建设工程类专业高级或以上职称证书和检测人员岗位证书。</w:t>
      </w:r>
    </w:p>
    <w:p w14:paraId="62AD1906">
      <w:pPr>
        <w:spacing w:line="360" w:lineRule="auto"/>
        <w:ind w:firstLine="480" w:firstLineChars="200"/>
        <w:outlineLvl w:val="2"/>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（2）结构验算人员（至少1名）：须具有注册结构工程师证书。</w:t>
      </w:r>
    </w:p>
    <w:p w14:paraId="2CFAB813">
      <w:pPr>
        <w:spacing w:line="360" w:lineRule="auto"/>
        <w:ind w:firstLine="480" w:firstLineChars="200"/>
        <w:outlineLvl w:val="2"/>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（3）试验检测员（至少3名）：须具有检测人员岗位证书。</w:t>
      </w:r>
    </w:p>
    <w:p w14:paraId="2C7E15B7">
      <w:pPr>
        <w:spacing w:line="360" w:lineRule="auto"/>
        <w:ind w:firstLine="482" w:firstLineChars="200"/>
        <w:outlineLvl w:val="2"/>
        <w:rPr>
          <w:rFonts w:hint="eastAsia" w:ascii="宋体" w:hAnsi="宋体" w:eastAsia="宋体" w:cs="宋体"/>
          <w:bCs/>
          <w:color w:val="auto"/>
          <w:sz w:val="24"/>
          <w:szCs w:val="18"/>
          <w:highlight w:val="none"/>
        </w:rPr>
      </w:pPr>
      <w:r>
        <w:rPr>
          <w:rFonts w:hint="eastAsia" w:ascii="宋体" w:hAnsi="宋体" w:eastAsia="宋体" w:cs="宋体"/>
          <w:b/>
          <w:bCs w:val="0"/>
          <w:color w:val="auto"/>
          <w:sz w:val="24"/>
          <w:szCs w:val="18"/>
          <w:highlight w:val="none"/>
        </w:rPr>
        <w:t>注：除评分细则中要求提供的相关人员证书等证明材料作为评分条件外，投标文件中无须提供其余人员的相关证明材料，合同签订后服务实施前报采购人核查。</w:t>
      </w:r>
      <w:r>
        <w:rPr>
          <w:rFonts w:hint="eastAsia" w:ascii="宋体" w:hAnsi="宋体" w:eastAsia="宋体" w:cs="宋体"/>
          <w:b/>
          <w:bCs w:val="0"/>
          <w:color w:val="auto"/>
          <w:sz w:val="24"/>
          <w:szCs w:val="18"/>
          <w:highlight w:val="none"/>
          <w:lang w:eastAsia="zh-CN"/>
        </w:rPr>
        <w:t>成交人</w:t>
      </w:r>
      <w:r>
        <w:rPr>
          <w:rFonts w:hint="eastAsia" w:ascii="宋体" w:hAnsi="宋体" w:eastAsia="宋体" w:cs="宋体"/>
          <w:b/>
          <w:bCs w:val="0"/>
          <w:color w:val="auto"/>
          <w:sz w:val="24"/>
          <w:szCs w:val="18"/>
          <w:highlight w:val="none"/>
        </w:rPr>
        <w:t>须按照上述要求配置人员，否则采购人有权解除合同并报政府采购监督管理部门依法处理。</w:t>
      </w:r>
    </w:p>
    <w:p w14:paraId="2A2763CA">
      <w:pPr>
        <w:spacing w:line="360" w:lineRule="auto"/>
        <w:ind w:firstLine="480" w:firstLineChars="200"/>
        <w:outlineLvl w:val="2"/>
        <w:rPr>
          <w:rFonts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3.签订合同之日起</w:t>
      </w:r>
      <w:r>
        <w:rPr>
          <w:rFonts w:hint="eastAsia" w:ascii="宋体" w:hAnsi="宋体" w:eastAsia="宋体" w:cs="宋体"/>
          <w:bCs/>
          <w:color w:val="auto"/>
          <w:sz w:val="24"/>
          <w:szCs w:val="18"/>
          <w:highlight w:val="none"/>
          <w:lang w:val="en-US" w:eastAsia="zh-CN"/>
        </w:rPr>
        <w:t>3日</w:t>
      </w:r>
      <w:r>
        <w:rPr>
          <w:rFonts w:hint="eastAsia" w:ascii="宋体" w:hAnsi="宋体" w:eastAsia="宋体" w:cs="宋体"/>
          <w:bCs/>
          <w:color w:val="auto"/>
          <w:sz w:val="24"/>
          <w:szCs w:val="18"/>
          <w:highlight w:val="none"/>
        </w:rPr>
        <w:t>内，</w:t>
      </w:r>
      <w:r>
        <w:rPr>
          <w:rFonts w:hint="eastAsia" w:ascii="宋体" w:hAnsi="宋体" w:eastAsia="宋体" w:cs="宋体"/>
          <w:bCs/>
          <w:color w:val="auto"/>
          <w:sz w:val="24"/>
          <w:szCs w:val="18"/>
          <w:highlight w:val="none"/>
          <w:lang w:eastAsia="zh-CN"/>
        </w:rPr>
        <w:t>成交人</w:t>
      </w:r>
      <w:r>
        <w:rPr>
          <w:rFonts w:hint="eastAsia" w:ascii="宋体" w:hAnsi="宋体" w:eastAsia="宋体" w:cs="宋体"/>
          <w:bCs/>
          <w:color w:val="auto"/>
          <w:sz w:val="24"/>
          <w:szCs w:val="18"/>
          <w:highlight w:val="none"/>
        </w:rPr>
        <w:t>必须按采购人要求将人员配备到位，否则采购人有权解除合同，且</w:t>
      </w:r>
      <w:r>
        <w:rPr>
          <w:rFonts w:hint="eastAsia" w:ascii="宋体" w:hAnsi="宋体" w:eastAsia="宋体" w:cs="宋体"/>
          <w:bCs/>
          <w:color w:val="auto"/>
          <w:sz w:val="24"/>
          <w:szCs w:val="18"/>
          <w:highlight w:val="none"/>
          <w:lang w:eastAsia="zh-CN"/>
        </w:rPr>
        <w:t>成交人</w:t>
      </w:r>
      <w:r>
        <w:rPr>
          <w:rFonts w:hint="eastAsia" w:ascii="宋体" w:hAnsi="宋体" w:eastAsia="宋体" w:cs="宋体"/>
          <w:bCs/>
          <w:color w:val="auto"/>
          <w:sz w:val="24"/>
          <w:szCs w:val="18"/>
          <w:highlight w:val="none"/>
        </w:rPr>
        <w:t>应赔偿采购人因此遭受的全部损失（包括但不限于采购人本次招标经发生和即将发生的费用、重新招标发生的费用、重新招标的中标价高于本次招标中标价的差额）。</w:t>
      </w:r>
    </w:p>
    <w:p w14:paraId="7ED2659A">
      <w:pPr>
        <w:spacing w:line="360" w:lineRule="auto"/>
        <w:ind w:firstLine="437"/>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七</w:t>
      </w:r>
      <w:r>
        <w:rPr>
          <w:rFonts w:hint="eastAsia" w:ascii="宋体" w:hAnsi="宋体" w:eastAsia="宋体"/>
          <w:b/>
          <w:color w:val="auto"/>
          <w:sz w:val="24"/>
          <w:szCs w:val="18"/>
          <w:highlight w:val="none"/>
        </w:rPr>
        <w:t>、</w:t>
      </w:r>
      <w:r>
        <w:rPr>
          <w:rFonts w:hint="eastAsia" w:ascii="宋体" w:hAnsi="宋体" w:eastAsia="宋体"/>
          <w:b/>
          <w:color w:val="auto"/>
          <w:sz w:val="24"/>
          <w:szCs w:val="18"/>
          <w:highlight w:val="none"/>
          <w:lang w:val="en-US" w:eastAsia="zh-CN"/>
        </w:rPr>
        <w:t>报价要求</w:t>
      </w:r>
    </w:p>
    <w:p w14:paraId="08DAB70D">
      <w:pPr>
        <w:spacing w:line="360" w:lineRule="auto"/>
        <w:ind w:firstLine="480" w:firstLineChars="200"/>
        <w:outlineLvl w:val="2"/>
        <w:rPr>
          <w:rFonts w:hint="eastAsia" w:ascii="宋体" w:hAnsi="宋体" w:eastAsia="宋体" w:cs="宋体"/>
          <w:bCs/>
          <w:color w:val="auto"/>
          <w:sz w:val="24"/>
          <w:szCs w:val="18"/>
          <w:highlight w:val="none"/>
          <w:lang w:eastAsia="zh-CN"/>
        </w:rPr>
      </w:pPr>
      <w:r>
        <w:rPr>
          <w:rFonts w:hint="eastAsia" w:ascii="宋体" w:hAnsi="宋体" w:eastAsia="宋体" w:cs="宋体"/>
          <w:bCs/>
          <w:color w:val="auto"/>
          <w:sz w:val="24"/>
          <w:szCs w:val="18"/>
          <w:highlight w:val="none"/>
          <w:lang w:eastAsia="zh-CN"/>
        </w:rPr>
        <w:t>1.本项目须同时报投标总价及投标综合单价（元/平方米），投标综合单价最高限价为3.00元/平方米。即投标总价＝投标综合单价*本项目房产总建筑面积（</w:t>
      </w:r>
      <w:r>
        <w:rPr>
          <w:rFonts w:hint="eastAsia" w:ascii="宋体" w:hAnsi="宋体" w:eastAsia="宋体" w:cs="宋体"/>
          <w:bCs/>
          <w:color w:val="auto"/>
          <w:sz w:val="24"/>
          <w:szCs w:val="18"/>
          <w:highlight w:val="none"/>
          <w:lang w:val="en-US" w:eastAsia="zh-CN"/>
        </w:rPr>
        <w:t>约</w:t>
      </w:r>
      <w:r>
        <w:rPr>
          <w:rFonts w:hint="eastAsia" w:ascii="宋体" w:hAnsi="宋体" w:eastAsia="宋体" w:cs="宋体"/>
          <w:bCs/>
          <w:color w:val="auto"/>
          <w:sz w:val="24"/>
          <w:szCs w:val="18"/>
          <w:highlight w:val="none"/>
          <w:lang w:eastAsia="zh-CN"/>
        </w:rPr>
        <w:t>29.42万平方米），报价时投标总价和综合单价均保留2位小数，第三位四舍五入。投标总价作为价格分计算的依据，采购人根据中标单价据实结算。</w:t>
      </w:r>
    </w:p>
    <w:p w14:paraId="1EFF5B88">
      <w:pPr>
        <w:spacing w:line="360" w:lineRule="auto"/>
        <w:ind w:firstLine="480" w:firstLineChars="200"/>
        <w:outlineLvl w:val="2"/>
        <w:rPr>
          <w:rFonts w:hint="eastAsia"/>
          <w:highlight w:val="none"/>
          <w:lang w:val="en-US" w:eastAsia="zh-CN"/>
        </w:rPr>
      </w:pPr>
      <w:r>
        <w:rPr>
          <w:rFonts w:hint="eastAsia" w:ascii="宋体" w:hAnsi="宋体" w:eastAsia="宋体" w:cs="宋体"/>
          <w:bCs/>
          <w:color w:val="auto"/>
          <w:sz w:val="24"/>
          <w:szCs w:val="18"/>
          <w:highlight w:val="none"/>
          <w:lang w:eastAsia="zh-CN"/>
        </w:rPr>
        <w:t>2.投标人的报价应含有服务、利润、税金、政策性文件规定及合同包含的所有风险、责任、义务等，即为完成招标文件要求的服务内容所包含的一切应有费用，其组成包括但不限于资料收集、房屋安全性及抗震鉴定等费用。采购人后期不再另行追加费用，投标人自行考虑风险。</w:t>
      </w:r>
    </w:p>
    <w:p w14:paraId="025B31A6">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lang w:val="en-US" w:eastAsia="zh-CN"/>
        </w:rPr>
        <w:t>八、</w:t>
      </w:r>
      <w:bookmarkEnd w:id="27"/>
      <w:bookmarkEnd w:id="28"/>
      <w:r>
        <w:rPr>
          <w:rFonts w:hint="eastAsia" w:ascii="宋体" w:hAnsi="宋体" w:eastAsia="宋体"/>
          <w:b/>
          <w:color w:val="auto"/>
          <w:sz w:val="24"/>
          <w:szCs w:val="18"/>
          <w:highlight w:val="none"/>
        </w:rPr>
        <w:t>其他要求</w:t>
      </w:r>
    </w:p>
    <w:bookmarkEnd w:id="19"/>
    <w:p w14:paraId="7A3B85B1">
      <w:pPr>
        <w:spacing w:line="360" w:lineRule="auto"/>
        <w:ind w:firstLine="480" w:firstLineChars="200"/>
        <w:outlineLvl w:val="2"/>
        <w:rPr>
          <w:rFonts w:hint="eastAsia" w:ascii="宋体" w:hAnsi="宋体" w:eastAsia="宋体" w:cs="宋体"/>
          <w:bCs/>
          <w:color w:val="auto"/>
          <w:sz w:val="24"/>
          <w:szCs w:val="18"/>
          <w:highlight w:val="none"/>
          <w:lang w:eastAsia="zh-CN"/>
        </w:rPr>
      </w:pPr>
      <w:bookmarkStart w:id="29" w:name="_Toc8668"/>
      <w:r>
        <w:rPr>
          <w:rFonts w:hint="eastAsia" w:ascii="宋体" w:hAnsi="宋体" w:eastAsia="宋体" w:cs="宋体"/>
          <w:bCs/>
          <w:color w:val="auto"/>
          <w:sz w:val="24"/>
          <w:szCs w:val="18"/>
          <w:highlight w:val="none"/>
          <w:lang w:eastAsia="zh-CN"/>
        </w:rPr>
        <w:t>1.要求成交人公正、严谨、科学、高效地完成标的任务，对于成交人违反国家相关规定或者弄虚作假出具不合法不合规的鉴定报告，招标人有权保留追究成交人法律责任的权力，造成的一切损失由成交人自行承担。</w:t>
      </w:r>
    </w:p>
    <w:p w14:paraId="1830CCC8">
      <w:pPr>
        <w:spacing w:line="360" w:lineRule="auto"/>
        <w:ind w:firstLine="480" w:firstLineChars="200"/>
        <w:outlineLvl w:val="2"/>
        <w:rPr>
          <w:rFonts w:hint="eastAsia" w:ascii="宋体" w:hAnsi="宋体" w:eastAsia="宋体" w:cs="宋体"/>
          <w:bCs/>
          <w:color w:val="auto"/>
          <w:sz w:val="24"/>
          <w:szCs w:val="18"/>
          <w:highlight w:val="none"/>
          <w:lang w:eastAsia="zh-CN"/>
        </w:rPr>
      </w:pPr>
      <w:r>
        <w:rPr>
          <w:rFonts w:hint="eastAsia" w:ascii="宋体" w:hAnsi="宋体" w:eastAsia="宋体" w:cs="宋体"/>
          <w:bCs/>
          <w:color w:val="auto"/>
          <w:sz w:val="24"/>
          <w:szCs w:val="18"/>
          <w:highlight w:val="none"/>
          <w:lang w:eastAsia="zh-CN"/>
        </w:rPr>
        <w:t>2.成交人需保证本次安全性检测及鉴定的技术成果数据真实可靠，如在后期整改施工过程中发现疑问，成交人及时安排人员现场解释或复检。</w:t>
      </w:r>
    </w:p>
    <w:p w14:paraId="0D108627">
      <w:pPr>
        <w:spacing w:line="360" w:lineRule="auto"/>
        <w:ind w:firstLine="480" w:firstLineChars="200"/>
        <w:outlineLvl w:val="2"/>
        <w:rPr>
          <w:rFonts w:hint="eastAsia" w:ascii="宋体" w:hAnsi="宋体" w:eastAsia="宋体" w:cs="宋体"/>
          <w:bCs/>
          <w:color w:val="auto"/>
          <w:sz w:val="24"/>
          <w:szCs w:val="18"/>
          <w:highlight w:val="none"/>
          <w:lang w:eastAsia="zh-CN"/>
        </w:rPr>
      </w:pPr>
      <w:r>
        <w:rPr>
          <w:rFonts w:hint="eastAsia" w:ascii="宋体" w:hAnsi="宋体" w:eastAsia="宋体" w:cs="宋体"/>
          <w:bCs/>
          <w:color w:val="auto"/>
          <w:sz w:val="24"/>
          <w:szCs w:val="18"/>
          <w:highlight w:val="none"/>
          <w:lang w:eastAsia="zh-CN"/>
        </w:rPr>
        <w:t>3.成交人服务过程中按照现行国家和省、市、行业安全生产、文明施工有关规定要求和学校相关规定要求，办理相关手续，设置有关围挡、标志等。施工过程中发生的任何事故均由成交人承担全部责任，给采购人造成的损失，必须无条件赔偿。</w:t>
      </w:r>
    </w:p>
    <w:p w14:paraId="5D2673A8">
      <w:pPr>
        <w:spacing w:line="360" w:lineRule="auto"/>
        <w:ind w:firstLine="480" w:firstLineChars="200"/>
        <w:outlineLvl w:val="2"/>
        <w:rPr>
          <w:rFonts w:hint="eastAsia" w:ascii="宋体" w:hAnsi="宋体" w:eastAsia="宋体" w:cs="宋体"/>
          <w:bCs/>
          <w:color w:val="auto"/>
          <w:sz w:val="24"/>
          <w:szCs w:val="18"/>
          <w:highlight w:val="none"/>
          <w:lang w:eastAsia="zh-CN"/>
        </w:rPr>
      </w:pPr>
      <w:r>
        <w:rPr>
          <w:rFonts w:hint="eastAsia" w:ascii="宋体" w:hAnsi="宋体" w:eastAsia="宋体" w:cs="宋体"/>
          <w:bCs/>
          <w:color w:val="auto"/>
          <w:sz w:val="24"/>
          <w:szCs w:val="18"/>
          <w:highlight w:val="none"/>
          <w:lang w:eastAsia="zh-CN"/>
        </w:rPr>
        <w:t>4.服务期间不得影响采购人的正常教学秩序，如遇与采购人的教学、科研活动出现冲突等情况，成交人必须服从采购人管理。成交人不得损坏污损校园其他设施，如有损坏，必须原样修复或全额赔偿。</w:t>
      </w:r>
    </w:p>
    <w:p w14:paraId="7A4B43D4">
      <w:pPr>
        <w:spacing w:line="360" w:lineRule="auto"/>
        <w:ind w:firstLine="480" w:firstLineChars="200"/>
        <w:outlineLvl w:val="2"/>
        <w:rPr>
          <w:rFonts w:hint="eastAsia" w:ascii="宋体" w:hAnsi="宋体" w:eastAsia="宋体" w:cs="宋体"/>
          <w:bCs/>
          <w:color w:val="auto"/>
          <w:sz w:val="24"/>
          <w:szCs w:val="18"/>
          <w:highlight w:val="none"/>
          <w:lang w:eastAsia="zh-CN"/>
        </w:rPr>
      </w:pPr>
      <w:r>
        <w:rPr>
          <w:rFonts w:hint="eastAsia" w:ascii="宋体" w:hAnsi="宋体" w:eastAsia="宋体" w:cs="宋体"/>
          <w:bCs/>
          <w:color w:val="auto"/>
          <w:sz w:val="24"/>
          <w:szCs w:val="18"/>
          <w:highlight w:val="none"/>
          <w:lang w:eastAsia="zh-CN"/>
        </w:rPr>
        <w:t>5.成交人在服务过程中对建筑物的破损，在项目完成后应恢复原样，费用包含在合同综合单价内，恢复时间包含在合同履行期内。</w:t>
      </w:r>
    </w:p>
    <w:p w14:paraId="7A5F44AC">
      <w:pPr>
        <w:spacing w:line="360" w:lineRule="auto"/>
        <w:ind w:firstLine="480" w:firstLineChars="200"/>
        <w:outlineLvl w:val="2"/>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lang w:eastAsia="zh-CN"/>
        </w:rPr>
        <w:t>6.成交人应按单体房屋出具检测（鉴定）报告等材料，每栋房屋的报告材料份数应满足采购人办理房屋产权证需要，如增加份数，</w:t>
      </w:r>
      <w:r>
        <w:rPr>
          <w:rFonts w:hint="eastAsia" w:ascii="宋体" w:hAnsi="宋体" w:eastAsia="宋体" w:cs="宋体"/>
          <w:bCs/>
          <w:color w:val="auto"/>
          <w:sz w:val="24"/>
          <w:szCs w:val="18"/>
          <w:highlight w:val="none"/>
          <w:lang w:val="en-US" w:eastAsia="zh-CN"/>
        </w:rPr>
        <w:t>成交人</w:t>
      </w:r>
      <w:r>
        <w:rPr>
          <w:rFonts w:hint="eastAsia" w:ascii="宋体" w:hAnsi="宋体" w:eastAsia="宋体" w:cs="宋体"/>
          <w:bCs/>
          <w:color w:val="auto"/>
          <w:sz w:val="24"/>
          <w:szCs w:val="18"/>
          <w:highlight w:val="none"/>
          <w:lang w:eastAsia="zh-CN"/>
        </w:rPr>
        <w:t>应配合采购人提供，相关费用报价包含在合同综合单价内</w:t>
      </w:r>
      <w:r>
        <w:rPr>
          <w:rFonts w:hint="eastAsia" w:ascii="宋体" w:hAnsi="宋体" w:eastAsia="宋体" w:cs="宋体"/>
          <w:bCs/>
          <w:color w:val="auto"/>
          <w:sz w:val="24"/>
          <w:szCs w:val="18"/>
          <w:highlight w:val="none"/>
        </w:rPr>
        <w:t xml:space="preserve">。 </w:t>
      </w:r>
    </w:p>
    <w:p w14:paraId="7287135C">
      <w:pPr>
        <w:spacing w:line="360" w:lineRule="auto"/>
        <w:ind w:firstLine="480" w:firstLineChars="200"/>
        <w:outlineLvl w:val="2"/>
        <w:rPr>
          <w:rFonts w:hint="eastAsia" w:ascii="宋体" w:hAnsi="宋体" w:eastAsia="宋体" w:cs="宋体"/>
          <w:bCs/>
          <w:color w:val="auto"/>
          <w:sz w:val="24"/>
          <w:szCs w:val="18"/>
          <w:highlight w:val="none"/>
          <w:lang w:val="en-US" w:eastAsia="zh-CN"/>
        </w:rPr>
      </w:pPr>
    </w:p>
    <w:p w14:paraId="5A0D5CE6">
      <w:pPr>
        <w:keepNext w:val="0"/>
        <w:keepLines w:val="0"/>
        <w:widowControl w:val="0"/>
        <w:suppressLineNumbers w:val="0"/>
        <w:autoSpaceDE w:val="0"/>
        <w:autoSpaceDN/>
        <w:spacing w:before="0" w:beforeAutospacing="0" w:after="0" w:afterAutospacing="0"/>
        <w:ind w:left="0" w:right="0"/>
        <w:jc w:val="both"/>
        <w:rPr>
          <w:rFonts w:hint="eastAsia" w:ascii="@仿宋_GB2312" w:hAnsi="@仿宋_GB2312" w:eastAsia="仿宋_GB2312" w:cs="Times New Roman"/>
          <w:b w:val="0"/>
          <w:bCs w:val="0"/>
          <w:i w:val="0"/>
          <w:iCs w:val="0"/>
          <w:caps w:val="0"/>
          <w:spacing w:val="0"/>
          <w:kern w:val="2"/>
          <w:sz w:val="32"/>
          <w:szCs w:val="32"/>
          <w:highlight w:val="none"/>
          <w:shd w:val="clear" w:fill="FFFFFF"/>
        </w:rPr>
      </w:pPr>
      <w:r>
        <w:rPr>
          <w:rFonts w:hint="eastAsia" w:ascii="仿宋_GB2312" w:hAnsi="@仿宋_GB2312" w:eastAsia="仿宋_GB2312" w:cs="仿宋_GB2312"/>
          <w:b w:val="0"/>
          <w:bCs w:val="0"/>
          <w:i w:val="0"/>
          <w:iCs w:val="0"/>
          <w:caps w:val="0"/>
          <w:spacing w:val="0"/>
          <w:kern w:val="2"/>
          <w:sz w:val="32"/>
          <w:szCs w:val="32"/>
          <w:highlight w:val="none"/>
          <w:shd w:val="clear" w:fill="FFFFFF"/>
          <w:lang w:val="en-US" w:eastAsia="zh-CN" w:bidi="ar"/>
        </w:rPr>
        <w:t>附件</w:t>
      </w:r>
      <w:r>
        <w:rPr>
          <w:rFonts w:hint="eastAsia" w:ascii="@仿宋_GB2312" w:hAnsi="@仿宋_GB2312" w:eastAsia="@仿宋_GB2312" w:cs="@仿宋_GB2312"/>
          <w:b w:val="0"/>
          <w:bCs w:val="0"/>
          <w:i w:val="0"/>
          <w:iCs w:val="0"/>
          <w:caps w:val="0"/>
          <w:spacing w:val="0"/>
          <w:kern w:val="2"/>
          <w:sz w:val="32"/>
          <w:szCs w:val="32"/>
          <w:highlight w:val="none"/>
          <w:shd w:val="clear" w:fill="FFFFFF"/>
          <w:lang w:val="en-US" w:eastAsia="zh-CN" w:bidi="ar"/>
        </w:rPr>
        <w:t>1</w:t>
      </w:r>
    </w:p>
    <w:p w14:paraId="12E59CF8">
      <w:pPr>
        <w:keepNext w:val="0"/>
        <w:keepLines w:val="0"/>
        <w:widowControl w:val="0"/>
        <w:suppressLineNumbers w:val="0"/>
        <w:autoSpaceDE w:val="0"/>
        <w:autoSpaceDN/>
        <w:spacing w:before="0" w:beforeAutospacing="0" w:after="0" w:afterAutospacing="0"/>
        <w:ind w:left="0" w:right="0"/>
        <w:jc w:val="center"/>
        <w:rPr>
          <w:rFonts w:hint="eastAsia" w:ascii="方正小标宋简体" w:hAnsi="方正小标宋简体" w:eastAsia="方正小标宋简体" w:cs="方正小标宋简体"/>
          <w:b w:val="0"/>
          <w:bCs w:val="0"/>
          <w:kern w:val="2"/>
          <w:sz w:val="36"/>
          <w:szCs w:val="36"/>
          <w:highlight w:val="none"/>
        </w:rPr>
      </w:pPr>
      <w:r>
        <w:rPr>
          <w:rFonts w:hint="eastAsia" w:ascii="方正小标宋简体" w:hAnsi="方正小标宋简体" w:eastAsia="方正小标宋简体" w:cs="方正小标宋简体"/>
          <w:b w:val="0"/>
          <w:bCs w:val="0"/>
          <w:kern w:val="2"/>
          <w:sz w:val="36"/>
          <w:szCs w:val="36"/>
          <w:highlight w:val="none"/>
          <w:lang w:val="en-US" w:eastAsia="zh-CN" w:bidi="ar"/>
        </w:rPr>
        <w:t>滁州职业技术学院新校区楼宇规模统计表（质量安全鉴定）</w:t>
      </w:r>
    </w:p>
    <w:tbl>
      <w:tblPr>
        <w:tblStyle w:val="25"/>
        <w:tblW w:w="10692"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67"/>
        <w:gridCol w:w="2600"/>
        <w:gridCol w:w="1350"/>
        <w:gridCol w:w="1516"/>
        <w:gridCol w:w="1467"/>
        <w:gridCol w:w="1777"/>
        <w:gridCol w:w="1115"/>
      </w:tblGrid>
      <w:tr w14:paraId="4F0E405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867" w:type="dxa"/>
            <w:tcBorders>
              <w:top w:val="single" w:color="auto" w:sz="12" w:space="0"/>
              <w:left w:val="nil"/>
              <w:bottom w:val="nil"/>
              <w:right w:val="nil"/>
            </w:tcBorders>
            <w:shd w:val="clear" w:color="auto" w:fill="auto"/>
            <w:tcMar>
              <w:top w:w="-1" w:type="dxa"/>
              <w:left w:w="-1" w:type="dxa"/>
              <w:bottom w:w="-1" w:type="dxa"/>
              <w:right w:w="-1" w:type="dxa"/>
            </w:tcMar>
            <w:vAlign w:val="center"/>
          </w:tcPr>
          <w:p w14:paraId="40A16254">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eastAsia" w:ascii="黑体" w:hAnsi="宋体" w:eastAsia="黑体" w:cs="黑体"/>
                <w:b/>
                <w:bCs w:val="0"/>
                <w:kern w:val="2"/>
                <w:sz w:val="28"/>
                <w:szCs w:val="28"/>
                <w:highlight w:val="none"/>
              </w:rPr>
            </w:pPr>
            <w:r>
              <w:rPr>
                <w:rFonts w:hint="eastAsia" w:ascii="黑体" w:hAnsi="宋体" w:eastAsia="黑体" w:cs="黑体"/>
                <w:b/>
                <w:bCs w:val="0"/>
                <w:kern w:val="2"/>
                <w:sz w:val="28"/>
                <w:szCs w:val="28"/>
                <w:highlight w:val="none"/>
                <w:lang w:val="en-US" w:eastAsia="zh-CN" w:bidi="ar"/>
              </w:rPr>
              <w:t>序号</w:t>
            </w:r>
          </w:p>
        </w:tc>
        <w:tc>
          <w:tcPr>
            <w:tcW w:w="2600" w:type="dxa"/>
            <w:tcBorders>
              <w:top w:val="single" w:color="auto" w:sz="12" w:space="0"/>
              <w:left w:val="nil"/>
              <w:bottom w:val="nil"/>
              <w:right w:val="nil"/>
            </w:tcBorders>
            <w:shd w:val="clear" w:color="auto" w:fill="auto"/>
            <w:tcMar>
              <w:top w:w="-1" w:type="dxa"/>
              <w:left w:w="-1" w:type="dxa"/>
              <w:bottom w:w="-1" w:type="dxa"/>
              <w:right w:w="-1" w:type="dxa"/>
            </w:tcMar>
            <w:vAlign w:val="center"/>
          </w:tcPr>
          <w:p w14:paraId="699C4075">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eastAsia" w:ascii="黑体" w:hAnsi="宋体" w:eastAsia="黑体" w:cs="黑体"/>
                <w:b/>
                <w:bCs w:val="0"/>
                <w:kern w:val="2"/>
                <w:sz w:val="28"/>
                <w:szCs w:val="28"/>
                <w:highlight w:val="none"/>
              </w:rPr>
            </w:pPr>
            <w:r>
              <w:rPr>
                <w:rFonts w:hint="eastAsia" w:ascii="黑体" w:hAnsi="宋体" w:eastAsia="黑体" w:cs="黑体"/>
                <w:b/>
                <w:bCs w:val="0"/>
                <w:kern w:val="2"/>
                <w:sz w:val="28"/>
                <w:szCs w:val="28"/>
                <w:highlight w:val="none"/>
                <w:lang w:val="en-US" w:eastAsia="zh-CN" w:bidi="ar"/>
              </w:rPr>
              <w:t>项目名称</w:t>
            </w:r>
          </w:p>
        </w:tc>
        <w:tc>
          <w:tcPr>
            <w:tcW w:w="1350" w:type="dxa"/>
            <w:tcBorders>
              <w:top w:val="single" w:color="auto" w:sz="12" w:space="0"/>
              <w:left w:val="nil"/>
              <w:bottom w:val="nil"/>
              <w:right w:val="nil"/>
            </w:tcBorders>
            <w:shd w:val="clear" w:color="auto" w:fill="auto"/>
            <w:tcMar>
              <w:top w:w="-1" w:type="dxa"/>
              <w:left w:w="-1" w:type="dxa"/>
              <w:bottom w:w="-1" w:type="dxa"/>
              <w:right w:w="-1" w:type="dxa"/>
            </w:tcMar>
            <w:vAlign w:val="center"/>
          </w:tcPr>
          <w:p w14:paraId="1279EE8F">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eastAsia" w:ascii="黑体" w:hAnsi="宋体" w:eastAsia="黑体" w:cs="黑体"/>
                <w:b/>
                <w:bCs w:val="0"/>
                <w:kern w:val="2"/>
                <w:sz w:val="28"/>
                <w:szCs w:val="28"/>
                <w:highlight w:val="none"/>
              </w:rPr>
            </w:pPr>
            <w:r>
              <w:rPr>
                <w:rFonts w:hint="eastAsia" w:ascii="黑体" w:hAnsi="宋体" w:eastAsia="黑体" w:cs="黑体"/>
                <w:b/>
                <w:bCs w:val="0"/>
                <w:kern w:val="2"/>
                <w:sz w:val="28"/>
                <w:szCs w:val="28"/>
                <w:highlight w:val="none"/>
                <w:lang w:val="en-US" w:eastAsia="zh-CN" w:bidi="ar"/>
              </w:rPr>
              <w:t>项目面积</w:t>
            </w:r>
          </w:p>
          <w:p w14:paraId="783DAC0B">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eastAsia" w:ascii="黑体" w:hAnsi="宋体" w:eastAsia="黑体" w:cs="黑体"/>
                <w:b/>
                <w:bCs w:val="0"/>
                <w:kern w:val="2"/>
                <w:sz w:val="28"/>
                <w:szCs w:val="28"/>
                <w:highlight w:val="none"/>
              </w:rPr>
            </w:pPr>
            <w:r>
              <w:rPr>
                <w:rFonts w:hint="eastAsia" w:ascii="黑体" w:hAnsi="宋体" w:eastAsia="黑体" w:cs="黑体"/>
                <w:b/>
                <w:bCs w:val="0"/>
                <w:kern w:val="2"/>
                <w:sz w:val="28"/>
                <w:szCs w:val="28"/>
                <w:highlight w:val="none"/>
                <w:lang w:val="en-US" w:eastAsia="zh-CN" w:bidi="ar"/>
              </w:rPr>
              <w:t>（㎡）</w:t>
            </w:r>
          </w:p>
        </w:tc>
        <w:tc>
          <w:tcPr>
            <w:tcW w:w="1516" w:type="dxa"/>
            <w:tcBorders>
              <w:top w:val="single" w:color="auto" w:sz="12" w:space="0"/>
              <w:left w:val="nil"/>
              <w:bottom w:val="nil"/>
              <w:right w:val="nil"/>
            </w:tcBorders>
            <w:shd w:val="clear" w:color="auto" w:fill="auto"/>
            <w:tcMar>
              <w:top w:w="-1" w:type="dxa"/>
              <w:left w:w="-1" w:type="dxa"/>
              <w:bottom w:w="-1" w:type="dxa"/>
              <w:right w:w="-1" w:type="dxa"/>
            </w:tcMar>
            <w:vAlign w:val="center"/>
          </w:tcPr>
          <w:p w14:paraId="553773DF">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eastAsia" w:ascii="黑体" w:hAnsi="宋体" w:eastAsia="黑体" w:cs="黑体"/>
                <w:b/>
                <w:bCs w:val="0"/>
                <w:kern w:val="2"/>
                <w:sz w:val="28"/>
                <w:szCs w:val="28"/>
                <w:highlight w:val="none"/>
              </w:rPr>
            </w:pPr>
            <w:r>
              <w:rPr>
                <w:rFonts w:hint="eastAsia" w:ascii="黑体" w:hAnsi="宋体" w:eastAsia="黑体" w:cs="黑体"/>
                <w:b/>
                <w:bCs w:val="0"/>
                <w:kern w:val="2"/>
                <w:sz w:val="28"/>
                <w:szCs w:val="28"/>
                <w:highlight w:val="none"/>
                <w:lang w:val="en-US" w:eastAsia="zh-CN" w:bidi="ar"/>
              </w:rPr>
              <w:t>项目结构</w:t>
            </w:r>
          </w:p>
        </w:tc>
        <w:tc>
          <w:tcPr>
            <w:tcW w:w="1467" w:type="dxa"/>
            <w:tcBorders>
              <w:top w:val="single" w:color="auto" w:sz="12" w:space="0"/>
              <w:left w:val="nil"/>
              <w:bottom w:val="nil"/>
              <w:right w:val="nil"/>
            </w:tcBorders>
            <w:shd w:val="clear" w:color="auto" w:fill="auto"/>
            <w:tcMar>
              <w:top w:w="-1" w:type="dxa"/>
              <w:left w:w="-1" w:type="dxa"/>
              <w:bottom w:w="-1" w:type="dxa"/>
              <w:right w:w="-1" w:type="dxa"/>
            </w:tcMar>
            <w:vAlign w:val="center"/>
          </w:tcPr>
          <w:p w14:paraId="5600ED65">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eastAsia" w:ascii="黑体" w:hAnsi="宋体" w:eastAsia="黑体" w:cs="黑体"/>
                <w:b/>
                <w:bCs w:val="0"/>
                <w:kern w:val="2"/>
                <w:sz w:val="28"/>
                <w:szCs w:val="28"/>
                <w:highlight w:val="none"/>
              </w:rPr>
            </w:pPr>
            <w:r>
              <w:rPr>
                <w:rFonts w:hint="eastAsia" w:ascii="黑体" w:hAnsi="宋体" w:eastAsia="黑体" w:cs="黑体"/>
                <w:b/>
                <w:bCs w:val="0"/>
                <w:kern w:val="2"/>
                <w:sz w:val="28"/>
                <w:szCs w:val="28"/>
                <w:highlight w:val="none"/>
                <w:lang w:val="en-US" w:eastAsia="zh-CN" w:bidi="ar"/>
              </w:rPr>
              <w:t>建成时间</w:t>
            </w:r>
          </w:p>
        </w:tc>
        <w:tc>
          <w:tcPr>
            <w:tcW w:w="1777" w:type="dxa"/>
            <w:tcBorders>
              <w:top w:val="single" w:color="auto" w:sz="12" w:space="0"/>
              <w:left w:val="nil"/>
              <w:bottom w:val="nil"/>
              <w:right w:val="nil"/>
            </w:tcBorders>
            <w:shd w:val="clear" w:color="auto" w:fill="auto"/>
            <w:tcMar>
              <w:top w:w="-1" w:type="dxa"/>
              <w:left w:w="-1" w:type="dxa"/>
              <w:bottom w:w="-1" w:type="dxa"/>
              <w:right w:w="-1" w:type="dxa"/>
            </w:tcMar>
            <w:vAlign w:val="center"/>
          </w:tcPr>
          <w:p w14:paraId="547EC0A9">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eastAsia" w:ascii="黑体" w:hAnsi="宋体" w:eastAsia="黑体" w:cs="黑体"/>
                <w:b/>
                <w:bCs w:val="0"/>
                <w:kern w:val="2"/>
                <w:sz w:val="28"/>
                <w:szCs w:val="28"/>
                <w:highlight w:val="none"/>
              </w:rPr>
            </w:pPr>
            <w:r>
              <w:rPr>
                <w:rFonts w:hint="eastAsia" w:ascii="黑体" w:hAnsi="宋体" w:eastAsia="黑体" w:cs="黑体"/>
                <w:b/>
                <w:bCs w:val="0"/>
                <w:kern w:val="2"/>
                <w:sz w:val="28"/>
                <w:szCs w:val="28"/>
                <w:highlight w:val="none"/>
                <w:lang w:val="en-US" w:eastAsia="zh-CN" w:bidi="ar"/>
              </w:rPr>
              <w:t>是否有图纸</w:t>
            </w:r>
          </w:p>
        </w:tc>
        <w:tc>
          <w:tcPr>
            <w:tcW w:w="1115" w:type="dxa"/>
            <w:tcBorders>
              <w:top w:val="single" w:color="auto" w:sz="12" w:space="0"/>
              <w:left w:val="nil"/>
              <w:bottom w:val="nil"/>
              <w:right w:val="nil"/>
            </w:tcBorders>
            <w:shd w:val="clear" w:color="auto" w:fill="auto"/>
            <w:tcMar>
              <w:top w:w="-1" w:type="dxa"/>
              <w:left w:w="-1" w:type="dxa"/>
              <w:bottom w:w="-1" w:type="dxa"/>
              <w:right w:w="-1" w:type="dxa"/>
            </w:tcMar>
            <w:vAlign w:val="center"/>
          </w:tcPr>
          <w:p w14:paraId="141F4A5A">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eastAsia" w:ascii="黑体" w:hAnsi="宋体" w:eastAsia="黑体" w:cs="黑体"/>
                <w:b/>
                <w:bCs w:val="0"/>
                <w:kern w:val="2"/>
                <w:sz w:val="28"/>
                <w:szCs w:val="28"/>
                <w:highlight w:val="none"/>
              </w:rPr>
            </w:pPr>
            <w:r>
              <w:rPr>
                <w:rFonts w:hint="eastAsia" w:ascii="黑体" w:hAnsi="宋体" w:eastAsia="黑体" w:cs="黑体"/>
                <w:b/>
                <w:bCs w:val="0"/>
                <w:kern w:val="2"/>
                <w:sz w:val="28"/>
                <w:szCs w:val="28"/>
                <w:highlight w:val="none"/>
                <w:lang w:val="en-US" w:eastAsia="zh-CN" w:bidi="ar"/>
              </w:rPr>
              <w:t>备注</w:t>
            </w:r>
          </w:p>
        </w:tc>
      </w:tr>
      <w:tr w14:paraId="6CCDB33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867" w:type="dxa"/>
            <w:tcBorders>
              <w:top w:val="single" w:color="auto" w:sz="4" w:space="0"/>
              <w:left w:val="nil"/>
              <w:bottom w:val="nil"/>
              <w:right w:val="nil"/>
            </w:tcBorders>
            <w:shd w:val="clear" w:color="auto" w:fill="auto"/>
            <w:tcMar>
              <w:top w:w="-1" w:type="dxa"/>
              <w:left w:w="-1" w:type="dxa"/>
              <w:bottom w:w="-1" w:type="dxa"/>
              <w:right w:w="-1" w:type="dxa"/>
            </w:tcMar>
            <w:vAlign w:val="center"/>
          </w:tcPr>
          <w:p w14:paraId="557867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1</w:t>
            </w:r>
          </w:p>
        </w:tc>
        <w:tc>
          <w:tcPr>
            <w:tcW w:w="2600" w:type="dxa"/>
            <w:tcBorders>
              <w:top w:val="single" w:color="auto" w:sz="4" w:space="0"/>
              <w:left w:val="nil"/>
              <w:bottom w:val="nil"/>
              <w:right w:val="nil"/>
            </w:tcBorders>
            <w:shd w:val="clear" w:color="auto" w:fill="auto"/>
            <w:tcMar>
              <w:top w:w="-1" w:type="dxa"/>
              <w:left w:w="-1" w:type="dxa"/>
              <w:bottom w:w="-1" w:type="dxa"/>
              <w:right w:w="-1" w:type="dxa"/>
            </w:tcMar>
            <w:vAlign w:val="center"/>
          </w:tcPr>
          <w:p w14:paraId="04D6F63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1#</w:t>
            </w:r>
            <w:r>
              <w:rPr>
                <w:rStyle w:val="78"/>
                <w:rFonts w:hint="eastAsia" w:ascii="仿宋_GB2312" w:hAnsi="Times New Roman" w:eastAsia="仿宋_GB2312" w:cs="仿宋_GB2312"/>
                <w:kern w:val="2"/>
                <w:sz w:val="24"/>
                <w:szCs w:val="24"/>
                <w:highlight w:val="none"/>
                <w:lang w:val="en-US" w:eastAsia="zh-CN" w:bidi="ar"/>
              </w:rPr>
              <w:t>、</w:t>
            </w:r>
            <w:r>
              <w:rPr>
                <w:rFonts w:hint="default" w:ascii="Times New Roman" w:hAnsi="Times New Roman" w:eastAsia="仿宋_GB2312" w:cs="Times New Roman"/>
                <w:i w:val="0"/>
                <w:iCs w:val="0"/>
                <w:kern w:val="0"/>
                <w:sz w:val="24"/>
                <w:szCs w:val="24"/>
                <w:highlight w:val="none"/>
                <w:lang w:val="en-US" w:eastAsia="zh-CN" w:bidi="ar"/>
              </w:rPr>
              <w:t>2#</w:t>
            </w:r>
            <w:r>
              <w:rPr>
                <w:rFonts w:hint="eastAsia" w:ascii="仿宋_GB2312" w:hAnsi="Times New Roman" w:eastAsia="仿宋_GB2312" w:cs="仿宋_GB2312"/>
                <w:i w:val="0"/>
                <w:iCs w:val="0"/>
                <w:kern w:val="0"/>
                <w:sz w:val="24"/>
                <w:szCs w:val="24"/>
                <w:highlight w:val="none"/>
                <w:lang w:val="en-US" w:eastAsia="zh-CN" w:bidi="ar"/>
              </w:rPr>
              <w:t>教学实验实训楼</w:t>
            </w:r>
          </w:p>
        </w:tc>
        <w:tc>
          <w:tcPr>
            <w:tcW w:w="1350" w:type="dxa"/>
            <w:tcBorders>
              <w:top w:val="single" w:color="auto" w:sz="4" w:space="0"/>
              <w:left w:val="nil"/>
              <w:bottom w:val="nil"/>
              <w:right w:val="nil"/>
            </w:tcBorders>
            <w:shd w:val="clear" w:color="auto" w:fill="auto"/>
            <w:tcMar>
              <w:top w:w="-1" w:type="dxa"/>
              <w:left w:w="-1" w:type="dxa"/>
              <w:bottom w:w="-1" w:type="dxa"/>
              <w:right w:w="-1" w:type="dxa"/>
            </w:tcMar>
            <w:vAlign w:val="center"/>
          </w:tcPr>
          <w:p w14:paraId="41F2C73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23077.6</w:t>
            </w:r>
          </w:p>
        </w:tc>
        <w:tc>
          <w:tcPr>
            <w:tcW w:w="1516" w:type="dxa"/>
            <w:tcBorders>
              <w:top w:val="single" w:color="auto" w:sz="4" w:space="0"/>
              <w:left w:val="nil"/>
              <w:bottom w:val="nil"/>
              <w:right w:val="nil"/>
            </w:tcBorders>
            <w:shd w:val="clear" w:color="auto" w:fill="auto"/>
            <w:tcMar>
              <w:top w:w="-1" w:type="dxa"/>
              <w:left w:w="-1" w:type="dxa"/>
              <w:bottom w:w="-1" w:type="dxa"/>
              <w:right w:w="-1" w:type="dxa"/>
            </w:tcMar>
            <w:vAlign w:val="center"/>
          </w:tcPr>
          <w:p w14:paraId="4B0B088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eastAsia" w:ascii="仿宋_GB2312" w:hAnsi="@仿宋_GB2312" w:eastAsia="仿宋_GB2312" w:cs="仿宋_GB2312"/>
                <w:i w:val="0"/>
                <w:iCs w:val="0"/>
                <w:kern w:val="0"/>
                <w:sz w:val="24"/>
                <w:szCs w:val="24"/>
                <w:highlight w:val="none"/>
                <w:lang w:val="en-US" w:eastAsia="zh-CN" w:bidi="ar"/>
              </w:rPr>
              <w:t>框架</w:t>
            </w:r>
          </w:p>
        </w:tc>
        <w:tc>
          <w:tcPr>
            <w:tcW w:w="1467" w:type="dxa"/>
            <w:tcBorders>
              <w:top w:val="single" w:color="auto" w:sz="4" w:space="0"/>
              <w:left w:val="nil"/>
              <w:bottom w:val="nil"/>
              <w:right w:val="nil"/>
            </w:tcBorders>
            <w:shd w:val="clear" w:color="auto" w:fill="auto"/>
            <w:tcMar>
              <w:top w:w="-1" w:type="dxa"/>
              <w:left w:w="-1" w:type="dxa"/>
              <w:bottom w:w="-1" w:type="dxa"/>
              <w:right w:w="-1" w:type="dxa"/>
            </w:tcMar>
            <w:vAlign w:val="center"/>
          </w:tcPr>
          <w:p w14:paraId="6A6755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2008</w:t>
            </w:r>
          </w:p>
        </w:tc>
        <w:tc>
          <w:tcPr>
            <w:tcW w:w="1777" w:type="dxa"/>
            <w:tcBorders>
              <w:top w:val="single" w:color="auto" w:sz="4" w:space="0"/>
              <w:left w:val="nil"/>
              <w:bottom w:val="nil"/>
              <w:right w:val="nil"/>
            </w:tcBorders>
            <w:shd w:val="clear" w:color="auto" w:fill="auto"/>
            <w:tcMar>
              <w:top w:w="-1" w:type="dxa"/>
              <w:left w:w="-1" w:type="dxa"/>
              <w:bottom w:w="-1" w:type="dxa"/>
              <w:right w:w="-1" w:type="dxa"/>
            </w:tcMar>
            <w:vAlign w:val="center"/>
          </w:tcPr>
          <w:p w14:paraId="0C29DAEC">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eastAsia" w:ascii="Times New Roman" w:hAnsi="Times New Roman" w:eastAsia="仿宋_GB2312" w:cs="Times New Roman"/>
                <w:b w:val="0"/>
                <w:bCs w:val="0"/>
                <w:kern w:val="2"/>
                <w:sz w:val="24"/>
                <w:szCs w:val="24"/>
                <w:highlight w:val="none"/>
              </w:rPr>
            </w:pPr>
            <w:r>
              <w:rPr>
                <w:rFonts w:hint="eastAsia" w:ascii="仿宋_GB2312" w:hAnsi="@仿宋_GB2312" w:eastAsia="仿宋_GB2312" w:cs="仿宋_GB2312"/>
                <w:b w:val="0"/>
                <w:bCs w:val="0"/>
                <w:kern w:val="2"/>
                <w:sz w:val="24"/>
                <w:szCs w:val="24"/>
                <w:highlight w:val="none"/>
                <w:lang w:val="en-US" w:eastAsia="zh-CN" w:bidi="ar"/>
              </w:rPr>
              <w:t>有电子、纸质图</w:t>
            </w:r>
          </w:p>
        </w:tc>
        <w:tc>
          <w:tcPr>
            <w:tcW w:w="1115" w:type="dxa"/>
            <w:tcBorders>
              <w:top w:val="single" w:color="auto" w:sz="4" w:space="0"/>
              <w:left w:val="nil"/>
              <w:bottom w:val="nil"/>
              <w:right w:val="nil"/>
            </w:tcBorders>
            <w:shd w:val="clear" w:color="auto" w:fill="auto"/>
            <w:tcMar>
              <w:top w:w="-1" w:type="dxa"/>
              <w:left w:w="-1" w:type="dxa"/>
              <w:bottom w:w="-1" w:type="dxa"/>
              <w:right w:w="-1" w:type="dxa"/>
            </w:tcMar>
            <w:vAlign w:val="center"/>
          </w:tcPr>
          <w:p w14:paraId="2F0CEA6C">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kern w:val="2"/>
                <w:sz w:val="24"/>
                <w:szCs w:val="24"/>
                <w:highlight w:val="none"/>
              </w:rPr>
            </w:pPr>
          </w:p>
        </w:tc>
      </w:tr>
      <w:tr w14:paraId="399CA8DF">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867" w:type="dxa"/>
            <w:tcBorders>
              <w:top w:val="nil"/>
              <w:left w:val="nil"/>
              <w:bottom w:val="nil"/>
              <w:right w:val="nil"/>
            </w:tcBorders>
            <w:shd w:val="clear" w:color="auto" w:fill="auto"/>
            <w:tcMar>
              <w:top w:w="-1" w:type="dxa"/>
              <w:left w:w="-1" w:type="dxa"/>
              <w:bottom w:w="-1" w:type="dxa"/>
              <w:right w:w="-1" w:type="dxa"/>
            </w:tcMar>
            <w:vAlign w:val="center"/>
          </w:tcPr>
          <w:p w14:paraId="1EB6C97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2</w:t>
            </w:r>
          </w:p>
        </w:tc>
        <w:tc>
          <w:tcPr>
            <w:tcW w:w="2600" w:type="dxa"/>
            <w:tcBorders>
              <w:top w:val="nil"/>
              <w:left w:val="nil"/>
              <w:bottom w:val="nil"/>
              <w:right w:val="nil"/>
            </w:tcBorders>
            <w:shd w:val="clear" w:color="auto" w:fill="auto"/>
            <w:tcMar>
              <w:top w:w="-1" w:type="dxa"/>
              <w:left w:w="-1" w:type="dxa"/>
              <w:bottom w:w="-1" w:type="dxa"/>
              <w:right w:w="-1" w:type="dxa"/>
            </w:tcMar>
            <w:vAlign w:val="center"/>
          </w:tcPr>
          <w:p w14:paraId="603CFD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Style w:val="78"/>
                <w:rFonts w:hint="default" w:ascii="Times New Roman" w:hAnsi="Times New Roman" w:eastAsia="仿宋_GB2312" w:cs="Times New Roman"/>
                <w:kern w:val="2"/>
                <w:sz w:val="24"/>
                <w:szCs w:val="24"/>
                <w:highlight w:val="none"/>
                <w:lang w:val="en-US" w:eastAsia="zh-CN" w:bidi="ar"/>
              </w:rPr>
              <w:t>4#</w:t>
            </w:r>
            <w:r>
              <w:rPr>
                <w:rStyle w:val="78"/>
                <w:rFonts w:hint="eastAsia" w:ascii="仿宋_GB2312" w:hAnsi="Times New Roman" w:eastAsia="仿宋_GB2312" w:cs="仿宋_GB2312"/>
                <w:kern w:val="2"/>
                <w:sz w:val="24"/>
                <w:szCs w:val="24"/>
                <w:highlight w:val="none"/>
                <w:lang w:val="en-US" w:eastAsia="zh-CN" w:bidi="ar"/>
              </w:rPr>
              <w:t>、</w:t>
            </w:r>
            <w:r>
              <w:rPr>
                <w:rStyle w:val="76"/>
                <w:rFonts w:hint="default" w:ascii="Times New Roman" w:hAnsi="Times New Roman" w:eastAsia="仿宋_GB2312" w:cs="Times New Roman"/>
                <w:kern w:val="2"/>
                <w:sz w:val="24"/>
                <w:szCs w:val="24"/>
                <w:highlight w:val="none"/>
                <w:lang w:val="en-US" w:eastAsia="zh-CN" w:bidi="ar"/>
              </w:rPr>
              <w:t>5#</w:t>
            </w:r>
            <w:r>
              <w:rPr>
                <w:rStyle w:val="77"/>
                <w:rFonts w:hint="eastAsia" w:ascii="仿宋_GB2312" w:hAnsi="Times New Roman" w:eastAsia="仿宋_GB2312" w:cs="仿宋_GB2312"/>
                <w:kern w:val="2"/>
                <w:sz w:val="24"/>
                <w:szCs w:val="24"/>
                <w:highlight w:val="none"/>
                <w:lang w:val="en-US" w:eastAsia="zh-CN" w:bidi="ar"/>
              </w:rPr>
              <w:t>教学实验实训楼</w:t>
            </w:r>
          </w:p>
        </w:tc>
        <w:tc>
          <w:tcPr>
            <w:tcW w:w="1350" w:type="dxa"/>
            <w:tcBorders>
              <w:top w:val="nil"/>
              <w:left w:val="nil"/>
              <w:bottom w:val="nil"/>
              <w:right w:val="nil"/>
            </w:tcBorders>
            <w:shd w:val="clear" w:color="auto" w:fill="auto"/>
            <w:tcMar>
              <w:top w:w="-1" w:type="dxa"/>
              <w:left w:w="-1" w:type="dxa"/>
              <w:bottom w:w="-1" w:type="dxa"/>
              <w:right w:w="-1" w:type="dxa"/>
            </w:tcMar>
            <w:vAlign w:val="center"/>
          </w:tcPr>
          <w:p w14:paraId="0990F8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23077.6</w:t>
            </w:r>
          </w:p>
        </w:tc>
        <w:tc>
          <w:tcPr>
            <w:tcW w:w="1516" w:type="dxa"/>
            <w:tcBorders>
              <w:top w:val="nil"/>
              <w:left w:val="nil"/>
              <w:bottom w:val="nil"/>
              <w:right w:val="nil"/>
            </w:tcBorders>
            <w:shd w:val="clear" w:color="auto" w:fill="auto"/>
            <w:tcMar>
              <w:top w:w="-1" w:type="dxa"/>
              <w:left w:w="-1" w:type="dxa"/>
              <w:bottom w:w="-1" w:type="dxa"/>
              <w:right w:w="-1" w:type="dxa"/>
            </w:tcMar>
            <w:vAlign w:val="center"/>
          </w:tcPr>
          <w:p w14:paraId="69423D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eastAsia" w:ascii="仿宋_GB2312" w:hAnsi="@仿宋_GB2312" w:eastAsia="仿宋_GB2312" w:cs="仿宋_GB2312"/>
                <w:i w:val="0"/>
                <w:iCs w:val="0"/>
                <w:kern w:val="0"/>
                <w:sz w:val="24"/>
                <w:szCs w:val="24"/>
                <w:highlight w:val="none"/>
                <w:lang w:val="en-US" w:eastAsia="zh-CN" w:bidi="ar"/>
              </w:rPr>
              <w:t>框架</w:t>
            </w:r>
          </w:p>
        </w:tc>
        <w:tc>
          <w:tcPr>
            <w:tcW w:w="1467" w:type="dxa"/>
            <w:tcBorders>
              <w:top w:val="nil"/>
              <w:left w:val="nil"/>
              <w:bottom w:val="nil"/>
              <w:right w:val="nil"/>
            </w:tcBorders>
            <w:shd w:val="clear" w:color="auto" w:fill="auto"/>
            <w:tcMar>
              <w:top w:w="-1" w:type="dxa"/>
              <w:left w:w="-1" w:type="dxa"/>
              <w:bottom w:w="-1" w:type="dxa"/>
              <w:right w:w="-1" w:type="dxa"/>
            </w:tcMar>
            <w:vAlign w:val="center"/>
          </w:tcPr>
          <w:p w14:paraId="154AACE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2008</w:t>
            </w:r>
          </w:p>
        </w:tc>
        <w:tc>
          <w:tcPr>
            <w:tcW w:w="1777" w:type="dxa"/>
            <w:tcBorders>
              <w:top w:val="nil"/>
              <w:left w:val="nil"/>
              <w:bottom w:val="nil"/>
              <w:right w:val="nil"/>
            </w:tcBorders>
            <w:shd w:val="clear" w:color="auto" w:fill="auto"/>
            <w:tcMar>
              <w:top w:w="-1" w:type="dxa"/>
              <w:left w:w="-1" w:type="dxa"/>
              <w:bottom w:w="-1" w:type="dxa"/>
              <w:right w:w="-1" w:type="dxa"/>
            </w:tcMar>
            <w:vAlign w:val="center"/>
          </w:tcPr>
          <w:p w14:paraId="249D08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Times New Roman" w:hAnsi="Times New Roman" w:eastAsia="仿宋_GB2312" w:cs="Times New Roman"/>
                <w:b w:val="0"/>
                <w:bCs w:val="0"/>
                <w:kern w:val="2"/>
                <w:sz w:val="24"/>
                <w:szCs w:val="24"/>
                <w:highlight w:val="none"/>
              </w:rPr>
            </w:pPr>
            <w:r>
              <w:rPr>
                <w:rFonts w:hint="eastAsia" w:ascii="仿宋_GB2312" w:hAnsi="@仿宋_GB2312" w:eastAsia="仿宋_GB2312" w:cs="仿宋_GB2312"/>
                <w:b w:val="0"/>
                <w:bCs w:val="0"/>
                <w:kern w:val="2"/>
                <w:sz w:val="24"/>
                <w:szCs w:val="24"/>
                <w:highlight w:val="none"/>
                <w:lang w:val="en-US" w:eastAsia="zh-CN" w:bidi="ar"/>
              </w:rPr>
              <w:t>有电子、纸质图</w:t>
            </w:r>
          </w:p>
        </w:tc>
        <w:tc>
          <w:tcPr>
            <w:tcW w:w="1115" w:type="dxa"/>
            <w:tcBorders>
              <w:top w:val="nil"/>
              <w:left w:val="nil"/>
              <w:bottom w:val="nil"/>
              <w:right w:val="nil"/>
            </w:tcBorders>
            <w:shd w:val="clear" w:color="auto" w:fill="auto"/>
            <w:tcMar>
              <w:top w:w="-1" w:type="dxa"/>
              <w:left w:w="-1" w:type="dxa"/>
              <w:bottom w:w="-1" w:type="dxa"/>
              <w:right w:w="-1" w:type="dxa"/>
            </w:tcMar>
            <w:vAlign w:val="center"/>
          </w:tcPr>
          <w:p w14:paraId="02555F3E">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kern w:val="2"/>
                <w:sz w:val="24"/>
                <w:szCs w:val="24"/>
                <w:highlight w:val="none"/>
              </w:rPr>
            </w:pPr>
          </w:p>
        </w:tc>
      </w:tr>
      <w:tr w14:paraId="3396BE6D">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867" w:type="dxa"/>
            <w:tcBorders>
              <w:top w:val="nil"/>
              <w:left w:val="nil"/>
              <w:bottom w:val="nil"/>
              <w:right w:val="nil"/>
            </w:tcBorders>
            <w:shd w:val="clear" w:color="auto" w:fill="auto"/>
            <w:tcMar>
              <w:top w:w="-1" w:type="dxa"/>
              <w:left w:w="-1" w:type="dxa"/>
              <w:bottom w:w="-1" w:type="dxa"/>
              <w:right w:w="-1" w:type="dxa"/>
            </w:tcMar>
            <w:vAlign w:val="center"/>
          </w:tcPr>
          <w:p w14:paraId="25C4A8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3</w:t>
            </w:r>
          </w:p>
        </w:tc>
        <w:tc>
          <w:tcPr>
            <w:tcW w:w="2600" w:type="dxa"/>
            <w:tcBorders>
              <w:top w:val="nil"/>
              <w:left w:val="nil"/>
              <w:bottom w:val="nil"/>
              <w:right w:val="nil"/>
            </w:tcBorders>
            <w:shd w:val="clear" w:color="auto" w:fill="auto"/>
            <w:tcMar>
              <w:top w:w="-1" w:type="dxa"/>
              <w:left w:w="-1" w:type="dxa"/>
              <w:bottom w:w="-1" w:type="dxa"/>
              <w:right w:w="-1" w:type="dxa"/>
            </w:tcMar>
            <w:vAlign w:val="center"/>
          </w:tcPr>
          <w:p w14:paraId="6A1E3D5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1#</w:t>
            </w:r>
            <w:r>
              <w:rPr>
                <w:rFonts w:hint="eastAsia" w:ascii="仿宋_GB2312" w:hAnsi="Times New Roman" w:eastAsia="仿宋_GB2312" w:cs="仿宋_GB2312"/>
                <w:i w:val="0"/>
                <w:iCs w:val="0"/>
                <w:kern w:val="0"/>
                <w:sz w:val="24"/>
                <w:szCs w:val="24"/>
                <w:highlight w:val="none"/>
                <w:lang w:val="en-US" w:eastAsia="zh-CN" w:bidi="ar"/>
              </w:rPr>
              <w:t>实习工厂</w:t>
            </w:r>
          </w:p>
        </w:tc>
        <w:tc>
          <w:tcPr>
            <w:tcW w:w="1350" w:type="dxa"/>
            <w:tcBorders>
              <w:top w:val="nil"/>
              <w:left w:val="nil"/>
              <w:bottom w:val="nil"/>
              <w:right w:val="nil"/>
            </w:tcBorders>
            <w:shd w:val="clear" w:color="auto" w:fill="auto"/>
            <w:tcMar>
              <w:top w:w="-1" w:type="dxa"/>
              <w:left w:w="-1" w:type="dxa"/>
              <w:bottom w:w="-1" w:type="dxa"/>
              <w:right w:w="-1" w:type="dxa"/>
            </w:tcMar>
            <w:vAlign w:val="center"/>
          </w:tcPr>
          <w:p w14:paraId="6AB2FD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3034.31</w:t>
            </w:r>
          </w:p>
        </w:tc>
        <w:tc>
          <w:tcPr>
            <w:tcW w:w="1516" w:type="dxa"/>
            <w:tcBorders>
              <w:top w:val="nil"/>
              <w:left w:val="nil"/>
              <w:bottom w:val="nil"/>
              <w:right w:val="nil"/>
            </w:tcBorders>
            <w:shd w:val="clear" w:color="auto" w:fill="auto"/>
            <w:tcMar>
              <w:top w:w="-1" w:type="dxa"/>
              <w:left w:w="-1" w:type="dxa"/>
              <w:bottom w:w="-1" w:type="dxa"/>
              <w:right w:w="-1" w:type="dxa"/>
            </w:tcMar>
            <w:vAlign w:val="center"/>
          </w:tcPr>
          <w:p w14:paraId="4683C1A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eastAsia" w:ascii="仿宋_GB2312" w:hAnsi="@仿宋_GB2312" w:eastAsia="仿宋_GB2312" w:cs="仿宋_GB2312"/>
                <w:i w:val="0"/>
                <w:iCs w:val="0"/>
                <w:kern w:val="0"/>
                <w:sz w:val="24"/>
                <w:szCs w:val="24"/>
                <w:highlight w:val="none"/>
                <w:lang w:val="en-US" w:eastAsia="zh-CN" w:bidi="ar"/>
              </w:rPr>
              <w:t>框架</w:t>
            </w:r>
          </w:p>
        </w:tc>
        <w:tc>
          <w:tcPr>
            <w:tcW w:w="1467" w:type="dxa"/>
            <w:tcBorders>
              <w:top w:val="nil"/>
              <w:left w:val="nil"/>
              <w:bottom w:val="nil"/>
              <w:right w:val="nil"/>
            </w:tcBorders>
            <w:shd w:val="clear" w:color="auto" w:fill="auto"/>
            <w:tcMar>
              <w:top w:w="-1" w:type="dxa"/>
              <w:left w:w="-1" w:type="dxa"/>
              <w:bottom w:w="-1" w:type="dxa"/>
              <w:right w:w="-1" w:type="dxa"/>
            </w:tcMar>
            <w:vAlign w:val="center"/>
          </w:tcPr>
          <w:p w14:paraId="2BE4189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2009</w:t>
            </w:r>
          </w:p>
        </w:tc>
        <w:tc>
          <w:tcPr>
            <w:tcW w:w="1777" w:type="dxa"/>
            <w:tcBorders>
              <w:top w:val="nil"/>
              <w:left w:val="nil"/>
              <w:bottom w:val="nil"/>
              <w:right w:val="nil"/>
            </w:tcBorders>
            <w:shd w:val="clear" w:color="auto" w:fill="auto"/>
            <w:tcMar>
              <w:top w:w="-1" w:type="dxa"/>
              <w:left w:w="-1" w:type="dxa"/>
              <w:bottom w:w="-1" w:type="dxa"/>
              <w:right w:w="-1" w:type="dxa"/>
            </w:tcMar>
            <w:vAlign w:val="center"/>
          </w:tcPr>
          <w:p w14:paraId="6EF2DC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Times New Roman" w:hAnsi="Times New Roman" w:eastAsia="仿宋_GB2312" w:cs="Times New Roman"/>
                <w:b w:val="0"/>
                <w:bCs w:val="0"/>
                <w:kern w:val="2"/>
                <w:sz w:val="24"/>
                <w:szCs w:val="24"/>
                <w:highlight w:val="none"/>
              </w:rPr>
            </w:pPr>
            <w:r>
              <w:rPr>
                <w:rFonts w:hint="eastAsia" w:ascii="仿宋_GB2312" w:hAnsi="@仿宋_GB2312" w:eastAsia="仿宋_GB2312" w:cs="仿宋_GB2312"/>
                <w:b w:val="0"/>
                <w:bCs w:val="0"/>
                <w:kern w:val="2"/>
                <w:sz w:val="24"/>
                <w:szCs w:val="24"/>
                <w:highlight w:val="none"/>
                <w:lang w:val="en-US" w:eastAsia="zh-CN" w:bidi="ar"/>
              </w:rPr>
              <w:t>有电子、纸质图</w:t>
            </w:r>
          </w:p>
        </w:tc>
        <w:tc>
          <w:tcPr>
            <w:tcW w:w="1115" w:type="dxa"/>
            <w:tcBorders>
              <w:top w:val="nil"/>
              <w:left w:val="nil"/>
              <w:bottom w:val="nil"/>
              <w:right w:val="nil"/>
            </w:tcBorders>
            <w:shd w:val="clear" w:color="auto" w:fill="auto"/>
            <w:tcMar>
              <w:top w:w="-1" w:type="dxa"/>
              <w:left w:w="-1" w:type="dxa"/>
              <w:bottom w:w="-1" w:type="dxa"/>
              <w:right w:w="-1" w:type="dxa"/>
            </w:tcMar>
            <w:vAlign w:val="center"/>
          </w:tcPr>
          <w:p w14:paraId="310C3E0B">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kern w:val="2"/>
                <w:sz w:val="24"/>
                <w:szCs w:val="24"/>
                <w:highlight w:val="none"/>
              </w:rPr>
            </w:pPr>
          </w:p>
        </w:tc>
      </w:tr>
      <w:tr w14:paraId="7B08CDC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867" w:type="dxa"/>
            <w:tcBorders>
              <w:top w:val="nil"/>
              <w:left w:val="nil"/>
              <w:bottom w:val="nil"/>
              <w:right w:val="nil"/>
            </w:tcBorders>
            <w:shd w:val="clear" w:color="auto" w:fill="auto"/>
            <w:tcMar>
              <w:top w:w="-1" w:type="dxa"/>
              <w:left w:w="-1" w:type="dxa"/>
              <w:bottom w:w="-1" w:type="dxa"/>
              <w:right w:w="-1" w:type="dxa"/>
            </w:tcMar>
            <w:vAlign w:val="center"/>
          </w:tcPr>
          <w:p w14:paraId="1D85CFC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4</w:t>
            </w:r>
          </w:p>
        </w:tc>
        <w:tc>
          <w:tcPr>
            <w:tcW w:w="2600" w:type="dxa"/>
            <w:tcBorders>
              <w:top w:val="nil"/>
              <w:left w:val="nil"/>
              <w:bottom w:val="nil"/>
              <w:right w:val="nil"/>
            </w:tcBorders>
            <w:shd w:val="clear" w:color="auto" w:fill="auto"/>
            <w:tcMar>
              <w:top w:w="-1" w:type="dxa"/>
              <w:left w:w="-1" w:type="dxa"/>
              <w:bottom w:w="-1" w:type="dxa"/>
              <w:right w:w="-1" w:type="dxa"/>
            </w:tcMar>
            <w:vAlign w:val="center"/>
          </w:tcPr>
          <w:p w14:paraId="6CE8A3E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2#</w:t>
            </w:r>
            <w:r>
              <w:rPr>
                <w:rFonts w:hint="eastAsia" w:ascii="仿宋_GB2312" w:hAnsi="Times New Roman" w:eastAsia="仿宋_GB2312" w:cs="仿宋_GB2312"/>
                <w:i w:val="0"/>
                <w:iCs w:val="0"/>
                <w:kern w:val="0"/>
                <w:sz w:val="24"/>
                <w:szCs w:val="24"/>
                <w:highlight w:val="none"/>
                <w:lang w:val="en-US" w:eastAsia="zh-CN" w:bidi="ar"/>
              </w:rPr>
              <w:t>实习工厂</w:t>
            </w:r>
          </w:p>
        </w:tc>
        <w:tc>
          <w:tcPr>
            <w:tcW w:w="1350" w:type="dxa"/>
            <w:tcBorders>
              <w:top w:val="nil"/>
              <w:left w:val="nil"/>
              <w:bottom w:val="nil"/>
              <w:right w:val="nil"/>
            </w:tcBorders>
            <w:shd w:val="clear" w:color="auto" w:fill="auto"/>
            <w:tcMar>
              <w:top w:w="-1" w:type="dxa"/>
              <w:left w:w="-1" w:type="dxa"/>
              <w:bottom w:w="-1" w:type="dxa"/>
              <w:right w:w="-1" w:type="dxa"/>
            </w:tcMar>
            <w:vAlign w:val="center"/>
          </w:tcPr>
          <w:p w14:paraId="3920907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1425.75</w:t>
            </w:r>
          </w:p>
        </w:tc>
        <w:tc>
          <w:tcPr>
            <w:tcW w:w="1516" w:type="dxa"/>
            <w:tcBorders>
              <w:top w:val="nil"/>
              <w:left w:val="nil"/>
              <w:bottom w:val="nil"/>
              <w:right w:val="nil"/>
            </w:tcBorders>
            <w:shd w:val="clear" w:color="auto" w:fill="auto"/>
            <w:tcMar>
              <w:top w:w="-1" w:type="dxa"/>
              <w:left w:w="-1" w:type="dxa"/>
              <w:bottom w:w="-1" w:type="dxa"/>
              <w:right w:w="-1" w:type="dxa"/>
            </w:tcMar>
            <w:vAlign w:val="center"/>
          </w:tcPr>
          <w:p w14:paraId="387C59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eastAsia" w:ascii="仿宋_GB2312" w:hAnsi="@仿宋_GB2312" w:eastAsia="仿宋_GB2312" w:cs="仿宋_GB2312"/>
                <w:i w:val="0"/>
                <w:iCs w:val="0"/>
                <w:kern w:val="0"/>
                <w:sz w:val="24"/>
                <w:szCs w:val="24"/>
                <w:highlight w:val="none"/>
                <w:lang w:val="en-US" w:eastAsia="zh-CN" w:bidi="ar"/>
              </w:rPr>
              <w:t>框架</w:t>
            </w:r>
          </w:p>
        </w:tc>
        <w:tc>
          <w:tcPr>
            <w:tcW w:w="1467" w:type="dxa"/>
            <w:tcBorders>
              <w:top w:val="nil"/>
              <w:left w:val="nil"/>
              <w:bottom w:val="nil"/>
              <w:right w:val="nil"/>
            </w:tcBorders>
            <w:shd w:val="clear" w:color="auto" w:fill="auto"/>
            <w:tcMar>
              <w:top w:w="-1" w:type="dxa"/>
              <w:left w:w="-1" w:type="dxa"/>
              <w:bottom w:w="-1" w:type="dxa"/>
              <w:right w:w="-1" w:type="dxa"/>
            </w:tcMar>
            <w:vAlign w:val="center"/>
          </w:tcPr>
          <w:p w14:paraId="7B9475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2009</w:t>
            </w:r>
          </w:p>
        </w:tc>
        <w:tc>
          <w:tcPr>
            <w:tcW w:w="1777" w:type="dxa"/>
            <w:tcBorders>
              <w:top w:val="nil"/>
              <w:left w:val="nil"/>
              <w:bottom w:val="nil"/>
              <w:right w:val="nil"/>
            </w:tcBorders>
            <w:shd w:val="clear" w:color="auto" w:fill="auto"/>
            <w:tcMar>
              <w:top w:w="-1" w:type="dxa"/>
              <w:left w:w="-1" w:type="dxa"/>
              <w:bottom w:w="-1" w:type="dxa"/>
              <w:right w:w="-1" w:type="dxa"/>
            </w:tcMar>
            <w:vAlign w:val="center"/>
          </w:tcPr>
          <w:p w14:paraId="4FCE3B2F">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eastAsia" w:ascii="Times New Roman" w:hAnsi="Times New Roman" w:eastAsia="仿宋_GB2312" w:cs="Times New Roman"/>
                <w:b w:val="0"/>
                <w:bCs w:val="0"/>
                <w:kern w:val="2"/>
                <w:sz w:val="24"/>
                <w:szCs w:val="24"/>
                <w:highlight w:val="none"/>
              </w:rPr>
            </w:pPr>
            <w:r>
              <w:rPr>
                <w:rFonts w:hint="eastAsia" w:ascii="仿宋_GB2312" w:hAnsi="@仿宋_GB2312" w:eastAsia="仿宋_GB2312" w:cs="仿宋_GB2312"/>
                <w:b w:val="0"/>
                <w:bCs w:val="0"/>
                <w:kern w:val="2"/>
                <w:sz w:val="24"/>
                <w:szCs w:val="24"/>
                <w:highlight w:val="none"/>
                <w:lang w:val="en-US" w:eastAsia="zh-CN" w:bidi="ar"/>
              </w:rPr>
              <w:t>有电子、纸质图</w:t>
            </w:r>
          </w:p>
        </w:tc>
        <w:tc>
          <w:tcPr>
            <w:tcW w:w="1115" w:type="dxa"/>
            <w:tcBorders>
              <w:top w:val="nil"/>
              <w:left w:val="nil"/>
              <w:bottom w:val="nil"/>
              <w:right w:val="nil"/>
            </w:tcBorders>
            <w:shd w:val="clear" w:color="auto" w:fill="auto"/>
            <w:tcMar>
              <w:top w:w="-1" w:type="dxa"/>
              <w:left w:w="-1" w:type="dxa"/>
              <w:bottom w:w="-1" w:type="dxa"/>
              <w:right w:w="-1" w:type="dxa"/>
            </w:tcMar>
            <w:vAlign w:val="center"/>
          </w:tcPr>
          <w:p w14:paraId="7FD2D1D2">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kern w:val="2"/>
                <w:sz w:val="24"/>
                <w:szCs w:val="24"/>
                <w:highlight w:val="none"/>
              </w:rPr>
            </w:pPr>
          </w:p>
        </w:tc>
      </w:tr>
      <w:tr w14:paraId="49A279D9">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867" w:type="dxa"/>
            <w:tcBorders>
              <w:top w:val="nil"/>
              <w:left w:val="nil"/>
              <w:bottom w:val="nil"/>
              <w:right w:val="nil"/>
            </w:tcBorders>
            <w:shd w:val="clear" w:color="auto" w:fill="auto"/>
            <w:tcMar>
              <w:top w:w="-1" w:type="dxa"/>
              <w:left w:w="-1" w:type="dxa"/>
              <w:bottom w:w="-1" w:type="dxa"/>
              <w:right w:w="-1" w:type="dxa"/>
            </w:tcMar>
            <w:vAlign w:val="center"/>
          </w:tcPr>
          <w:p w14:paraId="584C29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5</w:t>
            </w:r>
          </w:p>
        </w:tc>
        <w:tc>
          <w:tcPr>
            <w:tcW w:w="2600" w:type="dxa"/>
            <w:tcBorders>
              <w:top w:val="nil"/>
              <w:left w:val="nil"/>
              <w:bottom w:val="nil"/>
              <w:right w:val="nil"/>
            </w:tcBorders>
            <w:shd w:val="clear" w:color="auto" w:fill="auto"/>
            <w:tcMar>
              <w:top w:w="-1" w:type="dxa"/>
              <w:left w:w="-1" w:type="dxa"/>
              <w:bottom w:w="-1" w:type="dxa"/>
              <w:right w:w="-1" w:type="dxa"/>
            </w:tcMar>
            <w:vAlign w:val="center"/>
          </w:tcPr>
          <w:p w14:paraId="4702C8E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eastAsia" w:ascii="仿宋_GB2312" w:hAnsi="Times New Roman" w:eastAsia="仿宋_GB2312" w:cs="仿宋_GB2312"/>
                <w:i w:val="0"/>
                <w:iCs w:val="0"/>
                <w:kern w:val="0"/>
                <w:sz w:val="24"/>
                <w:szCs w:val="24"/>
                <w:highlight w:val="none"/>
                <w:lang w:val="en-US" w:eastAsia="zh-CN" w:bidi="ar"/>
              </w:rPr>
              <w:t>艺术楼及合班教室</w:t>
            </w:r>
          </w:p>
        </w:tc>
        <w:tc>
          <w:tcPr>
            <w:tcW w:w="1350" w:type="dxa"/>
            <w:tcBorders>
              <w:top w:val="nil"/>
              <w:left w:val="nil"/>
              <w:bottom w:val="nil"/>
              <w:right w:val="nil"/>
            </w:tcBorders>
            <w:shd w:val="clear" w:color="auto" w:fill="auto"/>
            <w:tcMar>
              <w:top w:w="-1" w:type="dxa"/>
              <w:left w:w="-1" w:type="dxa"/>
              <w:bottom w:w="-1" w:type="dxa"/>
              <w:right w:w="-1" w:type="dxa"/>
            </w:tcMar>
            <w:vAlign w:val="center"/>
          </w:tcPr>
          <w:p w14:paraId="0EDF3D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5619</w:t>
            </w:r>
          </w:p>
        </w:tc>
        <w:tc>
          <w:tcPr>
            <w:tcW w:w="1516" w:type="dxa"/>
            <w:tcBorders>
              <w:top w:val="nil"/>
              <w:left w:val="nil"/>
              <w:bottom w:val="nil"/>
              <w:right w:val="nil"/>
            </w:tcBorders>
            <w:shd w:val="clear" w:color="auto" w:fill="auto"/>
            <w:tcMar>
              <w:top w:w="-1" w:type="dxa"/>
              <w:left w:w="-1" w:type="dxa"/>
              <w:bottom w:w="-1" w:type="dxa"/>
              <w:right w:w="-1" w:type="dxa"/>
            </w:tcMar>
            <w:vAlign w:val="center"/>
          </w:tcPr>
          <w:p w14:paraId="07C637C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eastAsia" w:ascii="仿宋_GB2312" w:hAnsi="@仿宋_GB2312" w:eastAsia="仿宋_GB2312" w:cs="仿宋_GB2312"/>
                <w:i w:val="0"/>
                <w:iCs w:val="0"/>
                <w:kern w:val="0"/>
                <w:sz w:val="24"/>
                <w:szCs w:val="24"/>
                <w:highlight w:val="none"/>
                <w:lang w:val="en-US" w:eastAsia="zh-CN" w:bidi="ar"/>
              </w:rPr>
              <w:t>框架</w:t>
            </w:r>
          </w:p>
        </w:tc>
        <w:tc>
          <w:tcPr>
            <w:tcW w:w="1467" w:type="dxa"/>
            <w:tcBorders>
              <w:top w:val="nil"/>
              <w:left w:val="nil"/>
              <w:bottom w:val="nil"/>
              <w:right w:val="nil"/>
            </w:tcBorders>
            <w:shd w:val="clear" w:color="auto" w:fill="auto"/>
            <w:tcMar>
              <w:top w:w="-1" w:type="dxa"/>
              <w:left w:w="-1" w:type="dxa"/>
              <w:bottom w:w="-1" w:type="dxa"/>
              <w:right w:w="-1" w:type="dxa"/>
            </w:tcMar>
            <w:vAlign w:val="center"/>
          </w:tcPr>
          <w:p w14:paraId="7CFD105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2008</w:t>
            </w:r>
          </w:p>
        </w:tc>
        <w:tc>
          <w:tcPr>
            <w:tcW w:w="1777" w:type="dxa"/>
            <w:tcBorders>
              <w:top w:val="nil"/>
              <w:left w:val="nil"/>
              <w:bottom w:val="nil"/>
              <w:right w:val="nil"/>
            </w:tcBorders>
            <w:shd w:val="clear" w:color="auto" w:fill="auto"/>
            <w:tcMar>
              <w:top w:w="-1" w:type="dxa"/>
              <w:left w:w="-1" w:type="dxa"/>
              <w:bottom w:w="-1" w:type="dxa"/>
              <w:right w:w="-1" w:type="dxa"/>
            </w:tcMar>
            <w:vAlign w:val="center"/>
          </w:tcPr>
          <w:p w14:paraId="5F5040A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Times New Roman" w:hAnsi="Times New Roman" w:eastAsia="仿宋_GB2312" w:cs="Times New Roman"/>
                <w:b w:val="0"/>
                <w:bCs w:val="0"/>
                <w:kern w:val="2"/>
                <w:sz w:val="24"/>
                <w:szCs w:val="24"/>
                <w:highlight w:val="none"/>
              </w:rPr>
            </w:pPr>
            <w:r>
              <w:rPr>
                <w:rFonts w:hint="eastAsia" w:ascii="仿宋_GB2312" w:hAnsi="@仿宋_GB2312" w:eastAsia="仿宋_GB2312" w:cs="仿宋_GB2312"/>
                <w:b w:val="0"/>
                <w:bCs w:val="0"/>
                <w:kern w:val="2"/>
                <w:sz w:val="24"/>
                <w:szCs w:val="24"/>
                <w:highlight w:val="none"/>
                <w:lang w:val="en-US" w:eastAsia="zh-CN" w:bidi="ar"/>
              </w:rPr>
              <w:t>有电子、纸质图</w:t>
            </w:r>
          </w:p>
        </w:tc>
        <w:tc>
          <w:tcPr>
            <w:tcW w:w="1115" w:type="dxa"/>
            <w:tcBorders>
              <w:top w:val="nil"/>
              <w:left w:val="nil"/>
              <w:bottom w:val="nil"/>
              <w:right w:val="nil"/>
            </w:tcBorders>
            <w:shd w:val="clear" w:color="auto" w:fill="auto"/>
            <w:tcMar>
              <w:top w:w="-1" w:type="dxa"/>
              <w:left w:w="-1" w:type="dxa"/>
              <w:bottom w:w="-1" w:type="dxa"/>
              <w:right w:w="-1" w:type="dxa"/>
            </w:tcMar>
            <w:vAlign w:val="center"/>
          </w:tcPr>
          <w:p w14:paraId="03D9532C">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kern w:val="2"/>
                <w:sz w:val="24"/>
                <w:szCs w:val="24"/>
                <w:highlight w:val="none"/>
              </w:rPr>
            </w:pPr>
          </w:p>
        </w:tc>
      </w:tr>
      <w:tr w14:paraId="2E24CCDD">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867" w:type="dxa"/>
            <w:tcBorders>
              <w:top w:val="nil"/>
              <w:left w:val="nil"/>
              <w:bottom w:val="nil"/>
              <w:right w:val="nil"/>
            </w:tcBorders>
            <w:shd w:val="clear" w:color="auto" w:fill="auto"/>
            <w:tcMar>
              <w:top w:w="-1" w:type="dxa"/>
              <w:left w:w="-1" w:type="dxa"/>
              <w:bottom w:w="-1" w:type="dxa"/>
              <w:right w:w="-1" w:type="dxa"/>
            </w:tcMar>
            <w:vAlign w:val="center"/>
          </w:tcPr>
          <w:p w14:paraId="3A59B3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6</w:t>
            </w:r>
          </w:p>
        </w:tc>
        <w:tc>
          <w:tcPr>
            <w:tcW w:w="2600" w:type="dxa"/>
            <w:tcBorders>
              <w:top w:val="nil"/>
              <w:left w:val="nil"/>
              <w:bottom w:val="nil"/>
              <w:right w:val="nil"/>
            </w:tcBorders>
            <w:shd w:val="clear" w:color="auto" w:fill="auto"/>
            <w:tcMar>
              <w:top w:w="-1" w:type="dxa"/>
              <w:left w:w="-1" w:type="dxa"/>
              <w:bottom w:w="-1" w:type="dxa"/>
              <w:right w:w="-1" w:type="dxa"/>
            </w:tcMar>
            <w:vAlign w:val="center"/>
          </w:tcPr>
          <w:p w14:paraId="13E489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1#</w:t>
            </w:r>
            <w:r>
              <w:rPr>
                <w:rFonts w:hint="eastAsia" w:ascii="仿宋_GB2312" w:hAnsi="Times New Roman" w:eastAsia="仿宋_GB2312" w:cs="仿宋_GB2312"/>
                <w:i w:val="0"/>
                <w:iCs w:val="0"/>
                <w:kern w:val="0"/>
                <w:sz w:val="24"/>
                <w:szCs w:val="24"/>
                <w:highlight w:val="none"/>
                <w:lang w:val="en-US" w:eastAsia="zh-CN" w:bidi="ar"/>
              </w:rPr>
              <w:t>男生宿舍楼</w:t>
            </w:r>
          </w:p>
        </w:tc>
        <w:tc>
          <w:tcPr>
            <w:tcW w:w="1350" w:type="dxa"/>
            <w:tcBorders>
              <w:top w:val="nil"/>
              <w:left w:val="nil"/>
              <w:bottom w:val="nil"/>
              <w:right w:val="nil"/>
            </w:tcBorders>
            <w:shd w:val="clear" w:color="auto" w:fill="auto"/>
            <w:tcMar>
              <w:top w:w="-1" w:type="dxa"/>
              <w:left w:w="-1" w:type="dxa"/>
              <w:bottom w:w="-1" w:type="dxa"/>
              <w:right w:w="-1" w:type="dxa"/>
            </w:tcMar>
            <w:vAlign w:val="center"/>
          </w:tcPr>
          <w:p w14:paraId="22497E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16778</w:t>
            </w:r>
          </w:p>
        </w:tc>
        <w:tc>
          <w:tcPr>
            <w:tcW w:w="1516" w:type="dxa"/>
            <w:tcBorders>
              <w:top w:val="nil"/>
              <w:left w:val="nil"/>
              <w:bottom w:val="nil"/>
              <w:right w:val="nil"/>
            </w:tcBorders>
            <w:shd w:val="clear" w:color="auto" w:fill="auto"/>
            <w:tcMar>
              <w:top w:w="-1" w:type="dxa"/>
              <w:left w:w="-1" w:type="dxa"/>
              <w:bottom w:w="-1" w:type="dxa"/>
              <w:right w:w="-1" w:type="dxa"/>
            </w:tcMar>
            <w:vAlign w:val="center"/>
          </w:tcPr>
          <w:p w14:paraId="2E62B3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eastAsia" w:ascii="仿宋_GB2312" w:hAnsi="@仿宋_GB2312" w:eastAsia="仿宋_GB2312" w:cs="仿宋_GB2312"/>
                <w:i w:val="0"/>
                <w:iCs w:val="0"/>
                <w:kern w:val="0"/>
                <w:sz w:val="24"/>
                <w:szCs w:val="24"/>
                <w:highlight w:val="none"/>
                <w:lang w:val="en-US" w:eastAsia="zh-CN" w:bidi="ar"/>
              </w:rPr>
              <w:t>框架</w:t>
            </w:r>
          </w:p>
        </w:tc>
        <w:tc>
          <w:tcPr>
            <w:tcW w:w="1467" w:type="dxa"/>
            <w:tcBorders>
              <w:top w:val="nil"/>
              <w:left w:val="nil"/>
              <w:bottom w:val="nil"/>
              <w:right w:val="nil"/>
            </w:tcBorders>
            <w:shd w:val="clear" w:color="auto" w:fill="auto"/>
            <w:tcMar>
              <w:top w:w="-1" w:type="dxa"/>
              <w:left w:w="-1" w:type="dxa"/>
              <w:bottom w:w="-1" w:type="dxa"/>
              <w:right w:w="-1" w:type="dxa"/>
            </w:tcMar>
            <w:vAlign w:val="center"/>
          </w:tcPr>
          <w:p w14:paraId="64CBBAF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2008</w:t>
            </w:r>
          </w:p>
        </w:tc>
        <w:tc>
          <w:tcPr>
            <w:tcW w:w="1777" w:type="dxa"/>
            <w:tcBorders>
              <w:top w:val="nil"/>
              <w:left w:val="nil"/>
              <w:bottom w:val="nil"/>
              <w:right w:val="nil"/>
            </w:tcBorders>
            <w:shd w:val="clear" w:color="auto" w:fill="auto"/>
            <w:tcMar>
              <w:top w:w="-1" w:type="dxa"/>
              <w:left w:w="-1" w:type="dxa"/>
              <w:bottom w:w="-1" w:type="dxa"/>
              <w:right w:w="-1" w:type="dxa"/>
            </w:tcMar>
            <w:vAlign w:val="center"/>
          </w:tcPr>
          <w:p w14:paraId="6363937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Times New Roman" w:hAnsi="Times New Roman" w:eastAsia="仿宋_GB2312" w:cs="Times New Roman"/>
                <w:b w:val="0"/>
                <w:bCs w:val="0"/>
                <w:kern w:val="2"/>
                <w:sz w:val="24"/>
                <w:szCs w:val="24"/>
                <w:highlight w:val="none"/>
              </w:rPr>
            </w:pPr>
            <w:r>
              <w:rPr>
                <w:rFonts w:hint="eastAsia" w:ascii="仿宋_GB2312" w:hAnsi="@仿宋_GB2312" w:eastAsia="仿宋_GB2312" w:cs="仿宋_GB2312"/>
                <w:b w:val="0"/>
                <w:bCs w:val="0"/>
                <w:kern w:val="2"/>
                <w:sz w:val="24"/>
                <w:szCs w:val="24"/>
                <w:highlight w:val="none"/>
                <w:lang w:val="en-US" w:eastAsia="zh-CN" w:bidi="ar"/>
              </w:rPr>
              <w:t>有电子、纸质图</w:t>
            </w:r>
          </w:p>
        </w:tc>
        <w:tc>
          <w:tcPr>
            <w:tcW w:w="1115" w:type="dxa"/>
            <w:tcBorders>
              <w:top w:val="nil"/>
              <w:left w:val="nil"/>
              <w:bottom w:val="nil"/>
              <w:right w:val="nil"/>
            </w:tcBorders>
            <w:shd w:val="clear" w:color="auto" w:fill="auto"/>
            <w:tcMar>
              <w:top w:w="-1" w:type="dxa"/>
              <w:left w:w="-1" w:type="dxa"/>
              <w:bottom w:w="-1" w:type="dxa"/>
              <w:right w:w="-1" w:type="dxa"/>
            </w:tcMar>
            <w:vAlign w:val="center"/>
          </w:tcPr>
          <w:p w14:paraId="0C9B74E0">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kern w:val="2"/>
                <w:sz w:val="24"/>
                <w:szCs w:val="24"/>
                <w:highlight w:val="none"/>
              </w:rPr>
            </w:pPr>
          </w:p>
        </w:tc>
      </w:tr>
      <w:tr w14:paraId="778188E0">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867" w:type="dxa"/>
            <w:tcBorders>
              <w:top w:val="nil"/>
              <w:left w:val="nil"/>
              <w:bottom w:val="nil"/>
              <w:right w:val="nil"/>
            </w:tcBorders>
            <w:shd w:val="clear" w:color="auto" w:fill="auto"/>
            <w:tcMar>
              <w:top w:w="-1" w:type="dxa"/>
              <w:left w:w="-1" w:type="dxa"/>
              <w:bottom w:w="-1" w:type="dxa"/>
              <w:right w:w="-1" w:type="dxa"/>
            </w:tcMar>
            <w:vAlign w:val="center"/>
          </w:tcPr>
          <w:p w14:paraId="38903F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7</w:t>
            </w:r>
          </w:p>
        </w:tc>
        <w:tc>
          <w:tcPr>
            <w:tcW w:w="2600" w:type="dxa"/>
            <w:tcBorders>
              <w:top w:val="nil"/>
              <w:left w:val="nil"/>
              <w:bottom w:val="nil"/>
              <w:right w:val="nil"/>
            </w:tcBorders>
            <w:shd w:val="clear" w:color="auto" w:fill="auto"/>
            <w:tcMar>
              <w:top w:w="-1" w:type="dxa"/>
              <w:left w:w="-1" w:type="dxa"/>
              <w:bottom w:w="-1" w:type="dxa"/>
              <w:right w:w="-1" w:type="dxa"/>
            </w:tcMar>
            <w:vAlign w:val="center"/>
          </w:tcPr>
          <w:p w14:paraId="0B57F81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1#</w:t>
            </w:r>
            <w:r>
              <w:rPr>
                <w:rFonts w:hint="eastAsia" w:ascii="仿宋_GB2312" w:hAnsi="Times New Roman" w:eastAsia="仿宋_GB2312" w:cs="仿宋_GB2312"/>
                <w:i w:val="0"/>
                <w:iCs w:val="0"/>
                <w:kern w:val="0"/>
                <w:sz w:val="24"/>
                <w:szCs w:val="24"/>
                <w:highlight w:val="none"/>
                <w:lang w:val="en-US" w:eastAsia="zh-CN" w:bidi="ar"/>
              </w:rPr>
              <w:t>女生宿舍楼</w:t>
            </w:r>
          </w:p>
        </w:tc>
        <w:tc>
          <w:tcPr>
            <w:tcW w:w="1350" w:type="dxa"/>
            <w:tcBorders>
              <w:top w:val="nil"/>
              <w:left w:val="nil"/>
              <w:bottom w:val="nil"/>
              <w:right w:val="nil"/>
            </w:tcBorders>
            <w:shd w:val="clear" w:color="auto" w:fill="auto"/>
            <w:tcMar>
              <w:top w:w="-1" w:type="dxa"/>
              <w:left w:w="-1" w:type="dxa"/>
              <w:bottom w:w="-1" w:type="dxa"/>
              <w:right w:w="-1" w:type="dxa"/>
            </w:tcMar>
            <w:vAlign w:val="center"/>
          </w:tcPr>
          <w:p w14:paraId="27089A4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16778</w:t>
            </w:r>
          </w:p>
        </w:tc>
        <w:tc>
          <w:tcPr>
            <w:tcW w:w="1516" w:type="dxa"/>
            <w:tcBorders>
              <w:top w:val="nil"/>
              <w:left w:val="nil"/>
              <w:bottom w:val="nil"/>
              <w:right w:val="nil"/>
            </w:tcBorders>
            <w:shd w:val="clear" w:color="auto" w:fill="auto"/>
            <w:tcMar>
              <w:top w:w="-1" w:type="dxa"/>
              <w:left w:w="-1" w:type="dxa"/>
              <w:bottom w:w="-1" w:type="dxa"/>
              <w:right w:w="-1" w:type="dxa"/>
            </w:tcMar>
            <w:vAlign w:val="center"/>
          </w:tcPr>
          <w:p w14:paraId="5471BD2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eastAsia" w:ascii="仿宋_GB2312" w:hAnsi="@仿宋_GB2312" w:eastAsia="仿宋_GB2312" w:cs="仿宋_GB2312"/>
                <w:i w:val="0"/>
                <w:iCs w:val="0"/>
                <w:kern w:val="0"/>
                <w:sz w:val="24"/>
                <w:szCs w:val="24"/>
                <w:highlight w:val="none"/>
                <w:lang w:val="en-US" w:eastAsia="zh-CN" w:bidi="ar"/>
              </w:rPr>
              <w:t>框架</w:t>
            </w:r>
          </w:p>
        </w:tc>
        <w:tc>
          <w:tcPr>
            <w:tcW w:w="1467" w:type="dxa"/>
            <w:tcBorders>
              <w:top w:val="nil"/>
              <w:left w:val="nil"/>
              <w:bottom w:val="nil"/>
              <w:right w:val="nil"/>
            </w:tcBorders>
            <w:shd w:val="clear" w:color="auto" w:fill="auto"/>
            <w:tcMar>
              <w:top w:w="-1" w:type="dxa"/>
              <w:left w:w="-1" w:type="dxa"/>
              <w:bottom w:w="-1" w:type="dxa"/>
              <w:right w:w="-1" w:type="dxa"/>
            </w:tcMar>
            <w:vAlign w:val="center"/>
          </w:tcPr>
          <w:p w14:paraId="4365FCF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2008</w:t>
            </w:r>
          </w:p>
        </w:tc>
        <w:tc>
          <w:tcPr>
            <w:tcW w:w="1777" w:type="dxa"/>
            <w:tcBorders>
              <w:top w:val="nil"/>
              <w:left w:val="nil"/>
              <w:bottom w:val="nil"/>
              <w:right w:val="nil"/>
            </w:tcBorders>
            <w:shd w:val="clear" w:color="auto" w:fill="auto"/>
            <w:tcMar>
              <w:top w:w="-1" w:type="dxa"/>
              <w:left w:w="-1" w:type="dxa"/>
              <w:bottom w:w="-1" w:type="dxa"/>
              <w:right w:w="-1" w:type="dxa"/>
            </w:tcMar>
            <w:vAlign w:val="center"/>
          </w:tcPr>
          <w:p w14:paraId="4DD1ABF5">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eastAsia" w:ascii="Times New Roman" w:hAnsi="Times New Roman" w:eastAsia="仿宋_GB2312" w:cs="Times New Roman"/>
                <w:b w:val="0"/>
                <w:bCs w:val="0"/>
                <w:kern w:val="2"/>
                <w:sz w:val="24"/>
                <w:szCs w:val="24"/>
                <w:highlight w:val="none"/>
              </w:rPr>
            </w:pPr>
            <w:r>
              <w:rPr>
                <w:rFonts w:hint="eastAsia" w:ascii="仿宋_GB2312" w:hAnsi="@仿宋_GB2312" w:eastAsia="仿宋_GB2312" w:cs="仿宋_GB2312"/>
                <w:b w:val="0"/>
                <w:bCs w:val="0"/>
                <w:kern w:val="2"/>
                <w:sz w:val="24"/>
                <w:szCs w:val="24"/>
                <w:highlight w:val="none"/>
                <w:lang w:val="en-US" w:eastAsia="zh-CN" w:bidi="ar"/>
              </w:rPr>
              <w:t>有电子、纸质图</w:t>
            </w:r>
          </w:p>
        </w:tc>
        <w:tc>
          <w:tcPr>
            <w:tcW w:w="1115" w:type="dxa"/>
            <w:tcBorders>
              <w:top w:val="nil"/>
              <w:left w:val="nil"/>
              <w:bottom w:val="nil"/>
              <w:right w:val="nil"/>
            </w:tcBorders>
            <w:shd w:val="clear" w:color="auto" w:fill="auto"/>
            <w:tcMar>
              <w:top w:w="-1" w:type="dxa"/>
              <w:left w:w="-1" w:type="dxa"/>
              <w:bottom w:w="-1" w:type="dxa"/>
              <w:right w:w="-1" w:type="dxa"/>
            </w:tcMar>
            <w:vAlign w:val="center"/>
          </w:tcPr>
          <w:p w14:paraId="70C41358">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kern w:val="2"/>
                <w:sz w:val="24"/>
                <w:szCs w:val="24"/>
                <w:highlight w:val="none"/>
              </w:rPr>
            </w:pPr>
          </w:p>
        </w:tc>
      </w:tr>
      <w:tr w14:paraId="3CC9B9BA">
        <w:tblPrEx>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atLeast"/>
          <w:jc w:val="center"/>
        </w:trPr>
        <w:tc>
          <w:tcPr>
            <w:tcW w:w="867" w:type="dxa"/>
            <w:tcBorders>
              <w:top w:val="nil"/>
              <w:left w:val="nil"/>
              <w:bottom w:val="nil"/>
              <w:right w:val="nil"/>
            </w:tcBorders>
            <w:shd w:val="clear" w:color="auto" w:fill="auto"/>
            <w:tcMar>
              <w:top w:w="-1" w:type="dxa"/>
              <w:left w:w="-1" w:type="dxa"/>
              <w:bottom w:w="-1" w:type="dxa"/>
              <w:right w:w="-1" w:type="dxa"/>
            </w:tcMar>
            <w:vAlign w:val="center"/>
          </w:tcPr>
          <w:p w14:paraId="60573B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8</w:t>
            </w:r>
          </w:p>
        </w:tc>
        <w:tc>
          <w:tcPr>
            <w:tcW w:w="2600" w:type="dxa"/>
            <w:tcBorders>
              <w:top w:val="nil"/>
              <w:left w:val="nil"/>
              <w:bottom w:val="nil"/>
              <w:right w:val="nil"/>
            </w:tcBorders>
            <w:shd w:val="clear" w:color="auto" w:fill="auto"/>
            <w:tcMar>
              <w:top w:w="-1" w:type="dxa"/>
              <w:left w:w="-1" w:type="dxa"/>
              <w:bottom w:w="-1" w:type="dxa"/>
              <w:right w:w="-1" w:type="dxa"/>
            </w:tcMar>
            <w:vAlign w:val="center"/>
          </w:tcPr>
          <w:p w14:paraId="240C170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eastAsia" w:ascii="仿宋_GB2312" w:hAnsi="Times New Roman" w:eastAsia="仿宋_GB2312" w:cs="仿宋_GB2312"/>
                <w:i w:val="0"/>
                <w:iCs w:val="0"/>
                <w:kern w:val="0"/>
                <w:sz w:val="24"/>
                <w:szCs w:val="24"/>
                <w:highlight w:val="none"/>
                <w:lang w:val="en-US" w:eastAsia="zh-CN" w:bidi="ar"/>
              </w:rPr>
              <w:t>锅炉房及后勤服务用房</w:t>
            </w:r>
          </w:p>
        </w:tc>
        <w:tc>
          <w:tcPr>
            <w:tcW w:w="1350" w:type="dxa"/>
            <w:tcBorders>
              <w:top w:val="nil"/>
              <w:left w:val="nil"/>
              <w:bottom w:val="nil"/>
              <w:right w:val="nil"/>
            </w:tcBorders>
            <w:shd w:val="clear" w:color="auto" w:fill="auto"/>
            <w:tcMar>
              <w:top w:w="-1" w:type="dxa"/>
              <w:left w:w="-1" w:type="dxa"/>
              <w:bottom w:w="-1" w:type="dxa"/>
              <w:right w:w="-1" w:type="dxa"/>
            </w:tcMar>
            <w:vAlign w:val="center"/>
          </w:tcPr>
          <w:p w14:paraId="7F8DFD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2806</w:t>
            </w:r>
          </w:p>
        </w:tc>
        <w:tc>
          <w:tcPr>
            <w:tcW w:w="1516" w:type="dxa"/>
            <w:tcBorders>
              <w:top w:val="nil"/>
              <w:left w:val="nil"/>
              <w:bottom w:val="nil"/>
              <w:right w:val="nil"/>
            </w:tcBorders>
            <w:shd w:val="clear" w:color="auto" w:fill="auto"/>
            <w:tcMar>
              <w:top w:w="-1" w:type="dxa"/>
              <w:left w:w="-1" w:type="dxa"/>
              <w:bottom w:w="-1" w:type="dxa"/>
              <w:right w:w="-1" w:type="dxa"/>
            </w:tcMar>
            <w:vAlign w:val="center"/>
          </w:tcPr>
          <w:p w14:paraId="2DCC7FD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eastAsia" w:ascii="仿宋_GB2312" w:hAnsi="@仿宋_GB2312" w:eastAsia="仿宋_GB2312" w:cs="仿宋_GB2312"/>
                <w:i w:val="0"/>
                <w:iCs w:val="0"/>
                <w:kern w:val="0"/>
                <w:sz w:val="24"/>
                <w:szCs w:val="24"/>
                <w:highlight w:val="none"/>
                <w:lang w:val="en-US" w:eastAsia="zh-CN" w:bidi="ar"/>
              </w:rPr>
              <w:t>框架</w:t>
            </w:r>
          </w:p>
        </w:tc>
        <w:tc>
          <w:tcPr>
            <w:tcW w:w="1467" w:type="dxa"/>
            <w:tcBorders>
              <w:top w:val="nil"/>
              <w:left w:val="nil"/>
              <w:bottom w:val="nil"/>
              <w:right w:val="nil"/>
            </w:tcBorders>
            <w:shd w:val="clear" w:color="auto" w:fill="auto"/>
            <w:tcMar>
              <w:top w:w="-1" w:type="dxa"/>
              <w:left w:w="-1" w:type="dxa"/>
              <w:bottom w:w="-1" w:type="dxa"/>
              <w:right w:w="-1" w:type="dxa"/>
            </w:tcMar>
            <w:vAlign w:val="center"/>
          </w:tcPr>
          <w:p w14:paraId="49EA662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2008</w:t>
            </w:r>
          </w:p>
        </w:tc>
        <w:tc>
          <w:tcPr>
            <w:tcW w:w="1777" w:type="dxa"/>
            <w:tcBorders>
              <w:top w:val="nil"/>
              <w:left w:val="nil"/>
              <w:bottom w:val="nil"/>
              <w:right w:val="nil"/>
            </w:tcBorders>
            <w:shd w:val="clear" w:color="auto" w:fill="auto"/>
            <w:tcMar>
              <w:top w:w="-1" w:type="dxa"/>
              <w:left w:w="-1" w:type="dxa"/>
              <w:bottom w:w="-1" w:type="dxa"/>
              <w:right w:w="-1" w:type="dxa"/>
            </w:tcMar>
            <w:vAlign w:val="center"/>
          </w:tcPr>
          <w:p w14:paraId="40BB92F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Times New Roman" w:hAnsi="Times New Roman" w:eastAsia="仿宋_GB2312" w:cs="Times New Roman"/>
                <w:b w:val="0"/>
                <w:bCs w:val="0"/>
                <w:kern w:val="2"/>
                <w:sz w:val="24"/>
                <w:szCs w:val="24"/>
                <w:highlight w:val="none"/>
              </w:rPr>
            </w:pPr>
            <w:r>
              <w:rPr>
                <w:rFonts w:hint="eastAsia" w:ascii="仿宋_GB2312" w:hAnsi="@仿宋_GB2312" w:eastAsia="仿宋_GB2312" w:cs="仿宋_GB2312"/>
                <w:b w:val="0"/>
                <w:bCs w:val="0"/>
                <w:kern w:val="2"/>
                <w:sz w:val="24"/>
                <w:szCs w:val="24"/>
                <w:highlight w:val="none"/>
                <w:lang w:val="en-US" w:eastAsia="zh-CN" w:bidi="ar"/>
              </w:rPr>
              <w:t>有电子、纸质图</w:t>
            </w:r>
          </w:p>
        </w:tc>
        <w:tc>
          <w:tcPr>
            <w:tcW w:w="1115" w:type="dxa"/>
            <w:tcBorders>
              <w:top w:val="nil"/>
              <w:left w:val="nil"/>
              <w:bottom w:val="nil"/>
              <w:right w:val="nil"/>
            </w:tcBorders>
            <w:shd w:val="clear" w:color="auto" w:fill="auto"/>
            <w:tcMar>
              <w:top w:w="-1" w:type="dxa"/>
              <w:left w:w="-1" w:type="dxa"/>
              <w:bottom w:w="-1" w:type="dxa"/>
              <w:right w:w="-1" w:type="dxa"/>
            </w:tcMar>
            <w:vAlign w:val="center"/>
          </w:tcPr>
          <w:p w14:paraId="71A38140">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kern w:val="2"/>
                <w:sz w:val="24"/>
                <w:szCs w:val="24"/>
                <w:highlight w:val="none"/>
              </w:rPr>
            </w:pPr>
          </w:p>
        </w:tc>
      </w:tr>
      <w:tr w14:paraId="6D1501B9">
        <w:tblPrEx>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atLeast"/>
          <w:jc w:val="center"/>
        </w:trPr>
        <w:tc>
          <w:tcPr>
            <w:tcW w:w="867" w:type="dxa"/>
            <w:tcBorders>
              <w:top w:val="nil"/>
              <w:left w:val="nil"/>
              <w:bottom w:val="nil"/>
              <w:right w:val="nil"/>
            </w:tcBorders>
            <w:shd w:val="clear" w:color="auto" w:fill="auto"/>
            <w:tcMar>
              <w:top w:w="-1" w:type="dxa"/>
              <w:left w:w="-1" w:type="dxa"/>
              <w:bottom w:w="-1" w:type="dxa"/>
              <w:right w:w="-1" w:type="dxa"/>
            </w:tcMar>
            <w:vAlign w:val="center"/>
          </w:tcPr>
          <w:p w14:paraId="4F1E64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9</w:t>
            </w:r>
          </w:p>
        </w:tc>
        <w:tc>
          <w:tcPr>
            <w:tcW w:w="2600" w:type="dxa"/>
            <w:tcBorders>
              <w:top w:val="nil"/>
              <w:left w:val="nil"/>
              <w:bottom w:val="nil"/>
              <w:right w:val="nil"/>
            </w:tcBorders>
            <w:shd w:val="clear" w:color="auto" w:fill="auto"/>
            <w:tcMar>
              <w:top w:w="-1" w:type="dxa"/>
              <w:left w:w="-1" w:type="dxa"/>
              <w:bottom w:w="-1" w:type="dxa"/>
              <w:right w:w="-1" w:type="dxa"/>
            </w:tcMar>
            <w:vAlign w:val="center"/>
          </w:tcPr>
          <w:p w14:paraId="16904E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1#</w:t>
            </w:r>
            <w:r>
              <w:rPr>
                <w:rFonts w:hint="eastAsia" w:ascii="仿宋_GB2312" w:hAnsi="Times New Roman" w:eastAsia="仿宋_GB2312" w:cs="仿宋_GB2312"/>
                <w:i w:val="0"/>
                <w:iCs w:val="0"/>
                <w:kern w:val="0"/>
                <w:sz w:val="24"/>
                <w:szCs w:val="24"/>
                <w:highlight w:val="none"/>
                <w:lang w:val="en-US" w:eastAsia="zh-CN" w:bidi="ar"/>
              </w:rPr>
              <w:t>学生食堂</w:t>
            </w:r>
          </w:p>
        </w:tc>
        <w:tc>
          <w:tcPr>
            <w:tcW w:w="1350" w:type="dxa"/>
            <w:tcBorders>
              <w:top w:val="nil"/>
              <w:left w:val="nil"/>
              <w:bottom w:val="nil"/>
              <w:right w:val="nil"/>
            </w:tcBorders>
            <w:shd w:val="clear" w:color="auto" w:fill="auto"/>
            <w:tcMar>
              <w:top w:w="-1" w:type="dxa"/>
              <w:left w:w="-1" w:type="dxa"/>
              <w:bottom w:w="-1" w:type="dxa"/>
              <w:right w:w="-1" w:type="dxa"/>
            </w:tcMar>
            <w:vAlign w:val="center"/>
          </w:tcPr>
          <w:p w14:paraId="5B9EDA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9759</w:t>
            </w:r>
          </w:p>
        </w:tc>
        <w:tc>
          <w:tcPr>
            <w:tcW w:w="1516" w:type="dxa"/>
            <w:tcBorders>
              <w:top w:val="nil"/>
              <w:left w:val="nil"/>
              <w:bottom w:val="nil"/>
              <w:right w:val="nil"/>
            </w:tcBorders>
            <w:shd w:val="clear" w:color="auto" w:fill="auto"/>
            <w:tcMar>
              <w:top w:w="-1" w:type="dxa"/>
              <w:left w:w="-1" w:type="dxa"/>
              <w:bottom w:w="-1" w:type="dxa"/>
              <w:right w:w="-1" w:type="dxa"/>
            </w:tcMar>
            <w:vAlign w:val="center"/>
          </w:tcPr>
          <w:p w14:paraId="165C8EE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eastAsia" w:ascii="仿宋_GB2312" w:hAnsi="@仿宋_GB2312" w:eastAsia="仿宋_GB2312" w:cs="仿宋_GB2312"/>
                <w:i w:val="0"/>
                <w:iCs w:val="0"/>
                <w:kern w:val="0"/>
                <w:sz w:val="24"/>
                <w:szCs w:val="24"/>
                <w:highlight w:val="none"/>
                <w:lang w:val="en-US" w:eastAsia="zh-CN" w:bidi="ar"/>
              </w:rPr>
              <w:t>框架</w:t>
            </w:r>
          </w:p>
        </w:tc>
        <w:tc>
          <w:tcPr>
            <w:tcW w:w="1467" w:type="dxa"/>
            <w:tcBorders>
              <w:top w:val="nil"/>
              <w:left w:val="nil"/>
              <w:bottom w:val="nil"/>
              <w:right w:val="nil"/>
            </w:tcBorders>
            <w:shd w:val="clear" w:color="auto" w:fill="auto"/>
            <w:tcMar>
              <w:top w:w="-1" w:type="dxa"/>
              <w:left w:w="-1" w:type="dxa"/>
              <w:bottom w:w="-1" w:type="dxa"/>
              <w:right w:w="-1" w:type="dxa"/>
            </w:tcMar>
            <w:vAlign w:val="center"/>
          </w:tcPr>
          <w:p w14:paraId="1EDA6DD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2008</w:t>
            </w:r>
          </w:p>
        </w:tc>
        <w:tc>
          <w:tcPr>
            <w:tcW w:w="1777" w:type="dxa"/>
            <w:tcBorders>
              <w:top w:val="nil"/>
              <w:left w:val="nil"/>
              <w:bottom w:val="nil"/>
              <w:right w:val="nil"/>
            </w:tcBorders>
            <w:shd w:val="clear" w:color="auto" w:fill="auto"/>
            <w:tcMar>
              <w:top w:w="-1" w:type="dxa"/>
              <w:left w:w="-1" w:type="dxa"/>
              <w:bottom w:w="-1" w:type="dxa"/>
              <w:right w:w="-1" w:type="dxa"/>
            </w:tcMar>
            <w:vAlign w:val="center"/>
          </w:tcPr>
          <w:p w14:paraId="24C70F6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Times New Roman" w:hAnsi="Times New Roman" w:eastAsia="仿宋_GB2312" w:cs="Times New Roman"/>
                <w:b w:val="0"/>
                <w:bCs w:val="0"/>
                <w:kern w:val="2"/>
                <w:sz w:val="24"/>
                <w:szCs w:val="24"/>
                <w:highlight w:val="none"/>
              </w:rPr>
            </w:pPr>
            <w:r>
              <w:rPr>
                <w:rFonts w:hint="eastAsia" w:ascii="仿宋_GB2312" w:hAnsi="@仿宋_GB2312" w:eastAsia="仿宋_GB2312" w:cs="仿宋_GB2312"/>
                <w:b w:val="0"/>
                <w:bCs w:val="0"/>
                <w:kern w:val="2"/>
                <w:sz w:val="24"/>
                <w:szCs w:val="24"/>
                <w:highlight w:val="none"/>
                <w:lang w:val="en-US" w:eastAsia="zh-CN" w:bidi="ar"/>
              </w:rPr>
              <w:t>有电子、纸质图</w:t>
            </w:r>
          </w:p>
        </w:tc>
        <w:tc>
          <w:tcPr>
            <w:tcW w:w="1115" w:type="dxa"/>
            <w:tcBorders>
              <w:top w:val="nil"/>
              <w:left w:val="nil"/>
              <w:bottom w:val="nil"/>
              <w:right w:val="nil"/>
            </w:tcBorders>
            <w:shd w:val="clear" w:color="auto" w:fill="auto"/>
            <w:tcMar>
              <w:top w:w="-1" w:type="dxa"/>
              <w:left w:w="-1" w:type="dxa"/>
              <w:bottom w:w="-1" w:type="dxa"/>
              <w:right w:w="-1" w:type="dxa"/>
            </w:tcMar>
            <w:vAlign w:val="center"/>
          </w:tcPr>
          <w:p w14:paraId="3583D25C">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kern w:val="2"/>
                <w:sz w:val="24"/>
                <w:szCs w:val="24"/>
                <w:highlight w:val="none"/>
              </w:rPr>
            </w:pPr>
          </w:p>
        </w:tc>
      </w:tr>
      <w:tr w14:paraId="52E1A24D">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867" w:type="dxa"/>
            <w:tcBorders>
              <w:top w:val="nil"/>
              <w:left w:val="nil"/>
              <w:bottom w:val="nil"/>
              <w:right w:val="nil"/>
            </w:tcBorders>
            <w:shd w:val="clear" w:color="auto" w:fill="auto"/>
            <w:tcMar>
              <w:top w:w="-1" w:type="dxa"/>
              <w:left w:w="-1" w:type="dxa"/>
              <w:bottom w:w="-1" w:type="dxa"/>
              <w:right w:w="-1" w:type="dxa"/>
            </w:tcMar>
            <w:vAlign w:val="center"/>
          </w:tcPr>
          <w:p w14:paraId="7348C08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10</w:t>
            </w:r>
          </w:p>
        </w:tc>
        <w:tc>
          <w:tcPr>
            <w:tcW w:w="2600" w:type="dxa"/>
            <w:tcBorders>
              <w:top w:val="nil"/>
              <w:left w:val="nil"/>
              <w:bottom w:val="nil"/>
              <w:right w:val="nil"/>
            </w:tcBorders>
            <w:shd w:val="clear" w:color="auto" w:fill="auto"/>
            <w:tcMar>
              <w:top w:w="-1" w:type="dxa"/>
              <w:left w:w="-1" w:type="dxa"/>
              <w:bottom w:w="-1" w:type="dxa"/>
              <w:right w:w="-1" w:type="dxa"/>
            </w:tcMar>
            <w:vAlign w:val="center"/>
          </w:tcPr>
          <w:p w14:paraId="2A374C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3#</w:t>
            </w:r>
            <w:r>
              <w:rPr>
                <w:rFonts w:hint="eastAsia" w:ascii="仿宋_GB2312" w:hAnsi="Times New Roman" w:eastAsia="仿宋_GB2312" w:cs="仿宋_GB2312"/>
                <w:i w:val="0"/>
                <w:iCs w:val="0"/>
                <w:kern w:val="0"/>
                <w:sz w:val="24"/>
                <w:szCs w:val="24"/>
                <w:highlight w:val="none"/>
                <w:lang w:val="en-US" w:eastAsia="zh-CN" w:bidi="ar"/>
              </w:rPr>
              <w:t>教学实验实训楼及合班教室</w:t>
            </w:r>
          </w:p>
        </w:tc>
        <w:tc>
          <w:tcPr>
            <w:tcW w:w="1350" w:type="dxa"/>
            <w:tcBorders>
              <w:top w:val="nil"/>
              <w:left w:val="nil"/>
              <w:bottom w:val="nil"/>
              <w:right w:val="nil"/>
            </w:tcBorders>
            <w:shd w:val="clear" w:color="auto" w:fill="auto"/>
            <w:tcMar>
              <w:top w:w="-1" w:type="dxa"/>
              <w:left w:w="-1" w:type="dxa"/>
              <w:bottom w:w="-1" w:type="dxa"/>
              <w:right w:w="-1" w:type="dxa"/>
            </w:tcMar>
            <w:vAlign w:val="center"/>
          </w:tcPr>
          <w:p w14:paraId="22BA569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5619</w:t>
            </w:r>
          </w:p>
        </w:tc>
        <w:tc>
          <w:tcPr>
            <w:tcW w:w="1516" w:type="dxa"/>
            <w:tcBorders>
              <w:top w:val="nil"/>
              <w:left w:val="nil"/>
              <w:bottom w:val="nil"/>
              <w:right w:val="nil"/>
            </w:tcBorders>
            <w:shd w:val="clear" w:color="auto" w:fill="auto"/>
            <w:tcMar>
              <w:top w:w="-1" w:type="dxa"/>
              <w:left w:w="-1" w:type="dxa"/>
              <w:bottom w:w="-1" w:type="dxa"/>
              <w:right w:w="-1" w:type="dxa"/>
            </w:tcMar>
            <w:vAlign w:val="center"/>
          </w:tcPr>
          <w:p w14:paraId="2D4278F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Times New Roman" w:hAnsi="Times New Roman" w:eastAsia="仿宋_GB2312" w:cs="Times New Roman"/>
                <w:i w:val="0"/>
                <w:iCs w:val="0"/>
                <w:kern w:val="0"/>
                <w:sz w:val="24"/>
                <w:szCs w:val="24"/>
                <w:highlight w:val="none"/>
              </w:rPr>
            </w:pPr>
            <w:r>
              <w:rPr>
                <w:rFonts w:hint="eastAsia" w:ascii="仿宋_GB2312" w:hAnsi="@仿宋_GB2312" w:eastAsia="仿宋_GB2312" w:cs="仿宋_GB2312"/>
                <w:i w:val="0"/>
                <w:iCs w:val="0"/>
                <w:kern w:val="0"/>
                <w:sz w:val="24"/>
                <w:szCs w:val="24"/>
                <w:highlight w:val="none"/>
                <w:lang w:val="en-US" w:eastAsia="zh-CN" w:bidi="ar"/>
              </w:rPr>
              <w:t>框架</w:t>
            </w:r>
          </w:p>
        </w:tc>
        <w:tc>
          <w:tcPr>
            <w:tcW w:w="1467" w:type="dxa"/>
            <w:tcBorders>
              <w:top w:val="nil"/>
              <w:left w:val="nil"/>
              <w:bottom w:val="nil"/>
              <w:right w:val="nil"/>
            </w:tcBorders>
            <w:shd w:val="clear" w:color="auto" w:fill="auto"/>
            <w:tcMar>
              <w:top w:w="-1" w:type="dxa"/>
              <w:left w:w="-1" w:type="dxa"/>
              <w:bottom w:w="-1" w:type="dxa"/>
              <w:right w:w="-1" w:type="dxa"/>
            </w:tcMar>
            <w:vAlign w:val="center"/>
          </w:tcPr>
          <w:p w14:paraId="2B3B54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2009</w:t>
            </w:r>
          </w:p>
        </w:tc>
        <w:tc>
          <w:tcPr>
            <w:tcW w:w="1777" w:type="dxa"/>
            <w:tcBorders>
              <w:top w:val="nil"/>
              <w:left w:val="nil"/>
              <w:bottom w:val="nil"/>
              <w:right w:val="nil"/>
            </w:tcBorders>
            <w:shd w:val="clear" w:color="auto" w:fill="auto"/>
            <w:tcMar>
              <w:top w:w="-1" w:type="dxa"/>
              <w:left w:w="-1" w:type="dxa"/>
              <w:bottom w:w="-1" w:type="dxa"/>
              <w:right w:w="-1" w:type="dxa"/>
            </w:tcMar>
            <w:vAlign w:val="center"/>
          </w:tcPr>
          <w:p w14:paraId="2F771EBD">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eastAsia" w:ascii="Times New Roman" w:hAnsi="Times New Roman" w:eastAsia="仿宋_GB2312" w:cs="Times New Roman"/>
                <w:b w:val="0"/>
                <w:bCs w:val="0"/>
                <w:kern w:val="2"/>
                <w:sz w:val="24"/>
                <w:szCs w:val="24"/>
                <w:highlight w:val="none"/>
              </w:rPr>
            </w:pPr>
            <w:r>
              <w:rPr>
                <w:rFonts w:hint="eastAsia" w:ascii="仿宋_GB2312" w:hAnsi="@仿宋_GB2312" w:eastAsia="仿宋_GB2312" w:cs="仿宋_GB2312"/>
                <w:b w:val="0"/>
                <w:bCs w:val="0"/>
                <w:kern w:val="2"/>
                <w:sz w:val="24"/>
                <w:szCs w:val="24"/>
                <w:highlight w:val="none"/>
                <w:lang w:val="en-US" w:eastAsia="zh-CN" w:bidi="ar"/>
              </w:rPr>
              <w:t>有电子、纸质图</w:t>
            </w:r>
          </w:p>
        </w:tc>
        <w:tc>
          <w:tcPr>
            <w:tcW w:w="1115" w:type="dxa"/>
            <w:tcBorders>
              <w:top w:val="nil"/>
              <w:left w:val="nil"/>
              <w:bottom w:val="nil"/>
              <w:right w:val="nil"/>
            </w:tcBorders>
            <w:shd w:val="clear" w:color="auto" w:fill="auto"/>
            <w:tcMar>
              <w:top w:w="-1" w:type="dxa"/>
              <w:left w:w="-1" w:type="dxa"/>
              <w:bottom w:w="-1" w:type="dxa"/>
              <w:right w:w="-1" w:type="dxa"/>
            </w:tcMar>
            <w:vAlign w:val="center"/>
          </w:tcPr>
          <w:p w14:paraId="09D5E2A9">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kern w:val="2"/>
                <w:sz w:val="24"/>
                <w:szCs w:val="24"/>
                <w:highlight w:val="none"/>
              </w:rPr>
            </w:pPr>
          </w:p>
        </w:tc>
      </w:tr>
      <w:tr w14:paraId="7AD5B6F4">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867" w:type="dxa"/>
            <w:tcBorders>
              <w:top w:val="nil"/>
              <w:left w:val="nil"/>
              <w:bottom w:val="nil"/>
              <w:right w:val="nil"/>
            </w:tcBorders>
            <w:shd w:val="clear" w:color="auto" w:fill="auto"/>
            <w:tcMar>
              <w:top w:w="-1" w:type="dxa"/>
              <w:left w:w="-1" w:type="dxa"/>
              <w:bottom w:w="-1" w:type="dxa"/>
              <w:right w:w="-1" w:type="dxa"/>
            </w:tcMar>
            <w:vAlign w:val="center"/>
          </w:tcPr>
          <w:p w14:paraId="5A0C1F2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11</w:t>
            </w:r>
          </w:p>
        </w:tc>
        <w:tc>
          <w:tcPr>
            <w:tcW w:w="2600" w:type="dxa"/>
            <w:tcBorders>
              <w:top w:val="nil"/>
              <w:left w:val="nil"/>
              <w:bottom w:val="nil"/>
              <w:right w:val="nil"/>
            </w:tcBorders>
            <w:shd w:val="clear" w:color="auto" w:fill="auto"/>
            <w:tcMar>
              <w:top w:w="-1" w:type="dxa"/>
              <w:left w:w="-1" w:type="dxa"/>
              <w:bottom w:w="-1" w:type="dxa"/>
              <w:right w:w="-1" w:type="dxa"/>
            </w:tcMar>
            <w:vAlign w:val="center"/>
          </w:tcPr>
          <w:p w14:paraId="5880C6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2#</w:t>
            </w:r>
            <w:r>
              <w:rPr>
                <w:rFonts w:hint="eastAsia" w:ascii="仿宋_GB2312" w:hAnsi="Times New Roman" w:eastAsia="仿宋_GB2312" w:cs="仿宋_GB2312"/>
                <w:i w:val="0"/>
                <w:iCs w:val="0"/>
                <w:kern w:val="0"/>
                <w:sz w:val="24"/>
                <w:szCs w:val="24"/>
                <w:highlight w:val="none"/>
                <w:lang w:val="en-US" w:eastAsia="zh-CN" w:bidi="ar"/>
              </w:rPr>
              <w:t>男生宿舍楼</w:t>
            </w:r>
          </w:p>
        </w:tc>
        <w:tc>
          <w:tcPr>
            <w:tcW w:w="1350" w:type="dxa"/>
            <w:tcBorders>
              <w:top w:val="nil"/>
              <w:left w:val="nil"/>
              <w:bottom w:val="nil"/>
              <w:right w:val="nil"/>
            </w:tcBorders>
            <w:shd w:val="clear" w:color="auto" w:fill="auto"/>
            <w:tcMar>
              <w:top w:w="-1" w:type="dxa"/>
              <w:left w:w="-1" w:type="dxa"/>
              <w:bottom w:w="-1" w:type="dxa"/>
              <w:right w:w="-1" w:type="dxa"/>
            </w:tcMar>
            <w:vAlign w:val="center"/>
          </w:tcPr>
          <w:p w14:paraId="3F791B3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18560</w:t>
            </w:r>
          </w:p>
        </w:tc>
        <w:tc>
          <w:tcPr>
            <w:tcW w:w="1516" w:type="dxa"/>
            <w:tcBorders>
              <w:top w:val="nil"/>
              <w:left w:val="nil"/>
              <w:bottom w:val="nil"/>
              <w:right w:val="nil"/>
            </w:tcBorders>
            <w:shd w:val="clear" w:color="auto" w:fill="auto"/>
            <w:tcMar>
              <w:top w:w="-1" w:type="dxa"/>
              <w:left w:w="-1" w:type="dxa"/>
              <w:bottom w:w="-1" w:type="dxa"/>
              <w:right w:w="-1" w:type="dxa"/>
            </w:tcMar>
            <w:vAlign w:val="center"/>
          </w:tcPr>
          <w:p w14:paraId="08EA792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eastAsia" w:ascii="仿宋_GB2312" w:hAnsi="@仿宋_GB2312" w:eastAsia="仿宋_GB2312" w:cs="仿宋_GB2312"/>
                <w:i w:val="0"/>
                <w:iCs w:val="0"/>
                <w:kern w:val="0"/>
                <w:sz w:val="24"/>
                <w:szCs w:val="24"/>
                <w:highlight w:val="none"/>
                <w:lang w:val="en-US" w:eastAsia="zh-CN" w:bidi="ar"/>
              </w:rPr>
              <w:t>框架</w:t>
            </w:r>
          </w:p>
        </w:tc>
        <w:tc>
          <w:tcPr>
            <w:tcW w:w="1467" w:type="dxa"/>
            <w:tcBorders>
              <w:top w:val="nil"/>
              <w:left w:val="nil"/>
              <w:bottom w:val="nil"/>
              <w:right w:val="nil"/>
            </w:tcBorders>
            <w:shd w:val="clear" w:color="auto" w:fill="auto"/>
            <w:tcMar>
              <w:top w:w="-1" w:type="dxa"/>
              <w:left w:w="-1" w:type="dxa"/>
              <w:bottom w:w="-1" w:type="dxa"/>
              <w:right w:w="-1" w:type="dxa"/>
            </w:tcMar>
            <w:vAlign w:val="center"/>
          </w:tcPr>
          <w:p w14:paraId="543DA2E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2009</w:t>
            </w:r>
          </w:p>
        </w:tc>
        <w:tc>
          <w:tcPr>
            <w:tcW w:w="1777" w:type="dxa"/>
            <w:tcBorders>
              <w:top w:val="nil"/>
              <w:left w:val="nil"/>
              <w:bottom w:val="nil"/>
              <w:right w:val="nil"/>
            </w:tcBorders>
            <w:shd w:val="clear" w:color="auto" w:fill="auto"/>
            <w:tcMar>
              <w:top w:w="-1" w:type="dxa"/>
              <w:left w:w="-1" w:type="dxa"/>
              <w:bottom w:w="-1" w:type="dxa"/>
              <w:right w:w="-1" w:type="dxa"/>
            </w:tcMar>
            <w:vAlign w:val="center"/>
          </w:tcPr>
          <w:p w14:paraId="07C5E4B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Times New Roman" w:hAnsi="Times New Roman" w:eastAsia="仿宋_GB2312" w:cs="Times New Roman"/>
                <w:b w:val="0"/>
                <w:bCs w:val="0"/>
                <w:kern w:val="2"/>
                <w:sz w:val="24"/>
                <w:szCs w:val="24"/>
                <w:highlight w:val="none"/>
              </w:rPr>
            </w:pPr>
            <w:r>
              <w:rPr>
                <w:rFonts w:hint="eastAsia" w:ascii="仿宋_GB2312" w:hAnsi="@仿宋_GB2312" w:eastAsia="仿宋_GB2312" w:cs="仿宋_GB2312"/>
                <w:b w:val="0"/>
                <w:bCs w:val="0"/>
                <w:kern w:val="2"/>
                <w:sz w:val="24"/>
                <w:szCs w:val="24"/>
                <w:highlight w:val="none"/>
                <w:lang w:val="en-US" w:eastAsia="zh-CN" w:bidi="ar"/>
              </w:rPr>
              <w:t>有电子、纸质图</w:t>
            </w:r>
          </w:p>
        </w:tc>
        <w:tc>
          <w:tcPr>
            <w:tcW w:w="1115" w:type="dxa"/>
            <w:tcBorders>
              <w:top w:val="nil"/>
              <w:left w:val="nil"/>
              <w:bottom w:val="nil"/>
              <w:right w:val="nil"/>
            </w:tcBorders>
            <w:shd w:val="clear" w:color="auto" w:fill="auto"/>
            <w:tcMar>
              <w:top w:w="-1" w:type="dxa"/>
              <w:left w:w="-1" w:type="dxa"/>
              <w:bottom w:w="-1" w:type="dxa"/>
              <w:right w:w="-1" w:type="dxa"/>
            </w:tcMar>
            <w:vAlign w:val="center"/>
          </w:tcPr>
          <w:p w14:paraId="595ED0CF">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kern w:val="2"/>
                <w:sz w:val="24"/>
                <w:szCs w:val="24"/>
                <w:highlight w:val="none"/>
              </w:rPr>
            </w:pPr>
          </w:p>
        </w:tc>
      </w:tr>
      <w:tr w14:paraId="53D3B790">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867" w:type="dxa"/>
            <w:tcBorders>
              <w:top w:val="nil"/>
              <w:left w:val="nil"/>
              <w:bottom w:val="nil"/>
              <w:right w:val="nil"/>
            </w:tcBorders>
            <w:shd w:val="clear" w:color="auto" w:fill="auto"/>
            <w:tcMar>
              <w:top w:w="-1" w:type="dxa"/>
              <w:left w:w="-1" w:type="dxa"/>
              <w:bottom w:w="-1" w:type="dxa"/>
              <w:right w:w="-1" w:type="dxa"/>
            </w:tcMar>
            <w:vAlign w:val="center"/>
          </w:tcPr>
          <w:p w14:paraId="3153DA3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12</w:t>
            </w:r>
          </w:p>
        </w:tc>
        <w:tc>
          <w:tcPr>
            <w:tcW w:w="2600" w:type="dxa"/>
            <w:tcBorders>
              <w:top w:val="nil"/>
              <w:left w:val="nil"/>
              <w:bottom w:val="nil"/>
              <w:right w:val="nil"/>
            </w:tcBorders>
            <w:shd w:val="clear" w:color="auto" w:fill="auto"/>
            <w:tcMar>
              <w:top w:w="-1" w:type="dxa"/>
              <w:left w:w="-1" w:type="dxa"/>
              <w:bottom w:w="-1" w:type="dxa"/>
              <w:right w:w="-1" w:type="dxa"/>
            </w:tcMar>
            <w:vAlign w:val="center"/>
          </w:tcPr>
          <w:p w14:paraId="4DBEB5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2#</w:t>
            </w:r>
            <w:r>
              <w:rPr>
                <w:rFonts w:hint="eastAsia" w:ascii="仿宋_GB2312" w:hAnsi="Times New Roman" w:eastAsia="仿宋_GB2312" w:cs="仿宋_GB2312"/>
                <w:i w:val="0"/>
                <w:iCs w:val="0"/>
                <w:kern w:val="0"/>
                <w:sz w:val="24"/>
                <w:szCs w:val="24"/>
                <w:highlight w:val="none"/>
                <w:lang w:val="en-US" w:eastAsia="zh-CN" w:bidi="ar"/>
              </w:rPr>
              <w:t>女生宿舍楼</w:t>
            </w:r>
          </w:p>
        </w:tc>
        <w:tc>
          <w:tcPr>
            <w:tcW w:w="1350" w:type="dxa"/>
            <w:tcBorders>
              <w:top w:val="nil"/>
              <w:left w:val="nil"/>
              <w:bottom w:val="nil"/>
              <w:right w:val="nil"/>
            </w:tcBorders>
            <w:shd w:val="clear" w:color="auto" w:fill="auto"/>
            <w:tcMar>
              <w:top w:w="-1" w:type="dxa"/>
              <w:left w:w="-1" w:type="dxa"/>
              <w:bottom w:w="-1" w:type="dxa"/>
              <w:right w:w="-1" w:type="dxa"/>
            </w:tcMar>
            <w:vAlign w:val="center"/>
          </w:tcPr>
          <w:p w14:paraId="57FE1A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18560</w:t>
            </w:r>
          </w:p>
        </w:tc>
        <w:tc>
          <w:tcPr>
            <w:tcW w:w="1516" w:type="dxa"/>
            <w:tcBorders>
              <w:top w:val="nil"/>
              <w:left w:val="nil"/>
              <w:bottom w:val="nil"/>
              <w:right w:val="nil"/>
            </w:tcBorders>
            <w:shd w:val="clear" w:color="auto" w:fill="auto"/>
            <w:tcMar>
              <w:top w:w="-1" w:type="dxa"/>
              <w:left w:w="-1" w:type="dxa"/>
              <w:bottom w:w="-1" w:type="dxa"/>
              <w:right w:w="-1" w:type="dxa"/>
            </w:tcMar>
            <w:vAlign w:val="center"/>
          </w:tcPr>
          <w:p w14:paraId="5D85D86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eastAsia" w:ascii="仿宋_GB2312" w:hAnsi="@仿宋_GB2312" w:eastAsia="仿宋_GB2312" w:cs="仿宋_GB2312"/>
                <w:i w:val="0"/>
                <w:iCs w:val="0"/>
                <w:kern w:val="0"/>
                <w:sz w:val="24"/>
                <w:szCs w:val="24"/>
                <w:highlight w:val="none"/>
                <w:lang w:val="en-US" w:eastAsia="zh-CN" w:bidi="ar"/>
              </w:rPr>
              <w:t>框架</w:t>
            </w:r>
          </w:p>
        </w:tc>
        <w:tc>
          <w:tcPr>
            <w:tcW w:w="1467" w:type="dxa"/>
            <w:tcBorders>
              <w:top w:val="nil"/>
              <w:left w:val="nil"/>
              <w:bottom w:val="nil"/>
              <w:right w:val="nil"/>
            </w:tcBorders>
            <w:shd w:val="clear" w:color="auto" w:fill="auto"/>
            <w:tcMar>
              <w:top w:w="-1" w:type="dxa"/>
              <w:left w:w="-1" w:type="dxa"/>
              <w:bottom w:w="-1" w:type="dxa"/>
              <w:right w:w="-1" w:type="dxa"/>
            </w:tcMar>
            <w:vAlign w:val="center"/>
          </w:tcPr>
          <w:p w14:paraId="1187304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2009</w:t>
            </w:r>
          </w:p>
        </w:tc>
        <w:tc>
          <w:tcPr>
            <w:tcW w:w="1777" w:type="dxa"/>
            <w:tcBorders>
              <w:top w:val="nil"/>
              <w:left w:val="nil"/>
              <w:bottom w:val="nil"/>
              <w:right w:val="nil"/>
            </w:tcBorders>
            <w:shd w:val="clear" w:color="auto" w:fill="auto"/>
            <w:tcMar>
              <w:top w:w="-1" w:type="dxa"/>
              <w:left w:w="-1" w:type="dxa"/>
              <w:bottom w:w="-1" w:type="dxa"/>
              <w:right w:w="-1" w:type="dxa"/>
            </w:tcMar>
            <w:vAlign w:val="center"/>
          </w:tcPr>
          <w:p w14:paraId="44BBE6F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Times New Roman" w:hAnsi="Times New Roman" w:eastAsia="仿宋_GB2312" w:cs="Times New Roman"/>
                <w:b w:val="0"/>
                <w:bCs w:val="0"/>
                <w:kern w:val="2"/>
                <w:sz w:val="24"/>
                <w:szCs w:val="24"/>
                <w:highlight w:val="none"/>
              </w:rPr>
            </w:pPr>
            <w:r>
              <w:rPr>
                <w:rFonts w:hint="eastAsia" w:ascii="仿宋_GB2312" w:hAnsi="@仿宋_GB2312" w:eastAsia="仿宋_GB2312" w:cs="仿宋_GB2312"/>
                <w:b w:val="0"/>
                <w:bCs w:val="0"/>
                <w:kern w:val="2"/>
                <w:sz w:val="24"/>
                <w:szCs w:val="24"/>
                <w:highlight w:val="none"/>
                <w:lang w:val="en-US" w:eastAsia="zh-CN" w:bidi="ar"/>
              </w:rPr>
              <w:t>有电子、纸质图</w:t>
            </w:r>
          </w:p>
        </w:tc>
        <w:tc>
          <w:tcPr>
            <w:tcW w:w="1115" w:type="dxa"/>
            <w:tcBorders>
              <w:top w:val="nil"/>
              <w:left w:val="nil"/>
              <w:bottom w:val="nil"/>
              <w:right w:val="nil"/>
            </w:tcBorders>
            <w:shd w:val="clear" w:color="auto" w:fill="auto"/>
            <w:tcMar>
              <w:top w:w="-1" w:type="dxa"/>
              <w:left w:w="-1" w:type="dxa"/>
              <w:bottom w:w="-1" w:type="dxa"/>
              <w:right w:w="-1" w:type="dxa"/>
            </w:tcMar>
            <w:vAlign w:val="center"/>
          </w:tcPr>
          <w:p w14:paraId="75EF053B">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kern w:val="2"/>
                <w:sz w:val="24"/>
                <w:szCs w:val="24"/>
                <w:highlight w:val="none"/>
              </w:rPr>
            </w:pPr>
          </w:p>
        </w:tc>
      </w:tr>
      <w:tr w14:paraId="600D2C2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867" w:type="dxa"/>
            <w:tcBorders>
              <w:top w:val="nil"/>
              <w:left w:val="nil"/>
              <w:bottom w:val="nil"/>
              <w:right w:val="nil"/>
            </w:tcBorders>
            <w:shd w:val="clear" w:color="auto" w:fill="auto"/>
            <w:tcMar>
              <w:top w:w="-1" w:type="dxa"/>
              <w:left w:w="-1" w:type="dxa"/>
              <w:bottom w:w="-1" w:type="dxa"/>
              <w:right w:w="-1" w:type="dxa"/>
            </w:tcMar>
            <w:vAlign w:val="center"/>
          </w:tcPr>
          <w:p w14:paraId="58373F0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13</w:t>
            </w:r>
          </w:p>
        </w:tc>
        <w:tc>
          <w:tcPr>
            <w:tcW w:w="2600" w:type="dxa"/>
            <w:tcBorders>
              <w:top w:val="nil"/>
              <w:left w:val="nil"/>
              <w:bottom w:val="nil"/>
              <w:right w:val="nil"/>
            </w:tcBorders>
            <w:shd w:val="clear" w:color="auto" w:fill="auto"/>
            <w:tcMar>
              <w:top w:w="-1" w:type="dxa"/>
              <w:left w:w="-1" w:type="dxa"/>
              <w:bottom w:w="-1" w:type="dxa"/>
              <w:right w:w="-1" w:type="dxa"/>
            </w:tcMar>
            <w:vAlign w:val="center"/>
          </w:tcPr>
          <w:p w14:paraId="7F3E675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2#</w:t>
            </w:r>
            <w:r>
              <w:rPr>
                <w:rFonts w:hint="eastAsia" w:ascii="仿宋_GB2312" w:hAnsi="Times New Roman" w:eastAsia="仿宋_GB2312" w:cs="仿宋_GB2312"/>
                <w:i w:val="0"/>
                <w:iCs w:val="0"/>
                <w:kern w:val="0"/>
                <w:sz w:val="24"/>
                <w:szCs w:val="24"/>
                <w:highlight w:val="none"/>
                <w:lang w:val="en-US" w:eastAsia="zh-CN" w:bidi="ar"/>
              </w:rPr>
              <w:t>学生食堂</w:t>
            </w:r>
          </w:p>
        </w:tc>
        <w:tc>
          <w:tcPr>
            <w:tcW w:w="1350" w:type="dxa"/>
            <w:tcBorders>
              <w:top w:val="nil"/>
              <w:left w:val="nil"/>
              <w:bottom w:val="nil"/>
              <w:right w:val="nil"/>
            </w:tcBorders>
            <w:shd w:val="clear" w:color="auto" w:fill="auto"/>
            <w:tcMar>
              <w:top w:w="-1" w:type="dxa"/>
              <w:left w:w="-1" w:type="dxa"/>
              <w:bottom w:w="-1" w:type="dxa"/>
              <w:right w:w="-1" w:type="dxa"/>
            </w:tcMar>
            <w:vAlign w:val="center"/>
          </w:tcPr>
          <w:p w14:paraId="7B46D95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9759</w:t>
            </w:r>
          </w:p>
        </w:tc>
        <w:tc>
          <w:tcPr>
            <w:tcW w:w="1516" w:type="dxa"/>
            <w:tcBorders>
              <w:top w:val="nil"/>
              <w:left w:val="nil"/>
              <w:bottom w:val="nil"/>
              <w:right w:val="nil"/>
            </w:tcBorders>
            <w:shd w:val="clear" w:color="auto" w:fill="auto"/>
            <w:tcMar>
              <w:top w:w="-1" w:type="dxa"/>
              <w:left w:w="-1" w:type="dxa"/>
              <w:bottom w:w="-1" w:type="dxa"/>
              <w:right w:w="-1" w:type="dxa"/>
            </w:tcMar>
            <w:vAlign w:val="center"/>
          </w:tcPr>
          <w:p w14:paraId="26D8A07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eastAsia" w:ascii="仿宋_GB2312" w:hAnsi="@仿宋_GB2312" w:eastAsia="仿宋_GB2312" w:cs="仿宋_GB2312"/>
                <w:i w:val="0"/>
                <w:iCs w:val="0"/>
                <w:kern w:val="0"/>
                <w:sz w:val="24"/>
                <w:szCs w:val="24"/>
                <w:highlight w:val="none"/>
                <w:lang w:val="en-US" w:eastAsia="zh-CN" w:bidi="ar"/>
              </w:rPr>
              <w:t>框架</w:t>
            </w:r>
          </w:p>
        </w:tc>
        <w:tc>
          <w:tcPr>
            <w:tcW w:w="1467" w:type="dxa"/>
            <w:tcBorders>
              <w:top w:val="nil"/>
              <w:left w:val="nil"/>
              <w:bottom w:val="nil"/>
              <w:right w:val="nil"/>
            </w:tcBorders>
            <w:shd w:val="clear" w:color="auto" w:fill="auto"/>
            <w:tcMar>
              <w:top w:w="-1" w:type="dxa"/>
              <w:left w:w="-1" w:type="dxa"/>
              <w:bottom w:w="-1" w:type="dxa"/>
              <w:right w:w="-1" w:type="dxa"/>
            </w:tcMar>
            <w:vAlign w:val="center"/>
          </w:tcPr>
          <w:p w14:paraId="65E1069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2010</w:t>
            </w:r>
          </w:p>
        </w:tc>
        <w:tc>
          <w:tcPr>
            <w:tcW w:w="1777" w:type="dxa"/>
            <w:tcBorders>
              <w:top w:val="nil"/>
              <w:left w:val="nil"/>
              <w:bottom w:val="nil"/>
              <w:right w:val="nil"/>
            </w:tcBorders>
            <w:shd w:val="clear" w:color="auto" w:fill="auto"/>
            <w:tcMar>
              <w:top w:w="-1" w:type="dxa"/>
              <w:left w:w="-1" w:type="dxa"/>
              <w:bottom w:w="-1" w:type="dxa"/>
              <w:right w:w="-1" w:type="dxa"/>
            </w:tcMar>
            <w:vAlign w:val="center"/>
          </w:tcPr>
          <w:p w14:paraId="6974A377">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eastAsia" w:ascii="Times New Roman" w:hAnsi="Times New Roman" w:eastAsia="仿宋_GB2312" w:cs="Times New Roman"/>
                <w:b w:val="0"/>
                <w:bCs w:val="0"/>
                <w:kern w:val="2"/>
                <w:sz w:val="24"/>
                <w:szCs w:val="24"/>
                <w:highlight w:val="none"/>
              </w:rPr>
            </w:pPr>
            <w:r>
              <w:rPr>
                <w:rFonts w:hint="eastAsia" w:ascii="仿宋_GB2312" w:hAnsi="@仿宋_GB2312" w:eastAsia="仿宋_GB2312" w:cs="仿宋_GB2312"/>
                <w:b w:val="0"/>
                <w:bCs w:val="0"/>
                <w:kern w:val="2"/>
                <w:sz w:val="24"/>
                <w:szCs w:val="24"/>
                <w:highlight w:val="none"/>
                <w:lang w:val="en-US" w:eastAsia="zh-CN" w:bidi="ar"/>
              </w:rPr>
              <w:t>有电子、纸质图</w:t>
            </w:r>
          </w:p>
        </w:tc>
        <w:tc>
          <w:tcPr>
            <w:tcW w:w="1115" w:type="dxa"/>
            <w:tcBorders>
              <w:top w:val="nil"/>
              <w:left w:val="nil"/>
              <w:bottom w:val="nil"/>
              <w:right w:val="nil"/>
            </w:tcBorders>
            <w:shd w:val="clear" w:color="auto" w:fill="auto"/>
            <w:tcMar>
              <w:top w:w="-1" w:type="dxa"/>
              <w:left w:w="-1" w:type="dxa"/>
              <w:bottom w:w="-1" w:type="dxa"/>
              <w:right w:w="-1" w:type="dxa"/>
            </w:tcMar>
            <w:vAlign w:val="center"/>
          </w:tcPr>
          <w:p w14:paraId="7782D13E">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kern w:val="2"/>
                <w:sz w:val="24"/>
                <w:szCs w:val="24"/>
                <w:highlight w:val="none"/>
              </w:rPr>
            </w:pPr>
          </w:p>
        </w:tc>
      </w:tr>
      <w:tr w14:paraId="4A1942E7">
        <w:tblPrEx>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atLeast"/>
          <w:jc w:val="center"/>
        </w:trPr>
        <w:tc>
          <w:tcPr>
            <w:tcW w:w="867" w:type="dxa"/>
            <w:tcBorders>
              <w:top w:val="nil"/>
              <w:left w:val="nil"/>
              <w:bottom w:val="nil"/>
              <w:right w:val="nil"/>
            </w:tcBorders>
            <w:shd w:val="clear" w:color="auto" w:fill="auto"/>
            <w:tcMar>
              <w:top w:w="-1" w:type="dxa"/>
              <w:left w:w="-1" w:type="dxa"/>
              <w:bottom w:w="-1" w:type="dxa"/>
              <w:right w:w="-1" w:type="dxa"/>
            </w:tcMar>
            <w:vAlign w:val="center"/>
          </w:tcPr>
          <w:p w14:paraId="690C7C7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14</w:t>
            </w:r>
          </w:p>
        </w:tc>
        <w:tc>
          <w:tcPr>
            <w:tcW w:w="2600" w:type="dxa"/>
            <w:tcBorders>
              <w:top w:val="nil"/>
              <w:left w:val="nil"/>
              <w:bottom w:val="nil"/>
              <w:right w:val="nil"/>
            </w:tcBorders>
            <w:shd w:val="clear" w:color="auto" w:fill="auto"/>
            <w:tcMar>
              <w:top w:w="-1" w:type="dxa"/>
              <w:left w:w="-1" w:type="dxa"/>
              <w:bottom w:w="-1" w:type="dxa"/>
              <w:right w:w="-1" w:type="dxa"/>
            </w:tcMar>
            <w:vAlign w:val="center"/>
          </w:tcPr>
          <w:p w14:paraId="79AD7AD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3#</w:t>
            </w:r>
            <w:r>
              <w:rPr>
                <w:rFonts w:hint="eastAsia" w:ascii="仿宋_GB2312" w:hAnsi="Times New Roman" w:eastAsia="仿宋_GB2312" w:cs="仿宋_GB2312"/>
                <w:i w:val="0"/>
                <w:iCs w:val="0"/>
                <w:kern w:val="0"/>
                <w:sz w:val="24"/>
                <w:szCs w:val="24"/>
                <w:highlight w:val="none"/>
                <w:lang w:val="en-US" w:eastAsia="zh-CN" w:bidi="ar"/>
              </w:rPr>
              <w:t>男生宿舍楼</w:t>
            </w:r>
          </w:p>
        </w:tc>
        <w:tc>
          <w:tcPr>
            <w:tcW w:w="1350" w:type="dxa"/>
            <w:tcBorders>
              <w:top w:val="nil"/>
              <w:left w:val="nil"/>
              <w:bottom w:val="nil"/>
              <w:right w:val="nil"/>
            </w:tcBorders>
            <w:shd w:val="clear" w:color="auto" w:fill="auto"/>
            <w:tcMar>
              <w:top w:w="-1" w:type="dxa"/>
              <w:left w:w="-1" w:type="dxa"/>
              <w:bottom w:w="-1" w:type="dxa"/>
              <w:right w:w="-1" w:type="dxa"/>
            </w:tcMar>
            <w:vAlign w:val="center"/>
          </w:tcPr>
          <w:p w14:paraId="5111AE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18560</w:t>
            </w:r>
          </w:p>
        </w:tc>
        <w:tc>
          <w:tcPr>
            <w:tcW w:w="1516" w:type="dxa"/>
            <w:tcBorders>
              <w:top w:val="nil"/>
              <w:left w:val="nil"/>
              <w:bottom w:val="nil"/>
              <w:right w:val="nil"/>
            </w:tcBorders>
            <w:shd w:val="clear" w:color="auto" w:fill="auto"/>
            <w:tcMar>
              <w:top w:w="-1" w:type="dxa"/>
              <w:left w:w="-1" w:type="dxa"/>
              <w:bottom w:w="-1" w:type="dxa"/>
              <w:right w:w="-1" w:type="dxa"/>
            </w:tcMar>
            <w:vAlign w:val="center"/>
          </w:tcPr>
          <w:p w14:paraId="515ECD8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eastAsia" w:ascii="仿宋_GB2312" w:hAnsi="@仿宋_GB2312" w:eastAsia="仿宋_GB2312" w:cs="仿宋_GB2312"/>
                <w:i w:val="0"/>
                <w:iCs w:val="0"/>
                <w:kern w:val="0"/>
                <w:sz w:val="24"/>
                <w:szCs w:val="24"/>
                <w:highlight w:val="none"/>
                <w:lang w:val="en-US" w:eastAsia="zh-CN" w:bidi="ar"/>
              </w:rPr>
              <w:t>框架</w:t>
            </w:r>
          </w:p>
        </w:tc>
        <w:tc>
          <w:tcPr>
            <w:tcW w:w="1467" w:type="dxa"/>
            <w:tcBorders>
              <w:top w:val="nil"/>
              <w:left w:val="nil"/>
              <w:bottom w:val="nil"/>
              <w:right w:val="nil"/>
            </w:tcBorders>
            <w:shd w:val="clear" w:color="auto" w:fill="auto"/>
            <w:tcMar>
              <w:top w:w="-1" w:type="dxa"/>
              <w:left w:w="-1" w:type="dxa"/>
              <w:bottom w:w="-1" w:type="dxa"/>
              <w:right w:w="-1" w:type="dxa"/>
            </w:tcMar>
            <w:vAlign w:val="center"/>
          </w:tcPr>
          <w:p w14:paraId="5E0D4C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2010</w:t>
            </w:r>
          </w:p>
        </w:tc>
        <w:tc>
          <w:tcPr>
            <w:tcW w:w="1777" w:type="dxa"/>
            <w:tcBorders>
              <w:top w:val="nil"/>
              <w:left w:val="nil"/>
              <w:bottom w:val="nil"/>
              <w:right w:val="nil"/>
            </w:tcBorders>
            <w:shd w:val="clear" w:color="auto" w:fill="auto"/>
            <w:tcMar>
              <w:top w:w="-1" w:type="dxa"/>
              <w:left w:w="-1" w:type="dxa"/>
              <w:bottom w:w="-1" w:type="dxa"/>
              <w:right w:w="-1" w:type="dxa"/>
            </w:tcMar>
            <w:vAlign w:val="center"/>
          </w:tcPr>
          <w:p w14:paraId="0B3E9E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Times New Roman" w:hAnsi="Times New Roman" w:eastAsia="仿宋_GB2312" w:cs="Times New Roman"/>
                <w:b w:val="0"/>
                <w:bCs w:val="0"/>
                <w:kern w:val="2"/>
                <w:sz w:val="24"/>
                <w:szCs w:val="24"/>
                <w:highlight w:val="none"/>
              </w:rPr>
            </w:pPr>
            <w:r>
              <w:rPr>
                <w:rFonts w:hint="eastAsia" w:ascii="仿宋_GB2312" w:hAnsi="@仿宋_GB2312" w:eastAsia="仿宋_GB2312" w:cs="仿宋_GB2312"/>
                <w:b w:val="0"/>
                <w:bCs w:val="0"/>
                <w:kern w:val="2"/>
                <w:sz w:val="24"/>
                <w:szCs w:val="24"/>
                <w:highlight w:val="none"/>
                <w:lang w:val="en-US" w:eastAsia="zh-CN" w:bidi="ar"/>
              </w:rPr>
              <w:t>有电子、纸质图</w:t>
            </w:r>
          </w:p>
        </w:tc>
        <w:tc>
          <w:tcPr>
            <w:tcW w:w="1115" w:type="dxa"/>
            <w:tcBorders>
              <w:top w:val="nil"/>
              <w:left w:val="nil"/>
              <w:bottom w:val="nil"/>
              <w:right w:val="nil"/>
            </w:tcBorders>
            <w:shd w:val="clear" w:color="auto" w:fill="auto"/>
            <w:tcMar>
              <w:top w:w="-1" w:type="dxa"/>
              <w:left w:w="-1" w:type="dxa"/>
              <w:bottom w:w="-1" w:type="dxa"/>
              <w:right w:w="-1" w:type="dxa"/>
            </w:tcMar>
            <w:vAlign w:val="center"/>
          </w:tcPr>
          <w:p w14:paraId="6EE00851">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kern w:val="2"/>
                <w:sz w:val="24"/>
                <w:szCs w:val="24"/>
                <w:highlight w:val="none"/>
              </w:rPr>
            </w:pPr>
          </w:p>
        </w:tc>
      </w:tr>
      <w:tr w14:paraId="590BBC5C">
        <w:tblPrEx>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atLeast"/>
          <w:jc w:val="center"/>
        </w:trPr>
        <w:tc>
          <w:tcPr>
            <w:tcW w:w="867" w:type="dxa"/>
            <w:tcBorders>
              <w:top w:val="nil"/>
              <w:left w:val="nil"/>
              <w:bottom w:val="nil"/>
              <w:right w:val="nil"/>
            </w:tcBorders>
            <w:shd w:val="clear" w:color="auto" w:fill="auto"/>
            <w:tcMar>
              <w:top w:w="-1" w:type="dxa"/>
              <w:left w:w="-1" w:type="dxa"/>
              <w:bottom w:w="-1" w:type="dxa"/>
              <w:right w:w="-1" w:type="dxa"/>
            </w:tcMar>
            <w:vAlign w:val="center"/>
          </w:tcPr>
          <w:p w14:paraId="4BF10D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15</w:t>
            </w:r>
          </w:p>
        </w:tc>
        <w:tc>
          <w:tcPr>
            <w:tcW w:w="2600" w:type="dxa"/>
            <w:tcBorders>
              <w:top w:val="nil"/>
              <w:left w:val="nil"/>
              <w:bottom w:val="nil"/>
              <w:right w:val="nil"/>
            </w:tcBorders>
            <w:shd w:val="clear" w:color="auto" w:fill="auto"/>
            <w:tcMar>
              <w:top w:w="-1" w:type="dxa"/>
              <w:left w:w="-1" w:type="dxa"/>
              <w:bottom w:w="-1" w:type="dxa"/>
              <w:right w:w="-1" w:type="dxa"/>
            </w:tcMar>
            <w:vAlign w:val="center"/>
          </w:tcPr>
          <w:p w14:paraId="7E417CA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eastAsia" w:ascii="仿宋_GB2312" w:hAnsi="Times New Roman" w:eastAsia="仿宋_GB2312" w:cs="仿宋_GB2312"/>
                <w:i w:val="0"/>
                <w:iCs w:val="0"/>
                <w:kern w:val="0"/>
                <w:sz w:val="24"/>
                <w:szCs w:val="24"/>
                <w:highlight w:val="none"/>
                <w:lang w:val="en-US" w:eastAsia="zh-CN" w:bidi="ar"/>
              </w:rPr>
              <w:t>综合楼</w:t>
            </w:r>
          </w:p>
        </w:tc>
        <w:tc>
          <w:tcPr>
            <w:tcW w:w="1350" w:type="dxa"/>
            <w:tcBorders>
              <w:top w:val="nil"/>
              <w:left w:val="nil"/>
              <w:bottom w:val="nil"/>
              <w:right w:val="nil"/>
            </w:tcBorders>
            <w:shd w:val="clear" w:color="auto" w:fill="auto"/>
            <w:tcMar>
              <w:top w:w="-1" w:type="dxa"/>
              <w:left w:w="-1" w:type="dxa"/>
              <w:bottom w:w="-1" w:type="dxa"/>
              <w:right w:w="-1" w:type="dxa"/>
            </w:tcMar>
            <w:vAlign w:val="center"/>
          </w:tcPr>
          <w:p w14:paraId="1E089F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34154</w:t>
            </w:r>
          </w:p>
        </w:tc>
        <w:tc>
          <w:tcPr>
            <w:tcW w:w="1516" w:type="dxa"/>
            <w:tcBorders>
              <w:top w:val="nil"/>
              <w:left w:val="nil"/>
              <w:bottom w:val="nil"/>
              <w:right w:val="nil"/>
            </w:tcBorders>
            <w:shd w:val="clear" w:color="auto" w:fill="auto"/>
            <w:tcMar>
              <w:top w:w="-1" w:type="dxa"/>
              <w:left w:w="-1" w:type="dxa"/>
              <w:bottom w:w="-1" w:type="dxa"/>
              <w:right w:w="-1" w:type="dxa"/>
            </w:tcMar>
            <w:vAlign w:val="center"/>
          </w:tcPr>
          <w:p w14:paraId="5FAA13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eastAsia" w:ascii="仿宋_GB2312" w:hAnsi="@仿宋_GB2312" w:eastAsia="仿宋_GB2312" w:cs="仿宋_GB2312"/>
                <w:i w:val="0"/>
                <w:iCs w:val="0"/>
                <w:kern w:val="0"/>
                <w:sz w:val="24"/>
                <w:szCs w:val="24"/>
                <w:highlight w:val="none"/>
                <w:lang w:val="en-US" w:eastAsia="zh-CN" w:bidi="ar"/>
              </w:rPr>
              <w:t>框架</w:t>
            </w:r>
          </w:p>
        </w:tc>
        <w:tc>
          <w:tcPr>
            <w:tcW w:w="1467" w:type="dxa"/>
            <w:tcBorders>
              <w:top w:val="nil"/>
              <w:left w:val="nil"/>
              <w:bottom w:val="nil"/>
              <w:right w:val="nil"/>
            </w:tcBorders>
            <w:shd w:val="clear" w:color="auto" w:fill="auto"/>
            <w:tcMar>
              <w:top w:w="-1" w:type="dxa"/>
              <w:left w:w="-1" w:type="dxa"/>
              <w:bottom w:w="-1" w:type="dxa"/>
              <w:right w:w="-1" w:type="dxa"/>
            </w:tcMar>
            <w:vAlign w:val="center"/>
          </w:tcPr>
          <w:p w14:paraId="737ED49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2011</w:t>
            </w:r>
          </w:p>
        </w:tc>
        <w:tc>
          <w:tcPr>
            <w:tcW w:w="1777" w:type="dxa"/>
            <w:tcBorders>
              <w:top w:val="nil"/>
              <w:left w:val="nil"/>
              <w:bottom w:val="nil"/>
              <w:right w:val="nil"/>
            </w:tcBorders>
            <w:shd w:val="clear" w:color="auto" w:fill="auto"/>
            <w:tcMar>
              <w:top w:w="-1" w:type="dxa"/>
              <w:left w:w="-1" w:type="dxa"/>
              <w:bottom w:w="-1" w:type="dxa"/>
              <w:right w:w="-1" w:type="dxa"/>
            </w:tcMar>
            <w:vAlign w:val="center"/>
          </w:tcPr>
          <w:p w14:paraId="7E9406B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Times New Roman" w:hAnsi="Times New Roman" w:eastAsia="仿宋_GB2312" w:cs="Times New Roman"/>
                <w:b w:val="0"/>
                <w:bCs w:val="0"/>
                <w:kern w:val="2"/>
                <w:sz w:val="24"/>
                <w:szCs w:val="24"/>
                <w:highlight w:val="none"/>
              </w:rPr>
            </w:pPr>
            <w:r>
              <w:rPr>
                <w:rFonts w:hint="eastAsia" w:ascii="仿宋_GB2312" w:hAnsi="@仿宋_GB2312" w:eastAsia="仿宋_GB2312" w:cs="仿宋_GB2312"/>
                <w:b w:val="0"/>
                <w:bCs w:val="0"/>
                <w:kern w:val="2"/>
                <w:sz w:val="24"/>
                <w:szCs w:val="24"/>
                <w:highlight w:val="none"/>
                <w:lang w:val="en-US" w:eastAsia="zh-CN" w:bidi="ar"/>
              </w:rPr>
              <w:t>有电子、纸质图</w:t>
            </w:r>
          </w:p>
        </w:tc>
        <w:tc>
          <w:tcPr>
            <w:tcW w:w="1115" w:type="dxa"/>
            <w:tcBorders>
              <w:top w:val="nil"/>
              <w:left w:val="nil"/>
              <w:bottom w:val="nil"/>
              <w:right w:val="nil"/>
            </w:tcBorders>
            <w:shd w:val="clear" w:color="auto" w:fill="auto"/>
            <w:tcMar>
              <w:top w:w="-1" w:type="dxa"/>
              <w:left w:w="-1" w:type="dxa"/>
              <w:bottom w:w="-1" w:type="dxa"/>
              <w:right w:w="-1" w:type="dxa"/>
            </w:tcMar>
            <w:vAlign w:val="center"/>
          </w:tcPr>
          <w:p w14:paraId="7ECF2B61">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kern w:val="2"/>
                <w:sz w:val="24"/>
                <w:szCs w:val="24"/>
                <w:highlight w:val="none"/>
              </w:rPr>
            </w:pPr>
          </w:p>
        </w:tc>
      </w:tr>
      <w:tr w14:paraId="0B6FFE1F">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867" w:type="dxa"/>
            <w:tcBorders>
              <w:top w:val="nil"/>
              <w:left w:val="nil"/>
              <w:bottom w:val="nil"/>
              <w:right w:val="nil"/>
            </w:tcBorders>
            <w:shd w:val="clear" w:color="auto" w:fill="auto"/>
            <w:tcMar>
              <w:top w:w="-1" w:type="dxa"/>
              <w:left w:w="-1" w:type="dxa"/>
              <w:bottom w:w="-1" w:type="dxa"/>
              <w:right w:w="-1" w:type="dxa"/>
            </w:tcMar>
            <w:vAlign w:val="center"/>
          </w:tcPr>
          <w:p w14:paraId="0B28DB8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16</w:t>
            </w:r>
          </w:p>
        </w:tc>
        <w:tc>
          <w:tcPr>
            <w:tcW w:w="2600" w:type="dxa"/>
            <w:tcBorders>
              <w:top w:val="nil"/>
              <w:left w:val="nil"/>
              <w:bottom w:val="nil"/>
              <w:right w:val="nil"/>
            </w:tcBorders>
            <w:shd w:val="clear" w:color="auto" w:fill="auto"/>
            <w:tcMar>
              <w:top w:w="-1" w:type="dxa"/>
              <w:left w:w="-1" w:type="dxa"/>
              <w:bottom w:w="-1" w:type="dxa"/>
              <w:right w:w="-1" w:type="dxa"/>
            </w:tcMar>
            <w:vAlign w:val="center"/>
          </w:tcPr>
          <w:p w14:paraId="27E05A3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7#</w:t>
            </w:r>
            <w:r>
              <w:rPr>
                <w:rFonts w:hint="eastAsia" w:ascii="仿宋_GB2312" w:hAnsi="Times New Roman" w:eastAsia="仿宋_GB2312" w:cs="仿宋_GB2312"/>
                <w:i w:val="0"/>
                <w:iCs w:val="0"/>
                <w:kern w:val="0"/>
                <w:sz w:val="24"/>
                <w:szCs w:val="24"/>
                <w:highlight w:val="none"/>
                <w:lang w:val="en-US" w:eastAsia="zh-CN" w:bidi="ar"/>
              </w:rPr>
              <w:t>教学实验实训楼</w:t>
            </w:r>
          </w:p>
        </w:tc>
        <w:tc>
          <w:tcPr>
            <w:tcW w:w="1350" w:type="dxa"/>
            <w:tcBorders>
              <w:top w:val="nil"/>
              <w:left w:val="nil"/>
              <w:bottom w:val="nil"/>
              <w:right w:val="nil"/>
            </w:tcBorders>
            <w:shd w:val="clear" w:color="auto" w:fill="auto"/>
            <w:tcMar>
              <w:top w:w="-1" w:type="dxa"/>
              <w:left w:w="-1" w:type="dxa"/>
              <w:bottom w:w="-1" w:type="dxa"/>
              <w:right w:w="-1" w:type="dxa"/>
            </w:tcMar>
            <w:vAlign w:val="center"/>
          </w:tcPr>
          <w:p w14:paraId="4A3EA8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15744</w:t>
            </w:r>
          </w:p>
        </w:tc>
        <w:tc>
          <w:tcPr>
            <w:tcW w:w="1516" w:type="dxa"/>
            <w:tcBorders>
              <w:top w:val="nil"/>
              <w:left w:val="nil"/>
              <w:bottom w:val="nil"/>
              <w:right w:val="nil"/>
            </w:tcBorders>
            <w:shd w:val="clear" w:color="auto" w:fill="auto"/>
            <w:tcMar>
              <w:top w:w="-1" w:type="dxa"/>
              <w:left w:w="-1" w:type="dxa"/>
              <w:bottom w:w="-1" w:type="dxa"/>
              <w:right w:w="-1" w:type="dxa"/>
            </w:tcMar>
            <w:vAlign w:val="center"/>
          </w:tcPr>
          <w:p w14:paraId="22E3BE3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eastAsia" w:ascii="仿宋_GB2312" w:hAnsi="@仿宋_GB2312" w:eastAsia="仿宋_GB2312" w:cs="仿宋_GB2312"/>
                <w:i w:val="0"/>
                <w:iCs w:val="0"/>
                <w:kern w:val="0"/>
                <w:sz w:val="24"/>
                <w:szCs w:val="24"/>
                <w:highlight w:val="none"/>
                <w:lang w:val="en-US" w:eastAsia="zh-CN" w:bidi="ar"/>
              </w:rPr>
              <w:t>框架</w:t>
            </w:r>
          </w:p>
        </w:tc>
        <w:tc>
          <w:tcPr>
            <w:tcW w:w="1467" w:type="dxa"/>
            <w:tcBorders>
              <w:top w:val="nil"/>
              <w:left w:val="nil"/>
              <w:bottom w:val="nil"/>
              <w:right w:val="nil"/>
            </w:tcBorders>
            <w:shd w:val="clear" w:color="auto" w:fill="auto"/>
            <w:tcMar>
              <w:top w:w="-1" w:type="dxa"/>
              <w:left w:w="-1" w:type="dxa"/>
              <w:bottom w:w="-1" w:type="dxa"/>
              <w:right w:w="-1" w:type="dxa"/>
            </w:tcMar>
            <w:vAlign w:val="center"/>
          </w:tcPr>
          <w:p w14:paraId="2A89DA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2011</w:t>
            </w:r>
          </w:p>
        </w:tc>
        <w:tc>
          <w:tcPr>
            <w:tcW w:w="1777" w:type="dxa"/>
            <w:tcBorders>
              <w:top w:val="nil"/>
              <w:left w:val="nil"/>
              <w:bottom w:val="nil"/>
              <w:right w:val="nil"/>
            </w:tcBorders>
            <w:shd w:val="clear" w:color="auto" w:fill="auto"/>
            <w:tcMar>
              <w:top w:w="-1" w:type="dxa"/>
              <w:left w:w="-1" w:type="dxa"/>
              <w:bottom w:w="-1" w:type="dxa"/>
              <w:right w:w="-1" w:type="dxa"/>
            </w:tcMar>
            <w:vAlign w:val="center"/>
          </w:tcPr>
          <w:p w14:paraId="341C8A1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Times New Roman" w:hAnsi="Times New Roman" w:eastAsia="仿宋_GB2312" w:cs="Times New Roman"/>
                <w:b w:val="0"/>
                <w:bCs w:val="0"/>
                <w:kern w:val="2"/>
                <w:sz w:val="24"/>
                <w:szCs w:val="24"/>
                <w:highlight w:val="none"/>
              </w:rPr>
            </w:pPr>
            <w:r>
              <w:rPr>
                <w:rFonts w:hint="eastAsia" w:ascii="仿宋_GB2312" w:hAnsi="@仿宋_GB2312" w:eastAsia="仿宋_GB2312" w:cs="仿宋_GB2312"/>
                <w:b w:val="0"/>
                <w:bCs w:val="0"/>
                <w:kern w:val="2"/>
                <w:sz w:val="24"/>
                <w:szCs w:val="24"/>
                <w:highlight w:val="none"/>
                <w:lang w:val="en-US" w:eastAsia="zh-CN" w:bidi="ar"/>
              </w:rPr>
              <w:t>有电子、纸质图</w:t>
            </w:r>
          </w:p>
        </w:tc>
        <w:tc>
          <w:tcPr>
            <w:tcW w:w="1115" w:type="dxa"/>
            <w:tcBorders>
              <w:top w:val="nil"/>
              <w:left w:val="nil"/>
              <w:bottom w:val="nil"/>
              <w:right w:val="nil"/>
            </w:tcBorders>
            <w:shd w:val="clear" w:color="auto" w:fill="auto"/>
            <w:tcMar>
              <w:top w:w="-1" w:type="dxa"/>
              <w:left w:w="-1" w:type="dxa"/>
              <w:bottom w:w="-1" w:type="dxa"/>
              <w:right w:w="-1" w:type="dxa"/>
            </w:tcMar>
            <w:vAlign w:val="center"/>
          </w:tcPr>
          <w:p w14:paraId="02DC62DF">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kern w:val="2"/>
                <w:sz w:val="24"/>
                <w:szCs w:val="24"/>
                <w:highlight w:val="none"/>
              </w:rPr>
            </w:pPr>
          </w:p>
        </w:tc>
      </w:tr>
      <w:tr w14:paraId="105D538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867" w:type="dxa"/>
            <w:tcBorders>
              <w:top w:val="nil"/>
              <w:left w:val="nil"/>
              <w:bottom w:val="single" w:color="auto" w:sz="12" w:space="0"/>
              <w:right w:val="nil"/>
            </w:tcBorders>
            <w:shd w:val="clear" w:color="auto" w:fill="auto"/>
            <w:tcMar>
              <w:top w:w="-1" w:type="dxa"/>
              <w:left w:w="-1" w:type="dxa"/>
              <w:bottom w:w="-1" w:type="dxa"/>
              <w:right w:w="-1" w:type="dxa"/>
            </w:tcMar>
            <w:vAlign w:val="center"/>
          </w:tcPr>
          <w:p w14:paraId="2BAF81E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17</w:t>
            </w:r>
          </w:p>
        </w:tc>
        <w:tc>
          <w:tcPr>
            <w:tcW w:w="2600" w:type="dxa"/>
            <w:tcBorders>
              <w:top w:val="nil"/>
              <w:left w:val="nil"/>
              <w:bottom w:val="single" w:color="auto" w:sz="12" w:space="0"/>
              <w:right w:val="nil"/>
            </w:tcBorders>
            <w:shd w:val="clear" w:color="auto" w:fill="auto"/>
            <w:tcMar>
              <w:top w:w="-1" w:type="dxa"/>
              <w:left w:w="-1" w:type="dxa"/>
              <w:bottom w:w="-1" w:type="dxa"/>
              <w:right w:w="-1" w:type="dxa"/>
            </w:tcMar>
            <w:vAlign w:val="center"/>
          </w:tcPr>
          <w:p w14:paraId="4883750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eastAsia" w:ascii="仿宋_GB2312" w:hAnsi="Times New Roman" w:eastAsia="仿宋_GB2312" w:cs="仿宋_GB2312"/>
                <w:i w:val="0"/>
                <w:iCs w:val="0"/>
                <w:kern w:val="0"/>
                <w:sz w:val="24"/>
                <w:szCs w:val="24"/>
                <w:highlight w:val="none"/>
                <w:lang w:val="en-US" w:eastAsia="zh-CN" w:bidi="ar"/>
              </w:rPr>
              <w:t>体育场看台</w:t>
            </w:r>
          </w:p>
        </w:tc>
        <w:tc>
          <w:tcPr>
            <w:tcW w:w="1350" w:type="dxa"/>
            <w:tcBorders>
              <w:top w:val="nil"/>
              <w:left w:val="nil"/>
              <w:bottom w:val="single" w:color="auto" w:sz="12" w:space="0"/>
              <w:right w:val="nil"/>
            </w:tcBorders>
            <w:shd w:val="clear" w:color="auto" w:fill="auto"/>
            <w:tcMar>
              <w:top w:w="-1" w:type="dxa"/>
              <w:left w:w="-1" w:type="dxa"/>
              <w:bottom w:w="-1" w:type="dxa"/>
              <w:right w:w="-1" w:type="dxa"/>
            </w:tcMar>
            <w:vAlign w:val="center"/>
          </w:tcPr>
          <w:p w14:paraId="6C98F6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2492</w:t>
            </w:r>
          </w:p>
        </w:tc>
        <w:tc>
          <w:tcPr>
            <w:tcW w:w="1516" w:type="dxa"/>
            <w:tcBorders>
              <w:top w:val="nil"/>
              <w:left w:val="nil"/>
              <w:bottom w:val="single" w:color="auto" w:sz="12" w:space="0"/>
              <w:right w:val="nil"/>
            </w:tcBorders>
            <w:shd w:val="clear" w:color="auto" w:fill="auto"/>
            <w:tcMar>
              <w:top w:w="-1" w:type="dxa"/>
              <w:left w:w="-1" w:type="dxa"/>
              <w:bottom w:w="-1" w:type="dxa"/>
              <w:right w:w="-1" w:type="dxa"/>
            </w:tcMar>
            <w:vAlign w:val="center"/>
          </w:tcPr>
          <w:p w14:paraId="0CAFA81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eastAsia" w:ascii="仿宋_GB2312" w:hAnsi="@仿宋_GB2312" w:eastAsia="仿宋_GB2312" w:cs="仿宋_GB2312"/>
                <w:i w:val="0"/>
                <w:iCs w:val="0"/>
                <w:kern w:val="0"/>
                <w:sz w:val="24"/>
                <w:szCs w:val="24"/>
                <w:highlight w:val="none"/>
                <w:lang w:val="en-US" w:eastAsia="zh-CN" w:bidi="ar"/>
              </w:rPr>
              <w:t>框架</w:t>
            </w:r>
          </w:p>
        </w:tc>
        <w:tc>
          <w:tcPr>
            <w:tcW w:w="1467" w:type="dxa"/>
            <w:tcBorders>
              <w:top w:val="nil"/>
              <w:left w:val="nil"/>
              <w:bottom w:val="single" w:color="auto" w:sz="12" w:space="0"/>
              <w:right w:val="nil"/>
            </w:tcBorders>
            <w:shd w:val="clear" w:color="auto" w:fill="auto"/>
            <w:tcMar>
              <w:top w:w="-1" w:type="dxa"/>
              <w:left w:w="-1" w:type="dxa"/>
              <w:bottom w:w="-1" w:type="dxa"/>
              <w:right w:w="-1" w:type="dxa"/>
            </w:tcMar>
            <w:vAlign w:val="center"/>
          </w:tcPr>
          <w:p w14:paraId="56851F8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Times New Roman" w:hAnsi="Times New Roman" w:eastAsia="仿宋_GB2312" w:cs="Times New Roman"/>
                <w:i w:val="0"/>
                <w:iCs w:val="0"/>
                <w:kern w:val="0"/>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2011</w:t>
            </w:r>
          </w:p>
        </w:tc>
        <w:tc>
          <w:tcPr>
            <w:tcW w:w="1777" w:type="dxa"/>
            <w:tcBorders>
              <w:top w:val="nil"/>
              <w:left w:val="nil"/>
              <w:bottom w:val="single" w:color="auto" w:sz="12" w:space="0"/>
              <w:right w:val="nil"/>
            </w:tcBorders>
            <w:shd w:val="clear" w:color="auto" w:fill="auto"/>
            <w:tcMar>
              <w:top w:w="-1" w:type="dxa"/>
              <w:left w:w="-1" w:type="dxa"/>
              <w:bottom w:w="-1" w:type="dxa"/>
              <w:right w:w="-1" w:type="dxa"/>
            </w:tcMar>
            <w:vAlign w:val="center"/>
          </w:tcPr>
          <w:p w14:paraId="6B1F29EA">
            <w:pPr>
              <w:keepNext w:val="0"/>
              <w:keepLines w:val="0"/>
              <w:widowControl w:val="0"/>
              <w:suppressLineNumbers w:val="0"/>
              <w:snapToGrid w:val="0"/>
              <w:spacing w:before="0" w:beforeAutospacing="0" w:after="0" w:afterAutospacing="0"/>
              <w:ind w:left="0" w:leftChars="0" w:right="0" w:rightChars="0" w:firstLine="0" w:firstLineChars="0"/>
              <w:jc w:val="center"/>
              <w:rPr>
                <w:rFonts w:hint="eastAsia" w:ascii="Times New Roman" w:hAnsi="@仿宋_GB2312" w:eastAsia="仿宋_GB2312" w:cs="Times New Roman"/>
                <w:i w:val="0"/>
                <w:iCs w:val="0"/>
                <w:kern w:val="0"/>
                <w:sz w:val="24"/>
                <w:szCs w:val="24"/>
                <w:highlight w:val="none"/>
              </w:rPr>
            </w:pPr>
            <w:r>
              <w:rPr>
                <w:rFonts w:hint="eastAsia" w:ascii="仿宋_GB2312" w:hAnsi="@仿宋_GB2312" w:eastAsia="仿宋_GB2312" w:cs="仿宋_GB2312"/>
                <w:b w:val="0"/>
                <w:bCs w:val="0"/>
                <w:kern w:val="2"/>
                <w:sz w:val="24"/>
                <w:szCs w:val="24"/>
                <w:highlight w:val="none"/>
                <w:lang w:val="en-US" w:eastAsia="zh-CN" w:bidi="ar"/>
              </w:rPr>
              <w:t>有电子、纸质图</w:t>
            </w:r>
          </w:p>
        </w:tc>
        <w:tc>
          <w:tcPr>
            <w:tcW w:w="1115" w:type="dxa"/>
            <w:tcBorders>
              <w:top w:val="nil"/>
              <w:left w:val="nil"/>
              <w:bottom w:val="single" w:color="auto" w:sz="12" w:space="0"/>
              <w:right w:val="nil"/>
            </w:tcBorders>
            <w:shd w:val="clear" w:color="auto" w:fill="auto"/>
            <w:tcMar>
              <w:top w:w="-1" w:type="dxa"/>
              <w:left w:w="-1" w:type="dxa"/>
              <w:bottom w:w="-1" w:type="dxa"/>
              <w:right w:w="-1" w:type="dxa"/>
            </w:tcMar>
            <w:vAlign w:val="center"/>
          </w:tcPr>
          <w:p w14:paraId="19692E10">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kern w:val="2"/>
                <w:sz w:val="24"/>
                <w:szCs w:val="24"/>
                <w:highlight w:val="none"/>
              </w:rPr>
            </w:pPr>
          </w:p>
        </w:tc>
      </w:tr>
    </w:tbl>
    <w:p w14:paraId="21EAD6AD">
      <w:pPr>
        <w:pStyle w:val="20"/>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autoSpaceDE w:val="0"/>
        <w:autoSpaceDN/>
        <w:spacing w:before="0" w:beforeAutospacing="0" w:after="0" w:afterAutospacing="0" w:line="560" w:lineRule="exact"/>
        <w:ind w:left="420" w:leftChars="0" w:right="0" w:hanging="420" w:firstLineChars="0"/>
        <w:jc w:val="both"/>
        <w:rPr>
          <w:rFonts w:hint="default" w:ascii="Times New Roman" w:hAnsi="Times New Roman" w:eastAsia="仿宋_GB2312" w:cs="Times New Roman"/>
          <w:i w:val="0"/>
          <w:iCs w:val="0"/>
          <w:kern w:val="0"/>
          <w:sz w:val="24"/>
          <w:szCs w:val="24"/>
          <w:highlight w:val="none"/>
          <w:shd w:val="clear" w:fill="FFFFFF"/>
        </w:rPr>
      </w:pPr>
      <w:r>
        <w:rPr>
          <w:rFonts w:hint="eastAsia" w:ascii="仿宋_GB2312" w:hAnsi="Times New Roman" w:eastAsia="仿宋_GB2312" w:cs="仿宋_GB2312"/>
          <w:i w:val="0"/>
          <w:iCs w:val="0"/>
          <w:kern w:val="0"/>
          <w:sz w:val="24"/>
          <w:szCs w:val="24"/>
          <w:highlight w:val="none"/>
          <w:shd w:val="clear" w:fill="FFFFFF"/>
          <w:lang w:val="en-US" w:eastAsia="zh-CN" w:bidi="ar"/>
        </w:rPr>
        <w:t>总建筑面积：</w:t>
      </w:r>
      <w:r>
        <w:rPr>
          <w:rFonts w:hint="eastAsia" w:ascii="@仿宋_GB2312" w:hAnsi="@仿宋_GB2312" w:eastAsia="@仿宋_GB2312" w:cs="@仿宋_GB2312"/>
          <w:i w:val="0"/>
          <w:iCs w:val="0"/>
          <w:kern w:val="0"/>
          <w:sz w:val="24"/>
          <w:szCs w:val="24"/>
          <w:highlight w:val="none"/>
          <w:shd w:val="clear" w:fill="FFFFFF"/>
          <w:lang w:val="en-US" w:eastAsia="zh-CN" w:bidi="ar"/>
        </w:rPr>
        <w:t>225803.26</w:t>
      </w:r>
      <w:r>
        <w:rPr>
          <w:rFonts w:hint="eastAsia" w:ascii="仿宋_GB2312" w:hAnsi="@仿宋_GB2312" w:eastAsia="仿宋_GB2312" w:cs="仿宋_GB2312"/>
          <w:i w:val="0"/>
          <w:iCs w:val="0"/>
          <w:kern w:val="0"/>
          <w:sz w:val="24"/>
          <w:szCs w:val="24"/>
          <w:highlight w:val="none"/>
          <w:shd w:val="clear" w:fill="FFFFFF"/>
          <w:lang w:val="en-US" w:eastAsia="zh-CN" w:bidi="ar"/>
        </w:rPr>
        <w:t>㎡</w:t>
      </w:r>
    </w:p>
    <w:p w14:paraId="76A14B43">
      <w:pPr>
        <w:keepNext w:val="0"/>
        <w:keepLines w:val="0"/>
        <w:widowControl w:val="0"/>
        <w:suppressLineNumbers w:val="0"/>
        <w:spacing w:before="0" w:beforeAutospacing="0" w:after="0" w:afterAutospacing="0"/>
        <w:ind w:left="0" w:right="0"/>
        <w:jc w:val="both"/>
        <w:rPr>
          <w:kern w:val="2"/>
          <w:sz w:val="21"/>
          <w:szCs w:val="21"/>
          <w:highlight w:val="none"/>
        </w:rPr>
      </w:pPr>
    </w:p>
    <w:p w14:paraId="1A382EF9">
      <w:pPr>
        <w:pStyle w:val="20"/>
        <w:keepNext w:val="0"/>
        <w:keepLines w:val="0"/>
        <w:widowControl w:val="0"/>
        <w:suppressLineNumbers w:val="0"/>
        <w:pBdr>
          <w:top w:val="none" w:color="auto" w:sz="0" w:space="0"/>
          <w:left w:val="none" w:color="auto" w:sz="0" w:space="0"/>
          <w:bottom w:val="none" w:color="auto" w:sz="0" w:space="0"/>
          <w:right w:val="none" w:color="auto" w:sz="0" w:space="0"/>
        </w:pBdr>
        <w:shd w:val="clear" w:fill="FFFFFF"/>
        <w:wordWrap w:val="0"/>
        <w:autoSpaceDE w:val="0"/>
        <w:autoSpaceDN/>
        <w:spacing w:before="0" w:beforeAutospacing="0" w:after="0" w:afterAutospacing="0" w:line="560" w:lineRule="exact"/>
        <w:ind w:left="0" w:right="0"/>
        <w:jc w:val="left"/>
        <w:rPr>
          <w:rFonts w:hint="default" w:ascii="Times New Roman" w:hAnsi="Times New Roman" w:eastAsia="仿宋_GB2312" w:cs="Times New Roman"/>
          <w:b w:val="0"/>
          <w:bCs w:val="0"/>
          <w:i w:val="0"/>
          <w:iCs w:val="0"/>
          <w:caps w:val="0"/>
          <w:spacing w:val="0"/>
          <w:kern w:val="2"/>
          <w:sz w:val="32"/>
          <w:szCs w:val="32"/>
          <w:highlight w:val="none"/>
          <w:shd w:val="clear" w:fill="FFFFFF"/>
        </w:rPr>
      </w:pPr>
      <w:r>
        <w:rPr>
          <w:rFonts w:hint="default" w:ascii="仿宋_GB2312" w:hAnsi="Times New Roman" w:eastAsia="仿宋_GB2312" w:cs="仿宋_GB2312"/>
          <w:b w:val="0"/>
          <w:bCs w:val="0"/>
          <w:i w:val="0"/>
          <w:iCs w:val="0"/>
          <w:caps w:val="0"/>
          <w:spacing w:val="0"/>
          <w:kern w:val="2"/>
          <w:sz w:val="32"/>
          <w:szCs w:val="32"/>
          <w:highlight w:val="none"/>
          <w:shd w:val="clear" w:fill="FFFFFF"/>
          <w:lang w:val="en-US" w:eastAsia="zh-CN" w:bidi="ar"/>
        </w:rPr>
        <w:t>附件</w:t>
      </w:r>
      <w:r>
        <w:rPr>
          <w:rFonts w:hint="default" w:ascii="Times New Roman" w:hAnsi="Times New Roman" w:eastAsia="仿宋_GB2312" w:cs="Times New Roman"/>
          <w:b w:val="0"/>
          <w:bCs w:val="0"/>
          <w:i w:val="0"/>
          <w:iCs w:val="0"/>
          <w:caps w:val="0"/>
          <w:spacing w:val="0"/>
          <w:kern w:val="2"/>
          <w:sz w:val="32"/>
          <w:szCs w:val="32"/>
          <w:highlight w:val="none"/>
          <w:shd w:val="clear" w:fill="FFFFFF"/>
          <w:lang w:val="en-US" w:eastAsia="zh-CN" w:bidi="ar"/>
        </w:rPr>
        <w:t>2</w:t>
      </w:r>
    </w:p>
    <w:p w14:paraId="5217A933">
      <w:pPr>
        <w:keepNext w:val="0"/>
        <w:keepLines w:val="0"/>
        <w:widowControl w:val="0"/>
        <w:suppressLineNumbers w:val="0"/>
        <w:autoSpaceDE w:val="0"/>
        <w:autoSpaceDN/>
        <w:spacing w:before="0" w:beforeAutospacing="0" w:after="0" w:afterAutospacing="0" w:line="400" w:lineRule="exact"/>
        <w:ind w:left="0" w:right="0"/>
        <w:jc w:val="center"/>
        <w:rPr>
          <w:rFonts w:hint="default" w:ascii="方正小标宋简体" w:hAnsi="方正小标宋简体" w:eastAsia="方正小标宋简体" w:cs="方正小标宋简体"/>
          <w:b w:val="0"/>
          <w:bCs w:val="0"/>
          <w:kern w:val="2"/>
          <w:sz w:val="36"/>
          <w:szCs w:val="36"/>
          <w:highlight w:val="none"/>
        </w:rPr>
      </w:pPr>
      <w:r>
        <w:rPr>
          <w:rFonts w:hint="default" w:ascii="方正小标宋简体" w:hAnsi="方正小标宋简体" w:eastAsia="方正小标宋简体" w:cs="方正小标宋简体"/>
          <w:b w:val="0"/>
          <w:bCs w:val="0"/>
          <w:kern w:val="2"/>
          <w:sz w:val="36"/>
          <w:szCs w:val="36"/>
          <w:highlight w:val="none"/>
          <w:lang w:val="en-US" w:eastAsia="zh-CN" w:bidi="ar"/>
        </w:rPr>
        <w:t>滁州职业技术学院南校区（技师学院）楼宇规模统计表（</w:t>
      </w:r>
      <w:r>
        <w:rPr>
          <w:rFonts w:hint="eastAsia" w:ascii="方正小标宋简体" w:hAnsi="方正小标宋简体" w:eastAsia="方正小标宋简体" w:cs="方正小标宋简体"/>
          <w:b w:val="0"/>
          <w:bCs w:val="0"/>
          <w:kern w:val="2"/>
          <w:sz w:val="36"/>
          <w:szCs w:val="36"/>
          <w:highlight w:val="none"/>
          <w:lang w:val="en-US" w:eastAsia="zh-CN" w:bidi="ar"/>
        </w:rPr>
        <w:t>质量安全鉴定</w:t>
      </w:r>
      <w:r>
        <w:rPr>
          <w:rFonts w:hint="default" w:ascii="方正小标宋简体" w:hAnsi="方正小标宋简体" w:eastAsia="方正小标宋简体" w:cs="方正小标宋简体"/>
          <w:b w:val="0"/>
          <w:bCs w:val="0"/>
          <w:kern w:val="2"/>
          <w:sz w:val="36"/>
          <w:szCs w:val="36"/>
          <w:highlight w:val="none"/>
          <w:lang w:val="en-US" w:eastAsia="zh-CN" w:bidi="ar"/>
        </w:rPr>
        <w:t>）</w:t>
      </w:r>
    </w:p>
    <w:p w14:paraId="3BCAED18">
      <w:pPr>
        <w:keepNext w:val="0"/>
        <w:keepLines w:val="0"/>
        <w:widowControl w:val="0"/>
        <w:suppressLineNumbers w:val="0"/>
        <w:autoSpaceDE w:val="0"/>
        <w:autoSpaceDN/>
        <w:spacing w:before="0" w:beforeAutospacing="0" w:after="0" w:afterAutospacing="0" w:line="400" w:lineRule="exact"/>
        <w:ind w:left="0" w:right="0" w:firstLine="360" w:firstLineChars="100"/>
        <w:jc w:val="center"/>
        <w:rPr>
          <w:rFonts w:hint="default" w:ascii="方正小标宋简体" w:hAnsi="方正小标宋简体" w:eastAsia="方正小标宋简体" w:cs="方正小标宋简体"/>
          <w:b w:val="0"/>
          <w:bCs w:val="0"/>
          <w:kern w:val="2"/>
          <w:sz w:val="36"/>
          <w:szCs w:val="36"/>
          <w:highlight w:val="none"/>
        </w:rPr>
      </w:pPr>
      <w:r>
        <w:rPr>
          <w:rFonts w:hint="default" w:ascii="方正小标宋简体" w:hAnsi="方正小标宋简体" w:eastAsia="方正小标宋简体" w:cs="方正小标宋简体"/>
          <w:b w:val="0"/>
          <w:bCs w:val="0"/>
          <w:kern w:val="2"/>
          <w:sz w:val="36"/>
          <w:szCs w:val="36"/>
          <w:highlight w:val="none"/>
          <w:lang w:val="en-US" w:eastAsia="zh-CN" w:bidi="ar"/>
        </w:rPr>
        <w:t xml:space="preserve"> </w:t>
      </w:r>
    </w:p>
    <w:tbl>
      <w:tblPr>
        <w:tblStyle w:val="25"/>
        <w:tblW w:w="10762"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auto" w:fill="auto"/>
        <w:tblLayout w:type="autofit"/>
        <w:tblCellMar>
          <w:top w:w="0" w:type="dxa"/>
          <w:left w:w="108" w:type="dxa"/>
          <w:bottom w:w="0" w:type="dxa"/>
          <w:right w:w="108" w:type="dxa"/>
        </w:tblCellMar>
      </w:tblPr>
      <w:tblGrid>
        <w:gridCol w:w="898"/>
        <w:gridCol w:w="1730"/>
        <w:gridCol w:w="1460"/>
        <w:gridCol w:w="1536"/>
        <w:gridCol w:w="1741"/>
        <w:gridCol w:w="1741"/>
        <w:gridCol w:w="1656"/>
      </w:tblGrid>
      <w:tr w14:paraId="3D37E422">
        <w:tblPrEx>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737" w:hRule="atLeast"/>
          <w:jc w:val="center"/>
        </w:trPr>
        <w:tc>
          <w:tcPr>
            <w:tcW w:w="898" w:type="dxa"/>
            <w:tcBorders>
              <w:top w:val="single" w:color="auto" w:sz="12" w:space="0"/>
              <w:left w:val="nil"/>
              <w:bottom w:val="nil"/>
              <w:right w:val="nil"/>
            </w:tcBorders>
            <w:shd w:val="clear" w:color="auto" w:fill="auto"/>
            <w:tcMar>
              <w:top w:w="-1" w:type="dxa"/>
              <w:left w:w="-1" w:type="dxa"/>
              <w:bottom w:w="-1" w:type="dxa"/>
              <w:right w:w="-1" w:type="dxa"/>
            </w:tcMar>
            <w:vAlign w:val="center"/>
          </w:tcPr>
          <w:p w14:paraId="1E355261">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eastAsia" w:ascii="黑体" w:hAnsi="宋体" w:eastAsia="黑体" w:cs="黑体"/>
                <w:b/>
                <w:bCs w:val="0"/>
                <w:kern w:val="2"/>
                <w:sz w:val="28"/>
                <w:szCs w:val="28"/>
                <w:highlight w:val="none"/>
              </w:rPr>
            </w:pPr>
            <w:r>
              <w:rPr>
                <w:rFonts w:hint="eastAsia" w:ascii="黑体" w:hAnsi="宋体" w:eastAsia="黑体" w:cs="黑体"/>
                <w:b/>
                <w:bCs w:val="0"/>
                <w:kern w:val="2"/>
                <w:sz w:val="28"/>
                <w:szCs w:val="28"/>
                <w:highlight w:val="none"/>
                <w:lang w:val="en-US" w:eastAsia="zh-CN" w:bidi="ar"/>
              </w:rPr>
              <w:t>序号</w:t>
            </w:r>
          </w:p>
        </w:tc>
        <w:tc>
          <w:tcPr>
            <w:tcW w:w="1730" w:type="dxa"/>
            <w:tcBorders>
              <w:top w:val="single" w:color="auto" w:sz="12" w:space="0"/>
              <w:left w:val="nil"/>
              <w:bottom w:val="nil"/>
              <w:right w:val="nil"/>
            </w:tcBorders>
            <w:shd w:val="clear" w:color="auto" w:fill="auto"/>
            <w:tcMar>
              <w:top w:w="-1" w:type="dxa"/>
              <w:left w:w="-1" w:type="dxa"/>
              <w:bottom w:w="-1" w:type="dxa"/>
              <w:right w:w="-1" w:type="dxa"/>
            </w:tcMar>
            <w:vAlign w:val="center"/>
          </w:tcPr>
          <w:p w14:paraId="3611B98C">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eastAsia" w:ascii="黑体" w:hAnsi="宋体" w:eastAsia="黑体" w:cs="黑体"/>
                <w:b/>
                <w:bCs w:val="0"/>
                <w:kern w:val="2"/>
                <w:sz w:val="28"/>
                <w:szCs w:val="28"/>
                <w:highlight w:val="none"/>
              </w:rPr>
            </w:pPr>
            <w:r>
              <w:rPr>
                <w:rFonts w:hint="eastAsia" w:ascii="黑体" w:hAnsi="宋体" w:eastAsia="黑体" w:cs="黑体"/>
                <w:b/>
                <w:bCs w:val="0"/>
                <w:kern w:val="2"/>
                <w:sz w:val="28"/>
                <w:szCs w:val="28"/>
                <w:highlight w:val="none"/>
                <w:lang w:val="en-US" w:eastAsia="zh-CN" w:bidi="ar"/>
              </w:rPr>
              <w:t>项目名称</w:t>
            </w:r>
          </w:p>
        </w:tc>
        <w:tc>
          <w:tcPr>
            <w:tcW w:w="1460" w:type="dxa"/>
            <w:tcBorders>
              <w:top w:val="single" w:color="auto" w:sz="12" w:space="0"/>
              <w:left w:val="nil"/>
              <w:bottom w:val="nil"/>
              <w:right w:val="nil"/>
            </w:tcBorders>
            <w:shd w:val="clear" w:color="auto" w:fill="auto"/>
            <w:tcMar>
              <w:top w:w="-1" w:type="dxa"/>
              <w:left w:w="-1" w:type="dxa"/>
              <w:bottom w:w="-1" w:type="dxa"/>
              <w:right w:w="-1" w:type="dxa"/>
            </w:tcMar>
            <w:vAlign w:val="center"/>
          </w:tcPr>
          <w:p w14:paraId="010308A1">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eastAsia" w:ascii="黑体" w:hAnsi="宋体" w:eastAsia="黑体" w:cs="黑体"/>
                <w:b/>
                <w:bCs w:val="0"/>
                <w:kern w:val="2"/>
                <w:sz w:val="28"/>
                <w:szCs w:val="28"/>
                <w:highlight w:val="none"/>
              </w:rPr>
            </w:pPr>
            <w:r>
              <w:rPr>
                <w:rFonts w:hint="eastAsia" w:ascii="黑体" w:hAnsi="宋体" w:eastAsia="黑体" w:cs="黑体"/>
                <w:b/>
                <w:bCs w:val="0"/>
                <w:kern w:val="2"/>
                <w:sz w:val="28"/>
                <w:szCs w:val="28"/>
                <w:highlight w:val="none"/>
                <w:lang w:val="en-US" w:eastAsia="zh-CN" w:bidi="ar"/>
              </w:rPr>
              <w:t>项目面积</w:t>
            </w:r>
          </w:p>
          <w:p w14:paraId="08FF6006">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eastAsia" w:ascii="黑体" w:hAnsi="宋体" w:eastAsia="黑体" w:cs="黑体"/>
                <w:b/>
                <w:bCs w:val="0"/>
                <w:kern w:val="2"/>
                <w:sz w:val="28"/>
                <w:szCs w:val="28"/>
                <w:highlight w:val="none"/>
              </w:rPr>
            </w:pPr>
            <w:r>
              <w:rPr>
                <w:rFonts w:hint="eastAsia" w:ascii="黑体" w:hAnsi="宋体" w:eastAsia="黑体" w:cs="黑体"/>
                <w:b/>
                <w:bCs w:val="0"/>
                <w:kern w:val="2"/>
                <w:sz w:val="28"/>
                <w:szCs w:val="28"/>
                <w:highlight w:val="none"/>
                <w:lang w:val="en-US" w:eastAsia="zh-CN" w:bidi="ar"/>
              </w:rPr>
              <w:t>（㎡）</w:t>
            </w:r>
          </w:p>
        </w:tc>
        <w:tc>
          <w:tcPr>
            <w:tcW w:w="1536" w:type="dxa"/>
            <w:tcBorders>
              <w:top w:val="single" w:color="auto" w:sz="12" w:space="0"/>
              <w:left w:val="nil"/>
              <w:bottom w:val="nil"/>
              <w:right w:val="nil"/>
            </w:tcBorders>
            <w:shd w:val="clear" w:color="auto" w:fill="auto"/>
            <w:tcMar>
              <w:top w:w="-1" w:type="dxa"/>
              <w:left w:w="-1" w:type="dxa"/>
              <w:bottom w:w="-1" w:type="dxa"/>
              <w:right w:w="-1" w:type="dxa"/>
            </w:tcMar>
            <w:vAlign w:val="center"/>
          </w:tcPr>
          <w:p w14:paraId="3D24ABE0">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eastAsia" w:ascii="黑体" w:hAnsi="宋体" w:eastAsia="黑体" w:cs="黑体"/>
                <w:b/>
                <w:bCs w:val="0"/>
                <w:kern w:val="2"/>
                <w:sz w:val="28"/>
                <w:szCs w:val="28"/>
                <w:highlight w:val="none"/>
              </w:rPr>
            </w:pPr>
            <w:r>
              <w:rPr>
                <w:rFonts w:hint="eastAsia" w:ascii="黑体" w:hAnsi="宋体" w:eastAsia="黑体" w:cs="黑体"/>
                <w:b/>
                <w:bCs w:val="0"/>
                <w:kern w:val="2"/>
                <w:sz w:val="28"/>
                <w:szCs w:val="28"/>
                <w:highlight w:val="none"/>
                <w:lang w:val="en-US" w:eastAsia="zh-CN" w:bidi="ar"/>
              </w:rPr>
              <w:t>项目结构</w:t>
            </w:r>
          </w:p>
        </w:tc>
        <w:tc>
          <w:tcPr>
            <w:tcW w:w="1741" w:type="dxa"/>
            <w:tcBorders>
              <w:top w:val="single" w:color="auto" w:sz="12" w:space="0"/>
              <w:left w:val="nil"/>
              <w:bottom w:val="nil"/>
              <w:right w:val="nil"/>
            </w:tcBorders>
            <w:shd w:val="clear" w:color="auto" w:fill="auto"/>
            <w:tcMar>
              <w:top w:w="-1" w:type="dxa"/>
              <w:left w:w="-1" w:type="dxa"/>
              <w:bottom w:w="-1" w:type="dxa"/>
              <w:right w:w="-1" w:type="dxa"/>
            </w:tcMar>
            <w:vAlign w:val="center"/>
          </w:tcPr>
          <w:p w14:paraId="2D82C64E">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eastAsia" w:ascii="黑体" w:hAnsi="宋体" w:eastAsia="黑体" w:cs="黑体"/>
                <w:b/>
                <w:bCs w:val="0"/>
                <w:kern w:val="2"/>
                <w:sz w:val="28"/>
                <w:szCs w:val="28"/>
                <w:highlight w:val="none"/>
              </w:rPr>
            </w:pPr>
            <w:r>
              <w:rPr>
                <w:rFonts w:hint="eastAsia" w:ascii="黑体" w:hAnsi="宋体" w:eastAsia="黑体" w:cs="黑体"/>
                <w:b/>
                <w:bCs w:val="0"/>
                <w:kern w:val="2"/>
                <w:sz w:val="28"/>
                <w:szCs w:val="28"/>
                <w:highlight w:val="none"/>
                <w:lang w:val="en-US" w:eastAsia="zh-CN" w:bidi="ar"/>
              </w:rPr>
              <w:t>建成时间</w:t>
            </w:r>
          </w:p>
        </w:tc>
        <w:tc>
          <w:tcPr>
            <w:tcW w:w="1741" w:type="dxa"/>
            <w:tcBorders>
              <w:top w:val="single" w:color="auto" w:sz="12" w:space="0"/>
              <w:left w:val="nil"/>
              <w:bottom w:val="nil"/>
              <w:right w:val="nil"/>
            </w:tcBorders>
            <w:shd w:val="clear" w:color="auto" w:fill="auto"/>
            <w:tcMar>
              <w:top w:w="-1" w:type="dxa"/>
              <w:left w:w="-1" w:type="dxa"/>
              <w:bottom w:w="-1" w:type="dxa"/>
              <w:right w:w="-1" w:type="dxa"/>
            </w:tcMar>
            <w:vAlign w:val="center"/>
          </w:tcPr>
          <w:p w14:paraId="2008C550">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eastAsia" w:ascii="黑体" w:hAnsi="宋体" w:eastAsia="黑体" w:cs="黑体"/>
                <w:b/>
                <w:bCs w:val="0"/>
                <w:kern w:val="2"/>
                <w:sz w:val="28"/>
                <w:szCs w:val="28"/>
                <w:highlight w:val="none"/>
              </w:rPr>
            </w:pPr>
            <w:r>
              <w:rPr>
                <w:rFonts w:hint="eastAsia" w:ascii="黑体" w:hAnsi="宋体" w:eastAsia="黑体" w:cs="黑体"/>
                <w:b/>
                <w:bCs w:val="0"/>
                <w:kern w:val="2"/>
                <w:sz w:val="28"/>
                <w:szCs w:val="28"/>
                <w:highlight w:val="none"/>
                <w:lang w:val="en-US" w:eastAsia="zh-CN" w:bidi="ar"/>
              </w:rPr>
              <w:t>是否有图纸</w:t>
            </w:r>
          </w:p>
        </w:tc>
        <w:tc>
          <w:tcPr>
            <w:tcW w:w="1656" w:type="dxa"/>
            <w:tcBorders>
              <w:top w:val="single" w:color="auto" w:sz="12" w:space="0"/>
              <w:left w:val="nil"/>
              <w:bottom w:val="nil"/>
              <w:right w:val="nil"/>
            </w:tcBorders>
            <w:shd w:val="clear" w:color="auto" w:fill="auto"/>
            <w:tcMar>
              <w:top w:w="-1" w:type="dxa"/>
              <w:left w:w="-1" w:type="dxa"/>
              <w:bottom w:w="-1" w:type="dxa"/>
              <w:right w:w="-1" w:type="dxa"/>
            </w:tcMar>
            <w:vAlign w:val="center"/>
          </w:tcPr>
          <w:p w14:paraId="105E31EB">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eastAsia" w:ascii="黑体" w:hAnsi="宋体" w:eastAsia="黑体" w:cs="黑体"/>
                <w:b/>
                <w:bCs w:val="0"/>
                <w:kern w:val="2"/>
                <w:sz w:val="28"/>
                <w:szCs w:val="28"/>
                <w:highlight w:val="none"/>
              </w:rPr>
            </w:pPr>
            <w:r>
              <w:rPr>
                <w:rFonts w:hint="eastAsia" w:ascii="黑体" w:hAnsi="宋体" w:eastAsia="黑体" w:cs="黑体"/>
                <w:b/>
                <w:bCs w:val="0"/>
                <w:kern w:val="2"/>
                <w:sz w:val="28"/>
                <w:szCs w:val="28"/>
                <w:highlight w:val="none"/>
                <w:lang w:val="en-US" w:eastAsia="zh-CN" w:bidi="ar"/>
              </w:rPr>
              <w:t>备注</w:t>
            </w:r>
          </w:p>
        </w:tc>
      </w:tr>
      <w:tr w14:paraId="26D2ADDA">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67" w:hRule="atLeast"/>
          <w:jc w:val="center"/>
        </w:trPr>
        <w:tc>
          <w:tcPr>
            <w:tcW w:w="898" w:type="dxa"/>
            <w:tcBorders>
              <w:top w:val="single" w:color="auto" w:sz="4" w:space="0"/>
              <w:left w:val="nil"/>
              <w:bottom w:val="nil"/>
              <w:right w:val="nil"/>
            </w:tcBorders>
            <w:shd w:val="clear" w:color="auto" w:fill="auto"/>
            <w:tcMar>
              <w:top w:w="-1" w:type="dxa"/>
              <w:left w:w="-1" w:type="dxa"/>
              <w:bottom w:w="-1" w:type="dxa"/>
              <w:right w:w="-1" w:type="dxa"/>
            </w:tcMar>
            <w:vAlign w:val="center"/>
          </w:tcPr>
          <w:p w14:paraId="63CAD47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bCs/>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1</w:t>
            </w:r>
          </w:p>
        </w:tc>
        <w:tc>
          <w:tcPr>
            <w:tcW w:w="1730" w:type="dxa"/>
            <w:tcBorders>
              <w:top w:val="single" w:color="auto" w:sz="4" w:space="0"/>
              <w:left w:val="nil"/>
              <w:bottom w:val="nil"/>
              <w:right w:val="nil"/>
            </w:tcBorders>
            <w:shd w:val="clear" w:color="auto" w:fill="auto"/>
            <w:tcMar>
              <w:top w:w="-1" w:type="dxa"/>
              <w:left w:w="-1" w:type="dxa"/>
              <w:bottom w:w="-1" w:type="dxa"/>
              <w:right w:w="-1" w:type="dxa"/>
            </w:tcMar>
            <w:vAlign w:val="center"/>
          </w:tcPr>
          <w:p w14:paraId="6EADBB1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default" w:ascii="仿宋_GB2312" w:hAnsi="Times New Roman" w:eastAsia="仿宋_GB2312" w:cs="仿宋_GB2312"/>
                <w:i w:val="0"/>
                <w:iCs w:val="0"/>
                <w:kern w:val="0"/>
                <w:sz w:val="24"/>
                <w:szCs w:val="24"/>
                <w:highlight w:val="none"/>
                <w:lang w:val="en-US" w:eastAsia="zh-CN" w:bidi="ar"/>
              </w:rPr>
              <w:t>教学楼</w:t>
            </w:r>
          </w:p>
          <w:p w14:paraId="206A7FE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bCs/>
                <w:kern w:val="2"/>
                <w:sz w:val="24"/>
                <w:szCs w:val="24"/>
                <w:highlight w:val="none"/>
              </w:rPr>
            </w:pPr>
            <w:r>
              <w:rPr>
                <w:rFonts w:hint="default" w:ascii="仿宋_GB2312" w:hAnsi="Times New Roman" w:eastAsia="仿宋_GB2312" w:cs="仿宋_GB2312"/>
                <w:i w:val="0"/>
                <w:iCs w:val="0"/>
                <w:kern w:val="0"/>
                <w:sz w:val="24"/>
                <w:szCs w:val="24"/>
                <w:highlight w:val="none"/>
                <w:lang w:val="en-US" w:eastAsia="zh-CN" w:bidi="ar"/>
              </w:rPr>
              <w:t>（经贸楼）</w:t>
            </w:r>
          </w:p>
        </w:tc>
        <w:tc>
          <w:tcPr>
            <w:tcW w:w="1460" w:type="dxa"/>
            <w:tcBorders>
              <w:top w:val="single" w:color="auto" w:sz="4" w:space="0"/>
              <w:left w:val="nil"/>
              <w:bottom w:val="nil"/>
              <w:right w:val="nil"/>
            </w:tcBorders>
            <w:shd w:val="clear" w:color="auto" w:fill="auto"/>
            <w:tcMar>
              <w:top w:w="-1" w:type="dxa"/>
              <w:left w:w="-1" w:type="dxa"/>
              <w:bottom w:w="-1" w:type="dxa"/>
              <w:right w:w="-1" w:type="dxa"/>
            </w:tcMar>
            <w:vAlign w:val="center"/>
          </w:tcPr>
          <w:p w14:paraId="37D706A7">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b w:val="0"/>
                <w:bCs w:val="0"/>
                <w:kern w:val="2"/>
                <w:sz w:val="24"/>
                <w:szCs w:val="24"/>
                <w:highlight w:val="none"/>
                <w:lang w:val="en-US" w:eastAsia="zh-CN" w:bidi="ar"/>
              </w:rPr>
              <w:t>7289</w:t>
            </w:r>
          </w:p>
        </w:tc>
        <w:tc>
          <w:tcPr>
            <w:tcW w:w="1536" w:type="dxa"/>
            <w:tcBorders>
              <w:top w:val="single" w:color="auto" w:sz="4" w:space="0"/>
              <w:left w:val="nil"/>
              <w:bottom w:val="nil"/>
              <w:right w:val="nil"/>
            </w:tcBorders>
            <w:shd w:val="clear" w:color="auto" w:fill="auto"/>
            <w:tcMar>
              <w:top w:w="-1" w:type="dxa"/>
              <w:left w:w="-1" w:type="dxa"/>
              <w:bottom w:w="-1" w:type="dxa"/>
              <w:right w:w="-1" w:type="dxa"/>
            </w:tcMar>
            <w:vAlign w:val="center"/>
          </w:tcPr>
          <w:p w14:paraId="7E61D310">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kern w:val="2"/>
                <w:sz w:val="24"/>
                <w:szCs w:val="24"/>
                <w:highlight w:val="none"/>
              </w:rPr>
            </w:pPr>
            <w:r>
              <w:rPr>
                <w:rFonts w:hint="default" w:ascii="仿宋_GB2312" w:hAnsi="Times New Roman" w:eastAsia="仿宋_GB2312" w:cs="仿宋_GB2312"/>
                <w:b w:val="0"/>
                <w:bCs w:val="0"/>
                <w:kern w:val="2"/>
                <w:sz w:val="24"/>
                <w:szCs w:val="24"/>
                <w:highlight w:val="none"/>
                <w:lang w:val="en-US" w:eastAsia="zh-CN" w:bidi="ar"/>
              </w:rPr>
              <w:t>框架</w:t>
            </w:r>
          </w:p>
        </w:tc>
        <w:tc>
          <w:tcPr>
            <w:tcW w:w="1741" w:type="dxa"/>
            <w:tcBorders>
              <w:top w:val="single" w:color="auto" w:sz="4" w:space="0"/>
              <w:left w:val="nil"/>
              <w:bottom w:val="nil"/>
              <w:right w:val="nil"/>
            </w:tcBorders>
            <w:shd w:val="clear" w:color="auto" w:fill="auto"/>
            <w:tcMar>
              <w:top w:w="-1" w:type="dxa"/>
              <w:left w:w="-1" w:type="dxa"/>
              <w:bottom w:w="-1" w:type="dxa"/>
              <w:right w:w="-1" w:type="dxa"/>
            </w:tcMar>
            <w:vAlign w:val="center"/>
          </w:tcPr>
          <w:p w14:paraId="7FA26048">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b w:val="0"/>
                <w:bCs w:val="0"/>
                <w:kern w:val="2"/>
                <w:sz w:val="24"/>
                <w:szCs w:val="24"/>
                <w:highlight w:val="none"/>
                <w:lang w:val="en-US" w:eastAsia="zh-CN" w:bidi="ar"/>
              </w:rPr>
              <w:t>2006</w:t>
            </w:r>
          </w:p>
        </w:tc>
        <w:tc>
          <w:tcPr>
            <w:tcW w:w="1741" w:type="dxa"/>
            <w:tcBorders>
              <w:top w:val="single" w:color="auto" w:sz="4" w:space="0"/>
              <w:left w:val="nil"/>
              <w:bottom w:val="nil"/>
              <w:right w:val="nil"/>
            </w:tcBorders>
            <w:shd w:val="clear" w:color="auto" w:fill="auto"/>
            <w:tcMar>
              <w:top w:w="-1" w:type="dxa"/>
              <w:left w:w="-1" w:type="dxa"/>
              <w:bottom w:w="-1" w:type="dxa"/>
              <w:right w:w="-1" w:type="dxa"/>
            </w:tcMar>
            <w:vAlign w:val="center"/>
          </w:tcPr>
          <w:p w14:paraId="7C5B4E47">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val="0"/>
                <w:bCs w:val="0"/>
                <w:kern w:val="2"/>
                <w:sz w:val="24"/>
                <w:szCs w:val="24"/>
                <w:highlight w:val="none"/>
              </w:rPr>
            </w:pPr>
            <w:r>
              <w:rPr>
                <w:rFonts w:hint="default" w:ascii="仿宋_GB2312" w:hAnsi="Times New Roman" w:eastAsia="仿宋_GB2312" w:cs="仿宋_GB2312"/>
                <w:b w:val="0"/>
                <w:bCs w:val="0"/>
                <w:kern w:val="2"/>
                <w:sz w:val="24"/>
                <w:szCs w:val="24"/>
                <w:highlight w:val="none"/>
                <w:lang w:val="en-US" w:eastAsia="zh-CN" w:bidi="ar"/>
              </w:rPr>
              <w:t>有电子图</w:t>
            </w:r>
          </w:p>
        </w:tc>
        <w:tc>
          <w:tcPr>
            <w:tcW w:w="1656" w:type="dxa"/>
            <w:tcBorders>
              <w:top w:val="single" w:color="auto" w:sz="4" w:space="0"/>
              <w:left w:val="nil"/>
              <w:bottom w:val="nil"/>
              <w:right w:val="nil"/>
            </w:tcBorders>
            <w:shd w:val="clear" w:color="auto" w:fill="auto"/>
            <w:tcMar>
              <w:top w:w="-1" w:type="dxa"/>
              <w:left w:w="-1" w:type="dxa"/>
              <w:bottom w:w="-1" w:type="dxa"/>
              <w:right w:w="-1" w:type="dxa"/>
            </w:tcMar>
            <w:vAlign w:val="center"/>
          </w:tcPr>
          <w:p w14:paraId="5DD38FFC">
            <w:pPr>
              <w:keepNext w:val="0"/>
              <w:keepLines w:val="0"/>
              <w:widowControl w:val="0"/>
              <w:suppressLineNumbers w:val="0"/>
              <w:autoSpaceDE w:val="0"/>
              <w:autoSpaceDN/>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b/>
                <w:bCs/>
                <w:kern w:val="2"/>
                <w:sz w:val="24"/>
                <w:szCs w:val="24"/>
                <w:highlight w:val="none"/>
              </w:rPr>
            </w:pPr>
          </w:p>
        </w:tc>
      </w:tr>
      <w:tr w14:paraId="7EDF4E5A">
        <w:tblPrEx>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atLeast"/>
          <w:jc w:val="center"/>
        </w:trPr>
        <w:tc>
          <w:tcPr>
            <w:tcW w:w="898" w:type="dxa"/>
            <w:tcBorders>
              <w:top w:val="nil"/>
              <w:left w:val="nil"/>
              <w:bottom w:val="nil"/>
              <w:right w:val="nil"/>
            </w:tcBorders>
            <w:shd w:val="clear" w:color="auto" w:fill="auto"/>
            <w:tcMar>
              <w:top w:w="-1" w:type="dxa"/>
              <w:left w:w="-1" w:type="dxa"/>
              <w:bottom w:w="-1" w:type="dxa"/>
              <w:right w:w="-1" w:type="dxa"/>
            </w:tcMar>
            <w:vAlign w:val="center"/>
          </w:tcPr>
          <w:p w14:paraId="4FBE4DA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bCs/>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2</w:t>
            </w:r>
          </w:p>
        </w:tc>
        <w:tc>
          <w:tcPr>
            <w:tcW w:w="1730" w:type="dxa"/>
            <w:tcBorders>
              <w:top w:val="nil"/>
              <w:left w:val="nil"/>
              <w:bottom w:val="nil"/>
              <w:right w:val="nil"/>
            </w:tcBorders>
            <w:shd w:val="clear" w:color="auto" w:fill="auto"/>
            <w:tcMar>
              <w:top w:w="-1" w:type="dxa"/>
              <w:left w:w="-1" w:type="dxa"/>
              <w:bottom w:w="-1" w:type="dxa"/>
              <w:right w:w="-1" w:type="dxa"/>
            </w:tcMar>
            <w:vAlign w:val="center"/>
          </w:tcPr>
          <w:p w14:paraId="723B93E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bCs/>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4#</w:t>
            </w:r>
            <w:r>
              <w:rPr>
                <w:rFonts w:hint="default" w:ascii="仿宋_GB2312" w:hAnsi="Times New Roman" w:eastAsia="仿宋_GB2312" w:cs="仿宋_GB2312"/>
                <w:i w:val="0"/>
                <w:iCs w:val="0"/>
                <w:kern w:val="0"/>
                <w:sz w:val="24"/>
                <w:szCs w:val="24"/>
                <w:highlight w:val="none"/>
                <w:lang w:val="en-US" w:eastAsia="zh-CN" w:bidi="ar"/>
              </w:rPr>
              <w:t>、</w:t>
            </w:r>
            <w:r>
              <w:rPr>
                <w:rFonts w:hint="default" w:ascii="Times New Roman" w:hAnsi="Times New Roman" w:eastAsia="仿宋_GB2312" w:cs="Times New Roman"/>
                <w:i w:val="0"/>
                <w:iCs w:val="0"/>
                <w:kern w:val="0"/>
                <w:sz w:val="24"/>
                <w:szCs w:val="24"/>
                <w:highlight w:val="none"/>
                <w:lang w:val="en-US" w:eastAsia="zh-CN" w:bidi="ar"/>
              </w:rPr>
              <w:t>5#</w:t>
            </w:r>
            <w:r>
              <w:rPr>
                <w:rFonts w:hint="default" w:ascii="仿宋_GB2312" w:hAnsi="Times New Roman" w:eastAsia="仿宋_GB2312" w:cs="仿宋_GB2312"/>
                <w:i w:val="0"/>
                <w:iCs w:val="0"/>
                <w:kern w:val="0"/>
                <w:sz w:val="24"/>
                <w:szCs w:val="24"/>
                <w:highlight w:val="none"/>
                <w:lang w:val="en-US" w:eastAsia="zh-CN" w:bidi="ar"/>
              </w:rPr>
              <w:t>宿舍楼</w:t>
            </w:r>
          </w:p>
        </w:tc>
        <w:tc>
          <w:tcPr>
            <w:tcW w:w="1460" w:type="dxa"/>
            <w:tcBorders>
              <w:top w:val="nil"/>
              <w:left w:val="nil"/>
              <w:bottom w:val="nil"/>
              <w:right w:val="nil"/>
            </w:tcBorders>
            <w:shd w:val="clear" w:color="auto" w:fill="auto"/>
            <w:tcMar>
              <w:top w:w="-1" w:type="dxa"/>
              <w:left w:w="-1" w:type="dxa"/>
              <w:bottom w:w="-1" w:type="dxa"/>
              <w:right w:w="-1" w:type="dxa"/>
            </w:tcMar>
            <w:vAlign w:val="center"/>
          </w:tcPr>
          <w:p w14:paraId="310E535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b w:val="0"/>
                <w:bCs w:val="0"/>
                <w:kern w:val="2"/>
                <w:sz w:val="24"/>
                <w:szCs w:val="24"/>
                <w:highlight w:val="none"/>
                <w:lang w:val="en-US" w:eastAsia="zh-CN" w:bidi="ar"/>
              </w:rPr>
              <w:t>17648</w:t>
            </w:r>
          </w:p>
        </w:tc>
        <w:tc>
          <w:tcPr>
            <w:tcW w:w="1536" w:type="dxa"/>
            <w:tcBorders>
              <w:top w:val="nil"/>
              <w:left w:val="nil"/>
              <w:bottom w:val="nil"/>
              <w:right w:val="nil"/>
            </w:tcBorders>
            <w:shd w:val="clear" w:color="auto" w:fill="auto"/>
            <w:tcMar>
              <w:top w:w="-1" w:type="dxa"/>
              <w:left w:w="-1" w:type="dxa"/>
              <w:bottom w:w="-1" w:type="dxa"/>
              <w:right w:w="-1" w:type="dxa"/>
            </w:tcMar>
            <w:vAlign w:val="center"/>
          </w:tcPr>
          <w:p w14:paraId="0B9BF4F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仿宋_GB2312" w:hAnsi="Times New Roman" w:eastAsia="仿宋_GB2312" w:cs="仿宋_GB2312"/>
                <w:b w:val="0"/>
                <w:bCs w:val="0"/>
                <w:kern w:val="2"/>
                <w:sz w:val="24"/>
                <w:szCs w:val="24"/>
                <w:highlight w:val="none"/>
                <w:lang w:val="en-US" w:eastAsia="zh-CN" w:bidi="ar"/>
              </w:rPr>
              <w:t>钢筋混凝土</w:t>
            </w:r>
          </w:p>
        </w:tc>
        <w:tc>
          <w:tcPr>
            <w:tcW w:w="1741" w:type="dxa"/>
            <w:tcBorders>
              <w:top w:val="nil"/>
              <w:left w:val="nil"/>
              <w:bottom w:val="nil"/>
              <w:right w:val="nil"/>
            </w:tcBorders>
            <w:shd w:val="clear" w:color="auto" w:fill="auto"/>
            <w:tcMar>
              <w:top w:w="-1" w:type="dxa"/>
              <w:left w:w="-1" w:type="dxa"/>
              <w:bottom w:w="-1" w:type="dxa"/>
              <w:right w:w="-1" w:type="dxa"/>
            </w:tcMar>
            <w:vAlign w:val="center"/>
          </w:tcPr>
          <w:p w14:paraId="5574740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b w:val="0"/>
                <w:bCs w:val="0"/>
                <w:kern w:val="2"/>
                <w:sz w:val="24"/>
                <w:szCs w:val="24"/>
                <w:highlight w:val="none"/>
                <w:lang w:val="en-US" w:eastAsia="zh-CN" w:bidi="ar"/>
              </w:rPr>
              <w:t>2021</w:t>
            </w:r>
          </w:p>
        </w:tc>
        <w:tc>
          <w:tcPr>
            <w:tcW w:w="1741" w:type="dxa"/>
            <w:tcBorders>
              <w:top w:val="nil"/>
              <w:left w:val="nil"/>
              <w:bottom w:val="nil"/>
              <w:right w:val="nil"/>
            </w:tcBorders>
            <w:shd w:val="clear" w:color="auto" w:fill="auto"/>
            <w:tcMar>
              <w:top w:w="-1" w:type="dxa"/>
              <w:left w:w="-1" w:type="dxa"/>
              <w:bottom w:w="-1" w:type="dxa"/>
              <w:right w:w="-1" w:type="dxa"/>
            </w:tcMar>
            <w:vAlign w:val="center"/>
          </w:tcPr>
          <w:p w14:paraId="4D8CB8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仿宋_GB2312" w:hAnsi="Times New Roman" w:eastAsia="仿宋_GB2312" w:cs="仿宋_GB2312"/>
                <w:b w:val="0"/>
                <w:bCs w:val="0"/>
                <w:kern w:val="2"/>
                <w:sz w:val="24"/>
                <w:szCs w:val="24"/>
                <w:highlight w:val="none"/>
                <w:lang w:val="en-US" w:eastAsia="zh-CN" w:bidi="ar"/>
              </w:rPr>
              <w:t>有电子图</w:t>
            </w:r>
          </w:p>
        </w:tc>
        <w:tc>
          <w:tcPr>
            <w:tcW w:w="1656" w:type="dxa"/>
            <w:tcBorders>
              <w:top w:val="nil"/>
              <w:left w:val="nil"/>
              <w:bottom w:val="nil"/>
              <w:right w:val="nil"/>
            </w:tcBorders>
            <w:shd w:val="clear" w:color="auto" w:fill="auto"/>
            <w:tcMar>
              <w:top w:w="-1" w:type="dxa"/>
              <w:left w:w="-1" w:type="dxa"/>
              <w:bottom w:w="-1" w:type="dxa"/>
              <w:right w:w="-1" w:type="dxa"/>
            </w:tcMar>
            <w:vAlign w:val="center"/>
          </w:tcPr>
          <w:p w14:paraId="2947D2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bCs/>
                <w:kern w:val="2"/>
                <w:sz w:val="24"/>
                <w:szCs w:val="24"/>
                <w:highlight w:val="none"/>
              </w:rPr>
            </w:pPr>
            <w:r>
              <w:rPr>
                <w:rFonts w:hint="default" w:ascii="仿宋_GB2312" w:hAnsi="Times New Roman" w:eastAsia="仿宋_GB2312" w:cs="仿宋_GB2312"/>
                <w:b w:val="0"/>
                <w:bCs w:val="0"/>
                <w:kern w:val="2"/>
                <w:sz w:val="24"/>
                <w:szCs w:val="24"/>
                <w:highlight w:val="none"/>
                <w:lang w:val="en-US" w:eastAsia="zh-CN" w:bidi="ar"/>
              </w:rPr>
              <w:t>技师学院正在进行消防改造</w:t>
            </w:r>
          </w:p>
        </w:tc>
      </w:tr>
      <w:tr w14:paraId="1F7400F2">
        <w:tblPrEx>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atLeast"/>
          <w:jc w:val="center"/>
        </w:trPr>
        <w:tc>
          <w:tcPr>
            <w:tcW w:w="898" w:type="dxa"/>
            <w:tcBorders>
              <w:top w:val="nil"/>
              <w:left w:val="nil"/>
              <w:bottom w:val="nil"/>
              <w:right w:val="nil"/>
            </w:tcBorders>
            <w:shd w:val="clear" w:color="auto" w:fill="auto"/>
            <w:tcMar>
              <w:top w:w="-1" w:type="dxa"/>
              <w:left w:w="-1" w:type="dxa"/>
              <w:bottom w:w="-1" w:type="dxa"/>
              <w:right w:w="-1" w:type="dxa"/>
            </w:tcMar>
            <w:vAlign w:val="center"/>
          </w:tcPr>
          <w:p w14:paraId="0EAE092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bCs/>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3</w:t>
            </w:r>
          </w:p>
        </w:tc>
        <w:tc>
          <w:tcPr>
            <w:tcW w:w="1730" w:type="dxa"/>
            <w:tcBorders>
              <w:top w:val="nil"/>
              <w:left w:val="nil"/>
              <w:bottom w:val="nil"/>
              <w:right w:val="nil"/>
            </w:tcBorders>
            <w:shd w:val="clear" w:color="auto" w:fill="auto"/>
            <w:tcMar>
              <w:top w:w="-1" w:type="dxa"/>
              <w:left w:w="-1" w:type="dxa"/>
              <w:bottom w:w="-1" w:type="dxa"/>
              <w:right w:w="-1" w:type="dxa"/>
            </w:tcMar>
            <w:vAlign w:val="center"/>
          </w:tcPr>
          <w:p w14:paraId="40022C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bCs/>
                <w:kern w:val="2"/>
                <w:sz w:val="24"/>
                <w:szCs w:val="24"/>
                <w:highlight w:val="none"/>
              </w:rPr>
            </w:pPr>
            <w:r>
              <w:rPr>
                <w:rFonts w:hint="default" w:ascii="仿宋_GB2312" w:hAnsi="Times New Roman" w:eastAsia="仿宋_GB2312" w:cs="仿宋_GB2312"/>
                <w:i w:val="0"/>
                <w:iCs w:val="0"/>
                <w:kern w:val="0"/>
                <w:sz w:val="24"/>
                <w:szCs w:val="24"/>
                <w:highlight w:val="none"/>
                <w:lang w:val="en-US" w:eastAsia="zh-CN" w:bidi="ar"/>
              </w:rPr>
              <w:t>信息楼</w:t>
            </w:r>
          </w:p>
        </w:tc>
        <w:tc>
          <w:tcPr>
            <w:tcW w:w="1460" w:type="dxa"/>
            <w:tcBorders>
              <w:top w:val="nil"/>
              <w:left w:val="nil"/>
              <w:bottom w:val="nil"/>
              <w:right w:val="nil"/>
            </w:tcBorders>
            <w:shd w:val="clear" w:color="auto" w:fill="auto"/>
            <w:tcMar>
              <w:top w:w="-1" w:type="dxa"/>
              <w:left w:w="-1" w:type="dxa"/>
              <w:bottom w:w="-1" w:type="dxa"/>
              <w:right w:w="-1" w:type="dxa"/>
            </w:tcMar>
            <w:vAlign w:val="center"/>
          </w:tcPr>
          <w:p w14:paraId="5134EC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b w:val="0"/>
                <w:bCs w:val="0"/>
                <w:kern w:val="2"/>
                <w:sz w:val="24"/>
                <w:szCs w:val="24"/>
                <w:highlight w:val="none"/>
                <w:lang w:val="en-US" w:eastAsia="zh-CN" w:bidi="ar"/>
              </w:rPr>
              <w:t>9005</w:t>
            </w:r>
          </w:p>
        </w:tc>
        <w:tc>
          <w:tcPr>
            <w:tcW w:w="1536" w:type="dxa"/>
            <w:tcBorders>
              <w:top w:val="nil"/>
              <w:left w:val="nil"/>
              <w:bottom w:val="nil"/>
              <w:right w:val="nil"/>
            </w:tcBorders>
            <w:shd w:val="clear" w:color="auto" w:fill="auto"/>
            <w:tcMar>
              <w:top w:w="-1" w:type="dxa"/>
              <w:left w:w="-1" w:type="dxa"/>
              <w:bottom w:w="-1" w:type="dxa"/>
              <w:right w:w="-1" w:type="dxa"/>
            </w:tcMar>
            <w:vAlign w:val="center"/>
          </w:tcPr>
          <w:p w14:paraId="45EAC7A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仿宋_GB2312" w:hAnsi="Times New Roman" w:eastAsia="仿宋_GB2312" w:cs="仿宋_GB2312"/>
                <w:b w:val="0"/>
                <w:bCs w:val="0"/>
                <w:kern w:val="2"/>
                <w:sz w:val="24"/>
                <w:szCs w:val="24"/>
                <w:highlight w:val="none"/>
                <w:lang w:val="en-US" w:eastAsia="zh-CN" w:bidi="ar"/>
              </w:rPr>
              <w:t>框架</w:t>
            </w:r>
          </w:p>
        </w:tc>
        <w:tc>
          <w:tcPr>
            <w:tcW w:w="1741" w:type="dxa"/>
            <w:tcBorders>
              <w:top w:val="nil"/>
              <w:left w:val="nil"/>
              <w:bottom w:val="nil"/>
              <w:right w:val="nil"/>
            </w:tcBorders>
            <w:shd w:val="clear" w:color="auto" w:fill="auto"/>
            <w:tcMar>
              <w:top w:w="-1" w:type="dxa"/>
              <w:left w:w="-1" w:type="dxa"/>
              <w:bottom w:w="-1" w:type="dxa"/>
              <w:right w:w="-1" w:type="dxa"/>
            </w:tcMar>
            <w:vAlign w:val="center"/>
          </w:tcPr>
          <w:p w14:paraId="49BEC15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b w:val="0"/>
                <w:bCs w:val="0"/>
                <w:kern w:val="2"/>
                <w:sz w:val="24"/>
                <w:szCs w:val="24"/>
                <w:highlight w:val="none"/>
                <w:lang w:val="en-US" w:eastAsia="zh-CN" w:bidi="ar"/>
              </w:rPr>
              <w:t>2021</w:t>
            </w:r>
          </w:p>
        </w:tc>
        <w:tc>
          <w:tcPr>
            <w:tcW w:w="1741" w:type="dxa"/>
            <w:tcBorders>
              <w:top w:val="nil"/>
              <w:left w:val="nil"/>
              <w:bottom w:val="nil"/>
              <w:right w:val="nil"/>
            </w:tcBorders>
            <w:shd w:val="clear" w:color="auto" w:fill="auto"/>
            <w:tcMar>
              <w:top w:w="-1" w:type="dxa"/>
              <w:left w:w="-1" w:type="dxa"/>
              <w:bottom w:w="-1" w:type="dxa"/>
              <w:right w:w="-1" w:type="dxa"/>
            </w:tcMar>
            <w:vAlign w:val="center"/>
          </w:tcPr>
          <w:p w14:paraId="4CB23C1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仿宋_GB2312" w:hAnsi="Times New Roman" w:eastAsia="仿宋_GB2312" w:cs="仿宋_GB2312"/>
                <w:b w:val="0"/>
                <w:bCs w:val="0"/>
                <w:kern w:val="2"/>
                <w:sz w:val="24"/>
                <w:szCs w:val="24"/>
                <w:highlight w:val="none"/>
                <w:lang w:val="en-US" w:eastAsia="zh-CN" w:bidi="ar"/>
              </w:rPr>
              <w:t>有电子图</w:t>
            </w:r>
          </w:p>
        </w:tc>
        <w:tc>
          <w:tcPr>
            <w:tcW w:w="1656" w:type="dxa"/>
            <w:tcBorders>
              <w:top w:val="nil"/>
              <w:left w:val="nil"/>
              <w:bottom w:val="nil"/>
              <w:right w:val="nil"/>
            </w:tcBorders>
            <w:shd w:val="clear" w:color="auto" w:fill="auto"/>
            <w:tcMar>
              <w:top w:w="-1" w:type="dxa"/>
              <w:left w:w="-1" w:type="dxa"/>
              <w:bottom w:w="-1" w:type="dxa"/>
              <w:right w:w="-1" w:type="dxa"/>
            </w:tcMar>
            <w:vAlign w:val="center"/>
          </w:tcPr>
          <w:p w14:paraId="183327B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bCs/>
                <w:kern w:val="2"/>
                <w:sz w:val="24"/>
                <w:szCs w:val="24"/>
                <w:highlight w:val="none"/>
              </w:rPr>
            </w:pPr>
            <w:r>
              <w:rPr>
                <w:rFonts w:hint="default" w:ascii="仿宋_GB2312" w:hAnsi="Times New Roman" w:eastAsia="仿宋_GB2312" w:cs="仿宋_GB2312"/>
                <w:b w:val="0"/>
                <w:bCs w:val="0"/>
                <w:kern w:val="2"/>
                <w:sz w:val="24"/>
                <w:szCs w:val="24"/>
                <w:highlight w:val="none"/>
                <w:lang w:val="en-US" w:eastAsia="zh-CN" w:bidi="ar"/>
              </w:rPr>
              <w:t>技师学院正在进行消防改造</w:t>
            </w:r>
          </w:p>
        </w:tc>
      </w:tr>
      <w:tr w14:paraId="0099DF54">
        <w:tblPrEx>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atLeast"/>
          <w:jc w:val="center"/>
        </w:trPr>
        <w:tc>
          <w:tcPr>
            <w:tcW w:w="898" w:type="dxa"/>
            <w:tcBorders>
              <w:top w:val="nil"/>
              <w:left w:val="nil"/>
              <w:bottom w:val="nil"/>
              <w:right w:val="nil"/>
            </w:tcBorders>
            <w:shd w:val="clear" w:color="auto" w:fill="auto"/>
            <w:tcMar>
              <w:top w:w="-1" w:type="dxa"/>
              <w:left w:w="-1" w:type="dxa"/>
              <w:bottom w:w="-1" w:type="dxa"/>
              <w:right w:w="-1" w:type="dxa"/>
            </w:tcMar>
            <w:vAlign w:val="center"/>
          </w:tcPr>
          <w:p w14:paraId="5C1BF88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bCs/>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4</w:t>
            </w:r>
          </w:p>
        </w:tc>
        <w:tc>
          <w:tcPr>
            <w:tcW w:w="1730" w:type="dxa"/>
            <w:tcBorders>
              <w:top w:val="nil"/>
              <w:left w:val="nil"/>
              <w:bottom w:val="nil"/>
              <w:right w:val="nil"/>
            </w:tcBorders>
            <w:shd w:val="clear" w:color="auto" w:fill="auto"/>
            <w:tcMar>
              <w:top w:w="-1" w:type="dxa"/>
              <w:left w:w="-1" w:type="dxa"/>
              <w:bottom w:w="-1" w:type="dxa"/>
              <w:right w:w="-1" w:type="dxa"/>
            </w:tcMar>
            <w:vAlign w:val="center"/>
          </w:tcPr>
          <w:p w14:paraId="626033E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bCs/>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3#</w:t>
            </w:r>
            <w:r>
              <w:rPr>
                <w:rFonts w:hint="default" w:ascii="仿宋_GB2312" w:hAnsi="Times New Roman" w:eastAsia="仿宋_GB2312" w:cs="仿宋_GB2312"/>
                <w:i w:val="0"/>
                <w:iCs w:val="0"/>
                <w:kern w:val="0"/>
                <w:sz w:val="24"/>
                <w:szCs w:val="24"/>
                <w:highlight w:val="none"/>
                <w:lang w:val="en-US" w:eastAsia="zh-CN" w:bidi="ar"/>
              </w:rPr>
              <w:t>男生宿舍楼</w:t>
            </w:r>
          </w:p>
        </w:tc>
        <w:tc>
          <w:tcPr>
            <w:tcW w:w="1460" w:type="dxa"/>
            <w:tcBorders>
              <w:top w:val="nil"/>
              <w:left w:val="nil"/>
              <w:bottom w:val="nil"/>
              <w:right w:val="nil"/>
            </w:tcBorders>
            <w:shd w:val="clear" w:color="auto" w:fill="auto"/>
            <w:tcMar>
              <w:top w:w="-1" w:type="dxa"/>
              <w:left w:w="-1" w:type="dxa"/>
              <w:bottom w:w="-1" w:type="dxa"/>
              <w:right w:w="-1" w:type="dxa"/>
            </w:tcMar>
            <w:vAlign w:val="center"/>
          </w:tcPr>
          <w:p w14:paraId="7D6B3E9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b w:val="0"/>
                <w:bCs w:val="0"/>
                <w:kern w:val="2"/>
                <w:sz w:val="24"/>
                <w:szCs w:val="24"/>
                <w:highlight w:val="none"/>
                <w:lang w:val="en-US" w:eastAsia="zh-CN" w:bidi="ar"/>
              </w:rPr>
              <w:t>6410</w:t>
            </w:r>
          </w:p>
        </w:tc>
        <w:tc>
          <w:tcPr>
            <w:tcW w:w="1536" w:type="dxa"/>
            <w:tcBorders>
              <w:top w:val="nil"/>
              <w:left w:val="nil"/>
              <w:bottom w:val="nil"/>
              <w:right w:val="nil"/>
            </w:tcBorders>
            <w:shd w:val="clear" w:color="auto" w:fill="auto"/>
            <w:tcMar>
              <w:top w:w="-1" w:type="dxa"/>
              <w:left w:w="-1" w:type="dxa"/>
              <w:bottom w:w="-1" w:type="dxa"/>
              <w:right w:w="-1" w:type="dxa"/>
            </w:tcMar>
            <w:vAlign w:val="center"/>
          </w:tcPr>
          <w:p w14:paraId="07C35E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仿宋_GB2312" w:hAnsi="Times New Roman" w:eastAsia="仿宋_GB2312" w:cs="仿宋_GB2312"/>
                <w:b w:val="0"/>
                <w:bCs w:val="0"/>
                <w:kern w:val="2"/>
                <w:sz w:val="24"/>
                <w:szCs w:val="24"/>
                <w:highlight w:val="none"/>
                <w:lang w:val="en-US" w:eastAsia="zh-CN" w:bidi="ar"/>
              </w:rPr>
              <w:t>钢筋混凝土</w:t>
            </w:r>
          </w:p>
        </w:tc>
        <w:tc>
          <w:tcPr>
            <w:tcW w:w="1741" w:type="dxa"/>
            <w:tcBorders>
              <w:top w:val="nil"/>
              <w:left w:val="nil"/>
              <w:bottom w:val="nil"/>
              <w:right w:val="nil"/>
            </w:tcBorders>
            <w:shd w:val="clear" w:color="auto" w:fill="auto"/>
            <w:tcMar>
              <w:top w:w="-1" w:type="dxa"/>
              <w:left w:w="-1" w:type="dxa"/>
              <w:bottom w:w="-1" w:type="dxa"/>
              <w:right w:w="-1" w:type="dxa"/>
            </w:tcMar>
            <w:vAlign w:val="center"/>
          </w:tcPr>
          <w:p w14:paraId="5ED16D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b w:val="0"/>
                <w:bCs w:val="0"/>
                <w:kern w:val="2"/>
                <w:sz w:val="24"/>
                <w:szCs w:val="24"/>
                <w:highlight w:val="none"/>
                <w:lang w:val="en-US" w:eastAsia="zh-CN" w:bidi="ar"/>
              </w:rPr>
              <w:t>2019</w:t>
            </w:r>
          </w:p>
        </w:tc>
        <w:tc>
          <w:tcPr>
            <w:tcW w:w="1741" w:type="dxa"/>
            <w:tcBorders>
              <w:top w:val="nil"/>
              <w:left w:val="nil"/>
              <w:bottom w:val="nil"/>
              <w:right w:val="nil"/>
            </w:tcBorders>
            <w:shd w:val="clear" w:color="auto" w:fill="auto"/>
            <w:tcMar>
              <w:top w:w="-1" w:type="dxa"/>
              <w:left w:w="-1" w:type="dxa"/>
              <w:bottom w:w="-1" w:type="dxa"/>
              <w:right w:w="-1" w:type="dxa"/>
            </w:tcMar>
            <w:vAlign w:val="center"/>
          </w:tcPr>
          <w:p w14:paraId="41AB6D7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仿宋_GB2312" w:hAnsi="Times New Roman" w:eastAsia="仿宋_GB2312" w:cs="仿宋_GB2312"/>
                <w:b w:val="0"/>
                <w:bCs w:val="0"/>
                <w:kern w:val="2"/>
                <w:sz w:val="24"/>
                <w:szCs w:val="24"/>
                <w:highlight w:val="none"/>
                <w:lang w:val="en-US" w:eastAsia="zh-CN" w:bidi="ar"/>
              </w:rPr>
              <w:t>有电子图</w:t>
            </w:r>
          </w:p>
        </w:tc>
        <w:tc>
          <w:tcPr>
            <w:tcW w:w="1656" w:type="dxa"/>
            <w:tcBorders>
              <w:top w:val="nil"/>
              <w:left w:val="nil"/>
              <w:bottom w:val="nil"/>
              <w:right w:val="nil"/>
            </w:tcBorders>
            <w:shd w:val="clear" w:color="auto" w:fill="auto"/>
            <w:tcMar>
              <w:top w:w="-1" w:type="dxa"/>
              <w:left w:w="-1" w:type="dxa"/>
              <w:bottom w:w="-1" w:type="dxa"/>
              <w:right w:w="-1" w:type="dxa"/>
            </w:tcMar>
            <w:vAlign w:val="center"/>
          </w:tcPr>
          <w:p w14:paraId="7E86CB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bCs/>
                <w:kern w:val="2"/>
                <w:sz w:val="24"/>
                <w:szCs w:val="24"/>
                <w:highlight w:val="none"/>
              </w:rPr>
            </w:pPr>
          </w:p>
        </w:tc>
      </w:tr>
      <w:tr w14:paraId="796055A8">
        <w:tblPrEx>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atLeast"/>
          <w:jc w:val="center"/>
        </w:trPr>
        <w:tc>
          <w:tcPr>
            <w:tcW w:w="898" w:type="dxa"/>
            <w:tcBorders>
              <w:top w:val="nil"/>
              <w:left w:val="nil"/>
              <w:bottom w:val="nil"/>
              <w:right w:val="nil"/>
            </w:tcBorders>
            <w:shd w:val="clear" w:color="auto" w:fill="auto"/>
            <w:tcMar>
              <w:top w:w="-1" w:type="dxa"/>
              <w:left w:w="-1" w:type="dxa"/>
              <w:bottom w:w="-1" w:type="dxa"/>
              <w:right w:w="-1" w:type="dxa"/>
            </w:tcMar>
            <w:vAlign w:val="center"/>
          </w:tcPr>
          <w:p w14:paraId="6835A5C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bCs/>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5</w:t>
            </w:r>
          </w:p>
        </w:tc>
        <w:tc>
          <w:tcPr>
            <w:tcW w:w="1730" w:type="dxa"/>
            <w:tcBorders>
              <w:top w:val="nil"/>
              <w:left w:val="nil"/>
              <w:bottom w:val="nil"/>
              <w:right w:val="nil"/>
            </w:tcBorders>
            <w:shd w:val="clear" w:color="auto" w:fill="auto"/>
            <w:tcMar>
              <w:top w:w="-1" w:type="dxa"/>
              <w:left w:w="-1" w:type="dxa"/>
              <w:bottom w:w="-1" w:type="dxa"/>
              <w:right w:w="-1" w:type="dxa"/>
            </w:tcMar>
            <w:vAlign w:val="center"/>
          </w:tcPr>
          <w:p w14:paraId="2C6810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bCs/>
                <w:kern w:val="2"/>
                <w:sz w:val="24"/>
                <w:szCs w:val="24"/>
                <w:highlight w:val="none"/>
              </w:rPr>
            </w:pPr>
            <w:r>
              <w:rPr>
                <w:rFonts w:hint="default" w:ascii="仿宋_GB2312" w:hAnsi="Times New Roman" w:eastAsia="仿宋_GB2312" w:cs="仿宋_GB2312"/>
                <w:i w:val="0"/>
                <w:iCs w:val="0"/>
                <w:kern w:val="0"/>
                <w:sz w:val="24"/>
                <w:szCs w:val="24"/>
                <w:highlight w:val="none"/>
                <w:lang w:val="en-US" w:eastAsia="zh-CN" w:bidi="ar"/>
              </w:rPr>
              <w:t>土木水利教学楼</w:t>
            </w:r>
          </w:p>
        </w:tc>
        <w:tc>
          <w:tcPr>
            <w:tcW w:w="1460" w:type="dxa"/>
            <w:tcBorders>
              <w:top w:val="nil"/>
              <w:left w:val="nil"/>
              <w:bottom w:val="nil"/>
              <w:right w:val="nil"/>
            </w:tcBorders>
            <w:shd w:val="clear" w:color="auto" w:fill="auto"/>
            <w:tcMar>
              <w:top w:w="-1" w:type="dxa"/>
              <w:left w:w="-1" w:type="dxa"/>
              <w:bottom w:w="-1" w:type="dxa"/>
              <w:right w:w="-1" w:type="dxa"/>
            </w:tcMar>
            <w:vAlign w:val="center"/>
          </w:tcPr>
          <w:p w14:paraId="0599B0D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b w:val="0"/>
                <w:bCs w:val="0"/>
                <w:kern w:val="2"/>
                <w:sz w:val="24"/>
                <w:szCs w:val="24"/>
                <w:highlight w:val="none"/>
                <w:lang w:val="en-US" w:eastAsia="zh-CN" w:bidi="ar"/>
              </w:rPr>
              <w:t>8050</w:t>
            </w:r>
          </w:p>
        </w:tc>
        <w:tc>
          <w:tcPr>
            <w:tcW w:w="1536" w:type="dxa"/>
            <w:tcBorders>
              <w:top w:val="nil"/>
              <w:left w:val="nil"/>
              <w:bottom w:val="nil"/>
              <w:right w:val="nil"/>
            </w:tcBorders>
            <w:shd w:val="clear" w:color="auto" w:fill="auto"/>
            <w:tcMar>
              <w:top w:w="-1" w:type="dxa"/>
              <w:left w:w="-1" w:type="dxa"/>
              <w:bottom w:w="-1" w:type="dxa"/>
              <w:right w:w="-1" w:type="dxa"/>
            </w:tcMar>
            <w:vAlign w:val="center"/>
          </w:tcPr>
          <w:p w14:paraId="4F0850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仿宋_GB2312" w:hAnsi="Times New Roman" w:eastAsia="仿宋_GB2312" w:cs="仿宋_GB2312"/>
                <w:b w:val="0"/>
                <w:bCs w:val="0"/>
                <w:kern w:val="2"/>
                <w:sz w:val="24"/>
                <w:szCs w:val="24"/>
                <w:highlight w:val="none"/>
                <w:lang w:val="en-US" w:eastAsia="zh-CN" w:bidi="ar"/>
              </w:rPr>
              <w:t>钢筋混凝土</w:t>
            </w:r>
          </w:p>
        </w:tc>
        <w:tc>
          <w:tcPr>
            <w:tcW w:w="1741" w:type="dxa"/>
            <w:tcBorders>
              <w:top w:val="nil"/>
              <w:left w:val="nil"/>
              <w:bottom w:val="nil"/>
              <w:right w:val="nil"/>
            </w:tcBorders>
            <w:shd w:val="clear" w:color="auto" w:fill="auto"/>
            <w:tcMar>
              <w:top w:w="-1" w:type="dxa"/>
              <w:left w:w="-1" w:type="dxa"/>
              <w:bottom w:w="-1" w:type="dxa"/>
              <w:right w:w="-1" w:type="dxa"/>
            </w:tcMar>
            <w:vAlign w:val="center"/>
          </w:tcPr>
          <w:p w14:paraId="05EEA1B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b w:val="0"/>
                <w:bCs w:val="0"/>
                <w:kern w:val="2"/>
                <w:sz w:val="24"/>
                <w:szCs w:val="24"/>
                <w:highlight w:val="none"/>
                <w:lang w:val="en-US" w:eastAsia="zh-CN" w:bidi="ar"/>
              </w:rPr>
              <w:t>2019</w:t>
            </w:r>
          </w:p>
        </w:tc>
        <w:tc>
          <w:tcPr>
            <w:tcW w:w="1741" w:type="dxa"/>
            <w:tcBorders>
              <w:top w:val="nil"/>
              <w:left w:val="nil"/>
              <w:bottom w:val="nil"/>
              <w:right w:val="nil"/>
            </w:tcBorders>
            <w:shd w:val="clear" w:color="auto" w:fill="auto"/>
            <w:tcMar>
              <w:top w:w="-1" w:type="dxa"/>
              <w:left w:w="-1" w:type="dxa"/>
              <w:bottom w:w="-1" w:type="dxa"/>
              <w:right w:w="-1" w:type="dxa"/>
            </w:tcMar>
            <w:vAlign w:val="center"/>
          </w:tcPr>
          <w:p w14:paraId="68BD9D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仿宋_GB2312" w:hAnsi="Times New Roman" w:eastAsia="仿宋_GB2312" w:cs="仿宋_GB2312"/>
                <w:b w:val="0"/>
                <w:bCs w:val="0"/>
                <w:kern w:val="2"/>
                <w:sz w:val="24"/>
                <w:szCs w:val="24"/>
                <w:highlight w:val="none"/>
                <w:lang w:val="en-US" w:eastAsia="zh-CN" w:bidi="ar"/>
              </w:rPr>
              <w:t>有电子图</w:t>
            </w:r>
          </w:p>
        </w:tc>
        <w:tc>
          <w:tcPr>
            <w:tcW w:w="1656" w:type="dxa"/>
            <w:tcBorders>
              <w:top w:val="nil"/>
              <w:left w:val="nil"/>
              <w:bottom w:val="nil"/>
              <w:right w:val="nil"/>
            </w:tcBorders>
            <w:shd w:val="clear" w:color="auto" w:fill="auto"/>
            <w:tcMar>
              <w:top w:w="-1" w:type="dxa"/>
              <w:left w:w="-1" w:type="dxa"/>
              <w:bottom w:w="-1" w:type="dxa"/>
              <w:right w:w="-1" w:type="dxa"/>
            </w:tcMar>
            <w:vAlign w:val="center"/>
          </w:tcPr>
          <w:p w14:paraId="138994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bCs/>
                <w:kern w:val="2"/>
                <w:sz w:val="24"/>
                <w:szCs w:val="24"/>
                <w:highlight w:val="none"/>
              </w:rPr>
            </w:pPr>
          </w:p>
        </w:tc>
      </w:tr>
      <w:tr w14:paraId="019A191F">
        <w:tblPrEx>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atLeast"/>
          <w:jc w:val="center"/>
        </w:trPr>
        <w:tc>
          <w:tcPr>
            <w:tcW w:w="898" w:type="dxa"/>
            <w:tcBorders>
              <w:top w:val="nil"/>
              <w:left w:val="nil"/>
              <w:bottom w:val="nil"/>
              <w:right w:val="nil"/>
            </w:tcBorders>
            <w:shd w:val="clear" w:color="auto" w:fill="auto"/>
            <w:tcMar>
              <w:top w:w="-1" w:type="dxa"/>
              <w:left w:w="-1" w:type="dxa"/>
              <w:bottom w:w="-1" w:type="dxa"/>
              <w:right w:w="-1" w:type="dxa"/>
            </w:tcMar>
            <w:vAlign w:val="center"/>
          </w:tcPr>
          <w:p w14:paraId="2D9FA23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bCs/>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6</w:t>
            </w:r>
          </w:p>
        </w:tc>
        <w:tc>
          <w:tcPr>
            <w:tcW w:w="1730" w:type="dxa"/>
            <w:tcBorders>
              <w:top w:val="nil"/>
              <w:left w:val="nil"/>
              <w:bottom w:val="nil"/>
              <w:right w:val="nil"/>
            </w:tcBorders>
            <w:shd w:val="clear" w:color="auto" w:fill="auto"/>
            <w:tcMar>
              <w:top w:w="-1" w:type="dxa"/>
              <w:left w:w="-1" w:type="dxa"/>
              <w:bottom w:w="-1" w:type="dxa"/>
              <w:right w:w="-1" w:type="dxa"/>
            </w:tcMar>
            <w:vAlign w:val="center"/>
          </w:tcPr>
          <w:p w14:paraId="4539980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bCs/>
                <w:kern w:val="2"/>
                <w:sz w:val="24"/>
                <w:szCs w:val="24"/>
                <w:highlight w:val="none"/>
              </w:rPr>
            </w:pPr>
            <w:r>
              <w:rPr>
                <w:rFonts w:hint="default" w:ascii="仿宋_GB2312" w:hAnsi="Times New Roman" w:eastAsia="仿宋_GB2312" w:cs="仿宋_GB2312"/>
                <w:i w:val="0"/>
                <w:iCs w:val="0"/>
                <w:kern w:val="0"/>
                <w:sz w:val="24"/>
                <w:szCs w:val="24"/>
                <w:highlight w:val="none"/>
                <w:lang w:val="en-US" w:eastAsia="zh-CN" w:bidi="ar"/>
              </w:rPr>
              <w:t>学生食堂</w:t>
            </w:r>
          </w:p>
        </w:tc>
        <w:tc>
          <w:tcPr>
            <w:tcW w:w="1460" w:type="dxa"/>
            <w:tcBorders>
              <w:top w:val="nil"/>
              <w:left w:val="nil"/>
              <w:bottom w:val="nil"/>
              <w:right w:val="nil"/>
            </w:tcBorders>
            <w:shd w:val="clear" w:color="auto" w:fill="auto"/>
            <w:tcMar>
              <w:top w:w="-1" w:type="dxa"/>
              <w:left w:w="-1" w:type="dxa"/>
              <w:bottom w:w="-1" w:type="dxa"/>
              <w:right w:w="-1" w:type="dxa"/>
            </w:tcMar>
            <w:vAlign w:val="center"/>
          </w:tcPr>
          <w:p w14:paraId="4A828CB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b w:val="0"/>
                <w:bCs w:val="0"/>
                <w:kern w:val="2"/>
                <w:sz w:val="24"/>
                <w:szCs w:val="24"/>
                <w:highlight w:val="none"/>
                <w:lang w:val="en-US" w:eastAsia="zh-CN" w:bidi="ar"/>
              </w:rPr>
              <w:t>5000</w:t>
            </w:r>
          </w:p>
        </w:tc>
        <w:tc>
          <w:tcPr>
            <w:tcW w:w="1536" w:type="dxa"/>
            <w:tcBorders>
              <w:top w:val="nil"/>
              <w:left w:val="nil"/>
              <w:bottom w:val="nil"/>
              <w:right w:val="nil"/>
            </w:tcBorders>
            <w:shd w:val="clear" w:color="auto" w:fill="auto"/>
            <w:tcMar>
              <w:top w:w="-1" w:type="dxa"/>
              <w:left w:w="-1" w:type="dxa"/>
              <w:bottom w:w="-1" w:type="dxa"/>
              <w:right w:w="-1" w:type="dxa"/>
            </w:tcMar>
            <w:vAlign w:val="center"/>
          </w:tcPr>
          <w:p w14:paraId="4585334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仿宋_GB2312" w:hAnsi="Times New Roman" w:eastAsia="仿宋_GB2312" w:cs="仿宋_GB2312"/>
                <w:b w:val="0"/>
                <w:bCs w:val="0"/>
                <w:kern w:val="2"/>
                <w:sz w:val="24"/>
                <w:szCs w:val="24"/>
                <w:highlight w:val="none"/>
                <w:lang w:val="en-US" w:eastAsia="zh-CN" w:bidi="ar"/>
              </w:rPr>
              <w:t>框架</w:t>
            </w:r>
          </w:p>
        </w:tc>
        <w:tc>
          <w:tcPr>
            <w:tcW w:w="1741" w:type="dxa"/>
            <w:tcBorders>
              <w:top w:val="nil"/>
              <w:left w:val="nil"/>
              <w:bottom w:val="nil"/>
              <w:right w:val="nil"/>
            </w:tcBorders>
            <w:shd w:val="clear" w:color="auto" w:fill="auto"/>
            <w:tcMar>
              <w:top w:w="-1" w:type="dxa"/>
              <w:left w:w="-1" w:type="dxa"/>
              <w:bottom w:w="-1" w:type="dxa"/>
              <w:right w:w="-1" w:type="dxa"/>
            </w:tcMar>
            <w:vAlign w:val="center"/>
          </w:tcPr>
          <w:p w14:paraId="7417157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b w:val="0"/>
                <w:bCs w:val="0"/>
                <w:kern w:val="2"/>
                <w:sz w:val="24"/>
                <w:szCs w:val="24"/>
                <w:highlight w:val="none"/>
                <w:lang w:val="en-US" w:eastAsia="zh-CN" w:bidi="ar"/>
              </w:rPr>
              <w:t>2005</w:t>
            </w:r>
          </w:p>
        </w:tc>
        <w:tc>
          <w:tcPr>
            <w:tcW w:w="1741" w:type="dxa"/>
            <w:tcBorders>
              <w:top w:val="nil"/>
              <w:left w:val="nil"/>
              <w:bottom w:val="nil"/>
              <w:right w:val="nil"/>
            </w:tcBorders>
            <w:shd w:val="clear" w:color="auto" w:fill="auto"/>
            <w:tcMar>
              <w:top w:w="-1" w:type="dxa"/>
              <w:left w:w="-1" w:type="dxa"/>
              <w:bottom w:w="-1" w:type="dxa"/>
              <w:right w:w="-1" w:type="dxa"/>
            </w:tcMar>
            <w:vAlign w:val="center"/>
          </w:tcPr>
          <w:p w14:paraId="296464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仿宋_GB2312" w:hAnsi="Times New Roman" w:eastAsia="仿宋_GB2312" w:cs="仿宋_GB2312"/>
                <w:b w:val="0"/>
                <w:bCs w:val="0"/>
                <w:kern w:val="2"/>
                <w:sz w:val="24"/>
                <w:szCs w:val="24"/>
                <w:highlight w:val="none"/>
                <w:lang w:val="en-US" w:eastAsia="zh-CN" w:bidi="ar"/>
              </w:rPr>
              <w:t>有电子图</w:t>
            </w:r>
          </w:p>
        </w:tc>
        <w:tc>
          <w:tcPr>
            <w:tcW w:w="1656" w:type="dxa"/>
            <w:tcBorders>
              <w:top w:val="nil"/>
              <w:left w:val="nil"/>
              <w:bottom w:val="nil"/>
              <w:right w:val="nil"/>
            </w:tcBorders>
            <w:shd w:val="clear" w:color="auto" w:fill="auto"/>
            <w:tcMar>
              <w:top w:w="-1" w:type="dxa"/>
              <w:left w:w="-1" w:type="dxa"/>
              <w:bottom w:w="-1" w:type="dxa"/>
              <w:right w:w="-1" w:type="dxa"/>
            </w:tcMar>
            <w:vAlign w:val="center"/>
          </w:tcPr>
          <w:p w14:paraId="450F2F5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bCs/>
                <w:kern w:val="2"/>
                <w:sz w:val="24"/>
                <w:szCs w:val="24"/>
                <w:highlight w:val="none"/>
              </w:rPr>
            </w:pPr>
          </w:p>
        </w:tc>
      </w:tr>
      <w:tr w14:paraId="44727323">
        <w:tblPrEx>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atLeast"/>
          <w:jc w:val="center"/>
        </w:trPr>
        <w:tc>
          <w:tcPr>
            <w:tcW w:w="898" w:type="dxa"/>
            <w:tcBorders>
              <w:top w:val="nil"/>
              <w:left w:val="nil"/>
              <w:bottom w:val="nil"/>
              <w:right w:val="nil"/>
            </w:tcBorders>
            <w:shd w:val="clear" w:color="auto" w:fill="auto"/>
            <w:tcMar>
              <w:top w:w="-1" w:type="dxa"/>
              <w:left w:w="-1" w:type="dxa"/>
              <w:bottom w:w="-1" w:type="dxa"/>
              <w:right w:w="-1" w:type="dxa"/>
            </w:tcMar>
            <w:vAlign w:val="center"/>
          </w:tcPr>
          <w:p w14:paraId="2C14958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bCs/>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7</w:t>
            </w:r>
          </w:p>
        </w:tc>
        <w:tc>
          <w:tcPr>
            <w:tcW w:w="1730" w:type="dxa"/>
            <w:tcBorders>
              <w:top w:val="nil"/>
              <w:left w:val="nil"/>
              <w:bottom w:val="nil"/>
              <w:right w:val="nil"/>
            </w:tcBorders>
            <w:shd w:val="clear" w:color="auto" w:fill="auto"/>
            <w:tcMar>
              <w:top w:w="-1" w:type="dxa"/>
              <w:left w:w="-1" w:type="dxa"/>
              <w:bottom w:w="-1" w:type="dxa"/>
              <w:right w:w="-1" w:type="dxa"/>
            </w:tcMar>
            <w:vAlign w:val="center"/>
          </w:tcPr>
          <w:p w14:paraId="29AFA32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bCs/>
                <w:kern w:val="2"/>
                <w:sz w:val="24"/>
                <w:szCs w:val="24"/>
                <w:highlight w:val="none"/>
              </w:rPr>
            </w:pPr>
            <w:r>
              <w:rPr>
                <w:rFonts w:hint="default" w:ascii="仿宋_GB2312" w:hAnsi="Times New Roman" w:eastAsia="仿宋_GB2312" w:cs="仿宋_GB2312"/>
                <w:i w:val="0"/>
                <w:iCs w:val="0"/>
                <w:kern w:val="0"/>
                <w:sz w:val="24"/>
                <w:szCs w:val="24"/>
                <w:highlight w:val="none"/>
                <w:lang w:val="en-US" w:eastAsia="zh-CN" w:bidi="ar"/>
              </w:rPr>
              <w:t>运动场及看台</w:t>
            </w:r>
          </w:p>
        </w:tc>
        <w:tc>
          <w:tcPr>
            <w:tcW w:w="1460" w:type="dxa"/>
            <w:tcBorders>
              <w:top w:val="nil"/>
              <w:left w:val="nil"/>
              <w:bottom w:val="nil"/>
              <w:right w:val="nil"/>
            </w:tcBorders>
            <w:shd w:val="clear" w:color="auto" w:fill="auto"/>
            <w:tcMar>
              <w:top w:w="-1" w:type="dxa"/>
              <w:left w:w="-1" w:type="dxa"/>
              <w:bottom w:w="-1" w:type="dxa"/>
              <w:right w:w="-1" w:type="dxa"/>
            </w:tcMar>
            <w:vAlign w:val="center"/>
          </w:tcPr>
          <w:p w14:paraId="68AB0BD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b w:val="0"/>
                <w:bCs w:val="0"/>
                <w:kern w:val="2"/>
                <w:sz w:val="24"/>
                <w:szCs w:val="24"/>
                <w:highlight w:val="none"/>
                <w:lang w:val="en-US" w:eastAsia="zh-CN" w:bidi="ar"/>
              </w:rPr>
              <w:t>2261.43</w:t>
            </w:r>
          </w:p>
        </w:tc>
        <w:tc>
          <w:tcPr>
            <w:tcW w:w="1536" w:type="dxa"/>
            <w:tcBorders>
              <w:top w:val="nil"/>
              <w:left w:val="nil"/>
              <w:bottom w:val="nil"/>
              <w:right w:val="nil"/>
            </w:tcBorders>
            <w:shd w:val="clear" w:color="auto" w:fill="auto"/>
            <w:tcMar>
              <w:top w:w="-1" w:type="dxa"/>
              <w:left w:w="-1" w:type="dxa"/>
              <w:bottom w:w="-1" w:type="dxa"/>
              <w:right w:w="-1" w:type="dxa"/>
            </w:tcMar>
            <w:vAlign w:val="center"/>
          </w:tcPr>
          <w:p w14:paraId="2C37162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仿宋_GB2312" w:hAnsi="Times New Roman" w:eastAsia="仿宋_GB2312" w:cs="仿宋_GB2312"/>
                <w:b w:val="0"/>
                <w:bCs w:val="0"/>
                <w:kern w:val="2"/>
                <w:sz w:val="24"/>
                <w:szCs w:val="24"/>
                <w:highlight w:val="none"/>
                <w:lang w:val="en-US" w:eastAsia="zh-CN" w:bidi="ar"/>
              </w:rPr>
              <w:t>框架</w:t>
            </w:r>
          </w:p>
        </w:tc>
        <w:tc>
          <w:tcPr>
            <w:tcW w:w="1741" w:type="dxa"/>
            <w:tcBorders>
              <w:top w:val="nil"/>
              <w:left w:val="nil"/>
              <w:bottom w:val="nil"/>
              <w:right w:val="nil"/>
            </w:tcBorders>
            <w:shd w:val="clear" w:color="auto" w:fill="auto"/>
            <w:tcMar>
              <w:top w:w="-1" w:type="dxa"/>
              <w:left w:w="-1" w:type="dxa"/>
              <w:bottom w:w="-1" w:type="dxa"/>
              <w:right w:w="-1" w:type="dxa"/>
            </w:tcMar>
            <w:vAlign w:val="center"/>
          </w:tcPr>
          <w:p w14:paraId="180B3D7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b w:val="0"/>
                <w:bCs w:val="0"/>
                <w:kern w:val="2"/>
                <w:sz w:val="24"/>
                <w:szCs w:val="24"/>
                <w:highlight w:val="none"/>
                <w:lang w:val="en-US" w:eastAsia="zh-CN" w:bidi="ar"/>
              </w:rPr>
              <w:t>2020</w:t>
            </w:r>
          </w:p>
        </w:tc>
        <w:tc>
          <w:tcPr>
            <w:tcW w:w="1741" w:type="dxa"/>
            <w:tcBorders>
              <w:top w:val="nil"/>
              <w:left w:val="nil"/>
              <w:bottom w:val="nil"/>
              <w:right w:val="nil"/>
            </w:tcBorders>
            <w:shd w:val="clear" w:color="auto" w:fill="auto"/>
            <w:tcMar>
              <w:top w:w="-1" w:type="dxa"/>
              <w:left w:w="-1" w:type="dxa"/>
              <w:bottom w:w="-1" w:type="dxa"/>
              <w:right w:w="-1" w:type="dxa"/>
            </w:tcMar>
            <w:vAlign w:val="center"/>
          </w:tcPr>
          <w:p w14:paraId="627278B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仿宋_GB2312" w:hAnsi="Times New Roman" w:eastAsia="仿宋_GB2312" w:cs="仿宋_GB2312"/>
                <w:b w:val="0"/>
                <w:bCs w:val="0"/>
                <w:kern w:val="2"/>
                <w:sz w:val="24"/>
                <w:szCs w:val="24"/>
                <w:highlight w:val="none"/>
                <w:lang w:val="en-US" w:eastAsia="zh-CN" w:bidi="ar"/>
              </w:rPr>
              <w:t>有电子图</w:t>
            </w:r>
          </w:p>
        </w:tc>
        <w:tc>
          <w:tcPr>
            <w:tcW w:w="1656" w:type="dxa"/>
            <w:tcBorders>
              <w:top w:val="nil"/>
              <w:left w:val="nil"/>
              <w:bottom w:val="nil"/>
              <w:right w:val="nil"/>
            </w:tcBorders>
            <w:shd w:val="clear" w:color="auto" w:fill="auto"/>
            <w:tcMar>
              <w:top w:w="-1" w:type="dxa"/>
              <w:left w:w="-1" w:type="dxa"/>
              <w:bottom w:w="-1" w:type="dxa"/>
              <w:right w:w="-1" w:type="dxa"/>
            </w:tcMar>
            <w:vAlign w:val="center"/>
          </w:tcPr>
          <w:p w14:paraId="7F5B8C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bCs/>
                <w:kern w:val="2"/>
                <w:sz w:val="24"/>
                <w:szCs w:val="24"/>
                <w:highlight w:val="none"/>
              </w:rPr>
            </w:pPr>
          </w:p>
        </w:tc>
      </w:tr>
      <w:tr w14:paraId="2317F99E">
        <w:tblPrEx>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567" w:hRule="atLeast"/>
          <w:jc w:val="center"/>
        </w:trPr>
        <w:tc>
          <w:tcPr>
            <w:tcW w:w="898" w:type="dxa"/>
            <w:tcBorders>
              <w:top w:val="nil"/>
              <w:left w:val="nil"/>
              <w:bottom w:val="single" w:color="auto" w:sz="12" w:space="0"/>
              <w:right w:val="nil"/>
            </w:tcBorders>
            <w:shd w:val="clear" w:color="auto" w:fill="auto"/>
            <w:tcMar>
              <w:top w:w="-1" w:type="dxa"/>
              <w:left w:w="-1" w:type="dxa"/>
              <w:bottom w:w="-1" w:type="dxa"/>
              <w:right w:w="-1" w:type="dxa"/>
            </w:tcMar>
            <w:vAlign w:val="center"/>
          </w:tcPr>
          <w:p w14:paraId="5C0014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bCs/>
                <w:kern w:val="2"/>
                <w:sz w:val="24"/>
                <w:szCs w:val="24"/>
                <w:highlight w:val="none"/>
              </w:rPr>
            </w:pPr>
            <w:r>
              <w:rPr>
                <w:rFonts w:hint="default" w:ascii="Times New Roman" w:hAnsi="Times New Roman" w:eastAsia="仿宋_GB2312" w:cs="Times New Roman"/>
                <w:i w:val="0"/>
                <w:iCs w:val="0"/>
                <w:kern w:val="0"/>
                <w:sz w:val="24"/>
                <w:szCs w:val="24"/>
                <w:highlight w:val="none"/>
                <w:lang w:val="en-US" w:eastAsia="zh-CN" w:bidi="ar"/>
              </w:rPr>
              <w:t>8</w:t>
            </w:r>
          </w:p>
        </w:tc>
        <w:tc>
          <w:tcPr>
            <w:tcW w:w="1730" w:type="dxa"/>
            <w:tcBorders>
              <w:top w:val="nil"/>
              <w:left w:val="nil"/>
              <w:bottom w:val="single" w:color="auto" w:sz="12" w:space="0"/>
              <w:right w:val="nil"/>
            </w:tcBorders>
            <w:shd w:val="clear" w:color="auto" w:fill="auto"/>
            <w:tcMar>
              <w:top w:w="-1" w:type="dxa"/>
              <w:left w:w="-1" w:type="dxa"/>
              <w:bottom w:w="-1" w:type="dxa"/>
              <w:right w:w="-1" w:type="dxa"/>
            </w:tcMar>
            <w:vAlign w:val="center"/>
          </w:tcPr>
          <w:p w14:paraId="5372F3F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i w:val="0"/>
                <w:iCs w:val="0"/>
                <w:kern w:val="0"/>
                <w:sz w:val="24"/>
                <w:szCs w:val="24"/>
                <w:highlight w:val="none"/>
              </w:rPr>
            </w:pPr>
            <w:r>
              <w:rPr>
                <w:rFonts w:hint="default" w:ascii="仿宋_GB2312" w:hAnsi="Times New Roman" w:eastAsia="仿宋_GB2312" w:cs="仿宋_GB2312"/>
                <w:i w:val="0"/>
                <w:iCs w:val="0"/>
                <w:kern w:val="0"/>
                <w:sz w:val="24"/>
                <w:szCs w:val="24"/>
                <w:highlight w:val="none"/>
                <w:lang w:val="en-US" w:eastAsia="zh-CN" w:bidi="ar"/>
              </w:rPr>
              <w:t>宿舍楼</w:t>
            </w:r>
          </w:p>
          <w:p w14:paraId="750AD6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bCs/>
                <w:kern w:val="2"/>
                <w:sz w:val="24"/>
                <w:szCs w:val="24"/>
                <w:highlight w:val="none"/>
              </w:rPr>
            </w:pPr>
            <w:r>
              <w:rPr>
                <w:rFonts w:hint="default" w:ascii="仿宋_GB2312" w:hAnsi="Times New Roman" w:eastAsia="仿宋_GB2312" w:cs="仿宋_GB2312"/>
                <w:i w:val="0"/>
                <w:iCs w:val="0"/>
                <w:kern w:val="0"/>
                <w:sz w:val="24"/>
                <w:szCs w:val="24"/>
                <w:highlight w:val="none"/>
                <w:lang w:val="en-US" w:eastAsia="zh-CN" w:bidi="ar"/>
              </w:rPr>
              <w:t>（</w:t>
            </w:r>
            <w:r>
              <w:rPr>
                <w:rFonts w:hint="default" w:ascii="Times New Roman" w:hAnsi="Times New Roman" w:eastAsia="仿宋_GB2312" w:cs="Times New Roman"/>
                <w:i w:val="0"/>
                <w:iCs w:val="0"/>
                <w:kern w:val="0"/>
                <w:sz w:val="24"/>
                <w:szCs w:val="24"/>
                <w:highlight w:val="none"/>
                <w:lang w:val="en-US" w:eastAsia="zh-CN" w:bidi="ar"/>
              </w:rPr>
              <w:t>1#</w:t>
            </w:r>
            <w:r>
              <w:rPr>
                <w:rFonts w:hint="default" w:ascii="仿宋_GB2312" w:hAnsi="Times New Roman" w:eastAsia="仿宋_GB2312" w:cs="仿宋_GB2312"/>
                <w:i w:val="0"/>
                <w:iCs w:val="0"/>
                <w:kern w:val="0"/>
                <w:sz w:val="24"/>
                <w:szCs w:val="24"/>
                <w:highlight w:val="none"/>
                <w:lang w:val="en-US" w:eastAsia="zh-CN" w:bidi="ar"/>
              </w:rPr>
              <w:t>、</w:t>
            </w:r>
            <w:r>
              <w:rPr>
                <w:rFonts w:hint="default" w:ascii="Times New Roman" w:hAnsi="Times New Roman" w:eastAsia="仿宋_GB2312" w:cs="Times New Roman"/>
                <w:i w:val="0"/>
                <w:iCs w:val="0"/>
                <w:kern w:val="0"/>
                <w:sz w:val="24"/>
                <w:szCs w:val="24"/>
                <w:highlight w:val="none"/>
                <w:lang w:val="en-US" w:eastAsia="zh-CN" w:bidi="ar"/>
              </w:rPr>
              <w:t>2#</w:t>
            </w:r>
            <w:r>
              <w:rPr>
                <w:rFonts w:hint="default" w:ascii="仿宋_GB2312" w:hAnsi="Times New Roman" w:eastAsia="仿宋_GB2312" w:cs="仿宋_GB2312"/>
                <w:i w:val="0"/>
                <w:iCs w:val="0"/>
                <w:kern w:val="0"/>
                <w:sz w:val="24"/>
                <w:szCs w:val="24"/>
                <w:highlight w:val="none"/>
                <w:lang w:val="en-US" w:eastAsia="zh-CN" w:bidi="ar"/>
              </w:rPr>
              <w:t>宿舍楼）</w:t>
            </w:r>
          </w:p>
        </w:tc>
        <w:tc>
          <w:tcPr>
            <w:tcW w:w="1460" w:type="dxa"/>
            <w:tcBorders>
              <w:top w:val="nil"/>
              <w:left w:val="nil"/>
              <w:bottom w:val="single" w:color="auto" w:sz="12" w:space="0"/>
              <w:right w:val="nil"/>
            </w:tcBorders>
            <w:shd w:val="clear" w:color="auto" w:fill="auto"/>
            <w:tcMar>
              <w:top w:w="-1" w:type="dxa"/>
              <w:left w:w="-1" w:type="dxa"/>
              <w:bottom w:w="-1" w:type="dxa"/>
              <w:right w:w="-1" w:type="dxa"/>
            </w:tcMar>
            <w:vAlign w:val="center"/>
          </w:tcPr>
          <w:p w14:paraId="48F50B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b w:val="0"/>
                <w:bCs w:val="0"/>
                <w:kern w:val="2"/>
                <w:sz w:val="24"/>
                <w:szCs w:val="24"/>
                <w:highlight w:val="none"/>
                <w:lang w:val="en-US" w:eastAsia="zh-CN" w:bidi="ar"/>
              </w:rPr>
              <w:t>12700</w:t>
            </w:r>
          </w:p>
        </w:tc>
        <w:tc>
          <w:tcPr>
            <w:tcW w:w="1536" w:type="dxa"/>
            <w:tcBorders>
              <w:top w:val="nil"/>
              <w:left w:val="nil"/>
              <w:bottom w:val="single" w:color="auto" w:sz="12" w:space="0"/>
              <w:right w:val="nil"/>
            </w:tcBorders>
            <w:shd w:val="clear" w:color="auto" w:fill="auto"/>
            <w:tcMar>
              <w:top w:w="-1" w:type="dxa"/>
              <w:left w:w="-1" w:type="dxa"/>
              <w:bottom w:w="-1" w:type="dxa"/>
              <w:right w:w="-1" w:type="dxa"/>
            </w:tcMar>
            <w:vAlign w:val="center"/>
          </w:tcPr>
          <w:p w14:paraId="71D3AA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仿宋_GB2312" w:hAnsi="Times New Roman" w:eastAsia="仿宋_GB2312" w:cs="仿宋_GB2312"/>
                <w:b w:val="0"/>
                <w:bCs w:val="0"/>
                <w:kern w:val="2"/>
                <w:sz w:val="24"/>
                <w:szCs w:val="24"/>
                <w:highlight w:val="none"/>
                <w:lang w:val="en-US" w:eastAsia="zh-CN" w:bidi="ar"/>
              </w:rPr>
              <w:t>框架</w:t>
            </w:r>
          </w:p>
        </w:tc>
        <w:tc>
          <w:tcPr>
            <w:tcW w:w="1741" w:type="dxa"/>
            <w:tcBorders>
              <w:top w:val="nil"/>
              <w:left w:val="nil"/>
              <w:bottom w:val="single" w:color="auto" w:sz="12" w:space="0"/>
              <w:right w:val="nil"/>
            </w:tcBorders>
            <w:shd w:val="clear" w:color="auto" w:fill="auto"/>
            <w:tcMar>
              <w:top w:w="-1" w:type="dxa"/>
              <w:left w:w="-1" w:type="dxa"/>
              <w:bottom w:w="-1" w:type="dxa"/>
              <w:right w:w="-1" w:type="dxa"/>
            </w:tcMar>
            <w:vAlign w:val="center"/>
          </w:tcPr>
          <w:p w14:paraId="57838A6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Times New Roman" w:hAnsi="Times New Roman" w:eastAsia="仿宋_GB2312" w:cs="Times New Roman"/>
                <w:b w:val="0"/>
                <w:bCs w:val="0"/>
                <w:kern w:val="2"/>
                <w:sz w:val="24"/>
                <w:szCs w:val="24"/>
                <w:highlight w:val="none"/>
                <w:lang w:val="en-US" w:eastAsia="zh-CN" w:bidi="ar"/>
              </w:rPr>
              <w:t>2006</w:t>
            </w:r>
          </w:p>
        </w:tc>
        <w:tc>
          <w:tcPr>
            <w:tcW w:w="1741" w:type="dxa"/>
            <w:tcBorders>
              <w:top w:val="nil"/>
              <w:left w:val="nil"/>
              <w:bottom w:val="single" w:color="auto" w:sz="12" w:space="0"/>
              <w:right w:val="nil"/>
            </w:tcBorders>
            <w:shd w:val="clear" w:color="auto" w:fill="auto"/>
            <w:tcMar>
              <w:top w:w="-1" w:type="dxa"/>
              <w:left w:w="-1" w:type="dxa"/>
              <w:bottom w:w="-1" w:type="dxa"/>
              <w:right w:w="-1" w:type="dxa"/>
            </w:tcMar>
            <w:vAlign w:val="center"/>
          </w:tcPr>
          <w:p w14:paraId="1B2F92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kern w:val="2"/>
                <w:sz w:val="24"/>
                <w:szCs w:val="24"/>
                <w:highlight w:val="none"/>
              </w:rPr>
            </w:pPr>
            <w:r>
              <w:rPr>
                <w:rFonts w:hint="default" w:ascii="仿宋_GB2312" w:hAnsi="Times New Roman" w:eastAsia="仿宋_GB2312" w:cs="仿宋_GB2312"/>
                <w:b w:val="0"/>
                <w:bCs w:val="0"/>
                <w:kern w:val="2"/>
                <w:sz w:val="24"/>
                <w:szCs w:val="24"/>
                <w:highlight w:val="none"/>
                <w:lang w:val="en-US" w:eastAsia="zh-CN" w:bidi="ar"/>
              </w:rPr>
              <w:t>有电子图</w:t>
            </w:r>
          </w:p>
        </w:tc>
        <w:tc>
          <w:tcPr>
            <w:tcW w:w="1656" w:type="dxa"/>
            <w:tcBorders>
              <w:top w:val="nil"/>
              <w:left w:val="nil"/>
              <w:bottom w:val="single" w:color="auto" w:sz="12" w:space="0"/>
              <w:right w:val="nil"/>
            </w:tcBorders>
            <w:shd w:val="clear" w:color="auto" w:fill="auto"/>
            <w:tcMar>
              <w:top w:w="-1" w:type="dxa"/>
              <w:left w:w="-1" w:type="dxa"/>
              <w:bottom w:w="-1" w:type="dxa"/>
              <w:right w:w="-1" w:type="dxa"/>
            </w:tcMar>
            <w:vAlign w:val="center"/>
          </w:tcPr>
          <w:p w14:paraId="4750DC4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bCs/>
                <w:kern w:val="2"/>
                <w:sz w:val="24"/>
                <w:szCs w:val="24"/>
                <w:highlight w:val="none"/>
              </w:rPr>
            </w:pPr>
          </w:p>
        </w:tc>
      </w:tr>
    </w:tbl>
    <w:p w14:paraId="6D76FD6A">
      <w:pPr>
        <w:pStyle w:val="20"/>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pBdr>
        <w:shd w:val="clear" w:fill="FFFFFF"/>
        <w:wordWrap w:val="0"/>
        <w:autoSpaceDE w:val="0"/>
        <w:autoSpaceDN/>
        <w:spacing w:before="0" w:beforeAutospacing="0" w:after="0" w:afterAutospacing="0" w:line="560" w:lineRule="exact"/>
        <w:ind w:left="420" w:leftChars="0" w:right="0" w:hanging="420" w:firstLineChars="0"/>
        <w:jc w:val="both"/>
        <w:rPr>
          <w:rFonts w:hint="default" w:ascii="Times New Roman" w:hAnsi="Times New Roman" w:eastAsia="仿宋_GB2312" w:cs="Times New Roman"/>
          <w:i w:val="0"/>
          <w:iCs w:val="0"/>
          <w:kern w:val="0"/>
          <w:sz w:val="24"/>
          <w:szCs w:val="24"/>
          <w:highlight w:val="none"/>
          <w:shd w:val="clear" w:fill="FFFFFF"/>
        </w:rPr>
      </w:pPr>
      <w:r>
        <w:rPr>
          <w:rFonts w:hint="default" w:ascii="仿宋_GB2312" w:hAnsi="Times New Roman" w:eastAsia="仿宋_GB2312" w:cs="仿宋_GB2312"/>
          <w:i w:val="0"/>
          <w:iCs w:val="0"/>
          <w:kern w:val="0"/>
          <w:sz w:val="24"/>
          <w:szCs w:val="24"/>
          <w:highlight w:val="none"/>
          <w:shd w:val="clear" w:fill="FFFFFF"/>
          <w:lang w:val="en-US" w:eastAsia="zh-CN" w:bidi="ar"/>
        </w:rPr>
        <w:t>总建筑面积：</w:t>
      </w:r>
      <w:r>
        <w:rPr>
          <w:rFonts w:hint="default" w:ascii="Times New Roman" w:hAnsi="Times New Roman" w:eastAsia="仿宋_GB2312" w:cs="Times New Roman"/>
          <w:i w:val="0"/>
          <w:iCs w:val="0"/>
          <w:kern w:val="0"/>
          <w:sz w:val="24"/>
          <w:szCs w:val="24"/>
          <w:highlight w:val="none"/>
          <w:shd w:val="clear" w:fill="FFFFFF"/>
          <w:lang w:val="en-US" w:eastAsia="zh-CN" w:bidi="ar"/>
        </w:rPr>
        <w:t>68363.43</w:t>
      </w:r>
      <w:r>
        <w:rPr>
          <w:rFonts w:hint="default" w:ascii="仿宋_GB2312" w:hAnsi="Times New Roman" w:eastAsia="仿宋_GB2312" w:cs="仿宋_GB2312"/>
          <w:i w:val="0"/>
          <w:iCs w:val="0"/>
          <w:kern w:val="0"/>
          <w:sz w:val="24"/>
          <w:szCs w:val="24"/>
          <w:highlight w:val="none"/>
          <w:shd w:val="clear" w:fill="FFFFFF"/>
          <w:lang w:val="en-US" w:eastAsia="zh-CN" w:bidi="ar"/>
        </w:rPr>
        <w:t>㎡</w:t>
      </w:r>
    </w:p>
    <w:p w14:paraId="150F9A79">
      <w:pPr>
        <w:pStyle w:val="20"/>
        <w:keepNext w:val="0"/>
        <w:keepLines w:val="0"/>
        <w:widowControl w:val="0"/>
        <w:suppressLineNumbers w:val="0"/>
        <w:pBdr>
          <w:top w:val="none" w:color="auto" w:sz="0" w:space="0"/>
          <w:left w:val="none" w:color="auto" w:sz="0" w:space="0"/>
          <w:bottom w:val="none" w:color="auto" w:sz="0" w:space="0"/>
          <w:right w:val="none" w:color="auto" w:sz="0" w:space="0"/>
        </w:pBdr>
        <w:shd w:val="clear" w:fill="FFFFFF"/>
        <w:wordWrap w:val="0"/>
        <w:autoSpaceDE w:val="0"/>
        <w:autoSpaceDN/>
        <w:spacing w:before="0" w:beforeAutospacing="0" w:after="0" w:afterAutospacing="0" w:line="560" w:lineRule="exact"/>
        <w:ind w:left="0" w:right="0"/>
        <w:jc w:val="left"/>
        <w:rPr>
          <w:rFonts w:hint="default" w:ascii="Times New Roman" w:hAnsi="Times New Roman" w:eastAsia="仿宋_GB2312" w:cs="Times New Roman"/>
          <w:b w:val="0"/>
          <w:bCs w:val="0"/>
          <w:i w:val="0"/>
          <w:iCs w:val="0"/>
          <w:caps w:val="0"/>
          <w:spacing w:val="0"/>
          <w:kern w:val="2"/>
          <w:sz w:val="32"/>
          <w:szCs w:val="32"/>
          <w:highlight w:val="none"/>
          <w:shd w:val="clear" w:fill="FFFFFF"/>
        </w:rPr>
      </w:pPr>
    </w:p>
    <w:p w14:paraId="029CB814">
      <w:pPr>
        <w:spacing w:line="360" w:lineRule="auto"/>
        <w:ind w:firstLine="480" w:firstLineChars="200"/>
        <w:outlineLvl w:val="2"/>
        <w:rPr>
          <w:rFonts w:hint="eastAsia" w:ascii="宋体" w:hAnsi="宋体" w:eastAsia="宋体" w:cs="宋体"/>
          <w:bCs/>
          <w:color w:val="auto"/>
          <w:sz w:val="24"/>
          <w:szCs w:val="18"/>
          <w:highlight w:val="none"/>
          <w:lang w:eastAsia="zh-CN"/>
        </w:rPr>
      </w:pPr>
    </w:p>
    <w:p w14:paraId="127B9B3D">
      <w:pPr>
        <w:spacing w:line="360" w:lineRule="auto"/>
        <w:ind w:firstLine="562" w:firstLineChars="200"/>
        <w:outlineLvl w:val="2"/>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56625177">
      <w:pPr>
        <w:spacing w:line="360" w:lineRule="auto"/>
        <w:jc w:val="center"/>
        <w:outlineLvl w:val="0"/>
        <w:rPr>
          <w:rFonts w:asciiTheme="minorEastAsia" w:hAnsiTheme="minorEastAsia" w:eastAsiaTheme="minorEastAsia"/>
          <w:b/>
          <w:color w:val="auto"/>
          <w:sz w:val="28"/>
          <w:highlight w:val="none"/>
        </w:rPr>
      </w:pPr>
      <w:bookmarkStart w:id="30" w:name="_Toc30762"/>
      <w:r>
        <w:rPr>
          <w:rFonts w:hint="eastAsia" w:asciiTheme="minorEastAsia" w:hAnsiTheme="minorEastAsia" w:eastAsiaTheme="minorEastAsia"/>
          <w:b/>
          <w:color w:val="auto"/>
          <w:sz w:val="28"/>
          <w:highlight w:val="none"/>
        </w:rPr>
        <w:t xml:space="preserve">第四章 </w:t>
      </w:r>
      <w:bookmarkEnd w:id="29"/>
      <w:r>
        <w:rPr>
          <w:rFonts w:hint="eastAsia" w:asciiTheme="minorEastAsia" w:hAnsiTheme="minorEastAsia" w:eastAsiaTheme="minorEastAsia"/>
          <w:b/>
          <w:color w:val="auto"/>
          <w:sz w:val="28"/>
          <w:highlight w:val="none"/>
        </w:rPr>
        <w:t>评审方法和标准</w:t>
      </w:r>
      <w:bookmarkEnd w:id="30"/>
    </w:p>
    <w:p w14:paraId="351D8618">
      <w:pPr>
        <w:spacing w:line="360" w:lineRule="auto"/>
        <w:ind w:firstLine="437"/>
        <w:outlineLvl w:val="1"/>
        <w:rPr>
          <w:rFonts w:asciiTheme="minorEastAsia" w:hAnsiTheme="minorEastAsia" w:eastAsiaTheme="minorEastAsia"/>
          <w:b/>
          <w:color w:val="auto"/>
          <w:sz w:val="24"/>
          <w:highlight w:val="none"/>
        </w:rPr>
      </w:pPr>
      <w:bookmarkStart w:id="31" w:name="_Toc12199"/>
      <w:bookmarkStart w:id="32" w:name="_Toc21211"/>
      <w:r>
        <w:rPr>
          <w:rFonts w:hint="eastAsia" w:asciiTheme="minorEastAsia" w:hAnsiTheme="minorEastAsia" w:eastAsiaTheme="minorEastAsia"/>
          <w:b/>
          <w:color w:val="auto"/>
          <w:sz w:val="24"/>
          <w:highlight w:val="none"/>
        </w:rPr>
        <w:t>一、总则</w:t>
      </w:r>
      <w:bookmarkEnd w:id="31"/>
      <w:bookmarkEnd w:id="32"/>
    </w:p>
    <w:p w14:paraId="40302E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6182ADD4">
      <w:pPr>
        <w:spacing w:line="360" w:lineRule="auto"/>
        <w:ind w:firstLine="437"/>
        <w:outlineLvl w:val="1"/>
        <w:rPr>
          <w:rFonts w:asciiTheme="minorEastAsia" w:hAnsiTheme="minorEastAsia" w:eastAsiaTheme="minorEastAsia"/>
          <w:b/>
          <w:color w:val="auto"/>
          <w:sz w:val="24"/>
          <w:highlight w:val="none"/>
        </w:rPr>
      </w:pPr>
      <w:bookmarkStart w:id="33" w:name="_Toc13039"/>
      <w:bookmarkStart w:id="34" w:name="_Toc16885"/>
      <w:r>
        <w:rPr>
          <w:rFonts w:hint="eastAsia" w:asciiTheme="minorEastAsia" w:hAnsiTheme="minorEastAsia" w:eastAsiaTheme="minorEastAsia"/>
          <w:b/>
          <w:color w:val="auto"/>
          <w:sz w:val="24"/>
          <w:highlight w:val="none"/>
        </w:rPr>
        <w:t>二、评审方法</w:t>
      </w:r>
      <w:bookmarkEnd w:id="33"/>
      <w:bookmarkEnd w:id="34"/>
    </w:p>
    <w:p w14:paraId="5F7ECC96">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21DEBB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24"/>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651"/>
        <w:gridCol w:w="4556"/>
        <w:gridCol w:w="1915"/>
      </w:tblGrid>
      <w:tr w14:paraId="3203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2A518E3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初审表</w:t>
            </w:r>
          </w:p>
        </w:tc>
      </w:tr>
      <w:tr w14:paraId="4CC6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tcBorders>
              <w:bottom w:val="single" w:color="auto" w:sz="4" w:space="0"/>
            </w:tcBorders>
            <w:vAlign w:val="center"/>
          </w:tcPr>
          <w:p w14:paraId="5CAE340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42" w:type="pct"/>
            <w:tcBorders>
              <w:bottom w:val="single" w:color="auto" w:sz="4" w:space="0"/>
            </w:tcBorders>
            <w:vAlign w:val="center"/>
          </w:tcPr>
          <w:p w14:paraId="5482178F">
            <w:pPr>
              <w:pStyle w:val="44"/>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default"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600" w:type="pct"/>
            <w:tcBorders>
              <w:bottom w:val="single" w:color="auto" w:sz="4" w:space="0"/>
            </w:tcBorders>
            <w:vAlign w:val="center"/>
          </w:tcPr>
          <w:p w14:paraId="22A24B92">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审查标准</w:t>
            </w:r>
          </w:p>
        </w:tc>
        <w:tc>
          <w:tcPr>
            <w:tcW w:w="1091" w:type="pct"/>
            <w:tcBorders>
              <w:bottom w:val="single" w:color="auto" w:sz="4" w:space="0"/>
            </w:tcBorders>
            <w:vAlign w:val="center"/>
          </w:tcPr>
          <w:p w14:paraId="2AF17E4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1352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5" w:type="pct"/>
            <w:tcBorders>
              <w:bottom w:val="single" w:color="auto" w:sz="4" w:space="0"/>
            </w:tcBorders>
            <w:vAlign w:val="center"/>
          </w:tcPr>
          <w:p w14:paraId="3F731189">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942" w:type="pct"/>
            <w:tcBorders>
              <w:bottom w:val="single" w:color="auto" w:sz="4" w:space="0"/>
            </w:tcBorders>
            <w:vAlign w:val="center"/>
          </w:tcPr>
          <w:p w14:paraId="750EEA7D">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default" w:ascii="宋体" w:hAnsi="宋体" w:eastAsia="宋体" w:cs="宋体"/>
                <w:color w:val="auto"/>
                <w:spacing w:val="9"/>
                <w:sz w:val="24"/>
                <w:szCs w:val="24"/>
                <w:highlight w:val="none"/>
              </w:rPr>
              <w:t>营业执照等证明</w:t>
            </w:r>
            <w:r>
              <w:rPr>
                <w:rFonts w:hint="default" w:ascii="宋体" w:hAnsi="宋体" w:eastAsia="宋体" w:cs="宋体"/>
                <w:color w:val="auto"/>
                <w:spacing w:val="-3"/>
                <w:sz w:val="24"/>
                <w:szCs w:val="24"/>
                <w:highlight w:val="none"/>
              </w:rPr>
              <w:t>文件</w:t>
            </w:r>
          </w:p>
        </w:tc>
        <w:tc>
          <w:tcPr>
            <w:tcW w:w="2600" w:type="pct"/>
            <w:tcBorders>
              <w:bottom w:val="single" w:color="auto" w:sz="4" w:space="0"/>
            </w:tcBorders>
            <w:vAlign w:val="center"/>
          </w:tcPr>
          <w:p w14:paraId="053804BD">
            <w:pPr>
              <w:keepNext w:val="0"/>
              <w:keepLines w:val="0"/>
              <w:suppressLineNumbers w:val="0"/>
              <w:spacing w:before="0" w:beforeAutospacing="0" w:after="50" w:afterAutospacing="0" w:line="360" w:lineRule="auto"/>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w:t>
            </w:r>
            <w:r>
              <w:rPr>
                <w:rFonts w:hint="default"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供有效的营业执照；</w:t>
            </w:r>
          </w:p>
          <w:p w14:paraId="1A010158">
            <w:pPr>
              <w:keepNext w:val="0"/>
              <w:keepLines w:val="0"/>
              <w:suppressLineNumbers w:val="0"/>
              <w:spacing w:before="0" w:beforeAutospacing="0" w:after="50" w:afterAutospacing="0" w:line="360" w:lineRule="auto"/>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w:t>
            </w:r>
            <w:r>
              <w:rPr>
                <w:rFonts w:hint="default"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供有效的事业单位法人证书；</w:t>
            </w:r>
          </w:p>
          <w:p w14:paraId="1F912845">
            <w:pPr>
              <w:keepNext w:val="0"/>
              <w:keepLines w:val="0"/>
              <w:suppressLineNumbers w:val="0"/>
              <w:spacing w:before="0" w:beforeAutospacing="0" w:after="50" w:afterAutospacing="0" w:line="360" w:lineRule="auto"/>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w:t>
            </w:r>
            <w:r>
              <w:rPr>
                <w:rFonts w:hint="default"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hint="default" w:ascii="宋体" w:hAnsi="宋体" w:eastAsia="宋体" w:cs="宋体"/>
                <w:color w:val="auto"/>
                <w:sz w:val="24"/>
                <w:szCs w:val="24"/>
                <w:highlight w:val="none"/>
              </w:rPr>
              <w:t>登记证书等证明文件；</w:t>
            </w:r>
          </w:p>
          <w:p w14:paraId="5698BF48">
            <w:pPr>
              <w:keepNext w:val="0"/>
              <w:keepLines w:val="0"/>
              <w:suppressLineNumbers w:val="0"/>
              <w:spacing w:before="0" w:beforeAutospacing="0" w:after="50" w:afterAutospacing="0" w:line="360" w:lineRule="auto"/>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w:t>
            </w:r>
            <w:r>
              <w:rPr>
                <w:rFonts w:hint="default"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供有效的个体工商户营业执照；</w:t>
            </w:r>
          </w:p>
          <w:p w14:paraId="0742706E">
            <w:pPr>
              <w:keepNext w:val="0"/>
              <w:keepLines w:val="0"/>
              <w:suppressLineNumbers w:val="0"/>
              <w:spacing w:before="0" w:beforeAutospacing="0" w:after="50" w:afterAutospacing="0" w:line="360" w:lineRule="auto"/>
              <w:ind w:left="0" w:right="-10"/>
              <w:jc w:val="left"/>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（5）供应商</w:t>
            </w:r>
            <w:r>
              <w:rPr>
                <w:rFonts w:hint="default"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供有效的自然人身份证明。</w:t>
            </w:r>
          </w:p>
        </w:tc>
        <w:tc>
          <w:tcPr>
            <w:tcW w:w="1091" w:type="pct"/>
            <w:vAlign w:val="center"/>
          </w:tcPr>
          <w:p w14:paraId="33150361">
            <w:pPr>
              <w:keepNext w:val="0"/>
              <w:keepLines w:val="0"/>
              <w:suppressLineNumbers w:val="0"/>
              <w:spacing w:before="0" w:beforeAutospacing="0" w:after="0" w:afterAutospacing="0" w:line="360" w:lineRule="auto"/>
              <w:ind w:left="0" w:right="0"/>
              <w:jc w:val="left"/>
              <w:rPr>
                <w:rFonts w:hint="default" w:ascii="宋体" w:hAnsi="宋体" w:eastAsia="宋体"/>
                <w:color w:val="auto"/>
                <w:sz w:val="24"/>
                <w:szCs w:val="20"/>
                <w:highlight w:val="none"/>
              </w:rPr>
            </w:pPr>
            <w:r>
              <w:rPr>
                <w:rFonts w:hint="eastAsia" w:ascii="宋体" w:hAnsi="宋体" w:eastAsia="宋体" w:cs="宋体"/>
                <w:color w:val="auto"/>
                <w:sz w:val="24"/>
                <w:szCs w:val="24"/>
                <w:highlight w:val="none"/>
              </w:rPr>
              <w:t>提供材料扫描件或电子证照，应完整的体现出材料或电子证照全部内容。联合体磋商的联合体各方均须提供。</w:t>
            </w:r>
          </w:p>
        </w:tc>
      </w:tr>
      <w:tr w14:paraId="5506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65" w:type="pct"/>
            <w:tcBorders>
              <w:bottom w:val="single" w:color="auto" w:sz="4" w:space="0"/>
            </w:tcBorders>
            <w:vAlign w:val="center"/>
          </w:tcPr>
          <w:p w14:paraId="552C96FD">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942" w:type="pct"/>
            <w:tcBorders>
              <w:bottom w:val="single" w:color="auto" w:sz="4" w:space="0"/>
            </w:tcBorders>
            <w:vAlign w:val="center"/>
          </w:tcPr>
          <w:p w14:paraId="620E56BE">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18"/>
                <w:highlight w:val="none"/>
              </w:rPr>
              <w:t>供应商资格声明书</w:t>
            </w:r>
          </w:p>
        </w:tc>
        <w:tc>
          <w:tcPr>
            <w:tcW w:w="2600" w:type="pct"/>
            <w:tcBorders>
              <w:bottom w:val="single" w:color="auto" w:sz="4" w:space="0"/>
            </w:tcBorders>
            <w:vAlign w:val="center"/>
          </w:tcPr>
          <w:p w14:paraId="75B05D9D">
            <w:pPr>
              <w:keepNext w:val="0"/>
              <w:keepLines w:val="0"/>
              <w:suppressLineNumbers w:val="0"/>
              <w:spacing w:before="0" w:beforeAutospacing="0" w:after="50" w:afterAutospacing="0" w:line="360" w:lineRule="auto"/>
              <w:ind w:left="0" w:right="-10"/>
              <w:jc w:val="left"/>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供符合</w:t>
            </w:r>
            <w:r>
              <w:rPr>
                <w:rFonts w:hint="eastAsia" w:ascii="宋体" w:hAnsi="宋体" w:eastAsia="宋体" w:cs="宋体"/>
                <w:color w:val="auto"/>
                <w:sz w:val="24"/>
                <w:szCs w:val="24"/>
                <w:highlight w:val="none"/>
              </w:rPr>
              <w:t>磋商</w:t>
            </w:r>
            <w:r>
              <w:rPr>
                <w:rFonts w:hint="default"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rPr>
              <w:t>供应商</w:t>
            </w:r>
            <w:r>
              <w:rPr>
                <w:rFonts w:hint="default"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rPr>
              <w:t>。</w:t>
            </w:r>
          </w:p>
        </w:tc>
        <w:tc>
          <w:tcPr>
            <w:tcW w:w="1091" w:type="pct"/>
            <w:vAlign w:val="center"/>
          </w:tcPr>
          <w:p w14:paraId="2AF9B4C9">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szCs w:val="24"/>
                <w:highlight w:val="none"/>
              </w:rPr>
            </w:pPr>
            <w:r>
              <w:rPr>
                <w:rFonts w:hint="eastAsia" w:ascii="宋体" w:hAnsi="宋体" w:eastAsia="宋体"/>
                <w:color w:val="auto"/>
                <w:sz w:val="24"/>
                <w:szCs w:val="20"/>
                <w:highlight w:val="none"/>
              </w:rPr>
              <w:t>详见第六章响应文件格式。</w:t>
            </w:r>
          </w:p>
        </w:tc>
      </w:tr>
      <w:tr w14:paraId="607B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tcBorders>
              <w:bottom w:val="single" w:color="auto" w:sz="4" w:space="0"/>
            </w:tcBorders>
            <w:vAlign w:val="center"/>
          </w:tcPr>
          <w:p w14:paraId="0A323467">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942" w:type="pct"/>
            <w:tcBorders>
              <w:bottom w:val="single" w:color="auto" w:sz="4" w:space="0"/>
            </w:tcBorders>
            <w:vAlign w:val="center"/>
          </w:tcPr>
          <w:p w14:paraId="4470E181">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18"/>
                <w:highlight w:val="none"/>
              </w:rPr>
              <w:t>供应商</w:t>
            </w:r>
            <w:r>
              <w:rPr>
                <w:rFonts w:hint="eastAsia" w:ascii="宋体" w:hAnsi="宋体" w:eastAsia="宋体" w:cs="宋体"/>
                <w:color w:val="auto"/>
                <w:sz w:val="24"/>
                <w:szCs w:val="24"/>
                <w:highlight w:val="none"/>
              </w:rPr>
              <w:t>信用记录</w:t>
            </w:r>
          </w:p>
        </w:tc>
        <w:tc>
          <w:tcPr>
            <w:tcW w:w="2600" w:type="pct"/>
            <w:tcBorders>
              <w:bottom w:val="single" w:color="auto" w:sz="4" w:space="0"/>
            </w:tcBorders>
            <w:vAlign w:val="center"/>
          </w:tcPr>
          <w:p w14:paraId="745791FA">
            <w:pPr>
              <w:keepNext w:val="0"/>
              <w:keepLines w:val="0"/>
              <w:suppressLineNumbers w:val="0"/>
              <w:spacing w:before="0" w:beforeAutospacing="0" w:after="50" w:afterAutospacing="0" w:line="360" w:lineRule="auto"/>
              <w:ind w:left="0" w:right="-10"/>
              <w:jc w:val="left"/>
              <w:rPr>
                <w:rFonts w:hint="default"/>
                <w:color w:val="auto"/>
                <w:szCs w:val="20"/>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不得存在《</w:t>
            </w:r>
            <w:r>
              <w:rPr>
                <w:rFonts w:hint="eastAsia" w:ascii="宋体" w:hAnsi="宋体" w:eastAsia="宋体" w:cs="宋体"/>
                <w:sz w:val="24"/>
                <w:szCs w:val="24"/>
                <w:highlight w:val="none"/>
                <w:lang w:val="en-US" w:eastAsia="zh-CN"/>
              </w:rPr>
              <w:t>磋商邀请</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中信誉要求和供应商</w:t>
            </w:r>
            <w:r>
              <w:rPr>
                <w:rFonts w:hint="eastAsia" w:ascii="宋体" w:hAnsi="宋体" w:eastAsia="宋体" w:cs="宋体"/>
                <w:sz w:val="24"/>
                <w:szCs w:val="24"/>
                <w:highlight w:val="none"/>
                <w:lang w:val="zh-CN" w:eastAsia="zh-CN"/>
              </w:rPr>
              <w:t>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3条中</w:t>
            </w:r>
            <w:r>
              <w:rPr>
                <w:rFonts w:hint="eastAsia" w:ascii="宋体" w:hAnsi="宋体" w:eastAsia="宋体" w:cs="宋体"/>
                <w:sz w:val="24"/>
                <w:szCs w:val="24"/>
                <w:highlight w:val="none"/>
                <w:lang w:val="zh-CN" w:eastAsia="zh-CN"/>
              </w:rPr>
              <w:t>的不良信用记录情形</w:t>
            </w:r>
          </w:p>
        </w:tc>
        <w:tc>
          <w:tcPr>
            <w:tcW w:w="1091" w:type="pct"/>
            <w:tcBorders>
              <w:bottom w:val="single" w:color="auto" w:sz="4" w:space="0"/>
            </w:tcBorders>
            <w:vAlign w:val="center"/>
          </w:tcPr>
          <w:p w14:paraId="45DD964D">
            <w:pPr>
              <w:keepNext w:val="0"/>
              <w:keepLines w:val="0"/>
              <w:suppressLineNumbers w:val="0"/>
              <w:spacing w:before="0" w:beforeAutospacing="0" w:after="0" w:afterAutospacing="0" w:line="360" w:lineRule="auto"/>
              <w:ind w:left="0" w:right="0"/>
              <w:jc w:val="left"/>
              <w:rPr>
                <w:rFonts w:hint="default"/>
                <w:color w:val="auto"/>
                <w:szCs w:val="20"/>
                <w:highlight w:val="none"/>
              </w:rPr>
            </w:pPr>
            <w:r>
              <w:rPr>
                <w:rFonts w:hint="eastAsia" w:ascii="宋体" w:hAnsi="宋体" w:eastAsia="宋体" w:cs="宋体"/>
                <w:color w:val="auto"/>
                <w:sz w:val="24"/>
                <w:szCs w:val="24"/>
                <w:highlight w:val="none"/>
              </w:rPr>
              <w:t>无须供应商提供，由采购人或采购代理机构查询。</w:t>
            </w:r>
          </w:p>
        </w:tc>
      </w:tr>
      <w:tr w14:paraId="2134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tcBorders>
              <w:bottom w:val="single" w:color="auto" w:sz="4" w:space="0"/>
            </w:tcBorders>
            <w:vAlign w:val="center"/>
          </w:tcPr>
          <w:p w14:paraId="1ED2255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942" w:type="pct"/>
            <w:tcBorders>
              <w:bottom w:val="single" w:color="auto" w:sz="4" w:space="0"/>
            </w:tcBorders>
            <w:shd w:val="clear" w:color="auto" w:fill="auto"/>
            <w:vAlign w:val="center"/>
          </w:tcPr>
          <w:p w14:paraId="10C0379D">
            <w:pPr>
              <w:keepNext w:val="0"/>
              <w:keepLines w:val="0"/>
              <w:suppressLineNumbers w:val="0"/>
              <w:spacing w:before="0" w:beforeAutospacing="0" w:after="50" w:afterAutospacing="0" w:line="360" w:lineRule="auto"/>
              <w:ind w:left="0" w:right="-10" w:rightChars="0"/>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color w:val="auto"/>
                <w:spacing w:val="10"/>
                <w:sz w:val="24"/>
                <w:szCs w:val="24"/>
                <w:highlight w:val="none"/>
              </w:rPr>
              <w:t>其它落实政府采</w:t>
            </w:r>
            <w:r>
              <w:rPr>
                <w:rFonts w:hint="default" w:ascii="宋体" w:hAnsi="宋体" w:eastAsia="宋体" w:cs="宋体"/>
                <w:color w:val="auto"/>
                <w:spacing w:val="11"/>
                <w:sz w:val="24"/>
                <w:szCs w:val="24"/>
                <w:highlight w:val="none"/>
              </w:rPr>
              <w:t>购政策的资格要</w:t>
            </w:r>
            <w:r>
              <w:rPr>
                <w:rFonts w:hint="default" w:ascii="宋体" w:hAnsi="宋体" w:eastAsia="宋体" w:cs="宋体"/>
                <w:color w:val="auto"/>
                <w:sz w:val="24"/>
                <w:szCs w:val="24"/>
                <w:highlight w:val="none"/>
              </w:rPr>
              <w:t>求</w:t>
            </w:r>
          </w:p>
        </w:tc>
        <w:tc>
          <w:tcPr>
            <w:tcW w:w="2600" w:type="pct"/>
            <w:tcBorders>
              <w:bottom w:val="single" w:color="auto" w:sz="4" w:space="0"/>
            </w:tcBorders>
            <w:shd w:val="clear" w:color="auto" w:fill="auto"/>
            <w:vAlign w:val="center"/>
          </w:tcPr>
          <w:p w14:paraId="7B7BAC81">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color w:val="auto"/>
                <w:kern w:val="2"/>
                <w:sz w:val="24"/>
                <w:szCs w:val="24"/>
                <w:highlight w:val="none"/>
                <w:lang w:val="en-US" w:eastAsia="en-US" w:bidi="ar-SA"/>
              </w:rPr>
            </w:pPr>
            <w:r>
              <w:rPr>
                <w:rFonts w:hint="default" w:ascii="宋体" w:hAnsi="宋体" w:eastAsia="宋体" w:cs="宋体"/>
                <w:color w:val="auto"/>
                <w:spacing w:val="-2"/>
                <w:sz w:val="24"/>
                <w:szCs w:val="24"/>
                <w:highlight w:val="none"/>
              </w:rPr>
              <w:t>如有，见第一章《</w:t>
            </w:r>
            <w:r>
              <w:rPr>
                <w:rFonts w:hint="eastAsia" w:ascii="宋体" w:hAnsi="宋体" w:eastAsia="宋体" w:cs="宋体"/>
                <w:color w:val="auto"/>
                <w:spacing w:val="-2"/>
                <w:sz w:val="24"/>
                <w:szCs w:val="24"/>
                <w:highlight w:val="none"/>
              </w:rPr>
              <w:t>磋商</w:t>
            </w:r>
            <w:r>
              <w:rPr>
                <w:rFonts w:hint="default" w:ascii="宋体" w:hAnsi="宋体" w:eastAsia="宋体" w:cs="宋体"/>
                <w:color w:val="auto"/>
                <w:spacing w:val="-2"/>
                <w:sz w:val="24"/>
                <w:szCs w:val="24"/>
                <w:highlight w:val="none"/>
              </w:rPr>
              <w:t>邀请》</w:t>
            </w:r>
          </w:p>
        </w:tc>
        <w:tc>
          <w:tcPr>
            <w:tcW w:w="1091" w:type="pct"/>
            <w:tcBorders>
              <w:bottom w:val="single" w:color="auto" w:sz="4" w:space="0"/>
            </w:tcBorders>
            <w:shd w:val="clear" w:color="auto" w:fill="auto"/>
            <w:vAlign w:val="center"/>
          </w:tcPr>
          <w:p w14:paraId="4D86BADF">
            <w:pPr>
              <w:keepNext w:val="0"/>
              <w:keepLines w:val="0"/>
              <w:suppressLineNumbers w:val="0"/>
              <w:spacing w:before="0" w:beforeAutospacing="0" w:after="50" w:afterAutospacing="0" w:line="360" w:lineRule="auto"/>
              <w:ind w:left="0" w:right="-10" w:rightChars="0"/>
              <w:jc w:val="left"/>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68B8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tcBorders>
              <w:bottom w:val="single" w:color="auto" w:sz="4" w:space="0"/>
            </w:tcBorders>
            <w:vAlign w:val="center"/>
          </w:tcPr>
          <w:p w14:paraId="0849BC18">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w:t>
            </w:r>
          </w:p>
        </w:tc>
        <w:tc>
          <w:tcPr>
            <w:tcW w:w="942" w:type="pct"/>
            <w:tcBorders>
              <w:bottom w:val="single" w:color="auto" w:sz="4" w:space="0"/>
            </w:tcBorders>
            <w:shd w:val="clear" w:color="auto" w:fill="auto"/>
            <w:vAlign w:val="center"/>
          </w:tcPr>
          <w:p w14:paraId="1139186E">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pacing w:val="10"/>
                <w:sz w:val="24"/>
                <w:szCs w:val="24"/>
                <w:highlight w:val="none"/>
                <w:lang w:eastAsia="zh-CN"/>
              </w:rPr>
              <w:t>本项目的</w:t>
            </w:r>
            <w:r>
              <w:rPr>
                <w:rFonts w:hint="default" w:ascii="宋体" w:hAnsi="宋体" w:eastAsia="宋体" w:cs="宋体"/>
                <w:spacing w:val="10"/>
                <w:sz w:val="24"/>
                <w:szCs w:val="24"/>
                <w:highlight w:val="none"/>
              </w:rPr>
              <w:t>特定资格要求</w:t>
            </w:r>
          </w:p>
        </w:tc>
        <w:tc>
          <w:tcPr>
            <w:tcW w:w="2600" w:type="pct"/>
            <w:tcBorders>
              <w:bottom w:val="single" w:color="auto" w:sz="4" w:space="0"/>
            </w:tcBorders>
            <w:shd w:val="clear" w:color="auto" w:fill="auto"/>
            <w:vAlign w:val="center"/>
          </w:tcPr>
          <w:p w14:paraId="14EB6BDC">
            <w:pPr>
              <w:keepNext w:val="0"/>
              <w:keepLines w:val="0"/>
              <w:suppressLineNumbers w:val="0"/>
              <w:spacing w:before="0" w:beforeAutospacing="0" w:after="50" w:afterAutospacing="0" w:line="360" w:lineRule="auto"/>
              <w:ind w:left="0" w:right="-10" w:rightChars="0"/>
              <w:jc w:val="both"/>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spacing w:val="10"/>
                <w:sz w:val="24"/>
                <w:szCs w:val="24"/>
                <w:highlight w:val="none"/>
              </w:rPr>
              <w:t>见第一章《</w:t>
            </w:r>
            <w:r>
              <w:rPr>
                <w:rFonts w:hint="eastAsia" w:ascii="宋体" w:hAnsi="宋体" w:eastAsia="宋体" w:cs="宋体"/>
                <w:spacing w:val="10"/>
                <w:sz w:val="24"/>
                <w:szCs w:val="24"/>
                <w:highlight w:val="none"/>
                <w:lang w:val="en-US" w:eastAsia="zh-CN"/>
              </w:rPr>
              <w:t>磋商</w:t>
            </w:r>
            <w:r>
              <w:rPr>
                <w:rFonts w:hint="default" w:ascii="宋体" w:hAnsi="宋体" w:eastAsia="宋体" w:cs="宋体"/>
                <w:spacing w:val="10"/>
                <w:sz w:val="24"/>
                <w:szCs w:val="24"/>
                <w:highlight w:val="none"/>
              </w:rPr>
              <w:t>邀请》</w:t>
            </w:r>
          </w:p>
        </w:tc>
        <w:tc>
          <w:tcPr>
            <w:tcW w:w="1091" w:type="pct"/>
            <w:tcBorders>
              <w:bottom w:val="single" w:color="auto" w:sz="4" w:space="0"/>
            </w:tcBorders>
            <w:shd w:val="clear" w:color="auto" w:fill="auto"/>
            <w:vAlign w:val="center"/>
          </w:tcPr>
          <w:p w14:paraId="3A3B3AA8">
            <w:pPr>
              <w:keepNext w:val="0"/>
              <w:keepLines w:val="0"/>
              <w:suppressLineNumbers w:val="0"/>
              <w:spacing w:before="0" w:beforeAutospacing="0" w:after="50" w:afterAutospacing="0" w:line="360" w:lineRule="auto"/>
              <w:ind w:left="0" w:right="-10" w:rightChars="0"/>
              <w:jc w:val="left"/>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1EDF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tcBorders>
              <w:bottom w:val="single" w:color="auto" w:sz="4" w:space="0"/>
            </w:tcBorders>
            <w:vAlign w:val="center"/>
          </w:tcPr>
          <w:p w14:paraId="08F5261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lang w:val="en-US" w:eastAsia="zh-CN"/>
              </w:rPr>
              <w:t>6</w:t>
            </w:r>
          </w:p>
        </w:tc>
        <w:tc>
          <w:tcPr>
            <w:tcW w:w="942" w:type="pct"/>
            <w:tcBorders>
              <w:bottom w:val="single" w:color="auto" w:sz="4" w:space="0"/>
            </w:tcBorders>
            <w:shd w:val="clear" w:color="auto" w:fill="auto"/>
            <w:vAlign w:val="center"/>
          </w:tcPr>
          <w:p w14:paraId="4944CD5D">
            <w:pPr>
              <w:keepNext w:val="0"/>
              <w:keepLines w:val="0"/>
              <w:suppressLineNumbers w:val="0"/>
              <w:spacing w:before="0" w:beforeAutospacing="0" w:after="50" w:afterAutospacing="0" w:line="360" w:lineRule="auto"/>
              <w:ind w:left="0" w:right="-10" w:rightChars="0"/>
              <w:jc w:val="center"/>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磋商响应函</w:t>
            </w:r>
          </w:p>
        </w:tc>
        <w:tc>
          <w:tcPr>
            <w:tcW w:w="2600" w:type="pct"/>
            <w:tcBorders>
              <w:bottom w:val="single" w:color="auto" w:sz="4" w:space="0"/>
            </w:tcBorders>
            <w:shd w:val="clear" w:color="auto" w:fill="auto"/>
            <w:vAlign w:val="center"/>
          </w:tcPr>
          <w:p w14:paraId="7EB64E78">
            <w:pPr>
              <w:keepNext w:val="0"/>
              <w:keepLines w:val="0"/>
              <w:suppressLineNumbers w:val="0"/>
              <w:spacing w:before="0" w:beforeAutospacing="0" w:after="50" w:afterAutospacing="0" w:line="360" w:lineRule="auto"/>
              <w:ind w:left="0" w:right="-10" w:rightChars="0"/>
              <w:jc w:val="left"/>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格式、填写要求符合磋商文件规定并加盖供应商电子签章</w:t>
            </w:r>
          </w:p>
        </w:tc>
        <w:tc>
          <w:tcPr>
            <w:tcW w:w="1091" w:type="pct"/>
            <w:tcBorders>
              <w:bottom w:val="single" w:color="auto" w:sz="4" w:space="0"/>
            </w:tcBorders>
            <w:shd w:val="clear" w:color="auto" w:fill="auto"/>
            <w:vAlign w:val="center"/>
          </w:tcPr>
          <w:p w14:paraId="134288DF">
            <w:pPr>
              <w:keepNext w:val="0"/>
              <w:keepLines w:val="0"/>
              <w:suppressLineNumbers w:val="0"/>
              <w:adjustRightInd w:val="0"/>
              <w:snapToGrid w:val="0"/>
              <w:spacing w:before="0" w:beforeAutospacing="0" w:after="0" w:afterAutospacing="0" w:line="360" w:lineRule="auto"/>
              <w:ind w:left="0" w:right="-10" w:rightChars="0"/>
              <w:jc w:val="left"/>
              <w:rPr>
                <w:rFonts w:hint="eastAsia" w:cs="@仿宋_GB2312" w:asciiTheme="minorEastAsia" w:hAnsiTheme="minorEastAsia" w:eastAsiaTheme="minorEastAsia"/>
                <w:color w:val="auto"/>
                <w:kern w:val="2"/>
                <w:sz w:val="24"/>
                <w:szCs w:val="20"/>
                <w:highlight w:val="none"/>
                <w:lang w:val="en-US" w:eastAsia="zh-CN" w:bidi="ar-SA"/>
              </w:rPr>
            </w:pPr>
            <w:r>
              <w:rPr>
                <w:rFonts w:hint="eastAsia" w:ascii="宋体" w:hAnsi="宋体" w:eastAsia="宋体"/>
                <w:color w:val="auto"/>
                <w:sz w:val="24"/>
                <w:szCs w:val="20"/>
                <w:highlight w:val="none"/>
              </w:rPr>
              <w:t>详见第六章响应文件格式。</w:t>
            </w:r>
          </w:p>
        </w:tc>
      </w:tr>
      <w:tr w14:paraId="174C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vAlign w:val="center"/>
          </w:tcPr>
          <w:p w14:paraId="7194B441">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7</w:t>
            </w:r>
          </w:p>
        </w:tc>
        <w:tc>
          <w:tcPr>
            <w:tcW w:w="942" w:type="pct"/>
            <w:shd w:val="clear" w:color="auto" w:fill="auto"/>
            <w:vAlign w:val="center"/>
          </w:tcPr>
          <w:p w14:paraId="3630853D">
            <w:pPr>
              <w:keepNext w:val="0"/>
              <w:keepLines w:val="0"/>
              <w:suppressLineNumbers w:val="0"/>
              <w:spacing w:before="0" w:beforeAutospacing="0" w:after="50" w:afterAutospacing="0" w:line="360" w:lineRule="auto"/>
              <w:ind w:left="0" w:right="-10" w:rightChars="0"/>
              <w:jc w:val="center"/>
              <w:rPr>
                <w:rFonts w:hint="default"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授权书</w:t>
            </w:r>
          </w:p>
        </w:tc>
        <w:tc>
          <w:tcPr>
            <w:tcW w:w="2600" w:type="pct"/>
            <w:shd w:val="clear" w:color="auto" w:fill="auto"/>
            <w:vAlign w:val="center"/>
          </w:tcPr>
          <w:p w14:paraId="06E7C339">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宋体" w:hAnsi="宋体" w:eastAsia="宋体" w:cs="宋体"/>
                <w:color w:val="auto"/>
                <w:spacing w:val="10"/>
                <w:sz w:val="24"/>
                <w:szCs w:val="24"/>
                <w:highlight w:val="none"/>
              </w:rPr>
              <w:t>磋商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0"/>
                <w:highlight w:val="none"/>
              </w:rPr>
              <w:t>供应商</w:t>
            </w:r>
            <w:r>
              <w:rPr>
                <w:rFonts w:hint="eastAsia" w:asciiTheme="minorEastAsia" w:hAnsiTheme="minorEastAsia" w:eastAsiaTheme="minorEastAsia"/>
                <w:color w:val="auto"/>
                <w:sz w:val="24"/>
                <w:szCs w:val="28"/>
                <w:highlight w:val="none"/>
              </w:rPr>
              <w:t>电子签章</w:t>
            </w:r>
          </w:p>
        </w:tc>
        <w:tc>
          <w:tcPr>
            <w:tcW w:w="1091" w:type="pct"/>
            <w:shd w:val="clear" w:color="auto" w:fill="auto"/>
            <w:vAlign w:val="center"/>
          </w:tcPr>
          <w:p w14:paraId="29FBFD60">
            <w:pPr>
              <w:keepNext w:val="0"/>
              <w:keepLines w:val="0"/>
              <w:suppressLineNumbers w:val="0"/>
              <w:adjustRightInd w:val="0"/>
              <w:snapToGrid w:val="0"/>
              <w:spacing w:before="0" w:beforeAutospacing="0" w:after="0" w:afterAutospacing="0" w:line="360" w:lineRule="auto"/>
              <w:ind w:left="0" w:right="-10" w:rightChars="0"/>
              <w:jc w:val="left"/>
              <w:rPr>
                <w:rFonts w:hint="default"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olor w:val="auto"/>
                <w:sz w:val="24"/>
                <w:szCs w:val="20"/>
                <w:highlight w:val="none"/>
              </w:rPr>
              <w:t>法定代表人参加磋商的无需此件，提供身份证明即可。详见第六章响应文件格式。</w:t>
            </w:r>
          </w:p>
        </w:tc>
      </w:tr>
      <w:tr w14:paraId="7FCD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vAlign w:val="center"/>
          </w:tcPr>
          <w:p w14:paraId="29F5759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8</w:t>
            </w:r>
          </w:p>
        </w:tc>
        <w:tc>
          <w:tcPr>
            <w:tcW w:w="942" w:type="pct"/>
            <w:shd w:val="clear" w:color="auto" w:fill="auto"/>
            <w:vAlign w:val="center"/>
          </w:tcPr>
          <w:p w14:paraId="2B9435D8">
            <w:pPr>
              <w:keepNext w:val="0"/>
              <w:keepLines w:val="0"/>
              <w:suppressLineNumbers w:val="0"/>
              <w:spacing w:before="0" w:beforeAutospacing="0" w:after="50" w:afterAutospacing="0" w:line="360" w:lineRule="auto"/>
              <w:ind w:left="0" w:right="-10" w:rightChars="0"/>
              <w:jc w:val="center"/>
              <w:rPr>
                <w:rFonts w:hint="default"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磋商报价</w:t>
            </w:r>
          </w:p>
        </w:tc>
        <w:tc>
          <w:tcPr>
            <w:tcW w:w="2600" w:type="pct"/>
            <w:shd w:val="clear" w:color="auto" w:fill="auto"/>
            <w:vAlign w:val="center"/>
          </w:tcPr>
          <w:p w14:paraId="2E8EE41B">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color w:val="auto"/>
                <w:spacing w:val="10"/>
                <w:sz w:val="24"/>
                <w:szCs w:val="24"/>
                <w:highlight w:val="none"/>
              </w:rPr>
              <w:t>磋商</w:t>
            </w:r>
            <w:r>
              <w:rPr>
                <w:rFonts w:hint="eastAsia" w:asciiTheme="minorEastAsia" w:hAnsiTheme="minorEastAsia" w:eastAsiaTheme="minorEastAsia"/>
                <w:color w:val="auto"/>
                <w:sz w:val="24"/>
                <w:szCs w:val="20"/>
                <w:highlight w:val="none"/>
              </w:rPr>
              <w:t>文件供应商须知正文第9条要求</w:t>
            </w:r>
          </w:p>
        </w:tc>
        <w:tc>
          <w:tcPr>
            <w:tcW w:w="1091" w:type="pct"/>
            <w:shd w:val="clear" w:color="auto" w:fill="auto"/>
            <w:vAlign w:val="center"/>
          </w:tcPr>
          <w:p w14:paraId="4099BB60">
            <w:pPr>
              <w:keepNext w:val="0"/>
              <w:keepLines w:val="0"/>
              <w:suppressLineNumbers w:val="0"/>
              <w:adjustRightInd w:val="0"/>
              <w:snapToGrid w:val="0"/>
              <w:spacing w:before="0" w:beforeAutospacing="0" w:after="0" w:afterAutospacing="0" w:line="360" w:lineRule="auto"/>
              <w:ind w:left="0" w:right="-10" w:rightChars="0"/>
              <w:jc w:val="left"/>
              <w:rPr>
                <w:rFonts w:hint="default"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olor w:val="auto"/>
                <w:sz w:val="24"/>
                <w:szCs w:val="20"/>
                <w:highlight w:val="none"/>
              </w:rPr>
              <w:t>详见第六章响应文件格式。</w:t>
            </w:r>
          </w:p>
        </w:tc>
      </w:tr>
      <w:tr w14:paraId="7F23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vAlign w:val="center"/>
          </w:tcPr>
          <w:p w14:paraId="48462D67">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9</w:t>
            </w:r>
          </w:p>
        </w:tc>
        <w:tc>
          <w:tcPr>
            <w:tcW w:w="942" w:type="pct"/>
            <w:shd w:val="clear" w:color="auto" w:fill="auto"/>
            <w:vAlign w:val="center"/>
          </w:tcPr>
          <w:p w14:paraId="72ADE6DE">
            <w:pPr>
              <w:keepNext w:val="0"/>
              <w:keepLines w:val="0"/>
              <w:suppressLineNumbers w:val="0"/>
              <w:spacing w:before="0" w:beforeAutospacing="0" w:after="50" w:afterAutospacing="0" w:line="360" w:lineRule="auto"/>
              <w:ind w:left="0" w:right="-10" w:rightChars="0"/>
              <w:jc w:val="center"/>
              <w:rPr>
                <w:rFonts w:hint="default"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商务响应情况</w:t>
            </w:r>
          </w:p>
        </w:tc>
        <w:tc>
          <w:tcPr>
            <w:tcW w:w="2600" w:type="pct"/>
            <w:shd w:val="clear" w:color="auto" w:fill="auto"/>
            <w:vAlign w:val="center"/>
          </w:tcPr>
          <w:p w14:paraId="12F6F650">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color w:val="auto"/>
                <w:spacing w:val="10"/>
                <w:sz w:val="24"/>
                <w:szCs w:val="24"/>
                <w:highlight w:val="none"/>
              </w:rPr>
              <w:t>磋商</w:t>
            </w:r>
            <w:r>
              <w:rPr>
                <w:rFonts w:hint="eastAsia" w:asciiTheme="minorEastAsia" w:hAnsiTheme="minorEastAsia" w:eastAsiaTheme="minorEastAsia"/>
                <w:color w:val="auto"/>
                <w:sz w:val="24"/>
                <w:szCs w:val="28"/>
                <w:highlight w:val="none"/>
              </w:rPr>
              <w:t>文件采购需求中对付款方式、服务地点、服务期限等实质性要求</w:t>
            </w:r>
          </w:p>
        </w:tc>
        <w:tc>
          <w:tcPr>
            <w:tcW w:w="1091" w:type="pct"/>
            <w:shd w:val="clear" w:color="auto" w:fill="auto"/>
            <w:vAlign w:val="center"/>
          </w:tcPr>
          <w:p w14:paraId="6C138528">
            <w:pPr>
              <w:keepNext w:val="0"/>
              <w:keepLines w:val="0"/>
              <w:suppressLineNumbers w:val="0"/>
              <w:adjustRightInd w:val="0"/>
              <w:snapToGrid w:val="0"/>
              <w:spacing w:before="0" w:beforeAutospacing="0" w:after="0" w:afterAutospacing="0" w:line="360" w:lineRule="auto"/>
              <w:ind w:left="0" w:right="-10" w:rightChars="0"/>
              <w:jc w:val="left"/>
              <w:rPr>
                <w:rFonts w:hint="default"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olor w:val="auto"/>
                <w:sz w:val="24"/>
                <w:szCs w:val="20"/>
                <w:highlight w:val="none"/>
              </w:rPr>
              <w:t>详见第六章响应文件格式。</w:t>
            </w:r>
          </w:p>
        </w:tc>
      </w:tr>
      <w:tr w14:paraId="2D6A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vAlign w:val="center"/>
          </w:tcPr>
          <w:p w14:paraId="2B872AB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10</w:t>
            </w:r>
          </w:p>
        </w:tc>
        <w:tc>
          <w:tcPr>
            <w:tcW w:w="942" w:type="pct"/>
            <w:shd w:val="clear" w:color="auto" w:fill="auto"/>
            <w:vAlign w:val="center"/>
          </w:tcPr>
          <w:p w14:paraId="3C8F9CDB">
            <w:pPr>
              <w:keepNext w:val="0"/>
              <w:keepLines w:val="0"/>
              <w:suppressLineNumbers w:val="0"/>
              <w:spacing w:before="0" w:beforeAutospacing="0" w:after="50" w:afterAutospacing="0" w:line="360" w:lineRule="auto"/>
              <w:ind w:left="0" w:right="-10" w:rightChars="0"/>
              <w:jc w:val="center"/>
              <w:rPr>
                <w:rFonts w:hint="default"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其他要求</w:t>
            </w:r>
          </w:p>
        </w:tc>
        <w:tc>
          <w:tcPr>
            <w:tcW w:w="2600" w:type="pct"/>
            <w:shd w:val="clear" w:color="auto" w:fill="auto"/>
            <w:vAlign w:val="center"/>
          </w:tcPr>
          <w:p w14:paraId="79406986">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符合法律、行政法规规定的其他条件或磋商文件列明的其他实质性要求</w:t>
            </w:r>
          </w:p>
        </w:tc>
        <w:tc>
          <w:tcPr>
            <w:tcW w:w="1091" w:type="pct"/>
            <w:shd w:val="clear" w:color="auto" w:fill="auto"/>
            <w:vAlign w:val="center"/>
          </w:tcPr>
          <w:p w14:paraId="5BFC2B29">
            <w:pPr>
              <w:keepNext w:val="0"/>
              <w:keepLines w:val="0"/>
              <w:suppressLineNumbers w:val="0"/>
              <w:adjustRightInd w:val="0"/>
              <w:snapToGrid w:val="0"/>
              <w:spacing w:before="0" w:beforeAutospacing="0" w:after="0" w:afterAutospacing="0" w:line="360" w:lineRule="auto"/>
              <w:ind w:left="0" w:right="-10" w:rightChars="0"/>
              <w:jc w:val="left"/>
              <w:rPr>
                <w:rFonts w:hint="default" w:ascii="宋体" w:hAnsi="宋体" w:eastAsia="宋体" w:cs="宋体"/>
                <w:color w:val="auto"/>
                <w:kern w:val="2"/>
                <w:sz w:val="24"/>
                <w:szCs w:val="24"/>
                <w:highlight w:val="none"/>
                <w:lang w:val="en-US" w:eastAsia="zh-CN" w:bidi="ar-SA"/>
              </w:rPr>
            </w:pPr>
          </w:p>
        </w:tc>
      </w:tr>
    </w:tbl>
    <w:p w14:paraId="295FF43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67AA462D">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2.2异常低价响应审查</w:t>
      </w:r>
    </w:p>
    <w:tbl>
      <w:tblPr>
        <w:tblStyle w:val="24"/>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6BF2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2881609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s="Times New Roman"/>
                <w:b/>
                <w:bCs/>
                <w:color w:val="auto"/>
                <w:sz w:val="24"/>
                <w:szCs w:val="20"/>
                <w:highlight w:val="none"/>
              </w:rPr>
              <w:t>异常低价响应审查表</w:t>
            </w:r>
          </w:p>
        </w:tc>
      </w:tr>
      <w:tr w14:paraId="5EF4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65E2F2F0">
            <w:pPr>
              <w:keepNext w:val="0"/>
              <w:keepLines w:val="0"/>
              <w:suppressLineNumbers w:val="0"/>
              <w:spacing w:before="0" w:beforeAutospacing="0" w:after="0" w:afterAutospacing="0" w:line="360" w:lineRule="auto"/>
              <w:ind w:left="0" w:right="0"/>
              <w:jc w:val="center"/>
              <w:rPr>
                <w:rFonts w:hint="default" w:ascii="宋体" w:hAnsi="宋体" w:eastAsia="宋体"/>
                <w:color w:val="auto"/>
                <w:sz w:val="24"/>
                <w:szCs w:val="20"/>
                <w:highlight w:val="none"/>
              </w:rPr>
            </w:pPr>
            <w:r>
              <w:rPr>
                <w:rFonts w:hint="eastAsia" w:ascii="宋体" w:hAnsi="宋体" w:eastAsia="宋体" w:cs="Times New Roman"/>
                <w:color w:val="auto"/>
                <w:sz w:val="24"/>
                <w:szCs w:val="20"/>
                <w:highlight w:val="none"/>
              </w:rPr>
              <w:t>序号</w:t>
            </w:r>
          </w:p>
        </w:tc>
        <w:tc>
          <w:tcPr>
            <w:tcW w:w="1450" w:type="dxa"/>
            <w:tcBorders>
              <w:bottom w:val="single" w:color="auto" w:sz="4" w:space="0"/>
            </w:tcBorders>
            <w:vAlign w:val="center"/>
          </w:tcPr>
          <w:p w14:paraId="32493D07">
            <w:pPr>
              <w:keepNext w:val="0"/>
              <w:keepLines w:val="0"/>
              <w:suppressLineNumbers w:val="0"/>
              <w:spacing w:before="0" w:beforeAutospacing="0" w:after="0" w:afterAutospacing="0" w:line="360" w:lineRule="auto"/>
              <w:ind w:left="0" w:right="0" w:firstLine="240" w:firstLineChars="100"/>
              <w:jc w:val="center"/>
              <w:rPr>
                <w:rFonts w:hint="default" w:ascii="宋体" w:hAnsi="宋体" w:eastAsia="宋体"/>
                <w:color w:val="auto"/>
                <w:szCs w:val="24"/>
                <w:highlight w:val="none"/>
              </w:rPr>
            </w:pPr>
            <w:r>
              <w:rPr>
                <w:rFonts w:hint="eastAsia" w:ascii="宋体" w:hAnsi="宋体" w:eastAsia="宋体" w:cs="Times New Roman"/>
                <w:color w:val="auto"/>
                <w:sz w:val="24"/>
                <w:szCs w:val="20"/>
                <w:highlight w:val="none"/>
              </w:rPr>
              <w:t>评审指标</w:t>
            </w:r>
          </w:p>
        </w:tc>
        <w:tc>
          <w:tcPr>
            <w:tcW w:w="4439" w:type="dxa"/>
            <w:tcBorders>
              <w:bottom w:val="single" w:color="auto" w:sz="4" w:space="0"/>
            </w:tcBorders>
            <w:vAlign w:val="center"/>
          </w:tcPr>
          <w:p w14:paraId="12335FBA">
            <w:pPr>
              <w:keepNext w:val="0"/>
              <w:keepLines w:val="0"/>
              <w:suppressLineNumbers w:val="0"/>
              <w:spacing w:before="0" w:beforeAutospacing="0" w:after="0" w:afterAutospacing="0" w:line="360" w:lineRule="auto"/>
              <w:ind w:left="0" w:right="0" w:firstLine="240" w:firstLineChars="100"/>
              <w:jc w:val="center"/>
              <w:rPr>
                <w:rFonts w:hint="default" w:ascii="宋体" w:hAnsi="宋体" w:eastAsia="宋体"/>
                <w:color w:val="auto"/>
                <w:sz w:val="24"/>
                <w:szCs w:val="20"/>
                <w:highlight w:val="none"/>
              </w:rPr>
            </w:pPr>
            <w:r>
              <w:rPr>
                <w:rFonts w:hint="eastAsia" w:ascii="宋体" w:hAnsi="宋体" w:eastAsia="宋体" w:cs="Times New Roman"/>
                <w:color w:val="auto"/>
                <w:sz w:val="24"/>
                <w:szCs w:val="20"/>
                <w:highlight w:val="none"/>
              </w:rPr>
              <w:t>评审标准</w:t>
            </w:r>
          </w:p>
        </w:tc>
        <w:tc>
          <w:tcPr>
            <w:tcW w:w="2260" w:type="dxa"/>
            <w:tcBorders>
              <w:bottom w:val="single" w:color="auto" w:sz="4" w:space="0"/>
            </w:tcBorders>
            <w:vAlign w:val="center"/>
          </w:tcPr>
          <w:p w14:paraId="4481B09B">
            <w:pPr>
              <w:keepNext w:val="0"/>
              <w:keepLines w:val="0"/>
              <w:suppressLineNumbers w:val="0"/>
              <w:spacing w:before="0" w:beforeAutospacing="0" w:after="0" w:afterAutospacing="0" w:line="360" w:lineRule="auto"/>
              <w:ind w:left="0" w:right="0"/>
              <w:jc w:val="center"/>
              <w:rPr>
                <w:rFonts w:hint="default" w:ascii="宋体" w:hAnsi="宋体" w:eastAsia="宋体"/>
                <w:color w:val="auto"/>
                <w:sz w:val="24"/>
                <w:szCs w:val="20"/>
                <w:highlight w:val="none"/>
              </w:rPr>
            </w:pPr>
            <w:r>
              <w:rPr>
                <w:rFonts w:hint="eastAsia" w:ascii="宋体" w:hAnsi="宋体" w:eastAsia="宋体" w:cs="Times New Roman"/>
                <w:color w:val="auto"/>
                <w:sz w:val="24"/>
                <w:szCs w:val="20"/>
                <w:highlight w:val="none"/>
              </w:rPr>
              <w:t>格式及材料要求</w:t>
            </w:r>
          </w:p>
        </w:tc>
      </w:tr>
      <w:tr w14:paraId="4E31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38C27F31">
            <w:pPr>
              <w:keepNext w:val="0"/>
              <w:keepLines w:val="0"/>
              <w:suppressLineNumbers w:val="0"/>
              <w:spacing w:before="0" w:beforeAutospacing="0" w:after="0" w:afterAutospacing="0" w:line="360" w:lineRule="auto"/>
              <w:ind w:left="0" w:right="0" w:firstLine="240" w:firstLineChars="100"/>
              <w:rPr>
                <w:rFonts w:hint="default"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450" w:type="dxa"/>
            <w:tcBorders>
              <w:bottom w:val="single" w:color="auto" w:sz="4" w:space="0"/>
            </w:tcBorders>
            <w:vAlign w:val="center"/>
          </w:tcPr>
          <w:p w14:paraId="03844D24">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8"/>
                <w:highlight w:val="none"/>
              </w:rPr>
            </w:pPr>
            <w:r>
              <w:rPr>
                <w:rFonts w:hint="eastAsia" w:ascii="宋体" w:hAnsi="宋体" w:eastAsia="宋体" w:cs="宋体"/>
                <w:color w:val="auto"/>
                <w:sz w:val="24"/>
                <w:szCs w:val="20"/>
                <w:highlight w:val="none"/>
              </w:rPr>
              <w:t>异常低价响应审查</w:t>
            </w:r>
          </w:p>
        </w:tc>
        <w:tc>
          <w:tcPr>
            <w:tcW w:w="4439" w:type="dxa"/>
            <w:tcBorders>
              <w:bottom w:val="single" w:color="auto" w:sz="4" w:space="0"/>
            </w:tcBorders>
            <w:vAlign w:val="center"/>
          </w:tcPr>
          <w:p w14:paraId="76A8F500">
            <w:pPr>
              <w:pStyle w:val="8"/>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（1）报价＜全部通过初审供应商响应报价平均值×</w:t>
            </w:r>
            <w:r>
              <w:rPr>
                <w:rFonts w:hint="eastAsia" w:ascii="宋体" w:hAnsi="宋体" w:eastAsia="宋体" w:cs="宋体"/>
                <w:color w:val="auto"/>
                <w:sz w:val="24"/>
                <w:szCs w:val="24"/>
                <w:highlight w:val="none"/>
                <w:u w:val="single"/>
                <w:lang w:val="en-US" w:eastAsia="zh-CN"/>
              </w:rPr>
              <w:t>50</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612E7D74">
            <w:pPr>
              <w:pStyle w:val="8"/>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（2）报价＜通过初审的次低报价供应商响应报价×</w:t>
            </w:r>
            <w:r>
              <w:rPr>
                <w:rFonts w:hint="eastAsia" w:ascii="宋体" w:hAnsi="宋体" w:eastAsia="宋体" w:cs="宋体"/>
                <w:color w:val="auto"/>
                <w:sz w:val="24"/>
                <w:szCs w:val="24"/>
                <w:highlight w:val="none"/>
                <w:u w:val="single"/>
                <w:lang w:val="en-US" w:eastAsia="zh-CN"/>
              </w:rPr>
              <w:t>50</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0D5ADB53">
            <w:pPr>
              <w:pStyle w:val="8"/>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（3）报价＜采购项目最高限价（如采购项目未设定最高限价的，以采购项目预算金额作为最高限价）×</w:t>
            </w:r>
            <w:r>
              <w:rPr>
                <w:rFonts w:hint="eastAsia" w:ascii="宋体" w:hAnsi="宋体" w:eastAsia="宋体" w:cs="宋体"/>
                <w:color w:val="auto"/>
                <w:sz w:val="24"/>
                <w:szCs w:val="24"/>
                <w:highlight w:val="none"/>
                <w:u w:val="single"/>
                <w:lang w:val="en-US" w:eastAsia="zh-CN"/>
              </w:rPr>
              <w:t>45</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310AA514">
            <w:pPr>
              <w:pStyle w:val="8"/>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（4）磋商小组基于专业判断，认为供应商报价过低，有可能影响产品质量或者不能诚信履约的其他情形。</w:t>
            </w:r>
          </w:p>
          <w:p w14:paraId="0774B5D3">
            <w:pPr>
              <w:pStyle w:val="8"/>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提醒：</w:t>
            </w:r>
          </w:p>
          <w:p w14:paraId="33B1C4C6">
            <w:pPr>
              <w:pStyle w:val="8"/>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（1）上述第（1）项数值计算：涉及总价、单价的精确到“分”并四舍五入，涉及费率的精确到小数点后两位，第三位四舍五入（例：如平均值为123.456元，即为123.46元；如平均值为80.126%，即为80.13%）。</w:t>
            </w:r>
          </w:p>
          <w:p w14:paraId="26B79019">
            <w:pPr>
              <w:pStyle w:val="8"/>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（2）上述报价均为供应商最后报价。</w:t>
            </w:r>
          </w:p>
        </w:tc>
        <w:tc>
          <w:tcPr>
            <w:tcW w:w="2260" w:type="dxa"/>
            <w:vAlign w:val="center"/>
          </w:tcPr>
          <w:p w14:paraId="436DC75C">
            <w:pPr>
              <w:keepNext w:val="0"/>
              <w:keepLines w:val="0"/>
              <w:suppressLineNumbers w:val="0"/>
              <w:spacing w:before="0" w:beforeAutospacing="0" w:after="0" w:afterAutospacing="0" w:line="360" w:lineRule="auto"/>
              <w:ind w:left="0" w:right="0" w:firstLine="240" w:firstLineChars="100"/>
              <w:rPr>
                <w:rFonts w:hint="default" w:ascii="宋体" w:hAnsi="宋体" w:eastAsia="宋体" w:cs="宋体"/>
                <w:color w:val="auto"/>
                <w:sz w:val="24"/>
                <w:szCs w:val="20"/>
                <w:highlight w:val="none"/>
              </w:rPr>
            </w:pPr>
            <w:r>
              <w:rPr>
                <w:rFonts w:hint="eastAsia" w:ascii="宋体" w:hAnsi="宋体" w:eastAsia="宋体" w:cs="宋体"/>
                <w:color w:val="auto"/>
                <w:sz w:val="24"/>
                <w:szCs w:val="20"/>
                <w:highlight w:val="none"/>
              </w:rPr>
              <w:t>供应商在评审现场合理的时间内对价格作出解释，提供项目具体成本测算等与报价合理性相关的书面说明及必要的证明材料，包括但不限于原材料成本、人工成本、制造费用等。</w:t>
            </w:r>
          </w:p>
        </w:tc>
      </w:tr>
    </w:tbl>
    <w:p w14:paraId="349D77F2">
      <w:pPr>
        <w:spacing w:line="360" w:lineRule="auto"/>
        <w:rPr>
          <w:rFonts w:ascii="宋体" w:hAnsi="宋体" w:eastAsia="宋体" w:cs="Arial"/>
          <w:color w:val="auto"/>
          <w:sz w:val="24"/>
          <w:highlight w:val="none"/>
        </w:rPr>
      </w:pPr>
      <w:r>
        <w:rPr>
          <w:rFonts w:hint="eastAsia" w:ascii="宋体" w:hAnsi="宋体" w:eastAsia="宋体" w:cs="Times New Roman"/>
          <w:color w:val="auto"/>
          <w:sz w:val="24"/>
          <w:highlight w:val="none"/>
        </w:rPr>
        <w:t>注：</w:t>
      </w:r>
    </w:p>
    <w:p w14:paraId="6E44A1D3">
      <w:pPr>
        <w:pStyle w:val="8"/>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14:paraId="6B663FEF">
      <w:pPr>
        <w:pStyle w:val="8"/>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3B9D632F">
      <w:pPr>
        <w:pStyle w:val="8"/>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3F5A51F8">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2.3综合评分</w:t>
      </w:r>
    </w:p>
    <w:p w14:paraId="73FC15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ascii="宋体" w:hAnsi="宋体" w:eastAsia="宋体"/>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1552CE10">
      <w:pPr>
        <w:spacing w:line="360" w:lineRule="auto"/>
        <w:ind w:firstLine="435"/>
        <w:rPr>
          <w:color w:val="auto"/>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70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30</w:t>
      </w:r>
      <w:r>
        <w:rPr>
          <w:rFonts w:asciiTheme="minorEastAsia" w:hAnsiTheme="minorEastAsia" w:eastAsiaTheme="minorEastAsia"/>
          <w:color w:val="auto"/>
          <w:sz w:val="24"/>
          <w:highlight w:val="none"/>
        </w:rPr>
        <w:t>%。具体评分细则如下：</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1720"/>
        <w:gridCol w:w="3745"/>
        <w:gridCol w:w="1582"/>
      </w:tblGrid>
      <w:tr w14:paraId="3FF7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5" w:type="pct"/>
            <w:tcBorders>
              <w:top w:val="single" w:color="auto" w:sz="4" w:space="0"/>
              <w:left w:val="single" w:color="auto" w:sz="4" w:space="0"/>
              <w:bottom w:val="single" w:color="auto" w:sz="4" w:space="0"/>
              <w:right w:val="single" w:color="auto" w:sz="4" w:space="0"/>
            </w:tcBorders>
            <w:vAlign w:val="center"/>
          </w:tcPr>
          <w:p w14:paraId="1AC61FE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0"/>
                <w:highlight w:val="none"/>
              </w:rPr>
            </w:pPr>
            <w:r>
              <w:rPr>
                <w:rFonts w:hint="eastAsia" w:asciiTheme="minorEastAsia" w:hAnsiTheme="minorEastAsia" w:eastAsiaTheme="minorEastAsia"/>
                <w:b/>
                <w:bCs/>
                <w:color w:val="auto"/>
                <w:sz w:val="24"/>
                <w:szCs w:val="20"/>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68604C9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0"/>
                <w:highlight w:val="none"/>
              </w:rPr>
            </w:pPr>
            <w:r>
              <w:rPr>
                <w:rFonts w:hint="eastAsia" w:asciiTheme="minorEastAsia" w:hAnsiTheme="minorEastAsia" w:eastAsiaTheme="minorEastAsia"/>
                <w:b/>
                <w:bCs/>
                <w:color w:val="auto"/>
                <w:sz w:val="24"/>
                <w:szCs w:val="20"/>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4CB3453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0"/>
                <w:highlight w:val="none"/>
              </w:rPr>
            </w:pPr>
            <w:r>
              <w:rPr>
                <w:rFonts w:hint="eastAsia" w:asciiTheme="minorEastAsia" w:hAnsiTheme="minorEastAsia" w:eastAsiaTheme="minorEastAsia"/>
                <w:b/>
                <w:bCs/>
                <w:color w:val="auto"/>
                <w:sz w:val="24"/>
                <w:szCs w:val="20"/>
                <w:highlight w:val="none"/>
              </w:rPr>
              <w:t>评分标准</w:t>
            </w:r>
          </w:p>
        </w:tc>
        <w:tc>
          <w:tcPr>
            <w:tcW w:w="928" w:type="pct"/>
            <w:tcBorders>
              <w:top w:val="single" w:color="auto" w:sz="4" w:space="0"/>
              <w:left w:val="single" w:color="auto" w:sz="4" w:space="0"/>
              <w:bottom w:val="single" w:color="auto" w:sz="4" w:space="0"/>
              <w:right w:val="single" w:color="auto" w:sz="4" w:space="0"/>
            </w:tcBorders>
            <w:vAlign w:val="center"/>
          </w:tcPr>
          <w:p w14:paraId="13B7A2F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0"/>
                <w:highlight w:val="none"/>
              </w:rPr>
            </w:pPr>
            <w:r>
              <w:rPr>
                <w:rFonts w:hint="eastAsia" w:asciiTheme="minorEastAsia" w:hAnsiTheme="minorEastAsia" w:eastAsiaTheme="minorEastAsia"/>
                <w:b/>
                <w:bCs/>
                <w:color w:val="auto"/>
                <w:sz w:val="24"/>
                <w:szCs w:val="20"/>
                <w:highlight w:val="none"/>
              </w:rPr>
              <w:t>分值范围</w:t>
            </w:r>
          </w:p>
        </w:tc>
      </w:tr>
      <w:tr w14:paraId="2D7E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restart"/>
            <w:tcBorders>
              <w:top w:val="single" w:color="auto" w:sz="4" w:space="0"/>
              <w:left w:val="single" w:color="auto" w:sz="4" w:space="0"/>
              <w:right w:val="single" w:color="auto" w:sz="4" w:space="0"/>
            </w:tcBorders>
            <w:vAlign w:val="center"/>
          </w:tcPr>
          <w:p w14:paraId="0301DC2B">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技术资信分</w:t>
            </w:r>
          </w:p>
          <w:p w14:paraId="67F72AA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0"/>
                <w:highlight w:val="none"/>
              </w:rPr>
            </w:pPr>
            <w:r>
              <w:rPr>
                <w:rFonts w:hint="eastAsia" w:asciiTheme="minorEastAsia" w:hAnsiTheme="minorEastAsia" w:eastAsiaTheme="minorEastAsia"/>
                <w:color w:val="auto"/>
                <w:sz w:val="24"/>
                <w:szCs w:val="20"/>
                <w:highlight w:val="none"/>
              </w:rPr>
              <w:t>（</w:t>
            </w:r>
            <w:r>
              <w:rPr>
                <w:rFonts w:hint="eastAsia" w:asciiTheme="minorEastAsia" w:hAnsiTheme="minorEastAsia" w:eastAsiaTheme="minorEastAsia"/>
                <w:color w:val="auto"/>
                <w:sz w:val="24"/>
                <w:szCs w:val="20"/>
                <w:highlight w:val="none"/>
                <w:u w:val="single"/>
                <w:lang w:val="en-US" w:eastAsia="zh-CN"/>
              </w:rPr>
              <w:t>70</w:t>
            </w:r>
            <w:r>
              <w:rPr>
                <w:rFonts w:hint="eastAsia" w:asciiTheme="minorEastAsia" w:hAnsiTheme="minorEastAsia" w:eastAsiaTheme="minorEastAsia"/>
                <w:color w:val="auto"/>
                <w:sz w:val="24"/>
                <w:szCs w:val="20"/>
                <w:highlight w:val="none"/>
              </w:rPr>
              <w:t>分）</w:t>
            </w:r>
          </w:p>
        </w:tc>
        <w:tc>
          <w:tcPr>
            <w:tcW w:w="4134" w:type="pct"/>
            <w:gridSpan w:val="3"/>
            <w:tcBorders>
              <w:top w:val="single" w:color="auto" w:sz="4" w:space="0"/>
              <w:left w:val="single" w:color="auto" w:sz="4" w:space="0"/>
              <w:bottom w:val="single" w:color="auto" w:sz="4" w:space="0"/>
              <w:right w:val="single" w:color="auto" w:sz="4" w:space="0"/>
            </w:tcBorders>
            <w:vAlign w:val="center"/>
          </w:tcPr>
          <w:p w14:paraId="39EB73CB">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b/>
                <w:bCs/>
                <w:color w:val="auto"/>
                <w:sz w:val="24"/>
                <w:szCs w:val="20"/>
                <w:highlight w:val="none"/>
                <w:lang w:val="en-US" w:eastAsia="zh-CN"/>
              </w:rPr>
            </w:pPr>
            <w:r>
              <w:rPr>
                <w:rFonts w:hint="eastAsia" w:asciiTheme="minorEastAsia" w:hAnsiTheme="minorEastAsia" w:eastAsiaTheme="minorEastAsia"/>
                <w:b/>
                <w:bCs/>
                <w:color w:val="auto"/>
                <w:sz w:val="24"/>
                <w:szCs w:val="20"/>
                <w:highlight w:val="none"/>
                <w:lang w:val="en-US" w:eastAsia="zh-CN"/>
              </w:rPr>
              <w:t>资信部分</w:t>
            </w:r>
          </w:p>
        </w:tc>
      </w:tr>
      <w:tr w14:paraId="078B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7EB8AEAE">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118B311C">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center"/>
              <w:textAlignment w:val="auto"/>
              <w:rPr>
                <w:rFonts w:hint="default" w:ascii="宋体" w:hAnsi="宋体" w:eastAsia="宋体" w:cs="宋体"/>
                <w:bCs/>
                <w:color w:val="auto"/>
                <w:szCs w:val="21"/>
                <w:highlight w:val="none"/>
              </w:rPr>
            </w:pP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业绩</w:t>
            </w:r>
          </w:p>
        </w:tc>
        <w:tc>
          <w:tcPr>
            <w:tcW w:w="2197" w:type="pct"/>
            <w:tcBorders>
              <w:top w:val="single" w:color="auto" w:sz="4" w:space="0"/>
              <w:left w:val="single" w:color="auto" w:sz="4" w:space="0"/>
              <w:bottom w:val="single" w:color="auto" w:sz="4" w:space="0"/>
              <w:right w:val="single" w:color="auto" w:sz="4" w:space="0"/>
            </w:tcBorders>
            <w:vAlign w:val="center"/>
          </w:tcPr>
          <w:p w14:paraId="40DED443">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自2023年1月1日至今（以合同签订时间为准），供应商</w:t>
            </w:r>
            <w:r>
              <w:rPr>
                <w:rFonts w:hint="eastAsia" w:ascii="宋体" w:hAnsi="宋体" w:eastAsia="宋体" w:cs="宋体"/>
                <w:b w:val="0"/>
                <w:bCs w:val="0"/>
                <w:color w:val="auto"/>
                <w:sz w:val="24"/>
                <w:szCs w:val="24"/>
                <w:highlight w:val="none"/>
              </w:rPr>
              <w:t>具有房屋质量（或结构）安全性检测（或鉴定）服务业绩的，每提供一个得2分，其他的不得分，本项最高得2分。</w:t>
            </w:r>
          </w:p>
          <w:p w14:paraId="356A979D">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注：①</w:t>
            </w:r>
            <w:r>
              <w:rPr>
                <w:rFonts w:hint="eastAsia" w:ascii="宋体" w:hAnsi="宋体" w:eastAsia="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rPr>
              <w:t>文件中提供业绩合同原件扫描件。如合同中无法体现合同签订时间、业绩内容等关键评审因素</w:t>
            </w:r>
            <w:r>
              <w:rPr>
                <w:rFonts w:hint="eastAsia" w:ascii="宋体" w:hAnsi="宋体" w:eastAsia="宋体" w:cs="宋体"/>
                <w:b w:val="0"/>
                <w:bCs w:val="0"/>
                <w:color w:val="auto"/>
                <w:sz w:val="24"/>
                <w:szCs w:val="24"/>
                <w:highlight w:val="none"/>
                <w:lang w:val="en-US" w:eastAsia="zh-CN"/>
              </w:rPr>
              <w:t>的</w:t>
            </w:r>
            <w:r>
              <w:rPr>
                <w:rFonts w:hint="eastAsia" w:ascii="宋体" w:hAnsi="宋体" w:eastAsia="宋体" w:cs="宋体"/>
                <w:b w:val="0"/>
                <w:bCs w:val="0"/>
                <w:color w:val="auto"/>
                <w:sz w:val="24"/>
                <w:szCs w:val="24"/>
                <w:highlight w:val="none"/>
              </w:rPr>
              <w:t>，须另外提供业主（合同甲方）出具的盖章证明材料扫描件。</w:t>
            </w:r>
          </w:p>
          <w:p w14:paraId="3755B85C">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default" w:ascii="宋体" w:hAnsi="宋体" w:eastAsia="宋体" w:cs="宋体"/>
                <w:color w:val="auto"/>
                <w:szCs w:val="21"/>
                <w:highlight w:val="none"/>
              </w:rPr>
            </w:pPr>
            <w:r>
              <w:rPr>
                <w:rFonts w:hint="eastAsia" w:ascii="宋体" w:hAnsi="宋体" w:eastAsia="宋体" w:cs="宋体"/>
                <w:b w:val="0"/>
                <w:bCs w:val="0"/>
                <w:color w:val="auto"/>
                <w:sz w:val="24"/>
                <w:szCs w:val="24"/>
                <w:highlight w:val="none"/>
              </w:rPr>
              <w:t>②</w:t>
            </w:r>
            <w:r>
              <w:rPr>
                <w:rFonts w:hint="eastAsia" w:ascii="宋体" w:hAnsi="宋体" w:eastAsia="宋体" w:cs="宋体"/>
                <w:b w:val="0"/>
                <w:bCs w:val="0"/>
                <w:color w:val="auto"/>
                <w:sz w:val="24"/>
                <w:szCs w:val="24"/>
                <w:highlight w:val="none"/>
                <w:lang w:val="en-US" w:eastAsia="zh-CN"/>
              </w:rPr>
              <w:t>提</w:t>
            </w:r>
            <w:r>
              <w:rPr>
                <w:rFonts w:hint="eastAsia" w:ascii="宋体" w:hAnsi="宋体" w:eastAsia="宋体" w:cs="宋体"/>
                <w:b w:val="0"/>
                <w:bCs w:val="0"/>
                <w:color w:val="auto"/>
                <w:sz w:val="24"/>
                <w:szCs w:val="24"/>
                <w:highlight w:val="none"/>
              </w:rPr>
              <w:t>供的项目业绩只计算评标分值对应的项目数量，按照排列顺序从首个业绩开始评审至对应数量，超出部分不进行评审。对应数量内业绩不符合</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文件要求不得分的，不再补充评审超出部分业绩。如：提供</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个业绩即得满分的，按照</w:t>
            </w:r>
            <w:r>
              <w:rPr>
                <w:rFonts w:hint="eastAsia" w:ascii="宋体" w:hAnsi="宋体" w:eastAsia="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rPr>
              <w:t>文件排序评审第一项业绩，其余超出部分不再评审。</w:t>
            </w:r>
          </w:p>
        </w:tc>
        <w:tc>
          <w:tcPr>
            <w:tcW w:w="928" w:type="pct"/>
            <w:tcBorders>
              <w:top w:val="single" w:color="auto" w:sz="4" w:space="0"/>
              <w:left w:val="single" w:color="auto" w:sz="4" w:space="0"/>
              <w:bottom w:val="single" w:color="auto" w:sz="4" w:space="0"/>
              <w:right w:val="single" w:color="auto" w:sz="4" w:space="0"/>
            </w:tcBorders>
            <w:vAlign w:val="center"/>
          </w:tcPr>
          <w:p w14:paraId="1DFD676F">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center"/>
              <w:textAlignment w:val="auto"/>
              <w:rPr>
                <w:rFonts w:hint="eastAsia" w:eastAsia="宋体" w:asciiTheme="minorEastAsia" w:hAnsiTheme="minorEastAsia"/>
                <w:b/>
                <w:bCs/>
                <w:color w:val="auto"/>
                <w:sz w:val="24"/>
                <w:szCs w:val="20"/>
                <w:highlight w:val="none"/>
                <w:lang w:val="en-US" w:eastAsia="zh-CN"/>
              </w:rPr>
            </w:pP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2分</w:t>
            </w:r>
          </w:p>
        </w:tc>
      </w:tr>
      <w:tr w14:paraId="732B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3B1CDD7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27CBD81">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项目负责人业绩</w:t>
            </w:r>
          </w:p>
        </w:tc>
        <w:tc>
          <w:tcPr>
            <w:tcW w:w="2197" w:type="pct"/>
            <w:tcBorders>
              <w:top w:val="single" w:color="auto" w:sz="4" w:space="0"/>
              <w:left w:val="single" w:color="auto" w:sz="4" w:space="0"/>
              <w:bottom w:val="single" w:color="auto" w:sz="4" w:space="0"/>
              <w:right w:val="single" w:color="auto" w:sz="4" w:space="0"/>
            </w:tcBorders>
            <w:vAlign w:val="center"/>
          </w:tcPr>
          <w:p w14:paraId="1D6161F8">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自2023年1月1日至今（以合同签订时间为准），供应商拟派项目负责人具有房屋质量（或结构）安全性检测（或鉴定）服务业绩的，每提供一个得2分，其他的不得分，本项最高得2分。</w:t>
            </w:r>
          </w:p>
          <w:p w14:paraId="60CF8404">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注：①响应文件中提供业绩合同原件扫描件。如合同中无法体现合同签订时间、业绩内容、项目负责人姓名等关键评审因素的，须另外提供业主（合同甲方）出具的盖章证明材料扫描件。</w:t>
            </w:r>
          </w:p>
          <w:p w14:paraId="09890B55">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②</w:t>
            </w:r>
            <w:r>
              <w:rPr>
                <w:rFonts w:hint="eastAsia" w:ascii="宋体" w:hAnsi="宋体" w:eastAsia="宋体" w:cs="宋体"/>
                <w:b w:val="0"/>
                <w:bCs w:val="0"/>
                <w:color w:val="auto"/>
                <w:sz w:val="24"/>
                <w:szCs w:val="24"/>
                <w:highlight w:val="none"/>
                <w:lang w:val="en-US" w:eastAsia="zh-CN"/>
              </w:rPr>
              <w:t>供应商业绩与项目负责人业绩为同一业绩的，不重复计分；</w:t>
            </w:r>
          </w:p>
          <w:p w14:paraId="55D4464B">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③提</w:t>
            </w:r>
            <w:r>
              <w:rPr>
                <w:rFonts w:hint="eastAsia" w:ascii="宋体" w:hAnsi="宋体" w:eastAsia="宋体" w:cs="宋体"/>
                <w:b w:val="0"/>
                <w:bCs w:val="0"/>
                <w:color w:val="auto"/>
                <w:sz w:val="24"/>
                <w:szCs w:val="24"/>
                <w:highlight w:val="none"/>
              </w:rPr>
              <w:t>供的项目业绩只计算评标分值对应的项目数量，按照排列顺序从首个业绩开始评审至对应数量，超出部分不进行评审。对应数量内业绩不符合采购文件要求不得分的，不再补充评审超出部分业绩。如：提供1个业绩即得满分的，按照响应文件排序评审第一项业绩，其余超出部分不再评审。</w:t>
            </w:r>
          </w:p>
        </w:tc>
        <w:tc>
          <w:tcPr>
            <w:tcW w:w="928" w:type="pct"/>
            <w:tcBorders>
              <w:top w:val="single" w:color="auto" w:sz="4" w:space="0"/>
              <w:left w:val="single" w:color="auto" w:sz="4" w:space="0"/>
              <w:bottom w:val="single" w:color="auto" w:sz="4" w:space="0"/>
              <w:right w:val="single" w:color="auto" w:sz="4" w:space="0"/>
            </w:tcBorders>
            <w:vAlign w:val="center"/>
          </w:tcPr>
          <w:p w14:paraId="34410F70">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0-2分</w:t>
            </w:r>
          </w:p>
        </w:tc>
      </w:tr>
      <w:tr w14:paraId="6554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21BD167B">
            <w:pPr>
              <w:keepNext w:val="0"/>
              <w:keepLines w:val="0"/>
              <w:suppressLineNumbers w:val="0"/>
              <w:spacing w:before="0" w:beforeAutospacing="0" w:after="0" w:afterAutospacing="0" w:line="360" w:lineRule="auto"/>
              <w:ind w:left="0" w:right="0" w:firstLine="435"/>
              <w:jc w:val="center"/>
              <w:rPr>
                <w:rFonts w:hint="default" w:asciiTheme="minorEastAsia" w:hAnsiTheme="minorEastAsia" w:eastAsiaTheme="minorEastAsia"/>
                <w:b/>
                <w:bCs/>
                <w:color w:val="auto"/>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7506145E">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center"/>
              <w:textAlignment w:val="auto"/>
              <w:rPr>
                <w:rFonts w:hint="default" w:cs="@仿宋_GB2312" w:asciiTheme="minorEastAsia" w:hAnsiTheme="minorEastAsia" w:eastAsiaTheme="minorEastAsia"/>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项目团队</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center"/>
          </w:tcPr>
          <w:p w14:paraId="74177831">
            <w:pPr>
              <w:pStyle w:val="39"/>
              <w:keepNext w:val="0"/>
              <w:keepLines w:val="0"/>
              <w:pageBreakBefore w:val="0"/>
              <w:widowControl w:val="0"/>
              <w:suppressLineNumbers w:val="0"/>
              <w:tabs>
                <w:tab w:val="left" w:pos="744"/>
                <w:tab w:val="left" w:pos="851"/>
              </w:tabs>
              <w:kinsoku/>
              <w:wordWrap/>
              <w:overflowPunct/>
              <w:topLinePunct w:val="0"/>
              <w:autoSpaceDE/>
              <w:autoSpaceDN/>
              <w:bidi w:val="0"/>
              <w:adjustRightInd/>
              <w:spacing w:before="0" w:beforeAutospacing="0" w:after="0" w:afterAutospacing="0" w:line="440" w:lineRule="exact"/>
              <w:ind w:left="0" w:right="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供</w:t>
            </w:r>
            <w:r>
              <w:rPr>
                <w:rFonts w:hint="eastAsia" w:ascii="宋体" w:hAnsi="宋体" w:eastAsia="宋体" w:cs="宋体"/>
                <w:b w:val="0"/>
                <w:bCs w:val="0"/>
                <w:color w:val="auto"/>
                <w:kern w:val="0"/>
                <w:sz w:val="24"/>
                <w:szCs w:val="24"/>
                <w:highlight w:val="none"/>
                <w:lang w:val="en-US" w:eastAsia="zh-CN" w:bidi="ar-SA"/>
              </w:rPr>
              <w:t>应商拟派项目团队（项目负责人和技术负责人除外）：具有建设工程类专业高级（或以上）职称证书，每提供1个得2分；具有建设工程类专业中级职称证书，每提供1个得1分；其他的不得分，本项最高得8分。</w:t>
            </w:r>
          </w:p>
          <w:p w14:paraId="24742B83">
            <w:pPr>
              <w:pStyle w:val="39"/>
              <w:keepNext w:val="0"/>
              <w:keepLines w:val="0"/>
              <w:pageBreakBefore w:val="0"/>
              <w:widowControl w:val="0"/>
              <w:suppressLineNumbers w:val="0"/>
              <w:tabs>
                <w:tab w:val="left" w:pos="744"/>
                <w:tab w:val="left" w:pos="851"/>
              </w:tabs>
              <w:kinsoku/>
              <w:wordWrap/>
              <w:overflowPunct/>
              <w:topLinePunct w:val="0"/>
              <w:autoSpaceDE/>
              <w:autoSpaceDN/>
              <w:bidi w:val="0"/>
              <w:adjustRightInd/>
              <w:spacing w:before="0" w:beforeAutospacing="0" w:after="0" w:afterAutospacing="0" w:line="440" w:lineRule="exact"/>
              <w:ind w:left="0" w:right="0"/>
              <w:jc w:val="both"/>
              <w:textAlignment w:val="auto"/>
              <w:rPr>
                <w:rFonts w:hint="default" w:cs="宋体" w:asciiTheme="minorEastAsia" w:hAnsiTheme="minorEastAsia" w:eastAsiaTheme="minorEastAsia"/>
                <w:color w:val="auto"/>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注：</w:t>
            </w:r>
            <w:r>
              <w:rPr>
                <w:rFonts w:hint="eastAsia" w:hAnsi="宋体" w:cs="宋体"/>
                <w:b w:val="0"/>
                <w:bCs w:val="0"/>
                <w:color w:val="auto"/>
                <w:kern w:val="0"/>
                <w:sz w:val="24"/>
                <w:szCs w:val="24"/>
                <w:highlight w:val="none"/>
                <w:lang w:val="en-US" w:eastAsia="zh-CN" w:bidi="ar-SA"/>
              </w:rPr>
              <w:t>响应</w:t>
            </w:r>
            <w:r>
              <w:rPr>
                <w:rFonts w:hint="eastAsia" w:ascii="宋体" w:hAnsi="宋体" w:eastAsia="宋体" w:cs="宋体"/>
                <w:b w:val="0"/>
                <w:bCs w:val="0"/>
                <w:color w:val="auto"/>
                <w:kern w:val="0"/>
                <w:sz w:val="24"/>
                <w:szCs w:val="24"/>
                <w:highlight w:val="none"/>
                <w:lang w:val="en-US" w:eastAsia="zh-CN" w:bidi="ar-SA"/>
              </w:rPr>
              <w:t>文件中须同时提供①人员配备名单（格式自拟，至少包含人员姓名、岗位安排）；②提供人员身份证和相应证书的扫描件；③社保部门出具的本单位为其缴纳的投标前近三个月内任意一月的养老保险证明或供应商提供承诺已为上述人员缴纳养老保险证明的承诺书（格式自拟）。</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14:paraId="07085610">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center"/>
              <w:textAlignment w:val="auto"/>
              <w:rPr>
                <w:rFonts w:hint="eastAsia" w:eastAsia="宋体" w:cs="@仿宋_GB2312" w:asciiTheme="minorEastAsia" w:hAnsiTheme="minorEastAsia"/>
                <w:b/>
                <w:bCs/>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8分</w:t>
            </w:r>
          </w:p>
        </w:tc>
      </w:tr>
      <w:tr w14:paraId="0768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0669FC3F">
            <w:pPr>
              <w:keepNext w:val="0"/>
              <w:keepLines w:val="0"/>
              <w:suppressLineNumbers w:val="0"/>
              <w:spacing w:before="0" w:beforeAutospacing="0" w:after="0" w:afterAutospacing="0" w:line="360" w:lineRule="auto"/>
              <w:ind w:left="0" w:right="0" w:firstLine="435"/>
              <w:jc w:val="center"/>
              <w:rPr>
                <w:rFonts w:hint="default" w:asciiTheme="minorEastAsia" w:hAnsiTheme="minorEastAsia" w:eastAsiaTheme="minorEastAsia"/>
                <w:b/>
                <w:bCs/>
                <w:color w:val="auto"/>
                <w:sz w:val="24"/>
                <w:szCs w:val="20"/>
                <w:highlight w:val="none"/>
              </w:rPr>
            </w:pPr>
          </w:p>
        </w:tc>
        <w:tc>
          <w:tcPr>
            <w:tcW w:w="413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46A892">
            <w:pPr>
              <w:pStyle w:val="70"/>
              <w:keepNext w:val="0"/>
              <w:keepLines w:val="0"/>
              <w:suppressLineNumbers w:val="0"/>
              <w:spacing w:before="241" w:beforeAutospacing="0" w:after="0" w:afterAutospacing="0" w:line="358" w:lineRule="auto"/>
              <w:ind w:left="111" w:right="95"/>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技术部分</w:t>
            </w:r>
          </w:p>
        </w:tc>
      </w:tr>
      <w:tr w14:paraId="600D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750F9275">
            <w:pPr>
              <w:keepNext w:val="0"/>
              <w:keepLines w:val="0"/>
              <w:suppressLineNumbers w:val="0"/>
              <w:spacing w:before="0" w:beforeAutospacing="0" w:after="0" w:afterAutospacing="0" w:line="360" w:lineRule="auto"/>
              <w:ind w:left="0" w:right="0" w:firstLine="435"/>
              <w:jc w:val="center"/>
              <w:rPr>
                <w:rFonts w:hint="default" w:asciiTheme="minorEastAsia" w:hAnsiTheme="minorEastAsia" w:eastAsiaTheme="minorEastAsia"/>
                <w:b/>
                <w:bCs/>
                <w:color w:val="auto"/>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045219A8">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center"/>
              <w:textAlignment w:val="auto"/>
              <w:rPr>
                <w:rFonts w:hint="default" w:asciiTheme="minorEastAsia" w:hAnsiTheme="minorEastAsia" w:eastAsiaTheme="minorEastAsia"/>
                <w:color w:val="auto"/>
                <w:sz w:val="24"/>
                <w:szCs w:val="20"/>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总体技术路线方案</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center"/>
          </w:tcPr>
          <w:p w14:paraId="300338B8">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小组根据供应商提供的项目技术方案进行综合评审，包含但不限于路线、流程和设计的完整性、合理性、可行性等。</w:t>
            </w:r>
          </w:p>
          <w:p w14:paraId="36C169A4">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（1）方案全面深入，详尽准确合理，得5分；</w:t>
            </w:r>
          </w:p>
          <w:p w14:paraId="7633963D">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（2）方案贴切实际，实用可行，得</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w:t>
            </w:r>
          </w:p>
          <w:p w14:paraId="3A8495E9">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（3）方案符合采购需求，细节有待完善的，得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p>
          <w:p w14:paraId="6D12D2A7">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default" w:ascii="宋体" w:hAnsi="宋体" w:eastAsia="宋体" w:cs="宋体"/>
                <w:color w:val="auto"/>
                <w:spacing w:val="4"/>
                <w:szCs w:val="20"/>
                <w:highlight w:val="none"/>
                <w:lang w:val="en-US" w:eastAsia="zh-CN"/>
              </w:rPr>
            </w:pPr>
            <w:r>
              <w:rPr>
                <w:rFonts w:hint="eastAsia" w:ascii="宋体" w:hAnsi="宋体" w:eastAsia="宋体" w:cs="宋体"/>
                <w:b w:val="0"/>
                <w:bCs w:val="0"/>
                <w:color w:val="auto"/>
                <w:sz w:val="24"/>
                <w:szCs w:val="24"/>
                <w:highlight w:val="none"/>
              </w:rPr>
              <w:t>（4）差</w:t>
            </w:r>
            <w:r>
              <w:rPr>
                <w:rFonts w:hint="eastAsia" w:ascii="宋体" w:hAnsi="宋体" w:eastAsia="宋体" w:cs="宋体"/>
                <w:b w:val="0"/>
                <w:bCs w:val="0"/>
                <w:color w:val="auto"/>
                <w:sz w:val="24"/>
                <w:szCs w:val="24"/>
                <w:highlight w:val="none"/>
                <w:lang w:val="en-US" w:eastAsia="zh-CN"/>
              </w:rPr>
              <w:t>的</w:t>
            </w:r>
            <w:r>
              <w:rPr>
                <w:rFonts w:hint="eastAsia" w:ascii="宋体" w:hAnsi="宋体" w:eastAsia="宋体" w:cs="宋体"/>
                <w:b w:val="0"/>
                <w:bCs w:val="0"/>
                <w:color w:val="auto"/>
                <w:sz w:val="24"/>
                <w:szCs w:val="24"/>
                <w:highlight w:val="none"/>
              </w:rPr>
              <w:t>或未提供</w:t>
            </w:r>
            <w:r>
              <w:rPr>
                <w:rFonts w:hint="eastAsia" w:ascii="宋体" w:hAnsi="宋体" w:eastAsia="宋体" w:cs="宋体"/>
                <w:b w:val="0"/>
                <w:bCs w:val="0"/>
                <w:color w:val="auto"/>
                <w:sz w:val="24"/>
                <w:szCs w:val="24"/>
                <w:highlight w:val="none"/>
                <w:lang w:val="en-US" w:eastAsia="zh-CN"/>
              </w:rPr>
              <w:t>的</w:t>
            </w:r>
            <w:r>
              <w:rPr>
                <w:rFonts w:hint="eastAsia" w:ascii="宋体" w:hAnsi="宋体" w:eastAsia="宋体" w:cs="宋体"/>
                <w:b w:val="0"/>
                <w:bCs w:val="0"/>
                <w:color w:val="auto"/>
                <w:sz w:val="24"/>
                <w:szCs w:val="24"/>
                <w:highlight w:val="none"/>
              </w:rPr>
              <w:t>不得分。</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14:paraId="4015D5C5">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center"/>
              <w:textAlignment w:val="auto"/>
              <w:rPr>
                <w:rFonts w:hint="default" w:asciiTheme="minorEastAsia" w:hAnsiTheme="minorEastAsia" w:eastAsiaTheme="minorEastAsia"/>
                <w:b/>
                <w:bCs/>
                <w:color w:val="auto"/>
                <w:sz w:val="24"/>
                <w:szCs w:val="20"/>
                <w:highlight w:val="none"/>
              </w:rPr>
            </w:pPr>
            <w:r>
              <w:rPr>
                <w:rFonts w:hint="eastAsia" w:ascii="宋体" w:hAnsi="宋体" w:eastAsia="宋体" w:cs="宋体"/>
                <w:b w:val="0"/>
                <w:bCs w:val="0"/>
                <w:color w:val="auto"/>
                <w:sz w:val="24"/>
                <w:szCs w:val="24"/>
                <w:highlight w:val="none"/>
              </w:rPr>
              <w:t>0-5分</w:t>
            </w:r>
          </w:p>
        </w:tc>
      </w:tr>
      <w:tr w14:paraId="7BCA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5" w:hRule="atLeast"/>
          <w:jc w:val="center"/>
        </w:trPr>
        <w:tc>
          <w:tcPr>
            <w:tcW w:w="865" w:type="pct"/>
            <w:vMerge w:val="continue"/>
            <w:tcBorders>
              <w:left w:val="single" w:color="auto" w:sz="4" w:space="0"/>
              <w:right w:val="single" w:color="auto" w:sz="4" w:space="0"/>
            </w:tcBorders>
            <w:vAlign w:val="center"/>
          </w:tcPr>
          <w:p w14:paraId="4D6C499C">
            <w:pPr>
              <w:keepNext w:val="0"/>
              <w:keepLines w:val="0"/>
              <w:suppressLineNumbers w:val="0"/>
              <w:spacing w:before="0" w:beforeAutospacing="0" w:after="0" w:afterAutospacing="0" w:line="360" w:lineRule="auto"/>
              <w:ind w:left="0" w:right="0" w:firstLine="435"/>
              <w:jc w:val="center"/>
              <w:rPr>
                <w:rFonts w:hint="default" w:asciiTheme="minorEastAsia" w:hAnsiTheme="minorEastAsia" w:eastAsiaTheme="minorEastAsia"/>
                <w:b/>
                <w:bCs/>
                <w:color w:val="auto"/>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7B7931E1">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center"/>
              <w:textAlignment w:val="auto"/>
              <w:rPr>
                <w:rFonts w:hint="default" w:asciiTheme="minorEastAsia" w:hAnsiTheme="minorEastAsia" w:eastAsiaTheme="minorEastAsia"/>
                <w:color w:val="auto"/>
                <w:sz w:val="24"/>
                <w:szCs w:val="20"/>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项目重点难点分析</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center"/>
          </w:tcPr>
          <w:p w14:paraId="63C804CD">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小组根据供应商提供的项目重点难点分析进行综合评审。</w:t>
            </w:r>
          </w:p>
          <w:p w14:paraId="6F156FBA">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（1）项目重点难点分析合理、完全适用项目实际的，得5分；</w:t>
            </w:r>
          </w:p>
          <w:p w14:paraId="7B0C62A9">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（2）项目重点难点分析合理，符合实际的，得</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w:t>
            </w:r>
          </w:p>
          <w:p w14:paraId="0EADEA51">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（3）项目重点难点分析有待进一步完善的，得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p>
          <w:p w14:paraId="1A3781BC">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default" w:ascii="宋体" w:hAnsi="宋体" w:eastAsia="宋体" w:cs="宋体"/>
                <w:color w:val="auto"/>
                <w:spacing w:val="4"/>
                <w:szCs w:val="20"/>
                <w:highlight w:val="none"/>
                <w:lang w:val="en-US" w:eastAsia="zh-CN"/>
              </w:rPr>
            </w:pPr>
            <w:r>
              <w:rPr>
                <w:rFonts w:hint="eastAsia" w:ascii="宋体" w:hAnsi="宋体" w:eastAsia="宋体" w:cs="宋体"/>
                <w:b w:val="0"/>
                <w:bCs w:val="0"/>
                <w:color w:val="auto"/>
                <w:sz w:val="24"/>
                <w:szCs w:val="24"/>
                <w:highlight w:val="none"/>
              </w:rPr>
              <w:t>（4）差</w:t>
            </w:r>
            <w:r>
              <w:rPr>
                <w:rFonts w:hint="eastAsia" w:ascii="宋体" w:hAnsi="宋体" w:eastAsia="宋体" w:cs="宋体"/>
                <w:b w:val="0"/>
                <w:bCs w:val="0"/>
                <w:color w:val="auto"/>
                <w:sz w:val="24"/>
                <w:szCs w:val="24"/>
                <w:highlight w:val="none"/>
                <w:lang w:val="en-US" w:eastAsia="zh-CN"/>
              </w:rPr>
              <w:t>的</w:t>
            </w:r>
            <w:r>
              <w:rPr>
                <w:rFonts w:hint="eastAsia" w:ascii="宋体" w:hAnsi="宋体" w:eastAsia="宋体" w:cs="宋体"/>
                <w:b w:val="0"/>
                <w:bCs w:val="0"/>
                <w:color w:val="auto"/>
                <w:sz w:val="24"/>
                <w:szCs w:val="24"/>
                <w:highlight w:val="none"/>
              </w:rPr>
              <w:t>或未提供的不得分。</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14:paraId="36E0DDA7">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center"/>
              <w:textAlignment w:val="auto"/>
              <w:rPr>
                <w:rFonts w:hint="default" w:asciiTheme="minorEastAsia" w:hAnsiTheme="minorEastAsia" w:eastAsiaTheme="minorEastAsia"/>
                <w:b/>
                <w:bCs/>
                <w:color w:val="auto"/>
                <w:sz w:val="24"/>
                <w:szCs w:val="20"/>
                <w:highlight w:val="none"/>
              </w:rPr>
            </w:pPr>
            <w:r>
              <w:rPr>
                <w:rFonts w:hint="eastAsia" w:ascii="宋体" w:hAnsi="宋体" w:eastAsia="宋体" w:cs="宋体"/>
                <w:b w:val="0"/>
                <w:bCs w:val="0"/>
                <w:color w:val="auto"/>
                <w:sz w:val="24"/>
                <w:szCs w:val="24"/>
                <w:highlight w:val="none"/>
              </w:rPr>
              <w:t>0-5分</w:t>
            </w:r>
          </w:p>
        </w:tc>
      </w:tr>
      <w:tr w14:paraId="7F30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1B4B60CB">
            <w:pPr>
              <w:keepNext w:val="0"/>
              <w:keepLines w:val="0"/>
              <w:suppressLineNumbers w:val="0"/>
              <w:spacing w:before="0" w:beforeAutospacing="0" w:after="0" w:afterAutospacing="0" w:line="360" w:lineRule="auto"/>
              <w:ind w:left="0" w:right="0" w:firstLine="435"/>
              <w:jc w:val="center"/>
              <w:rPr>
                <w:rFonts w:hint="default" w:asciiTheme="minorEastAsia" w:hAnsiTheme="minorEastAsia" w:eastAsiaTheme="minorEastAsia"/>
                <w:b/>
                <w:bCs/>
                <w:color w:val="auto"/>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0F163FB9">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center"/>
              <w:textAlignment w:val="auto"/>
              <w:rPr>
                <w:rFonts w:hint="default" w:asciiTheme="minorEastAsia" w:hAnsiTheme="minorEastAsia" w:eastAsiaTheme="minorEastAsia"/>
                <w:color w:val="auto"/>
                <w:sz w:val="24"/>
                <w:szCs w:val="20"/>
                <w:highlight w:val="none"/>
                <w:lang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结构安全鉴定服务方案</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center"/>
          </w:tcPr>
          <w:p w14:paraId="539D4C0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40" w:lineRule="exact"/>
              <w:ind w:left="0" w:right="0"/>
              <w:contextualSpacing/>
              <w:jc w:val="left"/>
              <w:textAlignment w:val="auto"/>
              <w:rPr>
                <w:rFonts w:hint="eastAsia" w:ascii="宋体" w:hAnsi="宋体" w:eastAsia="宋体" w:cs="宋体"/>
                <w:b w:val="0"/>
                <w:bCs w:val="0"/>
                <w:color w:val="auto"/>
                <w:kern w:val="28"/>
                <w:sz w:val="24"/>
                <w:szCs w:val="24"/>
                <w:highlight w:val="none"/>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小组根据</w:t>
            </w:r>
            <w:r>
              <w:rPr>
                <w:rFonts w:hint="eastAsia" w:ascii="宋体" w:hAnsi="宋体" w:eastAsia="宋体" w:cs="宋体"/>
                <w:b w:val="0"/>
                <w:bCs w:val="0"/>
                <w:color w:val="auto"/>
                <w:kern w:val="28"/>
                <w:sz w:val="24"/>
                <w:szCs w:val="24"/>
                <w:highlight w:val="none"/>
              </w:rPr>
              <w:t>供应商提供的</w:t>
            </w:r>
            <w:r>
              <w:rPr>
                <w:rFonts w:hint="eastAsia" w:ascii="宋体" w:hAnsi="宋体" w:eastAsia="宋体" w:cs="宋体"/>
                <w:b w:val="0"/>
                <w:bCs w:val="0"/>
                <w:color w:val="auto"/>
                <w:sz w:val="24"/>
                <w:szCs w:val="24"/>
                <w:highlight w:val="none"/>
              </w:rPr>
              <w:t>本项目结构安全鉴定服务方案进行综合评分</w:t>
            </w:r>
            <w:r>
              <w:rPr>
                <w:rFonts w:hint="eastAsia" w:ascii="宋体" w:hAnsi="宋体" w:eastAsia="宋体" w:cs="宋体"/>
                <w:b w:val="0"/>
                <w:bCs w:val="0"/>
                <w:color w:val="auto"/>
                <w:kern w:val="28"/>
                <w:sz w:val="24"/>
                <w:szCs w:val="24"/>
                <w:highlight w:val="none"/>
              </w:rPr>
              <w:t>：</w:t>
            </w:r>
          </w:p>
          <w:p w14:paraId="69255293">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 xml:space="preserve">结构安全鉴定服务方案内容完整、详尽细致，具有可行性和实用性的，得5分； </w:t>
            </w:r>
          </w:p>
          <w:p w14:paraId="05F47F9B">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（2）结构安全鉴定服务方案内容完整，具有针对性内容的，得</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 xml:space="preserve">分； </w:t>
            </w:r>
          </w:p>
          <w:p w14:paraId="5B34EE8B">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（3）结构安全鉴定服务方案内容需进一步完善的，得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 xml:space="preserve">分； </w:t>
            </w:r>
          </w:p>
          <w:p w14:paraId="34E98B80">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default" w:ascii="宋体" w:hAnsi="宋体" w:eastAsia="宋体" w:cs="宋体"/>
                <w:color w:val="auto"/>
                <w:spacing w:val="4"/>
                <w:szCs w:val="20"/>
                <w:highlight w:val="none"/>
                <w:lang w:val="en-US" w:eastAsia="zh-CN"/>
              </w:rPr>
            </w:pPr>
            <w:r>
              <w:rPr>
                <w:rFonts w:hint="eastAsia" w:ascii="宋体" w:hAnsi="宋体" w:eastAsia="宋体" w:cs="宋体"/>
                <w:b w:val="0"/>
                <w:bCs w:val="0"/>
                <w:color w:val="auto"/>
                <w:sz w:val="24"/>
                <w:szCs w:val="24"/>
                <w:highlight w:val="none"/>
              </w:rPr>
              <w:t>（4）差的或未提供的不得分。</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14:paraId="398B6D9A">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center"/>
              <w:textAlignment w:val="auto"/>
              <w:rPr>
                <w:rFonts w:hint="default" w:asciiTheme="minorEastAsia" w:hAnsiTheme="minorEastAsia" w:eastAsiaTheme="minorEastAsia"/>
                <w:b/>
                <w:bCs/>
                <w:color w:val="auto"/>
                <w:sz w:val="24"/>
                <w:szCs w:val="20"/>
                <w:highlight w:val="none"/>
              </w:rPr>
            </w:pPr>
            <w:r>
              <w:rPr>
                <w:rFonts w:hint="eastAsia" w:ascii="宋体" w:hAnsi="宋体" w:eastAsia="宋体" w:cs="宋体"/>
                <w:b w:val="0"/>
                <w:bCs w:val="0"/>
                <w:color w:val="auto"/>
                <w:sz w:val="24"/>
                <w:szCs w:val="24"/>
                <w:highlight w:val="none"/>
              </w:rPr>
              <w:t>0-5分</w:t>
            </w:r>
          </w:p>
        </w:tc>
      </w:tr>
      <w:tr w14:paraId="55C8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2FDE1996">
            <w:pPr>
              <w:keepNext w:val="0"/>
              <w:keepLines w:val="0"/>
              <w:suppressLineNumbers w:val="0"/>
              <w:spacing w:before="0" w:beforeAutospacing="0" w:after="0" w:afterAutospacing="0" w:line="360" w:lineRule="auto"/>
              <w:ind w:left="0" w:right="0" w:firstLine="435"/>
              <w:jc w:val="center"/>
              <w:rPr>
                <w:rFonts w:hint="default" w:asciiTheme="minorEastAsia" w:hAnsiTheme="minorEastAsia" w:eastAsiaTheme="minorEastAsia"/>
                <w:b/>
                <w:bCs/>
                <w:color w:val="auto"/>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559FA528">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center"/>
              <w:textAlignment w:val="auto"/>
              <w:rPr>
                <w:rFonts w:hint="default" w:asciiTheme="minorEastAsia" w:hAnsiTheme="minorEastAsia" w:eastAsiaTheme="minorEastAsia"/>
                <w:color w:val="auto"/>
                <w:sz w:val="24"/>
                <w:szCs w:val="20"/>
                <w:highlight w:val="none"/>
                <w:lang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抗震鉴定服务方案</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center"/>
          </w:tcPr>
          <w:p w14:paraId="09767C85">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小组根据供应商提供的本项目抗震鉴定服务方案进行综合评审：</w:t>
            </w:r>
          </w:p>
          <w:p w14:paraId="08D2127C">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 xml:space="preserve">抗震鉴定服务方案内容完整、详尽细致，具有可行性和实用性的，得5分； </w:t>
            </w:r>
          </w:p>
          <w:p w14:paraId="6997F7B1">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（2）抗震鉴定服务方案内容完整，具有针对性内容的，得</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 xml:space="preserve">分； </w:t>
            </w:r>
          </w:p>
          <w:p w14:paraId="137E1DB3">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（3）抗震鉴定服务方案内容需进一步完善的，得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 xml:space="preserve">分； </w:t>
            </w:r>
          </w:p>
          <w:p w14:paraId="6DA71C37">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default" w:ascii="宋体" w:hAnsi="宋体" w:eastAsia="宋体" w:cs="宋体"/>
                <w:color w:val="auto"/>
                <w:spacing w:val="4"/>
                <w:szCs w:val="20"/>
                <w:highlight w:val="none"/>
                <w:lang w:val="en-US" w:eastAsia="zh-CN"/>
              </w:rPr>
            </w:pPr>
            <w:r>
              <w:rPr>
                <w:rFonts w:hint="eastAsia" w:ascii="宋体" w:hAnsi="宋体" w:eastAsia="宋体" w:cs="宋体"/>
                <w:b w:val="0"/>
                <w:bCs w:val="0"/>
                <w:color w:val="auto"/>
                <w:sz w:val="24"/>
                <w:szCs w:val="24"/>
                <w:highlight w:val="none"/>
              </w:rPr>
              <w:t>（4）差的或未提供的不得分。</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14:paraId="5A637834">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center"/>
              <w:textAlignment w:val="auto"/>
              <w:rPr>
                <w:rFonts w:hint="default" w:asciiTheme="minorEastAsia" w:hAnsiTheme="minorEastAsia" w:eastAsiaTheme="minorEastAsia"/>
                <w:b/>
                <w:bCs/>
                <w:color w:val="auto"/>
                <w:sz w:val="24"/>
                <w:szCs w:val="20"/>
                <w:highlight w:val="none"/>
              </w:rPr>
            </w:pPr>
            <w:r>
              <w:rPr>
                <w:rFonts w:hint="eastAsia" w:ascii="宋体" w:hAnsi="宋体" w:eastAsia="宋体" w:cs="宋体"/>
                <w:b w:val="0"/>
                <w:bCs w:val="0"/>
                <w:color w:val="auto"/>
                <w:sz w:val="24"/>
                <w:szCs w:val="24"/>
                <w:highlight w:val="none"/>
              </w:rPr>
              <w:t>0-5分</w:t>
            </w:r>
          </w:p>
        </w:tc>
      </w:tr>
      <w:tr w14:paraId="1431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1E99FB13">
            <w:pPr>
              <w:keepNext w:val="0"/>
              <w:keepLines w:val="0"/>
              <w:suppressLineNumbers w:val="0"/>
              <w:spacing w:before="0" w:beforeAutospacing="0" w:after="0" w:afterAutospacing="0" w:line="360" w:lineRule="auto"/>
              <w:ind w:left="0" w:right="0" w:firstLine="435"/>
              <w:jc w:val="center"/>
              <w:rPr>
                <w:rFonts w:hint="default" w:asciiTheme="minorEastAsia" w:hAnsiTheme="minorEastAsia" w:eastAsiaTheme="minorEastAsia"/>
                <w:b/>
                <w:bCs/>
                <w:color w:val="auto"/>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2B292761">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center"/>
              <w:textAlignment w:val="auto"/>
              <w:rPr>
                <w:rFonts w:hint="default" w:asciiTheme="minorEastAsia" w:hAnsiTheme="minorEastAsia" w:eastAsiaTheme="minorEastAsia"/>
                <w:color w:val="auto"/>
                <w:sz w:val="24"/>
                <w:szCs w:val="20"/>
                <w:highlight w:val="none"/>
                <w:lang w:eastAsia="zh-CN"/>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档案管理方案</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center"/>
          </w:tcPr>
          <w:p w14:paraId="30721D83">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小组</w:t>
            </w:r>
            <w:r>
              <w:rPr>
                <w:rFonts w:hint="eastAsia" w:ascii="宋体" w:hAnsi="宋体" w:eastAsia="宋体" w:cs="宋体"/>
                <w:color w:val="auto"/>
                <w:spacing w:val="1"/>
                <w:kern w:val="0"/>
                <w:sz w:val="24"/>
                <w:szCs w:val="24"/>
                <w:highlight w:val="none"/>
                <w:lang w:val="en-US" w:eastAsia="zh-CN"/>
              </w:rPr>
              <w:t>根据供应商提供的</w:t>
            </w:r>
            <w:r>
              <w:rPr>
                <w:rFonts w:hint="eastAsia" w:ascii="宋体" w:hAnsi="宋体" w:eastAsia="宋体" w:cs="宋体"/>
                <w:color w:val="auto"/>
                <w:spacing w:val="1"/>
                <w:kern w:val="0"/>
                <w:sz w:val="24"/>
                <w:szCs w:val="24"/>
                <w:highlight w:val="none"/>
                <w:lang w:val="zh-CN" w:eastAsia="zh-CN"/>
              </w:rPr>
              <w:t>档案数据管理方案进行综合评分</w:t>
            </w:r>
            <w:r>
              <w:rPr>
                <w:rFonts w:hint="eastAsia" w:ascii="宋体" w:hAnsi="宋体" w:eastAsia="宋体" w:cs="宋体"/>
                <w:color w:val="auto"/>
                <w:spacing w:val="1"/>
                <w:kern w:val="0"/>
                <w:sz w:val="24"/>
                <w:szCs w:val="24"/>
                <w:highlight w:val="none"/>
                <w:lang w:val="en-US" w:eastAsia="zh-CN"/>
              </w:rPr>
              <w:t xml:space="preserve">： </w:t>
            </w:r>
          </w:p>
          <w:p w14:paraId="3E3A0784">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spacing w:val="1"/>
                <w:kern w:val="0"/>
                <w:sz w:val="24"/>
                <w:szCs w:val="24"/>
                <w:highlight w:val="none"/>
                <w:lang w:val="zh-CN" w:eastAsia="zh-CN"/>
              </w:rPr>
            </w:pPr>
            <w:r>
              <w:rPr>
                <w:rFonts w:hint="eastAsia" w:ascii="宋体" w:hAnsi="宋体" w:eastAsia="宋体" w:cs="宋体"/>
                <w:color w:val="auto"/>
                <w:spacing w:val="1"/>
                <w:kern w:val="0"/>
                <w:sz w:val="24"/>
                <w:szCs w:val="24"/>
                <w:highlight w:val="none"/>
                <w:lang w:val="en-US" w:eastAsia="zh-CN"/>
              </w:rPr>
              <w:t>（1）</w:t>
            </w:r>
            <w:r>
              <w:rPr>
                <w:rFonts w:hint="eastAsia" w:ascii="宋体" w:hAnsi="宋体" w:eastAsia="宋体" w:cs="宋体"/>
                <w:color w:val="auto"/>
                <w:spacing w:val="1"/>
                <w:kern w:val="0"/>
                <w:sz w:val="24"/>
                <w:szCs w:val="24"/>
                <w:highlight w:val="none"/>
                <w:lang w:val="zh-CN" w:eastAsia="zh-CN"/>
              </w:rPr>
              <w:t xml:space="preserve">对本项目特点和难点理解准确，方案完整详细，可行实用的，得5分； </w:t>
            </w:r>
          </w:p>
          <w:p w14:paraId="2EB1D445">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spacing w:val="1"/>
                <w:kern w:val="0"/>
                <w:sz w:val="24"/>
                <w:szCs w:val="24"/>
                <w:highlight w:val="none"/>
                <w:lang w:val="zh-CN" w:eastAsia="zh-CN"/>
              </w:rPr>
            </w:pPr>
            <w:r>
              <w:rPr>
                <w:rFonts w:hint="eastAsia" w:ascii="宋体" w:hAnsi="宋体" w:eastAsia="宋体" w:cs="宋体"/>
                <w:color w:val="auto"/>
                <w:spacing w:val="1"/>
                <w:kern w:val="0"/>
                <w:sz w:val="24"/>
                <w:szCs w:val="24"/>
                <w:highlight w:val="none"/>
                <w:lang w:val="zh-CN" w:eastAsia="zh-CN"/>
              </w:rPr>
              <w:t>（2）对本项目特点和难点理解正确，方案可行的，得</w:t>
            </w:r>
            <w:r>
              <w:rPr>
                <w:rFonts w:hint="eastAsia" w:ascii="宋体" w:hAnsi="宋体" w:eastAsia="宋体" w:cs="宋体"/>
                <w:color w:val="auto"/>
                <w:spacing w:val="1"/>
                <w:kern w:val="0"/>
                <w:sz w:val="24"/>
                <w:szCs w:val="24"/>
                <w:highlight w:val="none"/>
                <w:lang w:val="en-US" w:eastAsia="zh-CN"/>
              </w:rPr>
              <w:t>4</w:t>
            </w:r>
            <w:r>
              <w:rPr>
                <w:rFonts w:hint="eastAsia" w:ascii="宋体" w:hAnsi="宋体" w:eastAsia="宋体" w:cs="宋体"/>
                <w:color w:val="auto"/>
                <w:spacing w:val="1"/>
                <w:kern w:val="0"/>
                <w:sz w:val="24"/>
                <w:szCs w:val="24"/>
                <w:highlight w:val="none"/>
                <w:lang w:val="zh-CN" w:eastAsia="zh-CN"/>
              </w:rPr>
              <w:t xml:space="preserve">分； </w:t>
            </w:r>
          </w:p>
          <w:p w14:paraId="5E9C3AB1">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spacing w:val="1"/>
                <w:kern w:val="0"/>
                <w:sz w:val="24"/>
                <w:szCs w:val="24"/>
                <w:highlight w:val="none"/>
                <w:lang w:val="zh-CN" w:eastAsia="zh-CN"/>
              </w:rPr>
            </w:pPr>
            <w:r>
              <w:rPr>
                <w:rFonts w:hint="eastAsia" w:ascii="宋体" w:hAnsi="宋体" w:eastAsia="宋体" w:cs="宋体"/>
                <w:color w:val="auto"/>
                <w:spacing w:val="1"/>
                <w:kern w:val="0"/>
                <w:sz w:val="24"/>
                <w:szCs w:val="24"/>
                <w:highlight w:val="none"/>
                <w:lang w:val="zh-CN" w:eastAsia="zh-CN"/>
              </w:rPr>
              <w:t>（3）对本项目特点和难点理解有待提升，方案可行性有待改善，得</w:t>
            </w:r>
            <w:r>
              <w:rPr>
                <w:rFonts w:hint="eastAsia" w:ascii="宋体" w:hAnsi="宋体" w:eastAsia="宋体" w:cs="宋体"/>
                <w:color w:val="auto"/>
                <w:spacing w:val="1"/>
                <w:kern w:val="0"/>
                <w:sz w:val="24"/>
                <w:szCs w:val="24"/>
                <w:highlight w:val="none"/>
                <w:lang w:val="en-US" w:eastAsia="zh-CN"/>
              </w:rPr>
              <w:t>3</w:t>
            </w:r>
            <w:r>
              <w:rPr>
                <w:rFonts w:hint="eastAsia" w:ascii="宋体" w:hAnsi="宋体" w:eastAsia="宋体" w:cs="宋体"/>
                <w:color w:val="auto"/>
                <w:spacing w:val="1"/>
                <w:kern w:val="0"/>
                <w:sz w:val="24"/>
                <w:szCs w:val="24"/>
                <w:highlight w:val="none"/>
                <w:lang w:val="zh-CN" w:eastAsia="zh-CN"/>
              </w:rPr>
              <w:t xml:space="preserve">分； </w:t>
            </w:r>
          </w:p>
          <w:p w14:paraId="4775FDB8">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default" w:ascii="宋体" w:hAnsi="宋体" w:eastAsia="宋体" w:cs="宋体"/>
                <w:color w:val="auto"/>
                <w:spacing w:val="4"/>
                <w:szCs w:val="20"/>
                <w:highlight w:val="none"/>
                <w:lang w:val="en-US" w:eastAsia="zh-CN"/>
              </w:rPr>
            </w:pPr>
            <w:r>
              <w:rPr>
                <w:rFonts w:hint="eastAsia" w:ascii="宋体" w:hAnsi="宋体" w:eastAsia="宋体" w:cs="宋体"/>
                <w:color w:val="auto"/>
                <w:spacing w:val="1"/>
                <w:kern w:val="0"/>
                <w:sz w:val="24"/>
                <w:szCs w:val="24"/>
                <w:highlight w:val="none"/>
                <w:lang w:val="zh-CN" w:eastAsia="zh-CN"/>
              </w:rPr>
              <w:t>（4）差的或未提供的不得分</w:t>
            </w:r>
            <w:r>
              <w:rPr>
                <w:rFonts w:hint="eastAsia" w:ascii="宋体" w:hAnsi="宋体" w:eastAsia="宋体" w:cs="宋体"/>
                <w:color w:val="auto"/>
                <w:spacing w:val="1"/>
                <w:kern w:val="0"/>
                <w:sz w:val="24"/>
                <w:szCs w:val="24"/>
                <w:highlight w:val="none"/>
                <w:lang w:val="en-US" w:eastAsia="zh-CN"/>
              </w:rPr>
              <w:t>。</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14:paraId="4AE87203">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center"/>
              <w:textAlignment w:val="auto"/>
              <w:rPr>
                <w:rFonts w:hint="default" w:asciiTheme="minorEastAsia" w:hAnsiTheme="minorEastAsia" w:eastAsiaTheme="minorEastAsia"/>
                <w:b/>
                <w:bCs/>
                <w:color w:val="auto"/>
                <w:sz w:val="24"/>
                <w:szCs w:val="20"/>
                <w:highlight w:val="none"/>
              </w:rPr>
            </w:pPr>
            <w:r>
              <w:rPr>
                <w:rFonts w:hint="eastAsia" w:ascii="宋体" w:hAnsi="宋体" w:eastAsia="宋体" w:cs="宋体"/>
                <w:b w:val="0"/>
                <w:bCs w:val="0"/>
                <w:color w:val="auto"/>
                <w:sz w:val="24"/>
                <w:szCs w:val="24"/>
                <w:highlight w:val="none"/>
              </w:rPr>
              <w:t>0-5分</w:t>
            </w:r>
          </w:p>
        </w:tc>
      </w:tr>
      <w:tr w14:paraId="4CE2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2C5C6578">
            <w:pPr>
              <w:keepNext w:val="0"/>
              <w:keepLines w:val="0"/>
              <w:suppressLineNumbers w:val="0"/>
              <w:spacing w:before="0" w:beforeAutospacing="0" w:after="0" w:afterAutospacing="0" w:line="360" w:lineRule="auto"/>
              <w:ind w:left="0" w:right="0" w:firstLine="435"/>
              <w:jc w:val="center"/>
              <w:rPr>
                <w:rFonts w:hint="default" w:asciiTheme="minorEastAsia" w:hAnsiTheme="minorEastAsia" w:eastAsiaTheme="minorEastAsia"/>
                <w:b/>
                <w:bCs/>
                <w:color w:val="auto"/>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3792D5AA">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6.项目进度保障措施</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center"/>
          </w:tcPr>
          <w:p w14:paraId="123AFD69">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spacing w:val="1"/>
                <w:kern w:val="0"/>
                <w:sz w:val="24"/>
                <w:szCs w:val="24"/>
                <w:highlight w:val="none"/>
                <w:lang w:val="zh-CN" w:eastAsia="zh-CN"/>
              </w:rPr>
            </w:pPr>
            <w:r>
              <w:rPr>
                <w:rFonts w:hint="eastAsia" w:ascii="宋体" w:hAnsi="宋体" w:eastAsia="宋体" w:cs="宋体"/>
                <w:color w:val="auto"/>
                <w:spacing w:val="1"/>
                <w:kern w:val="0"/>
                <w:sz w:val="24"/>
                <w:szCs w:val="24"/>
                <w:highlight w:val="none"/>
                <w:lang w:val="zh-CN" w:eastAsia="zh-CN"/>
              </w:rPr>
              <w:t>磋商小组根据供应商提供的进度安排及保障措施进行综合评分：</w:t>
            </w:r>
          </w:p>
          <w:p w14:paraId="05EF641C">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spacing w:val="1"/>
                <w:kern w:val="0"/>
                <w:sz w:val="24"/>
                <w:szCs w:val="24"/>
                <w:highlight w:val="none"/>
                <w:lang w:val="zh-CN" w:eastAsia="zh-CN"/>
              </w:rPr>
            </w:pPr>
            <w:r>
              <w:rPr>
                <w:rFonts w:hint="eastAsia" w:ascii="宋体" w:hAnsi="宋体" w:eastAsia="宋体" w:cs="宋体"/>
                <w:color w:val="auto"/>
                <w:spacing w:val="1"/>
                <w:kern w:val="0"/>
                <w:sz w:val="24"/>
                <w:szCs w:val="24"/>
                <w:highlight w:val="none"/>
                <w:lang w:val="zh-CN" w:eastAsia="zh-CN"/>
              </w:rPr>
              <w:t>（1）进度安排详细、完善、保障措施详细周密的，得5分；</w:t>
            </w:r>
          </w:p>
          <w:p w14:paraId="06B2BF69">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spacing w:val="1"/>
                <w:kern w:val="0"/>
                <w:sz w:val="24"/>
                <w:szCs w:val="24"/>
                <w:highlight w:val="none"/>
                <w:lang w:val="zh-CN" w:eastAsia="zh-CN"/>
              </w:rPr>
            </w:pPr>
            <w:r>
              <w:rPr>
                <w:rFonts w:hint="eastAsia" w:ascii="宋体" w:hAnsi="宋体" w:eastAsia="宋体" w:cs="宋体"/>
                <w:color w:val="auto"/>
                <w:spacing w:val="1"/>
                <w:kern w:val="0"/>
                <w:sz w:val="24"/>
                <w:szCs w:val="24"/>
                <w:highlight w:val="none"/>
                <w:lang w:val="zh-CN" w:eastAsia="zh-CN"/>
              </w:rPr>
              <w:t>（2）进度安排合理、保障措施合理，实用可行的，得</w:t>
            </w:r>
            <w:r>
              <w:rPr>
                <w:rFonts w:hint="eastAsia" w:ascii="宋体" w:hAnsi="宋体" w:eastAsia="宋体" w:cs="宋体"/>
                <w:color w:val="auto"/>
                <w:spacing w:val="1"/>
                <w:kern w:val="0"/>
                <w:sz w:val="24"/>
                <w:szCs w:val="24"/>
                <w:highlight w:val="none"/>
                <w:lang w:val="en-US" w:eastAsia="zh-CN"/>
              </w:rPr>
              <w:t>4</w:t>
            </w:r>
            <w:r>
              <w:rPr>
                <w:rFonts w:hint="eastAsia" w:ascii="宋体" w:hAnsi="宋体" w:eastAsia="宋体" w:cs="宋体"/>
                <w:color w:val="auto"/>
                <w:spacing w:val="1"/>
                <w:kern w:val="0"/>
                <w:sz w:val="24"/>
                <w:szCs w:val="24"/>
                <w:highlight w:val="none"/>
                <w:lang w:val="zh-CN" w:eastAsia="zh-CN"/>
              </w:rPr>
              <w:t>分；</w:t>
            </w:r>
          </w:p>
          <w:p w14:paraId="733B20F7">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spacing w:val="1"/>
                <w:kern w:val="0"/>
                <w:sz w:val="24"/>
                <w:szCs w:val="24"/>
                <w:highlight w:val="none"/>
                <w:lang w:val="zh-CN" w:eastAsia="zh-CN"/>
              </w:rPr>
            </w:pPr>
            <w:r>
              <w:rPr>
                <w:rFonts w:hint="eastAsia" w:ascii="宋体" w:hAnsi="宋体" w:eastAsia="宋体" w:cs="宋体"/>
                <w:color w:val="auto"/>
                <w:spacing w:val="1"/>
                <w:kern w:val="0"/>
                <w:sz w:val="24"/>
                <w:szCs w:val="24"/>
                <w:highlight w:val="none"/>
                <w:lang w:val="zh-CN" w:eastAsia="zh-CN"/>
              </w:rPr>
              <w:t>（3）进度安排、保障措施有待进一步完善的，得</w:t>
            </w:r>
            <w:r>
              <w:rPr>
                <w:rFonts w:hint="eastAsia" w:ascii="宋体" w:hAnsi="宋体" w:eastAsia="宋体" w:cs="宋体"/>
                <w:color w:val="auto"/>
                <w:spacing w:val="1"/>
                <w:kern w:val="0"/>
                <w:sz w:val="24"/>
                <w:szCs w:val="24"/>
                <w:highlight w:val="none"/>
                <w:lang w:val="en-US" w:eastAsia="zh-CN"/>
              </w:rPr>
              <w:t>3</w:t>
            </w:r>
            <w:r>
              <w:rPr>
                <w:rFonts w:hint="eastAsia" w:ascii="宋体" w:hAnsi="宋体" w:eastAsia="宋体" w:cs="宋体"/>
                <w:color w:val="auto"/>
                <w:spacing w:val="1"/>
                <w:kern w:val="0"/>
                <w:sz w:val="24"/>
                <w:szCs w:val="24"/>
                <w:highlight w:val="none"/>
                <w:lang w:val="zh-CN" w:eastAsia="zh-CN"/>
              </w:rPr>
              <w:t>分；</w:t>
            </w:r>
          </w:p>
          <w:p w14:paraId="16CADE4C">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spacing w:val="1"/>
                <w:kern w:val="0"/>
                <w:sz w:val="24"/>
                <w:szCs w:val="24"/>
                <w:highlight w:val="none"/>
                <w:lang w:val="zh-CN" w:eastAsia="zh-CN"/>
              </w:rPr>
            </w:pPr>
            <w:r>
              <w:rPr>
                <w:rFonts w:hint="eastAsia" w:ascii="宋体" w:hAnsi="宋体" w:eastAsia="宋体" w:cs="宋体"/>
                <w:color w:val="auto"/>
                <w:spacing w:val="1"/>
                <w:kern w:val="0"/>
                <w:sz w:val="24"/>
                <w:szCs w:val="24"/>
                <w:highlight w:val="none"/>
                <w:lang w:val="zh-CN" w:eastAsia="zh-CN"/>
              </w:rPr>
              <w:t>（4）差的或未提供的不得分。</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14:paraId="64E85EFA">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0-5分</w:t>
            </w:r>
          </w:p>
        </w:tc>
      </w:tr>
      <w:tr w14:paraId="12E2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38F5BF67">
            <w:pPr>
              <w:keepNext w:val="0"/>
              <w:keepLines w:val="0"/>
              <w:suppressLineNumbers w:val="0"/>
              <w:spacing w:before="0" w:beforeAutospacing="0" w:after="0" w:afterAutospacing="0" w:line="360" w:lineRule="auto"/>
              <w:ind w:left="0" w:right="0" w:firstLine="435"/>
              <w:jc w:val="center"/>
              <w:rPr>
                <w:rFonts w:hint="default" w:asciiTheme="minorEastAsia" w:hAnsiTheme="minorEastAsia" w:eastAsiaTheme="minorEastAsia"/>
                <w:b/>
                <w:bCs/>
                <w:color w:val="auto"/>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5582C33B">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7.质量保证措施</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center"/>
          </w:tcPr>
          <w:p w14:paraId="16D04134">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spacing w:val="1"/>
                <w:kern w:val="0"/>
                <w:sz w:val="24"/>
                <w:szCs w:val="24"/>
                <w:highlight w:val="none"/>
                <w:lang w:val="zh-CN" w:eastAsia="zh-CN"/>
              </w:rPr>
            </w:pPr>
            <w:r>
              <w:rPr>
                <w:rFonts w:hint="eastAsia" w:ascii="宋体" w:hAnsi="宋体" w:eastAsia="宋体" w:cs="宋体"/>
                <w:color w:val="auto"/>
                <w:spacing w:val="1"/>
                <w:kern w:val="0"/>
                <w:sz w:val="24"/>
                <w:szCs w:val="24"/>
                <w:highlight w:val="none"/>
                <w:lang w:val="zh-CN" w:eastAsia="zh-CN"/>
              </w:rPr>
              <w:t>磋商小组根据供应商提供的项目质量保证措施进行综合评审：</w:t>
            </w:r>
          </w:p>
          <w:p w14:paraId="03DAD85E">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spacing w:val="1"/>
                <w:kern w:val="0"/>
                <w:sz w:val="24"/>
                <w:szCs w:val="24"/>
                <w:highlight w:val="none"/>
                <w:lang w:val="zh-CN" w:eastAsia="zh-CN"/>
              </w:rPr>
            </w:pPr>
            <w:r>
              <w:rPr>
                <w:rFonts w:hint="eastAsia" w:ascii="宋体" w:hAnsi="宋体" w:eastAsia="宋体" w:cs="宋体"/>
                <w:color w:val="auto"/>
                <w:spacing w:val="1"/>
                <w:kern w:val="0"/>
                <w:sz w:val="24"/>
                <w:szCs w:val="24"/>
                <w:highlight w:val="none"/>
                <w:lang w:val="zh-CN" w:eastAsia="zh-CN"/>
              </w:rPr>
              <w:t>（1）质量保证措施完善、合理可行的，得5分；</w:t>
            </w:r>
          </w:p>
          <w:p w14:paraId="1960F447">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spacing w:val="1"/>
                <w:kern w:val="0"/>
                <w:sz w:val="24"/>
                <w:szCs w:val="24"/>
                <w:highlight w:val="none"/>
                <w:lang w:val="zh-CN" w:eastAsia="zh-CN"/>
              </w:rPr>
            </w:pPr>
            <w:r>
              <w:rPr>
                <w:rFonts w:hint="eastAsia" w:ascii="宋体" w:hAnsi="宋体" w:eastAsia="宋体" w:cs="宋体"/>
                <w:color w:val="auto"/>
                <w:spacing w:val="1"/>
                <w:kern w:val="0"/>
                <w:sz w:val="24"/>
                <w:szCs w:val="24"/>
                <w:highlight w:val="none"/>
                <w:lang w:val="zh-CN" w:eastAsia="zh-CN"/>
              </w:rPr>
              <w:t>（2）质量保证措施符合实际的，得</w:t>
            </w:r>
            <w:r>
              <w:rPr>
                <w:rFonts w:hint="eastAsia" w:ascii="宋体" w:hAnsi="宋体" w:eastAsia="宋体" w:cs="宋体"/>
                <w:color w:val="auto"/>
                <w:spacing w:val="1"/>
                <w:kern w:val="0"/>
                <w:sz w:val="24"/>
                <w:szCs w:val="24"/>
                <w:highlight w:val="none"/>
                <w:lang w:val="en-US" w:eastAsia="zh-CN"/>
              </w:rPr>
              <w:t>4</w:t>
            </w:r>
            <w:r>
              <w:rPr>
                <w:rFonts w:hint="eastAsia" w:ascii="宋体" w:hAnsi="宋体" w:eastAsia="宋体" w:cs="宋体"/>
                <w:color w:val="auto"/>
                <w:spacing w:val="1"/>
                <w:kern w:val="0"/>
                <w:sz w:val="24"/>
                <w:szCs w:val="24"/>
                <w:highlight w:val="none"/>
                <w:lang w:val="zh-CN" w:eastAsia="zh-CN"/>
              </w:rPr>
              <w:t>分；</w:t>
            </w:r>
          </w:p>
          <w:p w14:paraId="1D703AFC">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spacing w:val="1"/>
                <w:kern w:val="0"/>
                <w:sz w:val="24"/>
                <w:szCs w:val="24"/>
                <w:highlight w:val="none"/>
                <w:lang w:val="zh-CN" w:eastAsia="zh-CN"/>
              </w:rPr>
            </w:pPr>
            <w:r>
              <w:rPr>
                <w:rFonts w:hint="eastAsia" w:ascii="宋体" w:hAnsi="宋体" w:eastAsia="宋体" w:cs="宋体"/>
                <w:color w:val="auto"/>
                <w:spacing w:val="1"/>
                <w:kern w:val="0"/>
                <w:sz w:val="24"/>
                <w:szCs w:val="24"/>
                <w:highlight w:val="none"/>
                <w:lang w:val="zh-CN" w:eastAsia="zh-CN"/>
              </w:rPr>
              <w:t>（3）质量保证措施有待完善细节的，得</w:t>
            </w:r>
            <w:r>
              <w:rPr>
                <w:rFonts w:hint="eastAsia" w:ascii="宋体" w:hAnsi="宋体" w:eastAsia="宋体" w:cs="宋体"/>
                <w:color w:val="auto"/>
                <w:spacing w:val="1"/>
                <w:kern w:val="0"/>
                <w:sz w:val="24"/>
                <w:szCs w:val="24"/>
                <w:highlight w:val="none"/>
                <w:lang w:val="en-US" w:eastAsia="zh-CN"/>
              </w:rPr>
              <w:t>3</w:t>
            </w:r>
            <w:r>
              <w:rPr>
                <w:rFonts w:hint="eastAsia" w:ascii="宋体" w:hAnsi="宋体" w:eastAsia="宋体" w:cs="宋体"/>
                <w:color w:val="auto"/>
                <w:spacing w:val="1"/>
                <w:kern w:val="0"/>
                <w:sz w:val="24"/>
                <w:szCs w:val="24"/>
                <w:highlight w:val="none"/>
                <w:lang w:val="zh-CN" w:eastAsia="zh-CN"/>
              </w:rPr>
              <w:t>分；</w:t>
            </w:r>
          </w:p>
          <w:p w14:paraId="42EE46FC">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spacing w:val="1"/>
                <w:kern w:val="0"/>
                <w:sz w:val="24"/>
                <w:szCs w:val="24"/>
                <w:highlight w:val="none"/>
                <w:lang w:val="zh-CN" w:eastAsia="zh-CN"/>
              </w:rPr>
            </w:pPr>
            <w:r>
              <w:rPr>
                <w:rFonts w:hint="eastAsia" w:ascii="宋体" w:hAnsi="宋体" w:eastAsia="宋体" w:cs="宋体"/>
                <w:color w:val="auto"/>
                <w:spacing w:val="1"/>
                <w:kern w:val="0"/>
                <w:sz w:val="24"/>
                <w:szCs w:val="24"/>
                <w:highlight w:val="none"/>
                <w:lang w:val="zh-CN" w:eastAsia="zh-CN"/>
              </w:rPr>
              <w:t>（4）差的或未提供的不得分。</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14:paraId="7171367F">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0-5分</w:t>
            </w:r>
          </w:p>
        </w:tc>
      </w:tr>
      <w:tr w14:paraId="7AD2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4E5AC9D7">
            <w:pPr>
              <w:keepNext w:val="0"/>
              <w:keepLines w:val="0"/>
              <w:suppressLineNumbers w:val="0"/>
              <w:spacing w:before="0" w:beforeAutospacing="0" w:after="0" w:afterAutospacing="0" w:line="360" w:lineRule="auto"/>
              <w:ind w:left="0" w:right="0" w:firstLine="435"/>
              <w:jc w:val="center"/>
              <w:rPr>
                <w:rFonts w:hint="default" w:asciiTheme="minorEastAsia" w:hAnsiTheme="minorEastAsia" w:eastAsiaTheme="minorEastAsia"/>
                <w:b/>
                <w:bCs/>
                <w:color w:val="auto"/>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61147655">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8.安全保密措施</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center"/>
          </w:tcPr>
          <w:p w14:paraId="5435EC61">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spacing w:val="1"/>
                <w:kern w:val="0"/>
                <w:sz w:val="24"/>
                <w:szCs w:val="24"/>
                <w:highlight w:val="none"/>
                <w:lang w:val="zh-CN" w:eastAsia="zh-CN"/>
              </w:rPr>
            </w:pPr>
            <w:r>
              <w:rPr>
                <w:rFonts w:hint="eastAsia" w:ascii="宋体" w:hAnsi="宋体" w:eastAsia="宋体" w:cs="宋体"/>
                <w:color w:val="auto"/>
                <w:spacing w:val="1"/>
                <w:kern w:val="0"/>
                <w:sz w:val="24"/>
                <w:szCs w:val="24"/>
                <w:highlight w:val="none"/>
                <w:lang w:val="zh-CN" w:eastAsia="zh-CN"/>
              </w:rPr>
              <w:t xml:space="preserve">磋商小组根据供应商提供的安全保密管理措施进行评审： </w:t>
            </w:r>
          </w:p>
          <w:p w14:paraId="3E443D3D">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spacing w:val="1"/>
                <w:kern w:val="0"/>
                <w:sz w:val="24"/>
                <w:szCs w:val="24"/>
                <w:highlight w:val="none"/>
                <w:lang w:val="zh-CN" w:eastAsia="zh-CN"/>
              </w:rPr>
            </w:pPr>
            <w:r>
              <w:rPr>
                <w:rFonts w:hint="eastAsia" w:ascii="宋体" w:hAnsi="宋体" w:eastAsia="宋体" w:cs="宋体"/>
                <w:color w:val="auto"/>
                <w:spacing w:val="1"/>
                <w:kern w:val="0"/>
                <w:sz w:val="24"/>
                <w:szCs w:val="24"/>
                <w:highlight w:val="none"/>
                <w:lang w:val="zh-CN" w:eastAsia="zh-CN"/>
              </w:rPr>
              <w:t xml:space="preserve">（1）安全保密管理措施全面详尽、实用可行的得5分； </w:t>
            </w:r>
          </w:p>
          <w:p w14:paraId="15B66189">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spacing w:val="1"/>
                <w:kern w:val="0"/>
                <w:sz w:val="24"/>
                <w:szCs w:val="24"/>
                <w:highlight w:val="none"/>
                <w:lang w:val="zh-CN" w:eastAsia="zh-CN"/>
              </w:rPr>
            </w:pPr>
            <w:r>
              <w:rPr>
                <w:rFonts w:hint="eastAsia" w:ascii="宋体" w:hAnsi="宋体" w:eastAsia="宋体" w:cs="宋体"/>
                <w:color w:val="auto"/>
                <w:spacing w:val="1"/>
                <w:kern w:val="0"/>
                <w:sz w:val="24"/>
                <w:szCs w:val="24"/>
                <w:highlight w:val="none"/>
                <w:lang w:val="zh-CN" w:eastAsia="zh-CN"/>
              </w:rPr>
              <w:t>（2）安全保密管理措施完整，合理，</w:t>
            </w:r>
            <w:r>
              <w:rPr>
                <w:rFonts w:hint="eastAsia" w:ascii="宋体" w:hAnsi="宋体" w:eastAsia="宋体" w:cs="宋体"/>
                <w:color w:val="auto"/>
                <w:spacing w:val="1"/>
                <w:kern w:val="0"/>
                <w:sz w:val="24"/>
                <w:szCs w:val="24"/>
                <w:highlight w:val="none"/>
                <w:lang w:val="en-US" w:eastAsia="zh-CN"/>
              </w:rPr>
              <w:t>具有可行性</w:t>
            </w:r>
            <w:r>
              <w:rPr>
                <w:rFonts w:hint="eastAsia" w:ascii="宋体" w:hAnsi="宋体" w:eastAsia="宋体" w:cs="宋体"/>
                <w:color w:val="auto"/>
                <w:spacing w:val="1"/>
                <w:kern w:val="0"/>
                <w:sz w:val="24"/>
                <w:szCs w:val="24"/>
                <w:highlight w:val="none"/>
                <w:lang w:val="zh-CN" w:eastAsia="zh-CN"/>
              </w:rPr>
              <w:t>的得</w:t>
            </w:r>
            <w:r>
              <w:rPr>
                <w:rFonts w:hint="eastAsia" w:ascii="宋体" w:hAnsi="宋体" w:eastAsia="宋体" w:cs="宋体"/>
                <w:color w:val="auto"/>
                <w:spacing w:val="1"/>
                <w:kern w:val="0"/>
                <w:sz w:val="24"/>
                <w:szCs w:val="24"/>
                <w:highlight w:val="none"/>
                <w:lang w:val="en-US" w:eastAsia="zh-CN"/>
              </w:rPr>
              <w:t>4</w:t>
            </w:r>
            <w:r>
              <w:rPr>
                <w:rFonts w:hint="eastAsia" w:ascii="宋体" w:hAnsi="宋体" w:eastAsia="宋体" w:cs="宋体"/>
                <w:color w:val="auto"/>
                <w:spacing w:val="1"/>
                <w:kern w:val="0"/>
                <w:sz w:val="24"/>
                <w:szCs w:val="24"/>
                <w:highlight w:val="none"/>
                <w:lang w:val="zh-CN" w:eastAsia="zh-CN"/>
              </w:rPr>
              <w:t xml:space="preserve">分； </w:t>
            </w:r>
          </w:p>
          <w:p w14:paraId="1CF24E7E">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spacing w:val="1"/>
                <w:kern w:val="0"/>
                <w:sz w:val="24"/>
                <w:szCs w:val="24"/>
                <w:highlight w:val="none"/>
                <w:lang w:val="zh-CN" w:eastAsia="zh-CN"/>
              </w:rPr>
            </w:pPr>
            <w:r>
              <w:rPr>
                <w:rFonts w:hint="eastAsia" w:ascii="宋体" w:hAnsi="宋体" w:eastAsia="宋体" w:cs="宋体"/>
                <w:color w:val="auto"/>
                <w:spacing w:val="1"/>
                <w:kern w:val="0"/>
                <w:sz w:val="24"/>
                <w:szCs w:val="24"/>
                <w:highlight w:val="none"/>
                <w:lang w:val="zh-CN" w:eastAsia="zh-CN"/>
              </w:rPr>
              <w:t>（3）安全保密管理措施简单有待提升完善的得</w:t>
            </w:r>
            <w:r>
              <w:rPr>
                <w:rFonts w:hint="eastAsia" w:ascii="宋体" w:hAnsi="宋体" w:eastAsia="宋体" w:cs="宋体"/>
                <w:color w:val="auto"/>
                <w:spacing w:val="1"/>
                <w:kern w:val="0"/>
                <w:sz w:val="24"/>
                <w:szCs w:val="24"/>
                <w:highlight w:val="none"/>
                <w:lang w:val="en-US" w:eastAsia="zh-CN"/>
              </w:rPr>
              <w:t>3</w:t>
            </w:r>
            <w:r>
              <w:rPr>
                <w:rFonts w:hint="eastAsia" w:ascii="宋体" w:hAnsi="宋体" w:eastAsia="宋体" w:cs="宋体"/>
                <w:color w:val="auto"/>
                <w:spacing w:val="1"/>
                <w:kern w:val="0"/>
                <w:sz w:val="24"/>
                <w:szCs w:val="24"/>
                <w:highlight w:val="none"/>
                <w:lang w:val="zh-CN" w:eastAsia="zh-CN"/>
              </w:rPr>
              <w:t xml:space="preserve">分； </w:t>
            </w:r>
          </w:p>
          <w:p w14:paraId="094A6812">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spacing w:val="1"/>
                <w:kern w:val="0"/>
                <w:sz w:val="24"/>
                <w:szCs w:val="24"/>
                <w:highlight w:val="none"/>
                <w:lang w:val="zh-CN" w:eastAsia="zh-CN"/>
              </w:rPr>
            </w:pPr>
            <w:r>
              <w:rPr>
                <w:rFonts w:hint="eastAsia" w:ascii="宋体" w:hAnsi="宋体" w:eastAsia="宋体" w:cs="宋体"/>
                <w:color w:val="auto"/>
                <w:spacing w:val="1"/>
                <w:kern w:val="0"/>
                <w:sz w:val="24"/>
                <w:szCs w:val="24"/>
                <w:highlight w:val="none"/>
                <w:lang w:val="zh-CN" w:eastAsia="zh-CN"/>
              </w:rPr>
              <w:t>（4）差的或未提供的不得分。</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14:paraId="3073F92B">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0-5分</w:t>
            </w:r>
          </w:p>
        </w:tc>
      </w:tr>
      <w:tr w14:paraId="6978E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06D88025">
            <w:pPr>
              <w:keepNext w:val="0"/>
              <w:keepLines w:val="0"/>
              <w:suppressLineNumbers w:val="0"/>
              <w:spacing w:before="0" w:beforeAutospacing="0" w:after="0" w:afterAutospacing="0" w:line="360" w:lineRule="auto"/>
              <w:ind w:left="0" w:right="0" w:firstLine="435"/>
              <w:jc w:val="center"/>
              <w:rPr>
                <w:rFonts w:hint="default" w:asciiTheme="minorEastAsia" w:hAnsiTheme="minorEastAsia" w:eastAsiaTheme="minorEastAsia"/>
                <w:b/>
                <w:bCs/>
                <w:color w:val="auto"/>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2256549C">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color w:val="auto"/>
                <w:kern w:val="0"/>
                <w:sz w:val="24"/>
                <w:szCs w:val="24"/>
                <w:highlight w:val="none"/>
                <w:lang w:val="en-US" w:eastAsia="zh-CN" w:bidi="ar"/>
              </w:rPr>
              <w:t>保障制度</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center"/>
          </w:tcPr>
          <w:p w14:paraId="45E429C5">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pacing w:val="1"/>
                <w:kern w:val="0"/>
                <w:sz w:val="24"/>
                <w:szCs w:val="24"/>
                <w:highlight w:val="none"/>
                <w:lang w:val="zh-CN" w:eastAsia="zh-CN"/>
              </w:rPr>
            </w:pPr>
            <w:r>
              <w:rPr>
                <w:rFonts w:hint="eastAsia" w:ascii="宋体" w:hAnsi="宋体" w:eastAsia="宋体" w:cs="宋体"/>
                <w:color w:val="auto"/>
                <w:spacing w:val="1"/>
                <w:kern w:val="0"/>
                <w:sz w:val="24"/>
                <w:szCs w:val="24"/>
                <w:highlight w:val="none"/>
                <w:lang w:val="en-US" w:eastAsia="zh-CN"/>
              </w:rPr>
              <w:t>磋商小组根据供应商提供的</w:t>
            </w:r>
            <w:r>
              <w:rPr>
                <w:rFonts w:hint="eastAsia" w:ascii="宋体" w:hAnsi="宋体" w:eastAsia="宋体" w:cs="宋体"/>
                <w:color w:val="auto"/>
                <w:spacing w:val="1"/>
                <w:kern w:val="0"/>
                <w:sz w:val="24"/>
                <w:szCs w:val="24"/>
                <w:highlight w:val="none"/>
                <w:lang w:val="zh-CN" w:eastAsia="zh-CN"/>
              </w:rPr>
              <w:t>保障制度情况进行综合评分：</w:t>
            </w:r>
          </w:p>
          <w:p w14:paraId="57BA49E9">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pacing w:val="1"/>
                <w:kern w:val="0"/>
                <w:sz w:val="24"/>
                <w:szCs w:val="24"/>
                <w:highlight w:val="none"/>
                <w:lang w:val="zh-CN" w:eastAsia="zh-CN"/>
              </w:rPr>
            </w:pPr>
            <w:r>
              <w:rPr>
                <w:rFonts w:hint="eastAsia" w:ascii="宋体" w:hAnsi="宋体" w:eastAsia="宋体" w:cs="宋体"/>
                <w:color w:val="auto"/>
                <w:spacing w:val="1"/>
                <w:kern w:val="0"/>
                <w:sz w:val="24"/>
                <w:szCs w:val="24"/>
                <w:highlight w:val="none"/>
                <w:lang w:val="zh-CN" w:eastAsia="zh-CN"/>
              </w:rPr>
              <w:t>（1）对本项目特点和难点理解准确，保障制度优于本项目采购需求，完整详细，可行实用的，得5分；</w:t>
            </w:r>
          </w:p>
          <w:p w14:paraId="5BA0B747">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pacing w:val="1"/>
                <w:kern w:val="0"/>
                <w:sz w:val="24"/>
                <w:szCs w:val="24"/>
                <w:highlight w:val="none"/>
                <w:lang w:val="zh-CN" w:eastAsia="zh-CN"/>
              </w:rPr>
            </w:pPr>
            <w:r>
              <w:rPr>
                <w:rFonts w:hint="eastAsia" w:ascii="宋体" w:hAnsi="宋体" w:eastAsia="宋体" w:cs="宋体"/>
                <w:color w:val="auto"/>
                <w:spacing w:val="1"/>
                <w:kern w:val="0"/>
                <w:sz w:val="24"/>
                <w:szCs w:val="24"/>
                <w:highlight w:val="none"/>
                <w:lang w:val="zh-CN" w:eastAsia="zh-CN"/>
              </w:rPr>
              <w:t>（2）对本项目特点和难点理解有待提升，保障制度基本适合本项目采购需求的，得</w:t>
            </w:r>
            <w:r>
              <w:rPr>
                <w:rFonts w:hint="eastAsia" w:ascii="宋体" w:hAnsi="宋体" w:eastAsia="宋体" w:cs="宋体"/>
                <w:color w:val="auto"/>
                <w:spacing w:val="1"/>
                <w:kern w:val="0"/>
                <w:sz w:val="24"/>
                <w:szCs w:val="24"/>
                <w:highlight w:val="none"/>
                <w:lang w:val="en-US" w:eastAsia="zh-CN"/>
              </w:rPr>
              <w:t>4</w:t>
            </w:r>
            <w:r>
              <w:rPr>
                <w:rFonts w:hint="eastAsia" w:ascii="宋体" w:hAnsi="宋体" w:eastAsia="宋体" w:cs="宋体"/>
                <w:color w:val="auto"/>
                <w:spacing w:val="1"/>
                <w:kern w:val="0"/>
                <w:sz w:val="24"/>
                <w:szCs w:val="24"/>
                <w:highlight w:val="none"/>
                <w:lang w:val="zh-CN" w:eastAsia="zh-CN"/>
              </w:rPr>
              <w:t>分；</w:t>
            </w:r>
          </w:p>
          <w:p w14:paraId="06965767">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pacing w:val="1"/>
                <w:kern w:val="0"/>
                <w:sz w:val="24"/>
                <w:szCs w:val="24"/>
                <w:highlight w:val="none"/>
                <w:lang w:val="zh-CN" w:eastAsia="zh-CN"/>
              </w:rPr>
            </w:pPr>
            <w:r>
              <w:rPr>
                <w:rFonts w:hint="eastAsia" w:ascii="宋体" w:hAnsi="宋体" w:eastAsia="宋体" w:cs="宋体"/>
                <w:color w:val="auto"/>
                <w:spacing w:val="1"/>
                <w:kern w:val="0"/>
                <w:sz w:val="24"/>
                <w:szCs w:val="24"/>
                <w:highlight w:val="none"/>
                <w:lang w:val="zh-CN" w:eastAsia="zh-CN"/>
              </w:rPr>
              <w:t>（3）对本项目特点和难点理解有偏差，保障制度内容欠缺，可行性有待改善，得</w:t>
            </w:r>
            <w:r>
              <w:rPr>
                <w:rFonts w:hint="eastAsia" w:ascii="宋体" w:hAnsi="宋体" w:eastAsia="宋体" w:cs="宋体"/>
                <w:color w:val="auto"/>
                <w:spacing w:val="1"/>
                <w:kern w:val="0"/>
                <w:sz w:val="24"/>
                <w:szCs w:val="24"/>
                <w:highlight w:val="none"/>
                <w:lang w:val="en-US" w:eastAsia="zh-CN"/>
              </w:rPr>
              <w:t>3</w:t>
            </w:r>
            <w:r>
              <w:rPr>
                <w:rFonts w:hint="eastAsia" w:ascii="宋体" w:hAnsi="宋体" w:eastAsia="宋体" w:cs="宋体"/>
                <w:color w:val="auto"/>
                <w:spacing w:val="1"/>
                <w:kern w:val="0"/>
                <w:sz w:val="24"/>
                <w:szCs w:val="24"/>
                <w:highlight w:val="none"/>
                <w:lang w:val="zh-CN" w:eastAsia="zh-CN"/>
              </w:rPr>
              <w:t>分；</w:t>
            </w:r>
          </w:p>
          <w:p w14:paraId="1FD6C95A">
            <w:pPr>
              <w:keepNext w:val="0"/>
              <w:keepLines w:val="0"/>
              <w:widowControl/>
              <w:suppressLineNumbers w:val="0"/>
              <w:spacing w:before="0" w:beforeAutospacing="0" w:after="0" w:afterAutospacing="0" w:line="400" w:lineRule="exact"/>
              <w:ind w:left="0" w:leftChars="0" w:right="0" w:rightChars="0"/>
              <w:jc w:val="left"/>
              <w:rPr>
                <w:rFonts w:hint="eastAsia" w:ascii="宋体" w:hAnsi="宋体" w:eastAsia="宋体" w:cs="宋体"/>
                <w:color w:val="auto"/>
                <w:spacing w:val="4"/>
                <w:kern w:val="2"/>
                <w:sz w:val="21"/>
                <w:szCs w:val="20"/>
                <w:highlight w:val="none"/>
                <w:lang w:val="zh-CN" w:eastAsia="zh-CN" w:bidi="ar-SA"/>
              </w:rPr>
            </w:pPr>
            <w:r>
              <w:rPr>
                <w:rFonts w:hint="eastAsia" w:ascii="宋体" w:hAnsi="宋体" w:eastAsia="宋体" w:cs="宋体"/>
                <w:color w:val="auto"/>
                <w:spacing w:val="1"/>
                <w:kern w:val="0"/>
                <w:sz w:val="24"/>
                <w:szCs w:val="24"/>
                <w:highlight w:val="none"/>
                <w:lang w:val="zh-CN" w:eastAsia="zh-CN"/>
              </w:rPr>
              <w:t>（4）差的或未提供的不得分。</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14:paraId="5F8701B8">
            <w:pPr>
              <w:keepNext w:val="0"/>
              <w:keepLines w:val="0"/>
              <w:suppressLineNumbers w:val="0"/>
              <w:spacing w:before="0" w:beforeAutospacing="0" w:after="0" w:afterAutospacing="0" w:line="400" w:lineRule="exact"/>
              <w:ind w:left="0" w:leftChars="0" w:right="0" w:rightChars="0"/>
              <w:jc w:val="center"/>
              <w:rPr>
                <w:rFonts w:hint="eastAsia" w:cs="@仿宋_GB2312" w:asciiTheme="minorEastAsia" w:hAnsiTheme="minorEastAsia" w:eastAsiaTheme="minorEastAsia"/>
                <w:b/>
                <w:bCs/>
                <w:color w:val="auto"/>
                <w:kern w:val="2"/>
                <w:sz w:val="24"/>
                <w:szCs w:val="20"/>
                <w:highlight w:val="none"/>
                <w:lang w:val="en-US" w:eastAsia="zh-CN" w:bidi="ar-SA"/>
              </w:rPr>
            </w:pPr>
            <w:r>
              <w:rPr>
                <w:rFonts w:hint="eastAsia" w:asciiTheme="minorEastAsia" w:hAnsiTheme="minorEastAsia" w:eastAsiaTheme="minorEastAsia"/>
                <w:b w:val="0"/>
                <w:bCs w:val="0"/>
                <w:color w:val="auto"/>
                <w:sz w:val="24"/>
                <w:szCs w:val="20"/>
                <w:highlight w:val="none"/>
                <w:lang w:val="zh-CN" w:eastAsia="zh-CN"/>
              </w:rPr>
              <w:t>0-5分</w:t>
            </w:r>
          </w:p>
        </w:tc>
      </w:tr>
      <w:tr w14:paraId="667E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333790A1">
            <w:pPr>
              <w:keepNext w:val="0"/>
              <w:keepLines w:val="0"/>
              <w:suppressLineNumbers w:val="0"/>
              <w:spacing w:before="0" w:beforeAutospacing="0" w:after="0" w:afterAutospacing="0" w:line="360" w:lineRule="auto"/>
              <w:ind w:left="0" w:right="0" w:firstLine="435"/>
              <w:jc w:val="center"/>
              <w:rPr>
                <w:rFonts w:hint="default" w:asciiTheme="minorEastAsia" w:hAnsiTheme="minorEastAsia" w:eastAsiaTheme="minorEastAsia"/>
                <w:b/>
                <w:bCs/>
                <w:color w:val="auto"/>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13DBBB43">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10.服务承诺</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center"/>
          </w:tcPr>
          <w:p w14:paraId="00666765">
            <w:pPr>
              <w:keepNext w:val="0"/>
              <w:keepLines w:val="0"/>
              <w:pageBreakBefore w:val="0"/>
              <w:widowControl w:val="0"/>
              <w:suppressLineNumbers w:val="0"/>
              <w:kinsoku/>
              <w:wordWrap/>
              <w:overflowPunct/>
              <w:topLinePunct w:val="0"/>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pacing w:val="1"/>
                <w:kern w:val="0"/>
                <w:sz w:val="24"/>
                <w:szCs w:val="24"/>
                <w:highlight w:val="none"/>
                <w:lang w:val="zh-CN" w:eastAsia="zh-CN" w:bidi="ar-SA"/>
              </w:rPr>
            </w:pPr>
            <w:r>
              <w:rPr>
                <w:rFonts w:hint="eastAsia" w:ascii="宋体" w:hAnsi="宋体" w:eastAsia="宋体" w:cs="宋体"/>
                <w:color w:val="auto"/>
                <w:spacing w:val="1"/>
                <w:kern w:val="0"/>
                <w:sz w:val="24"/>
                <w:szCs w:val="24"/>
                <w:highlight w:val="none"/>
                <w:lang w:val="zh-CN" w:eastAsia="zh-CN" w:bidi="ar-SA"/>
              </w:rPr>
              <w:t>以各供应商作出的服务承诺，从报告提交时间、人员驻场安排、对检测报告承担法律责任、承诺检测工作的真实性、合法性以及按照采购人要求开展检测工作，遵守</w:t>
            </w:r>
            <w:r>
              <w:rPr>
                <w:rFonts w:hint="eastAsia" w:ascii="宋体" w:hAnsi="宋体" w:eastAsia="宋体" w:cs="宋体"/>
                <w:color w:val="auto"/>
                <w:spacing w:val="1"/>
                <w:kern w:val="0"/>
                <w:sz w:val="24"/>
                <w:szCs w:val="24"/>
                <w:highlight w:val="none"/>
                <w:lang w:val="en-US" w:eastAsia="zh-CN" w:bidi="ar-SA"/>
              </w:rPr>
              <w:t>采购</w:t>
            </w:r>
            <w:r>
              <w:rPr>
                <w:rFonts w:hint="eastAsia" w:ascii="宋体" w:hAnsi="宋体" w:eastAsia="宋体" w:cs="宋体"/>
                <w:color w:val="auto"/>
                <w:spacing w:val="1"/>
                <w:kern w:val="0"/>
                <w:sz w:val="24"/>
                <w:szCs w:val="24"/>
                <w:highlight w:val="none"/>
                <w:lang w:val="zh-CN" w:eastAsia="zh-CN" w:bidi="ar-SA"/>
              </w:rPr>
              <w:t>人出台的各项管理规定等方面进行综合评分：</w:t>
            </w:r>
          </w:p>
          <w:p w14:paraId="235F7AAD">
            <w:pPr>
              <w:keepNext w:val="0"/>
              <w:keepLines w:val="0"/>
              <w:pageBreakBefore w:val="0"/>
              <w:widowControl w:val="0"/>
              <w:suppressLineNumbers w:val="0"/>
              <w:kinsoku/>
              <w:wordWrap/>
              <w:overflowPunct/>
              <w:topLinePunct w:val="0"/>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pacing w:val="1"/>
                <w:kern w:val="0"/>
                <w:sz w:val="24"/>
                <w:szCs w:val="24"/>
                <w:highlight w:val="none"/>
                <w:lang w:val="zh-CN" w:eastAsia="zh-CN" w:bidi="ar-SA"/>
              </w:rPr>
            </w:pPr>
            <w:r>
              <w:rPr>
                <w:rFonts w:hint="eastAsia" w:ascii="宋体" w:hAnsi="宋体" w:eastAsia="宋体" w:cs="宋体"/>
                <w:color w:val="auto"/>
                <w:spacing w:val="1"/>
                <w:kern w:val="0"/>
                <w:sz w:val="24"/>
                <w:szCs w:val="24"/>
                <w:highlight w:val="none"/>
                <w:lang w:val="zh-CN" w:eastAsia="zh-CN" w:bidi="ar-SA"/>
              </w:rPr>
              <w:t>（</w:t>
            </w:r>
            <w:r>
              <w:rPr>
                <w:rFonts w:hint="eastAsia" w:ascii="宋体" w:hAnsi="宋体" w:eastAsia="宋体" w:cs="宋体"/>
                <w:color w:val="auto"/>
                <w:spacing w:val="1"/>
                <w:kern w:val="0"/>
                <w:sz w:val="24"/>
                <w:szCs w:val="24"/>
                <w:highlight w:val="none"/>
                <w:lang w:val="en-US" w:eastAsia="zh-CN" w:bidi="ar-SA"/>
              </w:rPr>
              <w:t>1</w:t>
            </w:r>
            <w:r>
              <w:rPr>
                <w:rFonts w:hint="eastAsia" w:ascii="宋体" w:hAnsi="宋体" w:eastAsia="宋体" w:cs="宋体"/>
                <w:color w:val="auto"/>
                <w:spacing w:val="1"/>
                <w:kern w:val="0"/>
                <w:sz w:val="24"/>
                <w:szCs w:val="24"/>
                <w:highlight w:val="none"/>
                <w:lang w:val="zh-CN" w:eastAsia="zh-CN" w:bidi="ar-SA"/>
              </w:rPr>
              <w:t>）服务承诺内容全面，安排科学合理，</w:t>
            </w:r>
            <w:r>
              <w:rPr>
                <w:rFonts w:hint="eastAsia" w:ascii="宋体" w:hAnsi="宋体" w:eastAsia="宋体" w:cs="宋体"/>
                <w:color w:val="auto"/>
                <w:spacing w:val="1"/>
                <w:kern w:val="0"/>
                <w:sz w:val="24"/>
                <w:szCs w:val="24"/>
                <w:highlight w:val="none"/>
                <w:lang w:val="en-US" w:eastAsia="zh-CN" w:bidi="ar-SA"/>
              </w:rPr>
              <w:t>优于项目实际工作需要的</w:t>
            </w:r>
            <w:r>
              <w:rPr>
                <w:rFonts w:hint="eastAsia" w:ascii="宋体" w:hAnsi="宋体" w:eastAsia="宋体" w:cs="宋体"/>
                <w:color w:val="auto"/>
                <w:spacing w:val="1"/>
                <w:kern w:val="0"/>
                <w:sz w:val="24"/>
                <w:szCs w:val="24"/>
                <w:highlight w:val="none"/>
                <w:lang w:val="zh-CN" w:eastAsia="zh-CN" w:bidi="ar-SA"/>
              </w:rPr>
              <w:t>得5分；</w:t>
            </w:r>
          </w:p>
          <w:p w14:paraId="3287E840">
            <w:pPr>
              <w:keepNext w:val="0"/>
              <w:keepLines w:val="0"/>
              <w:pageBreakBefore w:val="0"/>
              <w:widowControl w:val="0"/>
              <w:suppressLineNumbers w:val="0"/>
              <w:kinsoku/>
              <w:wordWrap/>
              <w:overflowPunct/>
              <w:topLinePunct w:val="0"/>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pacing w:val="1"/>
                <w:kern w:val="0"/>
                <w:sz w:val="24"/>
                <w:szCs w:val="24"/>
                <w:highlight w:val="none"/>
                <w:lang w:val="zh-CN" w:eastAsia="zh-CN" w:bidi="ar-SA"/>
              </w:rPr>
            </w:pPr>
            <w:r>
              <w:rPr>
                <w:rFonts w:hint="eastAsia" w:ascii="宋体" w:hAnsi="宋体" w:eastAsia="宋体" w:cs="宋体"/>
                <w:color w:val="auto"/>
                <w:spacing w:val="1"/>
                <w:kern w:val="0"/>
                <w:sz w:val="24"/>
                <w:szCs w:val="24"/>
                <w:highlight w:val="none"/>
                <w:lang w:val="zh-CN" w:eastAsia="zh-CN" w:bidi="ar-SA"/>
              </w:rPr>
              <w:t>（</w:t>
            </w:r>
            <w:r>
              <w:rPr>
                <w:rFonts w:hint="eastAsia" w:ascii="宋体" w:hAnsi="宋体" w:eastAsia="宋体" w:cs="宋体"/>
                <w:color w:val="auto"/>
                <w:spacing w:val="1"/>
                <w:kern w:val="0"/>
                <w:sz w:val="24"/>
                <w:szCs w:val="24"/>
                <w:highlight w:val="none"/>
                <w:lang w:val="en-US" w:eastAsia="zh-CN" w:bidi="ar-SA"/>
              </w:rPr>
              <w:t>2</w:t>
            </w:r>
            <w:r>
              <w:rPr>
                <w:rFonts w:hint="eastAsia" w:ascii="宋体" w:hAnsi="宋体" w:eastAsia="宋体" w:cs="宋体"/>
                <w:color w:val="auto"/>
                <w:spacing w:val="1"/>
                <w:kern w:val="0"/>
                <w:sz w:val="24"/>
                <w:szCs w:val="24"/>
                <w:highlight w:val="none"/>
                <w:lang w:val="zh-CN" w:eastAsia="zh-CN" w:bidi="ar-SA"/>
              </w:rPr>
              <w:t>）服务承诺</w:t>
            </w:r>
            <w:r>
              <w:rPr>
                <w:rFonts w:hint="eastAsia" w:ascii="宋体" w:hAnsi="宋体" w:eastAsia="宋体" w:cs="宋体"/>
                <w:color w:val="auto"/>
                <w:spacing w:val="1"/>
                <w:kern w:val="0"/>
                <w:sz w:val="24"/>
                <w:szCs w:val="24"/>
                <w:highlight w:val="none"/>
                <w:lang w:val="en-US" w:eastAsia="zh-CN" w:bidi="ar-SA"/>
              </w:rPr>
              <w:t>完整</w:t>
            </w:r>
            <w:r>
              <w:rPr>
                <w:rFonts w:hint="eastAsia" w:ascii="宋体" w:hAnsi="宋体" w:eastAsia="宋体" w:cs="宋体"/>
                <w:color w:val="auto"/>
                <w:spacing w:val="1"/>
                <w:kern w:val="0"/>
                <w:sz w:val="24"/>
                <w:szCs w:val="24"/>
                <w:highlight w:val="none"/>
                <w:lang w:val="zh-CN" w:eastAsia="zh-CN" w:bidi="ar-SA"/>
              </w:rPr>
              <w:t>，内容满足</w:t>
            </w:r>
            <w:r>
              <w:rPr>
                <w:rFonts w:hint="eastAsia" w:ascii="宋体" w:hAnsi="宋体" w:eastAsia="宋体" w:cs="宋体"/>
                <w:color w:val="auto"/>
                <w:spacing w:val="1"/>
                <w:kern w:val="0"/>
                <w:sz w:val="24"/>
                <w:szCs w:val="24"/>
                <w:highlight w:val="none"/>
                <w:lang w:val="en-US" w:eastAsia="zh-CN" w:bidi="ar-SA"/>
              </w:rPr>
              <w:t>工作</w:t>
            </w:r>
            <w:r>
              <w:rPr>
                <w:rFonts w:hint="eastAsia" w:ascii="宋体" w:hAnsi="宋体" w:eastAsia="宋体" w:cs="宋体"/>
                <w:color w:val="auto"/>
                <w:spacing w:val="1"/>
                <w:kern w:val="0"/>
                <w:sz w:val="24"/>
                <w:szCs w:val="24"/>
                <w:highlight w:val="none"/>
                <w:lang w:val="zh-CN" w:eastAsia="zh-CN" w:bidi="ar-SA"/>
              </w:rPr>
              <w:t>要求</w:t>
            </w:r>
            <w:r>
              <w:rPr>
                <w:rFonts w:hint="eastAsia" w:ascii="宋体" w:hAnsi="宋体" w:eastAsia="宋体" w:cs="宋体"/>
                <w:color w:val="auto"/>
                <w:spacing w:val="1"/>
                <w:kern w:val="0"/>
                <w:sz w:val="24"/>
                <w:szCs w:val="24"/>
                <w:highlight w:val="none"/>
                <w:lang w:val="en-US" w:eastAsia="zh-CN" w:bidi="ar-SA"/>
              </w:rPr>
              <w:t>的</w:t>
            </w:r>
            <w:r>
              <w:rPr>
                <w:rFonts w:hint="eastAsia" w:ascii="宋体" w:hAnsi="宋体" w:eastAsia="宋体" w:cs="宋体"/>
                <w:color w:val="auto"/>
                <w:spacing w:val="1"/>
                <w:kern w:val="0"/>
                <w:sz w:val="24"/>
                <w:szCs w:val="24"/>
                <w:highlight w:val="none"/>
                <w:lang w:val="zh-CN" w:eastAsia="zh-CN" w:bidi="ar-SA"/>
              </w:rPr>
              <w:t>得</w:t>
            </w:r>
            <w:r>
              <w:rPr>
                <w:rFonts w:hint="eastAsia" w:ascii="宋体" w:hAnsi="宋体" w:eastAsia="宋体" w:cs="宋体"/>
                <w:color w:val="auto"/>
                <w:spacing w:val="1"/>
                <w:kern w:val="0"/>
                <w:sz w:val="24"/>
                <w:szCs w:val="24"/>
                <w:highlight w:val="none"/>
                <w:lang w:val="en-US" w:eastAsia="zh-CN" w:bidi="ar-SA"/>
              </w:rPr>
              <w:t>4</w:t>
            </w:r>
            <w:r>
              <w:rPr>
                <w:rFonts w:hint="eastAsia" w:ascii="宋体" w:hAnsi="宋体" w:eastAsia="宋体" w:cs="宋体"/>
                <w:color w:val="auto"/>
                <w:spacing w:val="1"/>
                <w:kern w:val="0"/>
                <w:sz w:val="24"/>
                <w:szCs w:val="24"/>
                <w:highlight w:val="none"/>
                <w:lang w:val="zh-CN" w:eastAsia="zh-CN" w:bidi="ar-SA"/>
              </w:rPr>
              <w:t>分；</w:t>
            </w:r>
          </w:p>
          <w:p w14:paraId="594D4D6D">
            <w:pPr>
              <w:keepNext w:val="0"/>
              <w:keepLines w:val="0"/>
              <w:pageBreakBefore w:val="0"/>
              <w:widowControl w:val="0"/>
              <w:suppressLineNumbers w:val="0"/>
              <w:kinsoku/>
              <w:wordWrap/>
              <w:overflowPunct/>
              <w:topLinePunct w:val="0"/>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pacing w:val="1"/>
                <w:kern w:val="0"/>
                <w:sz w:val="24"/>
                <w:szCs w:val="24"/>
                <w:highlight w:val="none"/>
                <w:lang w:val="zh-CN" w:eastAsia="zh-CN" w:bidi="ar-SA"/>
              </w:rPr>
            </w:pPr>
            <w:r>
              <w:rPr>
                <w:rFonts w:hint="eastAsia" w:ascii="宋体" w:hAnsi="宋体" w:eastAsia="宋体" w:cs="宋体"/>
                <w:color w:val="auto"/>
                <w:spacing w:val="1"/>
                <w:kern w:val="0"/>
                <w:sz w:val="24"/>
                <w:szCs w:val="24"/>
                <w:highlight w:val="none"/>
                <w:lang w:val="zh-CN" w:eastAsia="zh-CN" w:bidi="ar-SA"/>
              </w:rPr>
              <w:t>（</w:t>
            </w:r>
            <w:r>
              <w:rPr>
                <w:rFonts w:hint="eastAsia" w:ascii="宋体" w:hAnsi="宋体" w:eastAsia="宋体" w:cs="宋体"/>
                <w:color w:val="auto"/>
                <w:spacing w:val="1"/>
                <w:kern w:val="0"/>
                <w:sz w:val="24"/>
                <w:szCs w:val="24"/>
                <w:highlight w:val="none"/>
                <w:lang w:val="en-US" w:eastAsia="zh-CN" w:bidi="ar-SA"/>
              </w:rPr>
              <w:t>3</w:t>
            </w:r>
            <w:r>
              <w:rPr>
                <w:rFonts w:hint="eastAsia" w:ascii="宋体" w:hAnsi="宋体" w:eastAsia="宋体" w:cs="宋体"/>
                <w:color w:val="auto"/>
                <w:spacing w:val="1"/>
                <w:kern w:val="0"/>
                <w:sz w:val="24"/>
                <w:szCs w:val="24"/>
                <w:highlight w:val="none"/>
                <w:lang w:val="zh-CN" w:eastAsia="zh-CN" w:bidi="ar-SA"/>
              </w:rPr>
              <w:t>）服务承诺有待提高完善得</w:t>
            </w:r>
            <w:r>
              <w:rPr>
                <w:rFonts w:hint="eastAsia" w:ascii="宋体" w:hAnsi="宋体" w:eastAsia="宋体" w:cs="宋体"/>
                <w:color w:val="auto"/>
                <w:spacing w:val="1"/>
                <w:kern w:val="0"/>
                <w:sz w:val="24"/>
                <w:szCs w:val="24"/>
                <w:highlight w:val="none"/>
                <w:lang w:val="en-US" w:eastAsia="zh-CN" w:bidi="ar-SA"/>
              </w:rPr>
              <w:t>3</w:t>
            </w:r>
            <w:r>
              <w:rPr>
                <w:rFonts w:hint="eastAsia" w:ascii="宋体" w:hAnsi="宋体" w:eastAsia="宋体" w:cs="宋体"/>
                <w:color w:val="auto"/>
                <w:spacing w:val="1"/>
                <w:kern w:val="0"/>
                <w:sz w:val="24"/>
                <w:szCs w:val="24"/>
                <w:highlight w:val="none"/>
                <w:lang w:val="zh-CN" w:eastAsia="zh-CN" w:bidi="ar-SA"/>
              </w:rPr>
              <w:t>分；</w:t>
            </w:r>
          </w:p>
          <w:p w14:paraId="4A171624">
            <w:pPr>
              <w:keepNext w:val="0"/>
              <w:keepLines w:val="0"/>
              <w:pageBreakBefore w:val="0"/>
              <w:widowControl w:val="0"/>
              <w:suppressLineNumbers w:val="0"/>
              <w:kinsoku/>
              <w:wordWrap/>
              <w:overflowPunct/>
              <w:topLinePunct w:val="0"/>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pacing w:val="1"/>
                <w:kern w:val="0"/>
                <w:sz w:val="24"/>
                <w:szCs w:val="24"/>
                <w:highlight w:val="none"/>
                <w:lang w:val="zh-CN" w:eastAsia="zh-CN" w:bidi="ar-SA"/>
              </w:rPr>
            </w:pPr>
            <w:r>
              <w:rPr>
                <w:rFonts w:hint="eastAsia" w:ascii="宋体" w:hAnsi="宋体" w:eastAsia="宋体" w:cs="宋体"/>
                <w:color w:val="auto"/>
                <w:spacing w:val="1"/>
                <w:kern w:val="0"/>
                <w:sz w:val="24"/>
                <w:szCs w:val="24"/>
                <w:highlight w:val="none"/>
                <w:lang w:val="zh-CN" w:eastAsia="zh-CN" w:bidi="ar-SA"/>
              </w:rPr>
              <w:t>（</w:t>
            </w:r>
            <w:r>
              <w:rPr>
                <w:rFonts w:hint="eastAsia" w:ascii="宋体" w:hAnsi="宋体" w:eastAsia="宋体" w:cs="宋体"/>
                <w:color w:val="auto"/>
                <w:spacing w:val="1"/>
                <w:kern w:val="0"/>
                <w:sz w:val="24"/>
                <w:szCs w:val="24"/>
                <w:highlight w:val="none"/>
                <w:lang w:val="en-US" w:eastAsia="zh-CN" w:bidi="ar-SA"/>
              </w:rPr>
              <w:t>4</w:t>
            </w:r>
            <w:r>
              <w:rPr>
                <w:rFonts w:hint="eastAsia" w:ascii="宋体" w:hAnsi="宋体" w:eastAsia="宋体" w:cs="宋体"/>
                <w:color w:val="auto"/>
                <w:spacing w:val="1"/>
                <w:kern w:val="0"/>
                <w:sz w:val="24"/>
                <w:szCs w:val="24"/>
                <w:highlight w:val="none"/>
                <w:lang w:val="zh-CN" w:eastAsia="zh-CN" w:bidi="ar-SA"/>
              </w:rPr>
              <w:t>）差的或未提供的不得分。</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14:paraId="46B33289">
            <w:pPr>
              <w:keepNext w:val="0"/>
              <w:keepLines w:val="0"/>
              <w:pageBreakBefore w:val="0"/>
              <w:widowControl w:val="0"/>
              <w:suppressLineNumbers w:val="0"/>
              <w:kinsoku/>
              <w:wordWrap/>
              <w:overflowPunct/>
              <w:topLinePunct w:val="0"/>
              <w:bidi w:val="0"/>
              <w:spacing w:before="0" w:beforeAutospacing="0" w:after="0" w:afterAutospacing="0" w:line="440" w:lineRule="exact"/>
              <w:ind w:left="0" w:leftChars="0" w:right="0" w:right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0-5分</w:t>
            </w:r>
          </w:p>
        </w:tc>
      </w:tr>
      <w:tr w14:paraId="3F6E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190D5AAA">
            <w:pPr>
              <w:keepNext w:val="0"/>
              <w:keepLines w:val="0"/>
              <w:suppressLineNumbers w:val="0"/>
              <w:spacing w:before="0" w:beforeAutospacing="0" w:after="0" w:afterAutospacing="0" w:line="360" w:lineRule="auto"/>
              <w:ind w:left="0" w:right="0" w:firstLine="435"/>
              <w:jc w:val="center"/>
              <w:rPr>
                <w:rFonts w:hint="default" w:asciiTheme="minorEastAsia" w:hAnsiTheme="minorEastAsia" w:eastAsiaTheme="minorEastAsia"/>
                <w:b/>
                <w:bCs/>
                <w:color w:val="auto"/>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3763ECB6">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11.合理化建议</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center"/>
          </w:tcPr>
          <w:p w14:paraId="56A7D75D">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spacing w:val="1"/>
                <w:kern w:val="0"/>
                <w:sz w:val="24"/>
                <w:szCs w:val="24"/>
                <w:highlight w:val="none"/>
                <w:lang w:val="zh-CN" w:eastAsia="zh-CN"/>
              </w:rPr>
            </w:pPr>
            <w:r>
              <w:rPr>
                <w:rFonts w:hint="eastAsia" w:ascii="宋体" w:hAnsi="宋体" w:eastAsia="宋体" w:cs="宋体"/>
                <w:color w:val="auto"/>
                <w:spacing w:val="1"/>
                <w:kern w:val="0"/>
                <w:sz w:val="24"/>
                <w:szCs w:val="24"/>
                <w:highlight w:val="none"/>
                <w:lang w:val="zh-CN" w:eastAsia="zh-CN"/>
              </w:rPr>
              <w:t>供应商针对本项目建议对降低</w:t>
            </w:r>
            <w:r>
              <w:rPr>
                <w:rFonts w:hint="eastAsia" w:ascii="宋体" w:hAnsi="宋体" w:eastAsia="宋体" w:cs="宋体"/>
                <w:color w:val="auto"/>
                <w:spacing w:val="1"/>
                <w:kern w:val="0"/>
                <w:sz w:val="24"/>
                <w:szCs w:val="24"/>
                <w:highlight w:val="none"/>
                <w:lang w:val="en-US" w:eastAsia="zh-CN"/>
              </w:rPr>
              <w:t>项目</w:t>
            </w:r>
            <w:r>
              <w:rPr>
                <w:rFonts w:hint="eastAsia" w:ascii="宋体" w:hAnsi="宋体" w:eastAsia="宋体" w:cs="宋体"/>
                <w:color w:val="auto"/>
                <w:spacing w:val="1"/>
                <w:kern w:val="0"/>
                <w:sz w:val="24"/>
                <w:szCs w:val="24"/>
                <w:highlight w:val="none"/>
                <w:lang w:val="zh-CN" w:eastAsia="zh-CN"/>
              </w:rPr>
              <w:t>造价或缩短工期、保证安全质量有采用价值的，由磋商小组进行综合评分：</w:t>
            </w:r>
          </w:p>
          <w:p w14:paraId="74C66410">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spacing w:val="1"/>
                <w:kern w:val="0"/>
                <w:sz w:val="24"/>
                <w:szCs w:val="24"/>
                <w:highlight w:val="none"/>
                <w:lang w:val="zh-CN" w:eastAsia="zh-CN"/>
              </w:rPr>
            </w:pPr>
            <w:r>
              <w:rPr>
                <w:rFonts w:hint="eastAsia" w:ascii="宋体" w:hAnsi="宋体" w:eastAsia="宋体" w:cs="宋体"/>
                <w:color w:val="auto"/>
                <w:spacing w:val="1"/>
                <w:kern w:val="0"/>
                <w:sz w:val="24"/>
                <w:szCs w:val="24"/>
                <w:highlight w:val="none"/>
                <w:lang w:val="zh-CN" w:eastAsia="zh-CN"/>
              </w:rPr>
              <w:t>（</w:t>
            </w:r>
            <w:r>
              <w:rPr>
                <w:rFonts w:hint="eastAsia" w:ascii="宋体" w:hAnsi="宋体" w:eastAsia="宋体" w:cs="宋体"/>
                <w:color w:val="auto"/>
                <w:spacing w:val="1"/>
                <w:kern w:val="0"/>
                <w:sz w:val="24"/>
                <w:szCs w:val="24"/>
                <w:highlight w:val="none"/>
                <w:lang w:val="en-US" w:eastAsia="zh-CN"/>
              </w:rPr>
              <w:t>1</w:t>
            </w:r>
            <w:r>
              <w:rPr>
                <w:rFonts w:hint="eastAsia" w:ascii="宋体" w:hAnsi="宋体" w:eastAsia="宋体" w:cs="宋体"/>
                <w:color w:val="auto"/>
                <w:spacing w:val="1"/>
                <w:kern w:val="0"/>
                <w:sz w:val="24"/>
                <w:szCs w:val="24"/>
                <w:highlight w:val="none"/>
                <w:lang w:val="zh-CN" w:eastAsia="zh-CN"/>
              </w:rPr>
              <w:t>）针对本项目特点，列出本项目的建议，建议科学合理并且有具体的保证措施；各项措施周全、具体、有效，有针对性的得</w:t>
            </w:r>
            <w:r>
              <w:rPr>
                <w:rFonts w:hint="eastAsia" w:ascii="宋体" w:hAnsi="宋体" w:eastAsia="宋体" w:cs="宋体"/>
                <w:color w:val="auto"/>
                <w:spacing w:val="1"/>
                <w:kern w:val="0"/>
                <w:sz w:val="24"/>
                <w:szCs w:val="24"/>
                <w:highlight w:val="none"/>
                <w:lang w:val="en-US" w:eastAsia="zh-CN"/>
              </w:rPr>
              <w:t>4</w:t>
            </w:r>
            <w:r>
              <w:rPr>
                <w:rFonts w:hint="eastAsia" w:ascii="宋体" w:hAnsi="宋体" w:eastAsia="宋体" w:cs="宋体"/>
                <w:color w:val="auto"/>
                <w:spacing w:val="1"/>
                <w:kern w:val="0"/>
                <w:sz w:val="24"/>
                <w:szCs w:val="24"/>
                <w:highlight w:val="none"/>
                <w:lang w:val="zh-CN" w:eastAsia="zh-CN"/>
              </w:rPr>
              <w:t>分；</w:t>
            </w:r>
          </w:p>
          <w:p w14:paraId="375C1510">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spacing w:val="1"/>
                <w:kern w:val="0"/>
                <w:sz w:val="24"/>
                <w:szCs w:val="24"/>
                <w:highlight w:val="none"/>
                <w:lang w:val="zh-CN" w:eastAsia="zh-CN"/>
              </w:rPr>
            </w:pPr>
            <w:r>
              <w:rPr>
                <w:rFonts w:hint="eastAsia" w:ascii="宋体" w:hAnsi="宋体" w:eastAsia="宋体" w:cs="宋体"/>
                <w:color w:val="auto"/>
                <w:spacing w:val="1"/>
                <w:kern w:val="0"/>
                <w:sz w:val="24"/>
                <w:szCs w:val="24"/>
                <w:highlight w:val="none"/>
                <w:lang w:val="zh-CN" w:eastAsia="zh-CN"/>
              </w:rPr>
              <w:t>（</w:t>
            </w:r>
            <w:r>
              <w:rPr>
                <w:rFonts w:hint="eastAsia" w:ascii="宋体" w:hAnsi="宋体" w:eastAsia="宋体" w:cs="宋体"/>
                <w:color w:val="auto"/>
                <w:spacing w:val="1"/>
                <w:kern w:val="0"/>
                <w:sz w:val="24"/>
                <w:szCs w:val="24"/>
                <w:highlight w:val="none"/>
                <w:lang w:val="en-US" w:eastAsia="zh-CN"/>
              </w:rPr>
              <w:t>2</w:t>
            </w:r>
            <w:r>
              <w:rPr>
                <w:rFonts w:hint="eastAsia" w:ascii="宋体" w:hAnsi="宋体" w:eastAsia="宋体" w:cs="宋体"/>
                <w:color w:val="auto"/>
                <w:spacing w:val="1"/>
                <w:kern w:val="0"/>
                <w:sz w:val="24"/>
                <w:szCs w:val="24"/>
                <w:highlight w:val="none"/>
                <w:lang w:val="zh-CN" w:eastAsia="zh-CN"/>
              </w:rPr>
              <w:t>）针对本</w:t>
            </w:r>
            <w:r>
              <w:rPr>
                <w:rFonts w:hint="eastAsia" w:ascii="宋体" w:hAnsi="宋体" w:eastAsia="宋体" w:cs="宋体"/>
                <w:color w:val="auto"/>
                <w:spacing w:val="1"/>
                <w:kern w:val="0"/>
                <w:sz w:val="24"/>
                <w:szCs w:val="24"/>
                <w:highlight w:val="none"/>
                <w:lang w:val="en-US" w:eastAsia="zh-CN"/>
              </w:rPr>
              <w:t>项目</w:t>
            </w:r>
            <w:r>
              <w:rPr>
                <w:rFonts w:hint="eastAsia" w:ascii="宋体" w:hAnsi="宋体" w:eastAsia="宋体" w:cs="宋体"/>
                <w:color w:val="auto"/>
                <w:spacing w:val="1"/>
                <w:kern w:val="0"/>
                <w:sz w:val="24"/>
                <w:szCs w:val="24"/>
                <w:highlight w:val="none"/>
                <w:lang w:val="zh-CN" w:eastAsia="zh-CN"/>
              </w:rPr>
              <w:t>特点，列出本</w:t>
            </w:r>
            <w:r>
              <w:rPr>
                <w:rFonts w:hint="eastAsia" w:ascii="宋体" w:hAnsi="宋体" w:eastAsia="宋体" w:cs="宋体"/>
                <w:color w:val="auto"/>
                <w:spacing w:val="1"/>
                <w:kern w:val="0"/>
                <w:sz w:val="24"/>
                <w:szCs w:val="24"/>
                <w:highlight w:val="none"/>
                <w:lang w:val="en-US" w:eastAsia="zh-CN"/>
              </w:rPr>
              <w:t>项目</w:t>
            </w:r>
            <w:r>
              <w:rPr>
                <w:rFonts w:hint="eastAsia" w:ascii="宋体" w:hAnsi="宋体" w:eastAsia="宋体" w:cs="宋体"/>
                <w:color w:val="auto"/>
                <w:spacing w:val="1"/>
                <w:kern w:val="0"/>
                <w:sz w:val="24"/>
                <w:szCs w:val="24"/>
                <w:highlight w:val="none"/>
                <w:lang w:val="zh-CN" w:eastAsia="zh-CN"/>
              </w:rPr>
              <w:t>的建议，建议合理并且有具体的保证措施。各项措施内容清晰、完善的得</w:t>
            </w:r>
            <w:r>
              <w:rPr>
                <w:rFonts w:hint="eastAsia" w:ascii="宋体" w:hAnsi="宋体" w:eastAsia="宋体" w:cs="宋体"/>
                <w:color w:val="auto"/>
                <w:spacing w:val="1"/>
                <w:kern w:val="0"/>
                <w:sz w:val="24"/>
                <w:szCs w:val="24"/>
                <w:highlight w:val="none"/>
                <w:lang w:val="en-US" w:eastAsia="zh-CN"/>
              </w:rPr>
              <w:t>3</w:t>
            </w:r>
            <w:r>
              <w:rPr>
                <w:rFonts w:hint="eastAsia" w:ascii="宋体" w:hAnsi="宋体" w:eastAsia="宋体" w:cs="宋体"/>
                <w:color w:val="auto"/>
                <w:spacing w:val="1"/>
                <w:kern w:val="0"/>
                <w:sz w:val="24"/>
                <w:szCs w:val="24"/>
                <w:highlight w:val="none"/>
                <w:lang w:val="zh-CN" w:eastAsia="zh-CN"/>
              </w:rPr>
              <w:t>分；</w:t>
            </w:r>
          </w:p>
          <w:p w14:paraId="6BDC0458">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spacing w:val="1"/>
                <w:kern w:val="0"/>
                <w:sz w:val="24"/>
                <w:szCs w:val="24"/>
                <w:highlight w:val="none"/>
                <w:lang w:val="zh-CN" w:eastAsia="zh-CN"/>
              </w:rPr>
            </w:pPr>
            <w:r>
              <w:rPr>
                <w:rFonts w:hint="eastAsia" w:ascii="宋体" w:hAnsi="宋体" w:eastAsia="宋体" w:cs="宋体"/>
                <w:color w:val="auto"/>
                <w:spacing w:val="1"/>
                <w:kern w:val="0"/>
                <w:sz w:val="24"/>
                <w:szCs w:val="24"/>
                <w:highlight w:val="none"/>
                <w:lang w:val="zh-CN" w:eastAsia="zh-CN"/>
              </w:rPr>
              <w:t>（</w:t>
            </w:r>
            <w:r>
              <w:rPr>
                <w:rFonts w:hint="eastAsia" w:ascii="宋体" w:hAnsi="宋体" w:eastAsia="宋体" w:cs="宋体"/>
                <w:color w:val="auto"/>
                <w:spacing w:val="1"/>
                <w:kern w:val="0"/>
                <w:sz w:val="24"/>
                <w:szCs w:val="24"/>
                <w:highlight w:val="none"/>
                <w:lang w:val="en-US" w:eastAsia="zh-CN"/>
              </w:rPr>
              <w:t>3</w:t>
            </w:r>
            <w:r>
              <w:rPr>
                <w:rFonts w:hint="eastAsia" w:ascii="宋体" w:hAnsi="宋体" w:eastAsia="宋体" w:cs="宋体"/>
                <w:color w:val="auto"/>
                <w:spacing w:val="1"/>
                <w:kern w:val="0"/>
                <w:sz w:val="24"/>
                <w:szCs w:val="24"/>
                <w:highlight w:val="none"/>
                <w:lang w:val="zh-CN" w:eastAsia="zh-CN"/>
              </w:rPr>
              <w:t>）针对本项目特点，列出本项目的建议，及保证措施，但关键点缺失有待完善的得</w:t>
            </w:r>
            <w:r>
              <w:rPr>
                <w:rFonts w:hint="eastAsia" w:ascii="宋体" w:hAnsi="宋体" w:eastAsia="宋体" w:cs="宋体"/>
                <w:color w:val="auto"/>
                <w:spacing w:val="1"/>
                <w:kern w:val="0"/>
                <w:sz w:val="24"/>
                <w:szCs w:val="24"/>
                <w:highlight w:val="none"/>
                <w:lang w:val="en-US" w:eastAsia="zh-CN"/>
              </w:rPr>
              <w:t>2</w:t>
            </w:r>
            <w:r>
              <w:rPr>
                <w:rFonts w:hint="eastAsia" w:ascii="宋体" w:hAnsi="宋体" w:eastAsia="宋体" w:cs="宋体"/>
                <w:color w:val="auto"/>
                <w:spacing w:val="1"/>
                <w:kern w:val="0"/>
                <w:sz w:val="24"/>
                <w:szCs w:val="24"/>
                <w:highlight w:val="none"/>
                <w:lang w:val="zh-CN" w:eastAsia="zh-CN"/>
              </w:rPr>
              <w:t>分；</w:t>
            </w:r>
          </w:p>
          <w:p w14:paraId="7617B589">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spacing w:val="1"/>
                <w:kern w:val="0"/>
                <w:sz w:val="24"/>
                <w:szCs w:val="24"/>
                <w:highlight w:val="none"/>
                <w:lang w:val="zh-CN" w:eastAsia="zh-CN"/>
              </w:rPr>
            </w:pPr>
            <w:r>
              <w:rPr>
                <w:rFonts w:hint="eastAsia" w:ascii="宋体" w:hAnsi="宋体" w:eastAsia="宋体" w:cs="宋体"/>
                <w:color w:val="auto"/>
                <w:spacing w:val="1"/>
                <w:kern w:val="0"/>
                <w:sz w:val="24"/>
                <w:szCs w:val="24"/>
                <w:highlight w:val="none"/>
                <w:lang w:val="zh-CN" w:eastAsia="zh-CN"/>
              </w:rPr>
              <w:t>（</w:t>
            </w:r>
            <w:r>
              <w:rPr>
                <w:rFonts w:hint="eastAsia" w:ascii="宋体" w:hAnsi="宋体" w:eastAsia="宋体" w:cs="宋体"/>
                <w:color w:val="auto"/>
                <w:spacing w:val="1"/>
                <w:kern w:val="0"/>
                <w:sz w:val="24"/>
                <w:szCs w:val="24"/>
                <w:highlight w:val="none"/>
                <w:lang w:val="en-US" w:eastAsia="zh-CN"/>
              </w:rPr>
              <w:t>4</w:t>
            </w:r>
            <w:r>
              <w:rPr>
                <w:rFonts w:hint="eastAsia" w:ascii="宋体" w:hAnsi="宋体" w:eastAsia="宋体" w:cs="宋体"/>
                <w:color w:val="auto"/>
                <w:spacing w:val="1"/>
                <w:kern w:val="0"/>
                <w:sz w:val="24"/>
                <w:szCs w:val="24"/>
                <w:highlight w:val="none"/>
                <w:lang w:val="zh-CN" w:eastAsia="zh-CN"/>
              </w:rPr>
              <w:t>）差的或未提供的不得分。</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14:paraId="6B7B369D">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0-4分</w:t>
            </w:r>
          </w:p>
        </w:tc>
      </w:tr>
      <w:tr w14:paraId="1D43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2428BAAB">
            <w:pPr>
              <w:keepNext w:val="0"/>
              <w:keepLines w:val="0"/>
              <w:suppressLineNumbers w:val="0"/>
              <w:spacing w:before="0" w:beforeAutospacing="0" w:after="0" w:afterAutospacing="0" w:line="360" w:lineRule="auto"/>
              <w:ind w:left="0" w:right="0" w:firstLine="435"/>
              <w:jc w:val="center"/>
              <w:rPr>
                <w:rFonts w:hint="default" w:asciiTheme="minorEastAsia" w:hAnsiTheme="minorEastAsia" w:eastAsiaTheme="minorEastAsia"/>
                <w:b/>
                <w:bCs/>
                <w:color w:val="auto"/>
                <w:sz w:val="24"/>
                <w:szCs w:val="20"/>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2208B8F7">
            <w:pPr>
              <w:keepNext w:val="0"/>
              <w:keepLines w:val="0"/>
              <w:widowControl/>
              <w:suppressLineNumbers w:val="0"/>
              <w:spacing w:before="0" w:beforeAutospacing="0" w:after="0" w:afterAutospacing="0" w:line="400" w:lineRule="exact"/>
              <w:ind w:left="0" w:right="0"/>
              <w:jc w:val="center"/>
              <w:rPr>
                <w:rFonts w:hint="default" w:asciiTheme="minorEastAsia" w:hAnsiTheme="minorEastAsia" w:eastAsiaTheme="minorEastAsia"/>
                <w:color w:val="auto"/>
                <w:sz w:val="24"/>
                <w:szCs w:val="20"/>
                <w:highlight w:val="none"/>
                <w:lang w:eastAsia="zh-CN"/>
              </w:rPr>
            </w:pPr>
            <w:r>
              <w:rPr>
                <w:rFonts w:hint="eastAsia" w:ascii="宋体" w:hAnsi="宋体" w:eastAsia="宋体" w:cs="宋体"/>
                <w:color w:val="auto"/>
                <w:kern w:val="0"/>
                <w:sz w:val="24"/>
                <w:szCs w:val="24"/>
                <w:highlight w:val="none"/>
                <w:lang w:val="en-US" w:eastAsia="zh-CN" w:bidi="ar"/>
              </w:rPr>
              <w:t>12.</w:t>
            </w:r>
            <w:r>
              <w:rPr>
                <w:rFonts w:hint="eastAsia" w:ascii="宋体" w:hAnsi="宋体" w:eastAsia="宋体" w:cs="宋体"/>
                <w:b w:val="0"/>
                <w:bCs w:val="0"/>
                <w:color w:val="auto"/>
                <w:sz w:val="24"/>
                <w:szCs w:val="24"/>
                <w:highlight w:val="none"/>
                <w:lang w:val="en-US" w:eastAsia="zh-CN"/>
              </w:rPr>
              <w:t>售后服务承诺</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center"/>
          </w:tcPr>
          <w:p w14:paraId="083D69E8">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spacing w:val="1"/>
                <w:kern w:val="0"/>
                <w:sz w:val="24"/>
                <w:szCs w:val="24"/>
                <w:highlight w:val="none"/>
                <w:lang w:val="zh-CN" w:eastAsia="zh-CN"/>
              </w:rPr>
            </w:pPr>
            <w:r>
              <w:rPr>
                <w:rFonts w:hint="eastAsia" w:ascii="宋体" w:hAnsi="宋体" w:eastAsia="宋体" w:cs="宋体"/>
                <w:color w:val="auto"/>
                <w:spacing w:val="1"/>
                <w:kern w:val="0"/>
                <w:sz w:val="24"/>
                <w:szCs w:val="24"/>
                <w:highlight w:val="none"/>
                <w:lang w:val="zh-CN" w:eastAsia="zh-CN"/>
              </w:rPr>
              <w:t>磋商小组根据供应商提供的售后服务承诺进行评审：</w:t>
            </w:r>
          </w:p>
          <w:p w14:paraId="41054C21">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spacing w:val="1"/>
                <w:kern w:val="0"/>
                <w:sz w:val="24"/>
                <w:szCs w:val="24"/>
                <w:highlight w:val="none"/>
                <w:lang w:val="zh-CN" w:eastAsia="zh-CN"/>
              </w:rPr>
            </w:pPr>
            <w:r>
              <w:rPr>
                <w:rFonts w:hint="eastAsia" w:ascii="宋体" w:hAnsi="宋体" w:eastAsia="宋体" w:cs="宋体"/>
                <w:color w:val="auto"/>
                <w:spacing w:val="1"/>
                <w:kern w:val="0"/>
                <w:sz w:val="24"/>
                <w:szCs w:val="24"/>
                <w:highlight w:val="none"/>
                <w:lang w:val="zh-CN" w:eastAsia="zh-CN"/>
              </w:rPr>
              <w:t>（1）内容详尽全面，针对本项目特点、响应及时迅速的得</w:t>
            </w:r>
            <w:r>
              <w:rPr>
                <w:rFonts w:hint="eastAsia" w:ascii="宋体" w:hAnsi="宋体" w:eastAsia="宋体" w:cs="宋体"/>
                <w:color w:val="auto"/>
                <w:spacing w:val="1"/>
                <w:kern w:val="0"/>
                <w:sz w:val="24"/>
                <w:szCs w:val="24"/>
                <w:highlight w:val="none"/>
                <w:lang w:val="en-US" w:eastAsia="zh-CN"/>
              </w:rPr>
              <w:t>4</w:t>
            </w:r>
            <w:r>
              <w:rPr>
                <w:rFonts w:hint="eastAsia" w:ascii="宋体" w:hAnsi="宋体" w:eastAsia="宋体" w:cs="宋体"/>
                <w:color w:val="auto"/>
                <w:spacing w:val="1"/>
                <w:kern w:val="0"/>
                <w:sz w:val="24"/>
                <w:szCs w:val="24"/>
                <w:highlight w:val="none"/>
                <w:lang w:val="zh-CN" w:eastAsia="zh-CN"/>
              </w:rPr>
              <w:t xml:space="preserve">分； </w:t>
            </w:r>
          </w:p>
          <w:p w14:paraId="32B1977D">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spacing w:val="1"/>
                <w:kern w:val="0"/>
                <w:sz w:val="24"/>
                <w:szCs w:val="24"/>
                <w:highlight w:val="none"/>
                <w:lang w:val="zh-CN" w:eastAsia="zh-CN"/>
              </w:rPr>
            </w:pPr>
            <w:r>
              <w:rPr>
                <w:rFonts w:hint="eastAsia" w:ascii="宋体" w:hAnsi="宋体" w:eastAsia="宋体" w:cs="宋体"/>
                <w:color w:val="auto"/>
                <w:spacing w:val="1"/>
                <w:kern w:val="0"/>
                <w:sz w:val="24"/>
                <w:szCs w:val="24"/>
                <w:highlight w:val="none"/>
                <w:lang w:val="zh-CN" w:eastAsia="zh-CN"/>
              </w:rPr>
              <w:t>（2）内容完整，切实可行的得3分；</w:t>
            </w:r>
          </w:p>
          <w:p w14:paraId="46D37091">
            <w:pPr>
              <w:keepNext w:val="0"/>
              <w:keepLines w:val="0"/>
              <w:pageBreakBefore w:val="0"/>
              <w:widowControl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spacing w:val="1"/>
                <w:kern w:val="0"/>
                <w:sz w:val="24"/>
                <w:szCs w:val="24"/>
                <w:highlight w:val="none"/>
                <w:lang w:val="zh-CN" w:eastAsia="zh-CN"/>
              </w:rPr>
            </w:pPr>
            <w:r>
              <w:rPr>
                <w:rFonts w:hint="eastAsia" w:ascii="宋体" w:hAnsi="宋体" w:eastAsia="宋体" w:cs="宋体"/>
                <w:color w:val="auto"/>
                <w:spacing w:val="1"/>
                <w:kern w:val="0"/>
                <w:sz w:val="24"/>
                <w:szCs w:val="24"/>
                <w:highlight w:val="none"/>
                <w:lang w:val="zh-CN" w:eastAsia="zh-CN"/>
              </w:rPr>
              <w:t>（3）内容简单或部分缺失，有待进一步完善的得</w:t>
            </w:r>
            <w:r>
              <w:rPr>
                <w:rFonts w:hint="eastAsia" w:ascii="宋体" w:hAnsi="宋体" w:eastAsia="宋体" w:cs="宋体"/>
                <w:color w:val="auto"/>
                <w:spacing w:val="1"/>
                <w:kern w:val="0"/>
                <w:sz w:val="24"/>
                <w:szCs w:val="24"/>
                <w:highlight w:val="none"/>
                <w:lang w:val="en-US" w:eastAsia="zh-CN"/>
              </w:rPr>
              <w:t>2</w:t>
            </w:r>
            <w:r>
              <w:rPr>
                <w:rFonts w:hint="eastAsia" w:ascii="宋体" w:hAnsi="宋体" w:eastAsia="宋体" w:cs="宋体"/>
                <w:color w:val="auto"/>
                <w:spacing w:val="1"/>
                <w:kern w:val="0"/>
                <w:sz w:val="24"/>
                <w:szCs w:val="24"/>
                <w:highlight w:val="none"/>
                <w:lang w:val="zh-CN" w:eastAsia="zh-CN"/>
              </w:rPr>
              <w:t xml:space="preserve">分； </w:t>
            </w:r>
          </w:p>
          <w:p w14:paraId="7DECBB8E">
            <w:pPr>
              <w:keepNext w:val="0"/>
              <w:keepLines w:val="0"/>
              <w:pageBreakBefore w:val="0"/>
              <w:widowControl w:val="0"/>
              <w:suppressLineNumbers w:val="0"/>
              <w:kinsoku/>
              <w:wordWrap/>
              <w:overflowPunct/>
              <w:topLinePunct w:val="0"/>
              <w:bidi w:val="0"/>
              <w:spacing w:before="0" w:beforeAutospacing="0" w:after="0" w:afterAutospacing="0" w:line="440" w:lineRule="exact"/>
              <w:ind w:left="0" w:leftChars="0" w:right="0" w:rightChars="0"/>
              <w:jc w:val="left"/>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zh-CN" w:eastAsia="zh-CN"/>
              </w:rPr>
              <w:t>（4）未提供的不得分。</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14:paraId="3B90AA1B">
            <w:pPr>
              <w:keepNext w:val="0"/>
              <w:keepLines w:val="0"/>
              <w:pageBreakBefore w:val="0"/>
              <w:widowControl w:val="0"/>
              <w:suppressLineNumbers w:val="0"/>
              <w:kinsoku/>
              <w:wordWrap/>
              <w:overflowPunct/>
              <w:topLinePunct w:val="0"/>
              <w:bidi w:val="0"/>
              <w:spacing w:before="0" w:beforeAutospacing="0" w:after="0" w:afterAutospacing="0" w:line="440" w:lineRule="exact"/>
              <w:ind w:left="0" w:leftChars="0" w:right="0" w:rightChars="0"/>
              <w:jc w:val="center"/>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w:t>
            </w:r>
          </w:p>
        </w:tc>
      </w:tr>
      <w:tr w14:paraId="71C5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tcBorders>
              <w:left w:val="single" w:color="auto" w:sz="4" w:space="0"/>
              <w:right w:val="single" w:color="auto" w:sz="4" w:space="0"/>
            </w:tcBorders>
            <w:vAlign w:val="center"/>
          </w:tcPr>
          <w:p w14:paraId="002D6ED8">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价格分</w:t>
            </w:r>
          </w:p>
          <w:p w14:paraId="6C6FDCA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0"/>
                <w:highlight w:val="none"/>
              </w:rPr>
            </w:pPr>
            <w:r>
              <w:rPr>
                <w:rFonts w:hint="eastAsia" w:asciiTheme="minorEastAsia" w:hAnsiTheme="minorEastAsia" w:eastAsiaTheme="minorEastAsia"/>
                <w:color w:val="auto"/>
                <w:sz w:val="24"/>
                <w:szCs w:val="20"/>
                <w:highlight w:val="none"/>
              </w:rPr>
              <w:t>（</w:t>
            </w:r>
            <w:r>
              <w:rPr>
                <w:rFonts w:hint="eastAsia" w:asciiTheme="minorEastAsia" w:hAnsiTheme="minorEastAsia" w:eastAsiaTheme="minorEastAsia"/>
                <w:color w:val="auto"/>
                <w:sz w:val="24"/>
                <w:szCs w:val="20"/>
                <w:highlight w:val="none"/>
                <w:u w:val="single"/>
                <w:lang w:val="en-US" w:eastAsia="zh-CN"/>
              </w:rPr>
              <w:t>30</w:t>
            </w:r>
            <w:r>
              <w:rPr>
                <w:rFonts w:hint="eastAsia" w:asciiTheme="minorEastAsia" w:hAnsiTheme="minorEastAsia" w:eastAsiaTheme="minorEastAsia"/>
                <w:color w:val="auto"/>
                <w:sz w:val="24"/>
                <w:szCs w:val="20"/>
                <w:highlight w:val="none"/>
              </w:rPr>
              <w:t>分）</w:t>
            </w:r>
          </w:p>
        </w:tc>
        <w:tc>
          <w:tcPr>
            <w:tcW w:w="4134" w:type="pct"/>
            <w:gridSpan w:val="3"/>
            <w:tcBorders>
              <w:top w:val="single" w:color="auto" w:sz="4" w:space="0"/>
              <w:left w:val="single" w:color="auto" w:sz="4" w:space="0"/>
              <w:bottom w:val="single" w:color="auto" w:sz="4" w:space="0"/>
              <w:right w:val="single" w:color="auto" w:sz="4" w:space="0"/>
            </w:tcBorders>
            <w:vAlign w:val="center"/>
          </w:tcPr>
          <w:p w14:paraId="1CD76273">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szCs w:val="20"/>
                <w:highlight w:val="none"/>
                <w:u w:val="single"/>
                <w:lang w:val="en-US" w:eastAsia="zh-CN"/>
              </w:rPr>
              <w:t>30</w:t>
            </w:r>
            <w:r>
              <w:rPr>
                <w:rFonts w:hint="eastAsia" w:asciiTheme="minorEastAsia" w:hAnsiTheme="minorEastAsia" w:eastAsiaTheme="minorEastAsia"/>
                <w:color w:val="auto"/>
                <w:sz w:val="24"/>
                <w:szCs w:val="20"/>
                <w:highlight w:val="none"/>
              </w:rPr>
              <w:t>分。其他供应商的价格分统一按照下列公式计算：</w:t>
            </w:r>
          </w:p>
          <w:p w14:paraId="38C86FFE">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
                <w:bCs/>
                <w:color w:val="auto"/>
                <w:sz w:val="24"/>
                <w:szCs w:val="20"/>
                <w:highlight w:val="none"/>
              </w:rPr>
            </w:pPr>
            <w:r>
              <w:rPr>
                <w:rFonts w:hint="eastAsia" w:asciiTheme="minorEastAsia" w:hAnsiTheme="minorEastAsia" w:eastAsiaTheme="minorEastAsia"/>
                <w:color w:val="auto"/>
                <w:sz w:val="24"/>
                <w:szCs w:val="20"/>
                <w:highlight w:val="none"/>
              </w:rPr>
              <w:t>磋商报价得分＝（磋商基准价/</w:t>
            </w:r>
            <w:r>
              <w:rPr>
                <w:rFonts w:hint="eastAsia" w:ascii="宋体" w:hAnsi="宋体" w:eastAsia="宋体"/>
                <w:color w:val="auto"/>
                <w:sz w:val="24"/>
                <w:szCs w:val="20"/>
                <w:highlight w:val="none"/>
              </w:rPr>
              <w:t>最后磋商</w:t>
            </w:r>
            <w:r>
              <w:rPr>
                <w:rFonts w:hint="eastAsia" w:asciiTheme="minorEastAsia" w:hAnsiTheme="minorEastAsia" w:eastAsiaTheme="minorEastAsia"/>
                <w:color w:val="auto"/>
                <w:sz w:val="24"/>
                <w:szCs w:val="20"/>
                <w:highlight w:val="none"/>
              </w:rPr>
              <w:t>报价）×</w:t>
            </w:r>
            <w:r>
              <w:rPr>
                <w:rFonts w:hint="eastAsia" w:asciiTheme="minorEastAsia" w:hAnsiTheme="minorEastAsia" w:eastAsiaTheme="minorEastAsia"/>
                <w:color w:val="auto"/>
                <w:sz w:val="24"/>
                <w:szCs w:val="20"/>
                <w:highlight w:val="none"/>
                <w:u w:val="single"/>
                <w:lang w:val="en-US" w:eastAsia="zh-CN"/>
              </w:rPr>
              <w:t>30</w:t>
            </w:r>
            <w:r>
              <w:rPr>
                <w:rFonts w:hint="eastAsia" w:asciiTheme="minorEastAsia" w:hAnsiTheme="minorEastAsia" w:eastAsiaTheme="minorEastAsia"/>
                <w:color w:val="auto"/>
                <w:sz w:val="24"/>
                <w:szCs w:val="20"/>
                <w:highlight w:val="none"/>
              </w:rPr>
              <w:t>％×100</w:t>
            </w:r>
          </w:p>
        </w:tc>
      </w:tr>
    </w:tbl>
    <w:p w14:paraId="0FCA1D3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0AC593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1BCEA9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468F476B">
      <w:pPr>
        <w:spacing w:line="360" w:lineRule="auto"/>
        <w:ind w:firstLine="435"/>
        <w:rPr>
          <w:rFonts w:ascii="宋体" w:hAnsi="宋体" w:eastAsia="宋体" w:cs="宋体"/>
          <w:b/>
          <w:bCs/>
          <w:color w:val="auto"/>
          <w:sz w:val="24"/>
          <w:highlight w:val="none"/>
        </w:rPr>
      </w:pPr>
      <w:r>
        <w:rPr>
          <w:rFonts w:hint="eastAsia" w:ascii="宋体" w:hAnsi="宋体" w:eastAsia="宋体" w:cs="宋体"/>
          <w:b/>
          <w:bCs/>
          <w:color w:val="auto"/>
          <w:sz w:val="24"/>
          <w:highlight w:val="none"/>
        </w:rPr>
        <w:t>三、无效条款</w:t>
      </w:r>
    </w:p>
    <w:p w14:paraId="7F1B822E">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3.1响应文件有下列情形之一的,其响应文件拒收:</w:t>
      </w:r>
    </w:p>
    <w:p w14:paraId="0C2C2887">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（1）未在提交首次响应文件截止时间前通过网上招标投标系统递交有效电子响应文件的，网上开标系统不予接收。出现上述情况的，响应将被拒绝。</w:t>
      </w:r>
    </w:p>
    <w:p w14:paraId="6FFE779E">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2）供应商接到远程解密指令后，须在规定时间内解密。因供应商自身原因导致响应文件在规定时间内未能解密、解密失败或解密超时，响应文件无效；解密时间：从本项目响应文件提交截止时间开始计时，至完成响应文件解密时间，不得超过60分钟，否则响应文件将被拒绝。</w:t>
      </w:r>
    </w:p>
    <w:p w14:paraId="5781E38A">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.2供应商有下列情形之一的,资格审查后其</w:t>
      </w:r>
      <w:r>
        <w:rPr>
          <w:rFonts w:hint="eastAsia" w:ascii="宋体" w:hAnsi="宋体" w:eastAsia="宋体"/>
          <w:color w:val="auto"/>
          <w:sz w:val="24"/>
          <w:highlight w:val="none"/>
          <w:lang w:val="en-US" w:eastAsia="zh-CN"/>
        </w:rPr>
        <w:t>按</w:t>
      </w:r>
      <w:r>
        <w:rPr>
          <w:rFonts w:hint="eastAsia" w:ascii="宋体" w:hAnsi="宋体" w:eastAsia="宋体"/>
          <w:color w:val="auto"/>
          <w:sz w:val="24"/>
          <w:highlight w:val="none"/>
        </w:rPr>
        <w:t>无效响应处理：</w:t>
      </w:r>
    </w:p>
    <w:p w14:paraId="3308AE0C">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（1）为本项目提供采购代理服务的；</w:t>
      </w:r>
    </w:p>
    <w:p w14:paraId="26CB9C54">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（2）供应商与在本项目代理机构存在相互任职或工作的；</w:t>
      </w:r>
    </w:p>
    <w:p w14:paraId="5159A046">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（3）与采购人存在利害关系可能影响采购公正性的法人、其他组织或者个人；</w:t>
      </w:r>
    </w:p>
    <w:p w14:paraId="7A0CFE01">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（4）磋商公告写明专门面向中小企业采购，供应商提供的服务非中小企业承接的；</w:t>
      </w:r>
    </w:p>
    <w:p w14:paraId="588D6B3D">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（5）要求供应商以联合体形式参加采购活动，供应商非联合体或者联合协议中中小企业合同金额未达到应当达到的比例；</w:t>
      </w:r>
    </w:p>
    <w:p w14:paraId="55E4544A">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（6）要求获得采购合同的供应商向中小企业分包，供应商未提供分包意向协议或者分包意向协议中中小企业合同金额未达到应当达到的比例；</w:t>
      </w:r>
    </w:p>
    <w:p w14:paraId="01C73FAA">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（7）评标专家无法查看并检验电子响应文件中相关资料的；</w:t>
      </w:r>
    </w:p>
    <w:p w14:paraId="32493CB1">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（8）联合体</w:t>
      </w:r>
      <w:r>
        <w:rPr>
          <w:rFonts w:hint="eastAsia" w:ascii="宋体" w:hAnsi="宋体" w:eastAsia="宋体"/>
          <w:color w:val="auto"/>
          <w:sz w:val="24"/>
          <w:highlight w:val="none"/>
          <w:lang w:val="en-US" w:eastAsia="zh-CN"/>
        </w:rPr>
        <w:t>参与</w:t>
      </w:r>
      <w:r>
        <w:rPr>
          <w:rFonts w:hint="eastAsia" w:ascii="宋体" w:hAnsi="宋体" w:eastAsia="宋体"/>
          <w:color w:val="auto"/>
          <w:sz w:val="24"/>
          <w:highlight w:val="none"/>
        </w:rPr>
        <w:t>未提交联合体协议的；</w:t>
      </w:r>
    </w:p>
    <w:p w14:paraId="50039091">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（9）责令停产停业的；</w:t>
      </w:r>
    </w:p>
    <w:p w14:paraId="72C25E26">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（10）暂停或取消参与政府采购项目资格的；</w:t>
      </w:r>
    </w:p>
    <w:p w14:paraId="2FB86B41">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（11）供应商单位负责人为同一人或者存在直接控股、管理关系的不同单位的；</w:t>
      </w:r>
    </w:p>
    <w:p w14:paraId="723EDDBC">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（12）供应商基本资格条件和特定资格条件中有一项及以上不符合要求的；</w:t>
      </w:r>
    </w:p>
    <w:p w14:paraId="56B6D127">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 xml:space="preserve">（13）评审时查询响应文件制作机器码、文件创建标识码及造价软件加密锁号。若存在响应文件制作机器码或创建标识码或造价软件加密锁号信息与其他供应商雷同的，响应无效、进行信用信息披露，行政监管部门将依据线索依法查处； </w:t>
      </w:r>
    </w:p>
    <w:p w14:paraId="02F6A0DF">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（14）其它情形按无效响应处理，并经公共资源交易监督部门核准的；</w:t>
      </w:r>
    </w:p>
    <w:p w14:paraId="7FABEE4A">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（15）供应商响应MAC地址一致，由磋商小组否决其响应资格；</w:t>
      </w:r>
    </w:p>
    <w:p w14:paraId="090B8119">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（16）供应商单方面出现其他供应商材料的；</w:t>
      </w:r>
    </w:p>
    <w:p w14:paraId="74DDFB6B">
      <w:pPr>
        <w:pStyle w:val="8"/>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（17）供应商联系人或联系电话相同的，由磋商小组否决其响应资格，并报告监管部门作不良行为处理和进一步调查；</w:t>
      </w:r>
    </w:p>
    <w:p w14:paraId="138FA3CE">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（18）竞争性磋商公告未写明允许采购进口产品，供应商所投产品为进口产品的；</w:t>
      </w:r>
    </w:p>
    <w:p w14:paraId="2937F86A">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（19）磋商文件规定的其它无效情形。</w:t>
      </w:r>
    </w:p>
    <w:p w14:paraId="36825E71">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 供应商有下列情形之一的,符合性审查后其按无效响应处理：</w:t>
      </w:r>
    </w:p>
    <w:p w14:paraId="6E43BD95">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（1）响应文件签章不全，经磋商小组一致认定对开评标内容有实质性影响并经公共资源交易监督部门核准的；</w:t>
      </w:r>
    </w:p>
    <w:p w14:paraId="3BEFB9FE">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（2）未按规定的格式填写导致实质性内容不全以及实质上不响应，或者关键字迹模糊、无法辨认； 经公共资源交易监督部门核准的；</w:t>
      </w:r>
    </w:p>
    <w:p w14:paraId="011B50FE">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（3）同一供应商提交两个以上不同的响应文件或者响应报价，但磋商文件规定提交备选方案的除外；</w:t>
      </w:r>
    </w:p>
    <w:p w14:paraId="793B130C">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（4）响应文件没有对磋商文件的实质性要求和条件作出响应；</w:t>
      </w:r>
    </w:p>
    <w:p w14:paraId="77570E32">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（5）报价超出规定的最高限价或公布的采购预算的或供应商的报价各项单价高于磋商文件给定的单价最高限价；</w:t>
      </w:r>
    </w:p>
    <w:p w14:paraId="00A3F65F">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（6）不按磋商小组要求澄清、说明或补正的，或者措施小组根据磋商文件的规定对响应文件的计算错误进行修正后，供应商不接受修正的报价的。</w:t>
      </w:r>
    </w:p>
    <w:p w14:paraId="0B6056A1">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（7）其它情形，经磋商小组委提出按无效响应处理，并经公共资源交易监督部门核准的；</w:t>
      </w:r>
    </w:p>
    <w:p w14:paraId="2797989B">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（8）响应文件含有采购人不能接受的附加条件的；</w:t>
      </w:r>
    </w:p>
    <w:p w14:paraId="065ACB96">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（9）磋商文件规定的其它无效响应情形。</w:t>
      </w:r>
    </w:p>
    <w:p w14:paraId="6A21A9B3">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.4 供应商有下列情形之一的, 详细评审后其按无效响应处理：</w:t>
      </w:r>
    </w:p>
    <w:p w14:paraId="0530299E">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（1）产品不符合必须强制执行的国家标准的；</w:t>
      </w:r>
    </w:p>
    <w:p w14:paraId="3D75A409">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（2）供应商有串通、弄虚作假、行贿等违法行为；</w:t>
      </w:r>
    </w:p>
    <w:p w14:paraId="1950CC33">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（3）响应文件含有违反国家法律、法规的内容，或附有采购人不能接受的条件的；</w:t>
      </w:r>
    </w:p>
    <w:p w14:paraId="563D9944">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（4）拒不确认磋商小组评审修正的响应无效；</w:t>
      </w:r>
    </w:p>
    <w:p w14:paraId="1964F486">
      <w:pPr>
        <w:pStyle w:val="8"/>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（5）其它情形，经磋商小组提出按无效响应处理，并经公共资源交易监督部门核准的；</w:t>
      </w:r>
    </w:p>
    <w:p w14:paraId="07FB735D">
      <w:pPr>
        <w:pStyle w:val="8"/>
        <w:spacing w:line="360" w:lineRule="auto"/>
        <w:ind w:firstLine="480" w:firstLineChars="200"/>
        <w:rPr>
          <w:rFonts w:ascii="宋体" w:hAnsi="宋体" w:eastAsia="宋体" w:cs="宋体"/>
          <w:color w:val="auto"/>
          <w:sz w:val="24"/>
          <w:highlight w:val="none"/>
        </w:rPr>
      </w:pPr>
      <w:r>
        <w:rPr>
          <w:rFonts w:hint="eastAsia" w:ascii="宋体" w:hAnsi="宋体" w:eastAsia="宋体"/>
          <w:color w:val="auto"/>
          <w:sz w:val="24"/>
          <w:highlight w:val="none"/>
        </w:rPr>
        <w:t>（6）磋商文件规定的其它无效响应情形。</w:t>
      </w:r>
    </w:p>
    <w:p w14:paraId="0A94ABFE">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9F15C40">
      <w:pPr>
        <w:numPr>
          <w:ilvl w:val="0"/>
          <w:numId w:val="3"/>
        </w:numPr>
        <w:spacing w:line="360" w:lineRule="auto"/>
        <w:jc w:val="center"/>
        <w:outlineLvl w:val="0"/>
        <w:rPr>
          <w:rFonts w:asciiTheme="minorEastAsia" w:hAnsiTheme="minorEastAsia" w:eastAsiaTheme="minorEastAsia"/>
          <w:b/>
          <w:color w:val="auto"/>
          <w:sz w:val="28"/>
          <w:highlight w:val="none"/>
        </w:rPr>
      </w:pPr>
      <w:bookmarkStart w:id="35" w:name="_Toc63440929"/>
      <w:bookmarkStart w:id="36" w:name="_Toc355"/>
      <w:r>
        <w:rPr>
          <w:rFonts w:hint="eastAsia" w:asciiTheme="minorEastAsia" w:hAnsiTheme="minorEastAsia" w:eastAsiaTheme="minorEastAsia"/>
          <w:b/>
          <w:color w:val="auto"/>
          <w:sz w:val="28"/>
          <w:highlight w:val="none"/>
        </w:rPr>
        <w:t xml:space="preserve"> </w:t>
      </w:r>
      <w:bookmarkStart w:id="37" w:name="_Toc22097"/>
      <w:r>
        <w:rPr>
          <w:rFonts w:asciiTheme="minorEastAsia" w:hAnsiTheme="minorEastAsia" w:eastAsiaTheme="minorEastAsia"/>
          <w:b/>
          <w:color w:val="auto"/>
          <w:sz w:val="28"/>
          <w:highlight w:val="none"/>
        </w:rPr>
        <w:t>政府采购合同</w:t>
      </w:r>
      <w:bookmarkEnd w:id="35"/>
      <w:bookmarkEnd w:id="36"/>
      <w:bookmarkEnd w:id="37"/>
      <w:bookmarkStart w:id="38" w:name="_Toc22284"/>
    </w:p>
    <w:bookmarkEnd w:id="38"/>
    <w:p w14:paraId="0B18DDD1">
      <w:pPr>
        <w:spacing w:line="480" w:lineRule="auto"/>
        <w:jc w:val="center"/>
        <w:rPr>
          <w:rFonts w:ascii="宋体" w:hAnsi="宋体" w:eastAsia="宋体"/>
          <w:b/>
          <w:sz w:val="24"/>
          <w:highlight w:val="none"/>
        </w:rPr>
      </w:pPr>
    </w:p>
    <w:p w14:paraId="7972953F">
      <w:pPr>
        <w:spacing w:line="480" w:lineRule="auto"/>
        <w:jc w:val="center"/>
        <w:rPr>
          <w:rFonts w:ascii="宋体" w:hAnsi="宋体" w:eastAsia="宋体"/>
          <w:b/>
          <w:sz w:val="24"/>
          <w:highlight w:val="none"/>
        </w:rPr>
      </w:pPr>
    </w:p>
    <w:p w14:paraId="1369DA74">
      <w:pPr>
        <w:spacing w:line="480" w:lineRule="auto"/>
        <w:jc w:val="center"/>
        <w:outlineLvl w:val="1"/>
        <w:rPr>
          <w:rFonts w:ascii="宋体" w:hAnsi="宋体" w:eastAsia="宋体"/>
          <w:b/>
          <w:sz w:val="32"/>
          <w:szCs w:val="32"/>
          <w:highlight w:val="none"/>
        </w:rPr>
      </w:pPr>
      <w:r>
        <w:rPr>
          <w:rFonts w:ascii="宋体" w:hAnsi="宋体" w:eastAsia="宋体"/>
          <w:b/>
          <w:sz w:val="32"/>
          <w:szCs w:val="32"/>
          <w:highlight w:val="none"/>
        </w:rPr>
        <w:t>政府采购合同</w:t>
      </w:r>
      <w:r>
        <w:rPr>
          <w:rFonts w:hint="eastAsia" w:ascii="宋体" w:hAnsi="宋体" w:eastAsia="宋体"/>
          <w:b/>
          <w:sz w:val="32"/>
          <w:szCs w:val="32"/>
          <w:highlight w:val="none"/>
        </w:rPr>
        <w:t>参考范本</w:t>
      </w:r>
    </w:p>
    <w:p w14:paraId="6095CD12">
      <w:pPr>
        <w:spacing w:line="480" w:lineRule="auto"/>
        <w:jc w:val="center"/>
        <w:outlineLvl w:val="1"/>
        <w:rPr>
          <w:rFonts w:ascii="宋体" w:hAnsi="宋体" w:eastAsia="宋体"/>
          <w:b/>
          <w:sz w:val="32"/>
          <w:szCs w:val="32"/>
          <w:highlight w:val="none"/>
        </w:rPr>
      </w:pPr>
      <w:r>
        <w:rPr>
          <w:rFonts w:hint="eastAsia" w:ascii="宋体" w:hAnsi="宋体" w:eastAsia="宋体"/>
          <w:b/>
          <w:sz w:val="32"/>
          <w:szCs w:val="32"/>
          <w:highlight w:val="none"/>
        </w:rPr>
        <w:t>（服务类）</w:t>
      </w:r>
    </w:p>
    <w:p w14:paraId="466E0370">
      <w:pPr>
        <w:spacing w:line="480" w:lineRule="auto"/>
        <w:jc w:val="center"/>
        <w:rPr>
          <w:rFonts w:ascii="宋体" w:hAnsi="宋体" w:eastAsia="宋体"/>
          <w:b/>
          <w:sz w:val="24"/>
          <w:highlight w:val="none"/>
        </w:rPr>
      </w:pPr>
    </w:p>
    <w:p w14:paraId="114BE070">
      <w:pPr>
        <w:spacing w:line="480" w:lineRule="auto"/>
        <w:jc w:val="center"/>
        <w:rPr>
          <w:rFonts w:ascii="宋体" w:hAnsi="宋体" w:eastAsia="宋体"/>
          <w:b/>
          <w:sz w:val="24"/>
          <w:highlight w:val="none"/>
        </w:rPr>
      </w:pPr>
    </w:p>
    <w:p w14:paraId="53F776F8">
      <w:pPr>
        <w:spacing w:line="480" w:lineRule="auto"/>
        <w:jc w:val="center"/>
        <w:rPr>
          <w:rFonts w:ascii="宋体" w:hAnsi="宋体" w:eastAsia="宋体"/>
          <w:b/>
          <w:sz w:val="24"/>
          <w:highlight w:val="none"/>
        </w:rPr>
      </w:pPr>
    </w:p>
    <w:p w14:paraId="750953C3">
      <w:pPr>
        <w:spacing w:line="360" w:lineRule="auto"/>
        <w:jc w:val="center"/>
        <w:outlineLvl w:val="1"/>
        <w:rPr>
          <w:rFonts w:ascii="宋体" w:hAnsi="宋体" w:eastAsia="宋体"/>
          <w:b/>
          <w:sz w:val="24"/>
          <w:highlight w:val="none"/>
        </w:rPr>
      </w:pPr>
      <w:r>
        <w:rPr>
          <w:rFonts w:hint="eastAsia" w:ascii="宋体" w:hAnsi="宋体" w:eastAsia="宋体"/>
          <w:b/>
          <w:sz w:val="24"/>
          <w:highlight w:val="none"/>
        </w:rPr>
        <w:t>第一部分 合同书</w:t>
      </w:r>
    </w:p>
    <w:p w14:paraId="7473D2AA">
      <w:pPr>
        <w:spacing w:line="480" w:lineRule="auto"/>
        <w:jc w:val="center"/>
        <w:rPr>
          <w:rFonts w:ascii="宋体" w:hAnsi="宋体" w:eastAsia="宋体"/>
          <w:b/>
          <w:sz w:val="24"/>
          <w:highlight w:val="none"/>
        </w:rPr>
      </w:pPr>
    </w:p>
    <w:p w14:paraId="3B123CBE">
      <w:pPr>
        <w:spacing w:line="480" w:lineRule="auto"/>
        <w:jc w:val="center"/>
        <w:rPr>
          <w:rFonts w:ascii="宋体" w:hAnsi="宋体" w:eastAsia="宋体"/>
          <w:b/>
          <w:sz w:val="24"/>
          <w:highlight w:val="none"/>
        </w:rPr>
      </w:pPr>
    </w:p>
    <w:p w14:paraId="51141FF8">
      <w:pPr>
        <w:spacing w:line="480" w:lineRule="auto"/>
        <w:jc w:val="center"/>
        <w:rPr>
          <w:rFonts w:ascii="宋体" w:hAnsi="宋体" w:eastAsia="宋体"/>
          <w:b/>
          <w:sz w:val="24"/>
          <w:highlight w:val="none"/>
        </w:rPr>
      </w:pPr>
    </w:p>
    <w:p w14:paraId="1AA530C1">
      <w:pPr>
        <w:spacing w:before="120" w:line="480" w:lineRule="auto"/>
        <w:ind w:left="960"/>
        <w:rPr>
          <w:rFonts w:hint="eastAsia" w:ascii="宋体" w:hAnsi="宋体" w:eastAsia="宋体"/>
          <w:sz w:val="24"/>
          <w:highlight w:val="none"/>
          <w:u w:val="single"/>
        </w:rPr>
      </w:pPr>
      <w:r>
        <w:rPr>
          <w:rFonts w:hint="eastAsia" w:ascii="宋体" w:hAnsi="宋体" w:eastAsia="宋体"/>
          <w:sz w:val="24"/>
          <w:highlight w:val="none"/>
        </w:rPr>
        <w:t>项目名称：</w:t>
      </w:r>
      <w:r>
        <w:rPr>
          <w:rFonts w:hint="eastAsia" w:ascii="宋体" w:hAnsi="宋体" w:eastAsia="宋体"/>
          <w:sz w:val="24"/>
          <w:highlight w:val="none"/>
          <w:u w:val="single"/>
          <w:lang w:eastAsia="zh-CN"/>
        </w:rPr>
        <w:t>滁州职业技术学院房屋安全性鉴定项目</w:t>
      </w:r>
    </w:p>
    <w:p w14:paraId="23122B3B">
      <w:pPr>
        <w:spacing w:before="120" w:line="480" w:lineRule="auto"/>
        <w:ind w:left="960"/>
        <w:rPr>
          <w:rFonts w:hint="default" w:ascii="宋体" w:hAnsi="宋体" w:eastAsia="宋体"/>
          <w:sz w:val="24"/>
          <w:highlight w:val="none"/>
          <w:lang w:val="en-US"/>
        </w:rPr>
      </w:pPr>
      <w:r>
        <w:rPr>
          <w:rFonts w:hint="eastAsia" w:ascii="宋体" w:hAnsi="宋体" w:eastAsia="宋体"/>
          <w:sz w:val="24"/>
          <w:highlight w:val="none"/>
        </w:rPr>
        <w:t>项目编号：</w:t>
      </w:r>
      <w:r>
        <w:rPr>
          <w:rFonts w:hint="eastAsia" w:ascii="宋体" w:hAnsi="宋体" w:eastAsia="宋体"/>
          <w:sz w:val="24"/>
          <w:highlight w:val="none"/>
          <w:u w:val="single"/>
          <w:lang w:val="en-US" w:eastAsia="zh-CN"/>
        </w:rPr>
        <w:t xml:space="preserve">             </w:t>
      </w:r>
    </w:p>
    <w:p w14:paraId="5B3B5B92">
      <w:pPr>
        <w:spacing w:before="120" w:line="480" w:lineRule="auto"/>
        <w:ind w:left="960"/>
        <w:rPr>
          <w:rFonts w:hint="eastAsia" w:ascii="宋体" w:hAnsi="宋体" w:eastAsia="宋体"/>
          <w:sz w:val="24"/>
          <w:highlight w:val="none"/>
        </w:rPr>
      </w:pPr>
      <w:r>
        <w:rPr>
          <w:rFonts w:hint="eastAsia" w:ascii="宋体" w:hAnsi="宋体" w:eastAsia="宋体"/>
          <w:sz w:val="24"/>
          <w:highlight w:val="none"/>
        </w:rPr>
        <w:t>甲方（采购人）：</w:t>
      </w:r>
      <w:r>
        <w:rPr>
          <w:rFonts w:hint="eastAsia" w:ascii="宋体" w:hAnsi="宋体" w:eastAsia="宋体"/>
          <w:sz w:val="24"/>
          <w:highlight w:val="none"/>
          <w:u w:val="single"/>
          <w:lang w:eastAsia="zh-CN"/>
        </w:rPr>
        <w:t>滁州职业技术学院</w:t>
      </w:r>
      <w:r>
        <w:rPr>
          <w:rFonts w:hint="eastAsia" w:ascii="宋体" w:hAnsi="宋体" w:eastAsia="宋体"/>
          <w:sz w:val="24"/>
          <w:highlight w:val="none"/>
        </w:rPr>
        <w:t xml:space="preserve">         </w:t>
      </w:r>
    </w:p>
    <w:p w14:paraId="6160F78E">
      <w:pPr>
        <w:spacing w:before="120" w:line="480" w:lineRule="auto"/>
        <w:ind w:left="960"/>
        <w:rPr>
          <w:rFonts w:hint="eastAsia" w:ascii="宋体" w:hAnsi="宋体" w:eastAsia="宋体"/>
          <w:sz w:val="24"/>
          <w:highlight w:val="none"/>
        </w:rPr>
      </w:pPr>
      <w:r>
        <w:rPr>
          <w:rFonts w:hint="eastAsia" w:ascii="宋体" w:hAnsi="宋体" w:eastAsia="宋体"/>
          <w:sz w:val="24"/>
          <w:highlight w:val="none"/>
        </w:rPr>
        <w:t>乙方（成交供应商）：</w:t>
      </w:r>
      <w:r>
        <w:rPr>
          <w:rFonts w:hint="eastAsia" w:ascii="宋体" w:hAnsi="宋体" w:eastAsia="宋体"/>
          <w:sz w:val="24"/>
          <w:highlight w:val="none"/>
          <w:u w:val="single"/>
          <w:lang w:val="en-US" w:eastAsia="zh-CN"/>
        </w:rPr>
        <w:t xml:space="preserve">                     </w:t>
      </w:r>
      <w:r>
        <w:rPr>
          <w:rFonts w:hint="eastAsia" w:ascii="宋体" w:hAnsi="宋体" w:eastAsia="宋体"/>
          <w:sz w:val="24"/>
          <w:highlight w:val="none"/>
        </w:rPr>
        <w:t xml:space="preserve">                              </w:t>
      </w:r>
    </w:p>
    <w:p w14:paraId="2A0FC771">
      <w:pPr>
        <w:spacing w:before="120" w:line="480" w:lineRule="auto"/>
        <w:ind w:firstLine="960" w:firstLineChars="400"/>
        <w:rPr>
          <w:rFonts w:ascii="宋体" w:hAnsi="宋体" w:eastAsia="宋体"/>
          <w:sz w:val="24"/>
          <w:highlight w:val="none"/>
          <w:u w:val="single"/>
        </w:rPr>
      </w:pPr>
      <w:r>
        <w:rPr>
          <w:rFonts w:hint="eastAsia" w:ascii="宋体" w:hAnsi="宋体" w:eastAsia="宋体"/>
          <w:sz w:val="24"/>
          <w:highlight w:val="none"/>
        </w:rPr>
        <w:t>签订地：</w:t>
      </w:r>
      <w:r>
        <w:rPr>
          <w:rFonts w:hint="eastAsia" w:ascii="宋体" w:hAnsi="宋体" w:eastAsia="宋体"/>
          <w:sz w:val="24"/>
          <w:highlight w:val="none"/>
          <w:u w:val="single"/>
          <w:lang w:eastAsia="zh-CN"/>
        </w:rPr>
        <w:t>滁州职业技术学院</w:t>
      </w:r>
    </w:p>
    <w:p w14:paraId="1BA30088">
      <w:pPr>
        <w:spacing w:before="120" w:line="480" w:lineRule="auto"/>
        <w:ind w:firstLine="960" w:firstLineChars="400"/>
        <w:rPr>
          <w:rFonts w:ascii="宋体" w:hAnsi="宋体" w:eastAsia="宋体"/>
          <w:sz w:val="24"/>
          <w:highlight w:val="none"/>
        </w:rPr>
      </w:pPr>
      <w:r>
        <w:rPr>
          <w:rFonts w:hint="eastAsia" w:ascii="宋体" w:hAnsi="宋体" w:eastAsia="宋体"/>
          <w:sz w:val="24"/>
          <w:highlight w:val="none"/>
        </w:rPr>
        <w:t>签订日期：</w:t>
      </w:r>
      <w:r>
        <w:rPr>
          <w:rFonts w:hint="eastAsia" w:ascii="宋体" w:hAnsi="宋体" w:eastAsia="宋体"/>
          <w:sz w:val="24"/>
          <w:highlight w:val="none"/>
          <w:u w:val="single"/>
        </w:rPr>
        <w:t xml:space="preserve">               </w:t>
      </w:r>
      <w:r>
        <w:rPr>
          <w:rFonts w:hint="eastAsia" w:ascii="宋体" w:hAnsi="宋体" w:eastAsia="宋体"/>
          <w:sz w:val="24"/>
          <w:highlight w:val="none"/>
        </w:rPr>
        <w:t>年</w:t>
      </w:r>
      <w:r>
        <w:rPr>
          <w:rFonts w:hint="eastAsia" w:ascii="宋体" w:hAnsi="宋体" w:eastAsia="宋体"/>
          <w:sz w:val="24"/>
          <w:highlight w:val="none"/>
          <w:u w:val="single"/>
        </w:rPr>
        <w:t xml:space="preserve">       </w:t>
      </w:r>
      <w:r>
        <w:rPr>
          <w:rFonts w:hint="eastAsia" w:ascii="宋体" w:hAnsi="宋体" w:eastAsia="宋体"/>
          <w:sz w:val="24"/>
          <w:highlight w:val="none"/>
        </w:rPr>
        <w:t>月</w:t>
      </w:r>
      <w:r>
        <w:rPr>
          <w:rFonts w:hint="eastAsia" w:ascii="宋体" w:hAnsi="宋体" w:eastAsia="宋体"/>
          <w:sz w:val="24"/>
          <w:highlight w:val="none"/>
          <w:u w:val="single"/>
        </w:rPr>
        <w:t xml:space="preserve">       </w:t>
      </w:r>
      <w:r>
        <w:rPr>
          <w:rFonts w:hint="eastAsia" w:ascii="宋体" w:hAnsi="宋体" w:eastAsia="宋体"/>
          <w:sz w:val="24"/>
          <w:highlight w:val="none"/>
        </w:rPr>
        <w:t>日</w:t>
      </w:r>
    </w:p>
    <w:p w14:paraId="3F816F85">
      <w:pPr>
        <w:widowControl/>
        <w:jc w:val="left"/>
        <w:rPr>
          <w:rFonts w:ascii="宋体" w:hAnsi="宋体" w:eastAsia="宋体"/>
          <w:sz w:val="24"/>
          <w:highlight w:val="none"/>
        </w:rPr>
      </w:pPr>
      <w:r>
        <w:rPr>
          <w:rFonts w:ascii="宋体" w:hAnsi="宋体" w:eastAsia="宋体"/>
          <w:sz w:val="24"/>
          <w:highlight w:val="none"/>
        </w:rPr>
        <w:br w:type="page"/>
      </w:r>
    </w:p>
    <w:p w14:paraId="1D6CA193">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sz w:val="24"/>
          <w:highlight w:val="none"/>
        </w:rPr>
      </w:pPr>
      <w:r>
        <w:rPr>
          <w:rFonts w:hint="eastAsia" w:ascii="宋体" w:hAnsi="宋体" w:eastAsia="宋体"/>
          <w:sz w:val="24"/>
          <w:highlight w:val="none"/>
          <w:u w:val="single"/>
          <w:lang w:eastAsia="zh-CN"/>
        </w:rPr>
        <w:t>滁州职业技术学院</w:t>
      </w:r>
      <w:r>
        <w:rPr>
          <w:rFonts w:hint="eastAsia" w:ascii="宋体" w:hAnsi="宋体" w:eastAsia="宋体"/>
          <w:sz w:val="24"/>
          <w:highlight w:val="none"/>
        </w:rPr>
        <w:t>（</w:t>
      </w:r>
      <w:r>
        <w:rPr>
          <w:rFonts w:hint="eastAsia" w:ascii="宋体" w:hAnsi="宋体" w:eastAsia="宋体"/>
          <w:sz w:val="24"/>
          <w:highlight w:val="none"/>
          <w:lang w:val="zh-CN"/>
        </w:rPr>
        <w:t>以下简称：甲方</w:t>
      </w:r>
      <w:r>
        <w:rPr>
          <w:rFonts w:hint="eastAsia" w:ascii="宋体" w:hAnsi="宋体" w:eastAsia="宋体"/>
          <w:sz w:val="24"/>
          <w:highlight w:val="none"/>
        </w:rPr>
        <w:t>）通过</w:t>
      </w:r>
      <w:r>
        <w:rPr>
          <w:rFonts w:hint="eastAsia" w:ascii="宋体" w:hAnsi="宋体" w:eastAsia="宋体"/>
          <w:sz w:val="24"/>
          <w:highlight w:val="none"/>
          <w:u w:val="single"/>
          <w:lang w:val="en-US" w:eastAsia="zh-CN"/>
        </w:rPr>
        <w:t>滁州市城投工程咨询管理有限公司</w:t>
      </w:r>
      <w:r>
        <w:rPr>
          <w:rFonts w:hint="eastAsia" w:ascii="宋体" w:hAnsi="宋体" w:eastAsia="宋体"/>
          <w:sz w:val="24"/>
          <w:highlight w:val="none"/>
        </w:rPr>
        <w:t>组织的</w:t>
      </w:r>
      <w:r>
        <w:rPr>
          <w:rFonts w:hint="eastAsia" w:ascii="宋体" w:hAnsi="宋体" w:eastAsia="宋体"/>
          <w:sz w:val="24"/>
          <w:highlight w:val="none"/>
          <w:u w:val="single"/>
        </w:rPr>
        <w:t>竞争性磋商</w:t>
      </w:r>
      <w:r>
        <w:rPr>
          <w:rFonts w:hint="eastAsia" w:ascii="宋体" w:hAnsi="宋体" w:eastAsia="宋体"/>
          <w:sz w:val="24"/>
          <w:highlight w:val="none"/>
        </w:rPr>
        <w:t>方式采购活动，经</w:t>
      </w:r>
      <w:r>
        <w:rPr>
          <w:rFonts w:hint="eastAsia" w:ascii="宋体" w:hAnsi="宋体" w:eastAsia="宋体"/>
          <w:sz w:val="24"/>
          <w:highlight w:val="none"/>
          <w:u w:val="single"/>
        </w:rPr>
        <w:t>磋商小组</w:t>
      </w:r>
      <w:r>
        <w:rPr>
          <w:rFonts w:hint="eastAsia" w:ascii="宋体" w:hAnsi="宋体" w:eastAsia="宋体"/>
          <w:sz w:val="24"/>
          <w:highlight w:val="none"/>
        </w:rPr>
        <w:t>评定，</w:t>
      </w:r>
      <w:r>
        <w:rPr>
          <w:rFonts w:hint="eastAsia" w:ascii="宋体" w:hAnsi="宋体" w:eastAsia="宋体"/>
          <w:sz w:val="24"/>
          <w:highlight w:val="none"/>
          <w:u w:val="single"/>
        </w:rPr>
        <w:t xml:space="preserve">           </w:t>
      </w:r>
      <w:r>
        <w:rPr>
          <w:rFonts w:hint="eastAsia" w:ascii="宋体" w:hAnsi="宋体" w:eastAsia="宋体"/>
          <w:sz w:val="24"/>
          <w:highlight w:val="none"/>
        </w:rPr>
        <w:t>（</w:t>
      </w:r>
      <w:r>
        <w:rPr>
          <w:rFonts w:hint="eastAsia" w:ascii="宋体" w:hAnsi="宋体" w:eastAsia="宋体"/>
          <w:sz w:val="24"/>
          <w:highlight w:val="none"/>
          <w:lang w:val="zh-CN"/>
        </w:rPr>
        <w:t>以下简称：乙方</w:t>
      </w:r>
      <w:r>
        <w:rPr>
          <w:rFonts w:hint="eastAsia" w:ascii="宋体" w:hAnsi="宋体" w:eastAsia="宋体"/>
          <w:sz w:val="24"/>
          <w:highlight w:val="none"/>
        </w:rPr>
        <w:t>）为本项目成交供应商，现按照采购文件确定的事项签订本合同。</w:t>
      </w:r>
    </w:p>
    <w:p w14:paraId="0903C70C">
      <w:pPr>
        <w:spacing w:line="360" w:lineRule="auto"/>
        <w:ind w:firstLine="435"/>
        <w:rPr>
          <w:rFonts w:ascii="宋体" w:hAnsi="宋体" w:eastAsia="宋体"/>
          <w:sz w:val="24"/>
          <w:highlight w:val="none"/>
          <w:lang w:val="zh-CN"/>
        </w:rPr>
      </w:pPr>
      <w:r>
        <w:rPr>
          <w:rFonts w:hint="eastAsia" w:ascii="宋体" w:hAnsi="宋体" w:eastAsia="宋体"/>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1BAFD38E">
      <w:pPr>
        <w:spacing w:line="360" w:lineRule="auto"/>
        <w:ind w:firstLine="437"/>
        <w:outlineLvl w:val="2"/>
        <w:rPr>
          <w:rFonts w:ascii="宋体" w:hAnsi="宋体" w:eastAsia="宋体"/>
          <w:b/>
          <w:bCs/>
          <w:sz w:val="24"/>
          <w:highlight w:val="none"/>
          <w:lang w:val="zh-CN"/>
        </w:rPr>
      </w:pPr>
      <w:bookmarkStart w:id="39" w:name="_Toc3029"/>
      <w:bookmarkStart w:id="40" w:name="_Toc24059"/>
      <w:bookmarkStart w:id="41" w:name="_Toc2232"/>
      <w:r>
        <w:rPr>
          <w:rFonts w:hint="eastAsia" w:ascii="宋体" w:hAnsi="宋体" w:eastAsia="宋体"/>
          <w:b/>
          <w:bCs/>
          <w:sz w:val="24"/>
          <w:highlight w:val="none"/>
          <w:lang w:val="zh-CN"/>
        </w:rPr>
        <w:t>1.1</w:t>
      </w:r>
      <w:r>
        <w:rPr>
          <w:rFonts w:ascii="宋体" w:hAnsi="宋体" w:eastAsia="宋体"/>
          <w:b/>
          <w:bCs/>
          <w:sz w:val="24"/>
          <w:highlight w:val="none"/>
          <w:lang w:val="zh-CN"/>
        </w:rPr>
        <w:t xml:space="preserve"> </w:t>
      </w:r>
      <w:r>
        <w:rPr>
          <w:rFonts w:hint="eastAsia" w:ascii="宋体" w:hAnsi="宋体" w:eastAsia="宋体"/>
          <w:b/>
          <w:bCs/>
          <w:sz w:val="24"/>
          <w:highlight w:val="none"/>
          <w:lang w:val="zh-CN"/>
        </w:rPr>
        <w:t>合同组成部分</w:t>
      </w:r>
      <w:bookmarkEnd w:id="39"/>
      <w:bookmarkEnd w:id="40"/>
      <w:bookmarkEnd w:id="41"/>
    </w:p>
    <w:p w14:paraId="0A86F7A5">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BE01506">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1.1.1本合同及其补充合同、变更协议；</w:t>
      </w:r>
    </w:p>
    <w:p w14:paraId="45414318">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1.1.2成交通知书；</w:t>
      </w:r>
    </w:p>
    <w:p w14:paraId="7E58A307">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1.1.3响应文件（含澄清或者说明文件）；</w:t>
      </w:r>
    </w:p>
    <w:p w14:paraId="360EB513">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1.1.4磋商文件（含澄清或者修改文件）；</w:t>
      </w:r>
    </w:p>
    <w:p w14:paraId="519C6529">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1.1.5其他相关采购文件。</w:t>
      </w:r>
    </w:p>
    <w:p w14:paraId="5A12C8EF">
      <w:pPr>
        <w:spacing w:line="360" w:lineRule="auto"/>
        <w:ind w:firstLine="437"/>
        <w:outlineLvl w:val="2"/>
        <w:rPr>
          <w:rFonts w:ascii="宋体" w:hAnsi="宋体" w:eastAsia="宋体"/>
          <w:b/>
          <w:bCs/>
          <w:sz w:val="24"/>
          <w:highlight w:val="none"/>
          <w:lang w:val="zh-CN"/>
        </w:rPr>
      </w:pPr>
      <w:bookmarkStart w:id="42" w:name="_Toc18585"/>
      <w:bookmarkStart w:id="43" w:name="_Toc2918"/>
      <w:bookmarkStart w:id="44" w:name="_Toc6773"/>
      <w:bookmarkStart w:id="45" w:name="_Toc6311"/>
      <w:bookmarkStart w:id="46" w:name="_Toc22185"/>
      <w:r>
        <w:rPr>
          <w:rFonts w:hint="eastAsia" w:ascii="宋体" w:hAnsi="宋体" w:eastAsia="宋体"/>
          <w:b/>
          <w:bCs/>
          <w:sz w:val="24"/>
          <w:highlight w:val="none"/>
          <w:lang w:val="zh-CN"/>
        </w:rPr>
        <w:t xml:space="preserve">1.2 </w:t>
      </w:r>
      <w:bookmarkEnd w:id="42"/>
      <w:bookmarkEnd w:id="43"/>
      <w:bookmarkEnd w:id="44"/>
      <w:bookmarkEnd w:id="45"/>
      <w:bookmarkEnd w:id="46"/>
      <w:r>
        <w:rPr>
          <w:rFonts w:hint="eastAsia" w:ascii="宋体" w:hAnsi="宋体" w:eastAsia="宋体"/>
          <w:b/>
          <w:bCs/>
          <w:sz w:val="24"/>
          <w:highlight w:val="none"/>
          <w:lang w:val="zh-CN"/>
        </w:rPr>
        <w:t>服务</w:t>
      </w:r>
    </w:p>
    <w:p w14:paraId="3B0C6DB3">
      <w:pPr>
        <w:spacing w:line="360" w:lineRule="auto"/>
        <w:ind w:firstLine="435"/>
        <w:rPr>
          <w:rFonts w:ascii="宋体" w:hAnsi="宋体" w:eastAsia="宋体"/>
          <w:sz w:val="24"/>
          <w:highlight w:val="none"/>
          <w:u w:val="single"/>
        </w:rPr>
      </w:pPr>
      <w:r>
        <w:rPr>
          <w:rFonts w:hint="eastAsia" w:ascii="宋体" w:hAnsi="宋体" w:eastAsia="宋体"/>
          <w:sz w:val="24"/>
          <w:highlight w:val="none"/>
        </w:rPr>
        <w:t>1.2.1服务</w:t>
      </w:r>
      <w:r>
        <w:rPr>
          <w:rFonts w:ascii="宋体" w:hAnsi="宋体" w:eastAsia="宋体"/>
          <w:sz w:val="24"/>
          <w:highlight w:val="none"/>
        </w:rPr>
        <w:t>名称：</w:t>
      </w:r>
      <w:r>
        <w:rPr>
          <w:rFonts w:hint="eastAsia" w:ascii="宋体" w:hAnsi="宋体" w:eastAsia="宋体"/>
          <w:sz w:val="24"/>
          <w:highlight w:val="none"/>
          <w:u w:val="single"/>
          <w:lang w:eastAsia="zh-CN"/>
        </w:rPr>
        <w:t>滁州职业技术学院房屋安全性鉴定项目</w:t>
      </w:r>
      <w:r>
        <w:rPr>
          <w:rFonts w:hint="eastAsia" w:ascii="宋体" w:hAnsi="宋体" w:eastAsia="宋体"/>
          <w:sz w:val="24"/>
          <w:highlight w:val="none"/>
        </w:rPr>
        <w:t>；</w:t>
      </w:r>
    </w:p>
    <w:p w14:paraId="313F6109">
      <w:pPr>
        <w:spacing w:line="360" w:lineRule="auto"/>
        <w:ind w:firstLine="435"/>
        <w:rPr>
          <w:rFonts w:ascii="宋体" w:hAnsi="宋体" w:eastAsia="宋体"/>
          <w:sz w:val="24"/>
          <w:highlight w:val="none"/>
          <w:u w:val="single"/>
        </w:rPr>
      </w:pPr>
      <w:r>
        <w:rPr>
          <w:rFonts w:hint="eastAsia" w:ascii="宋体" w:hAnsi="宋体" w:eastAsia="宋体"/>
          <w:sz w:val="24"/>
          <w:highlight w:val="none"/>
        </w:rPr>
        <w:t>1.2.2服务内容</w:t>
      </w:r>
      <w:r>
        <w:rPr>
          <w:rFonts w:ascii="宋体" w:hAnsi="宋体" w:eastAsia="宋体"/>
          <w:sz w:val="24"/>
          <w:highlight w:val="none"/>
        </w:rPr>
        <w:t>：</w:t>
      </w:r>
      <w:r>
        <w:rPr>
          <w:rFonts w:hint="eastAsia" w:ascii="宋体" w:hAnsi="宋体" w:eastAsia="宋体" w:cs="宋体"/>
          <w:sz w:val="24"/>
          <w:highlight w:val="none"/>
          <w:u w:val="single"/>
          <w:lang w:val="zh-CN"/>
        </w:rPr>
        <w:t>磋商文件</w:t>
      </w:r>
      <w:r>
        <w:rPr>
          <w:rFonts w:hint="eastAsia" w:ascii="宋体" w:hAnsi="宋体" w:eastAsia="宋体" w:cs="宋体"/>
          <w:sz w:val="24"/>
          <w:highlight w:val="none"/>
          <w:u w:val="single"/>
        </w:rPr>
        <w:t>第三章采购需求全部内容</w:t>
      </w:r>
      <w:r>
        <w:rPr>
          <w:rFonts w:hint="eastAsia" w:ascii="宋体" w:hAnsi="宋体" w:eastAsia="宋体"/>
          <w:sz w:val="24"/>
          <w:highlight w:val="none"/>
        </w:rPr>
        <w:t>；</w:t>
      </w:r>
    </w:p>
    <w:p w14:paraId="567D7AF2">
      <w:pPr>
        <w:spacing w:line="360" w:lineRule="auto"/>
        <w:ind w:firstLine="435"/>
        <w:rPr>
          <w:rFonts w:ascii="宋体" w:hAnsi="宋体" w:eastAsia="宋体"/>
          <w:sz w:val="24"/>
          <w:highlight w:val="none"/>
        </w:rPr>
      </w:pPr>
      <w:r>
        <w:rPr>
          <w:rFonts w:hint="eastAsia" w:ascii="宋体" w:hAnsi="宋体" w:eastAsia="宋体"/>
          <w:sz w:val="24"/>
          <w:highlight w:val="none"/>
        </w:rPr>
        <w:t>1.2.3服务质量：</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满足</w:t>
      </w:r>
      <w:r>
        <w:rPr>
          <w:rFonts w:hint="eastAsia" w:cs="Times New Roman" w:asciiTheme="minorEastAsia" w:hAnsiTheme="minorEastAsia" w:eastAsiaTheme="minorEastAsia"/>
          <w:color w:val="000000" w:themeColor="text1"/>
          <w:sz w:val="24"/>
          <w:szCs w:val="24"/>
          <w:highlight w:val="none"/>
          <w:u w:val="single"/>
          <w:lang w:val="zh-CN"/>
          <w14:textFill>
            <w14:solidFill>
              <w14:schemeClr w14:val="tx1"/>
            </w14:solidFill>
          </w14:textFill>
        </w:rPr>
        <w:t>磋商文件</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要求及采购人</w:t>
      </w:r>
      <w:r>
        <w:rPr>
          <w:rFonts w:hint="eastAsia" w:ascii="宋体" w:hAnsi="宋体" w:eastAsia="宋体" w:cs="宋体"/>
          <w:color w:val="000000" w:themeColor="text1"/>
          <w:sz w:val="24"/>
          <w:szCs w:val="24"/>
          <w:highlight w:val="none"/>
          <w:u w:val="single"/>
          <w14:textFill>
            <w14:solidFill>
              <w14:schemeClr w14:val="tx1"/>
            </w14:solidFill>
          </w14:textFill>
        </w:rPr>
        <w:t>相关要求</w:t>
      </w:r>
      <w:r>
        <w:rPr>
          <w:rFonts w:hint="eastAsia" w:ascii="宋体" w:hAnsi="宋体" w:eastAsia="宋体"/>
          <w:sz w:val="24"/>
          <w:highlight w:val="none"/>
        </w:rPr>
        <w:t>。</w:t>
      </w:r>
    </w:p>
    <w:p w14:paraId="682EBAE7">
      <w:pPr>
        <w:spacing w:line="360" w:lineRule="auto"/>
        <w:ind w:firstLine="437"/>
        <w:outlineLvl w:val="2"/>
        <w:rPr>
          <w:rFonts w:ascii="宋体" w:hAnsi="宋体" w:eastAsia="宋体"/>
          <w:b/>
          <w:bCs/>
          <w:sz w:val="24"/>
          <w:highlight w:val="none"/>
          <w:lang w:val="zh-CN"/>
        </w:rPr>
      </w:pPr>
      <w:bookmarkStart w:id="47" w:name="_Toc21551"/>
      <w:bookmarkStart w:id="48" w:name="_Toc21631"/>
      <w:bookmarkStart w:id="49" w:name="_Toc23292"/>
      <w:r>
        <w:rPr>
          <w:rFonts w:hint="eastAsia" w:ascii="宋体" w:hAnsi="宋体" w:eastAsia="宋体"/>
          <w:b/>
          <w:bCs/>
          <w:sz w:val="24"/>
          <w:highlight w:val="none"/>
          <w:lang w:val="zh-CN"/>
        </w:rPr>
        <w:t>1.</w:t>
      </w:r>
      <w:r>
        <w:rPr>
          <w:rFonts w:ascii="宋体" w:hAnsi="宋体" w:eastAsia="宋体"/>
          <w:b/>
          <w:bCs/>
          <w:sz w:val="24"/>
          <w:highlight w:val="none"/>
          <w:lang w:val="zh-CN"/>
        </w:rPr>
        <w:t xml:space="preserve">3 </w:t>
      </w:r>
      <w:r>
        <w:rPr>
          <w:rFonts w:hint="eastAsia" w:ascii="宋体" w:hAnsi="宋体" w:eastAsia="宋体"/>
          <w:b/>
          <w:bCs/>
          <w:sz w:val="24"/>
          <w:highlight w:val="none"/>
          <w:lang w:val="zh-CN"/>
        </w:rPr>
        <w:t>价款</w:t>
      </w:r>
      <w:bookmarkEnd w:id="47"/>
      <w:bookmarkEnd w:id="48"/>
      <w:bookmarkEnd w:id="49"/>
    </w:p>
    <w:p w14:paraId="5837E2CD">
      <w:pPr>
        <w:spacing w:line="360" w:lineRule="auto"/>
        <w:ind w:firstLine="435"/>
        <w:rPr>
          <w:rFonts w:ascii="宋体" w:hAnsi="宋体" w:eastAsia="宋体"/>
          <w:sz w:val="24"/>
          <w:highlight w:val="none"/>
        </w:rPr>
      </w:pPr>
      <w:r>
        <w:rPr>
          <w:rFonts w:ascii="宋体" w:hAnsi="宋体" w:eastAsia="宋体"/>
          <w:sz w:val="24"/>
          <w:highlight w:val="none"/>
        </w:rPr>
        <w:t>本合同总价为</w:t>
      </w:r>
      <w:r>
        <w:rPr>
          <w:rFonts w:hint="eastAsia" w:ascii="宋体" w:hAnsi="宋体" w:eastAsia="宋体"/>
          <w:sz w:val="24"/>
          <w:highlight w:val="none"/>
        </w:rPr>
        <w:t>：￥</w:t>
      </w:r>
      <w:r>
        <w:rPr>
          <w:rFonts w:hint="eastAsia" w:ascii="宋体" w:hAnsi="宋体" w:eastAsia="宋体"/>
          <w:sz w:val="24"/>
          <w:highlight w:val="none"/>
          <w:u w:val="single"/>
        </w:rPr>
        <w:t xml:space="preserve">           </w:t>
      </w:r>
      <w:r>
        <w:rPr>
          <w:rFonts w:ascii="宋体" w:hAnsi="宋体" w:eastAsia="宋体"/>
          <w:sz w:val="24"/>
          <w:highlight w:val="none"/>
        </w:rPr>
        <w:t>元</w:t>
      </w:r>
      <w:r>
        <w:rPr>
          <w:rFonts w:hint="eastAsia" w:ascii="宋体" w:hAnsi="宋体" w:eastAsia="宋体"/>
          <w:sz w:val="24"/>
          <w:highlight w:val="none"/>
        </w:rPr>
        <w:t>（大写：人民币</w:t>
      </w:r>
      <w:r>
        <w:rPr>
          <w:rFonts w:hint="eastAsia" w:ascii="宋体" w:hAnsi="宋体" w:eastAsia="宋体"/>
          <w:sz w:val="24"/>
          <w:highlight w:val="none"/>
          <w:u w:val="single"/>
        </w:rPr>
        <w:t xml:space="preserve">                 </w:t>
      </w:r>
      <w:r>
        <w:rPr>
          <w:rFonts w:hint="eastAsia" w:ascii="宋体" w:hAnsi="宋体" w:eastAsia="宋体"/>
          <w:sz w:val="24"/>
          <w:highlight w:val="none"/>
        </w:rPr>
        <w:t>元）</w:t>
      </w:r>
      <w:r>
        <w:rPr>
          <w:rFonts w:ascii="宋体" w:hAnsi="宋体" w:eastAsia="宋体"/>
          <w:sz w:val="24"/>
          <w:highlight w:val="none"/>
        </w:rPr>
        <w:t>。</w:t>
      </w:r>
    </w:p>
    <w:p w14:paraId="15139D19">
      <w:pPr>
        <w:spacing w:line="360" w:lineRule="auto"/>
        <w:ind w:firstLine="435"/>
        <w:rPr>
          <w:rFonts w:ascii="宋体" w:hAnsi="宋体" w:eastAsia="宋体"/>
          <w:sz w:val="24"/>
          <w:highlight w:val="none"/>
          <w:u w:val="single"/>
        </w:rPr>
      </w:pPr>
      <w:r>
        <w:rPr>
          <w:rFonts w:ascii="宋体" w:hAnsi="宋体" w:eastAsia="宋体"/>
          <w:sz w:val="24"/>
          <w:highlight w:val="none"/>
        </w:rPr>
        <w:t>分项价格：</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4316"/>
        <w:gridCol w:w="12"/>
        <w:gridCol w:w="3225"/>
        <w:gridCol w:w="12"/>
      </w:tblGrid>
      <w:tr w14:paraId="385E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2622C0E8">
            <w:pPr>
              <w:keepNext w:val="0"/>
              <w:keepLines w:val="0"/>
              <w:suppressLineNumbers w:val="0"/>
              <w:spacing w:before="0" w:beforeAutospacing="0" w:after="0" w:afterAutospacing="0"/>
              <w:ind w:left="0" w:right="0"/>
              <w:jc w:val="center"/>
              <w:rPr>
                <w:rFonts w:hint="default" w:ascii="宋体" w:hAnsi="宋体" w:eastAsia="宋体"/>
                <w:sz w:val="24"/>
                <w:szCs w:val="20"/>
                <w:highlight w:val="none"/>
                <w:lang w:val="zh-CN"/>
              </w:rPr>
            </w:pPr>
            <w:r>
              <w:rPr>
                <w:rFonts w:hint="default" w:ascii="宋体" w:hAnsi="宋体" w:eastAsia="宋体"/>
                <w:sz w:val="24"/>
                <w:szCs w:val="20"/>
                <w:highlight w:val="none"/>
                <w:lang w:val="zh-CN"/>
              </w:rPr>
              <w:t>序号</w:t>
            </w:r>
          </w:p>
        </w:tc>
        <w:tc>
          <w:tcPr>
            <w:tcW w:w="2532" w:type="pct"/>
            <w:vAlign w:val="center"/>
          </w:tcPr>
          <w:p w14:paraId="4B45132D">
            <w:pPr>
              <w:pStyle w:val="56"/>
              <w:keepNext w:val="0"/>
              <w:keepLines w:val="0"/>
              <w:suppressLineNumbers w:val="0"/>
              <w:spacing w:before="0" w:beforeAutospacing="0" w:after="0" w:afterAutospacing="0"/>
              <w:ind w:left="0" w:right="0" w:firstLine="200"/>
              <w:jc w:val="center"/>
              <w:rPr>
                <w:rFonts w:hint="default" w:ascii="宋体" w:hAnsi="宋体" w:eastAsia="宋体"/>
                <w:sz w:val="24"/>
                <w:szCs w:val="24"/>
                <w:highlight w:val="none"/>
              </w:rPr>
            </w:pPr>
            <w:r>
              <w:rPr>
                <w:rFonts w:hint="eastAsia" w:ascii="宋体" w:hAnsi="宋体" w:eastAsia="宋体"/>
                <w:sz w:val="24"/>
                <w:szCs w:val="24"/>
                <w:highlight w:val="none"/>
              </w:rPr>
              <w:t>分项名称</w:t>
            </w:r>
          </w:p>
        </w:tc>
        <w:tc>
          <w:tcPr>
            <w:tcW w:w="1899" w:type="pct"/>
            <w:gridSpan w:val="2"/>
            <w:vAlign w:val="center"/>
          </w:tcPr>
          <w:p w14:paraId="513D0FEE">
            <w:pPr>
              <w:pStyle w:val="56"/>
              <w:keepNext w:val="0"/>
              <w:keepLines w:val="0"/>
              <w:suppressLineNumbers w:val="0"/>
              <w:spacing w:before="0" w:beforeAutospacing="0" w:after="0" w:afterAutospacing="0"/>
              <w:ind w:left="0" w:right="0"/>
              <w:jc w:val="center"/>
              <w:rPr>
                <w:rFonts w:hint="default" w:ascii="宋体" w:hAnsi="宋体" w:eastAsia="宋体"/>
                <w:sz w:val="24"/>
                <w:szCs w:val="24"/>
                <w:highlight w:val="none"/>
              </w:rPr>
            </w:pPr>
            <w:r>
              <w:rPr>
                <w:rFonts w:hint="default" w:ascii="宋体" w:hAnsi="宋体" w:eastAsia="宋体"/>
                <w:sz w:val="24"/>
                <w:szCs w:val="24"/>
                <w:highlight w:val="none"/>
              </w:rPr>
              <w:t>分项价格</w:t>
            </w:r>
          </w:p>
        </w:tc>
      </w:tr>
      <w:tr w14:paraId="145F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F47BF36">
            <w:pPr>
              <w:keepNext w:val="0"/>
              <w:keepLines w:val="0"/>
              <w:suppressLineNumbers w:val="0"/>
              <w:spacing w:before="0" w:beforeAutospacing="0" w:after="0" w:afterAutospacing="0"/>
              <w:ind w:left="0" w:right="0"/>
              <w:jc w:val="center"/>
              <w:rPr>
                <w:rFonts w:hint="default" w:ascii="宋体" w:hAnsi="宋体" w:eastAsia="宋体"/>
                <w:sz w:val="24"/>
                <w:szCs w:val="20"/>
                <w:highlight w:val="none"/>
                <w:lang w:val="zh-CN"/>
              </w:rPr>
            </w:pPr>
            <w:r>
              <w:rPr>
                <w:rFonts w:hint="eastAsia" w:ascii="宋体" w:hAnsi="宋体" w:eastAsia="宋体"/>
                <w:sz w:val="24"/>
                <w:szCs w:val="20"/>
                <w:highlight w:val="none"/>
                <w:lang w:val="zh-CN"/>
              </w:rPr>
              <w:t>1</w:t>
            </w:r>
          </w:p>
        </w:tc>
        <w:tc>
          <w:tcPr>
            <w:tcW w:w="2532" w:type="pct"/>
            <w:vAlign w:val="center"/>
          </w:tcPr>
          <w:p w14:paraId="541887E1">
            <w:pPr>
              <w:pStyle w:val="56"/>
              <w:keepNext w:val="0"/>
              <w:keepLines w:val="0"/>
              <w:suppressLineNumbers w:val="0"/>
              <w:spacing w:before="0" w:beforeAutospacing="0" w:after="0" w:afterAutospacing="0"/>
              <w:ind w:left="0" w:right="0" w:firstLine="200"/>
              <w:jc w:val="center"/>
              <w:rPr>
                <w:rFonts w:hint="default" w:ascii="宋体" w:hAnsi="宋体" w:eastAsia="宋体"/>
                <w:sz w:val="24"/>
                <w:szCs w:val="24"/>
                <w:highlight w:val="none"/>
              </w:rPr>
            </w:pPr>
          </w:p>
        </w:tc>
        <w:tc>
          <w:tcPr>
            <w:tcW w:w="1899" w:type="pct"/>
            <w:gridSpan w:val="2"/>
            <w:vAlign w:val="center"/>
          </w:tcPr>
          <w:p w14:paraId="6C01EFC6">
            <w:pPr>
              <w:pStyle w:val="56"/>
              <w:keepNext w:val="0"/>
              <w:keepLines w:val="0"/>
              <w:suppressLineNumbers w:val="0"/>
              <w:spacing w:before="0" w:beforeAutospacing="0" w:after="0" w:afterAutospacing="0"/>
              <w:ind w:left="0" w:right="0" w:firstLine="200"/>
              <w:jc w:val="center"/>
              <w:rPr>
                <w:rFonts w:hint="default" w:ascii="宋体" w:hAnsi="宋体" w:eastAsia="宋体"/>
                <w:sz w:val="24"/>
                <w:szCs w:val="24"/>
                <w:highlight w:val="none"/>
              </w:rPr>
            </w:pPr>
          </w:p>
        </w:tc>
      </w:tr>
      <w:tr w14:paraId="4685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9ECAB5E">
            <w:pPr>
              <w:keepNext w:val="0"/>
              <w:keepLines w:val="0"/>
              <w:suppressLineNumbers w:val="0"/>
              <w:spacing w:before="0" w:beforeAutospacing="0" w:after="0" w:afterAutospacing="0"/>
              <w:ind w:left="0" w:right="0"/>
              <w:jc w:val="center"/>
              <w:rPr>
                <w:rFonts w:hint="default" w:ascii="宋体" w:hAnsi="宋体" w:eastAsia="宋体"/>
                <w:sz w:val="24"/>
                <w:szCs w:val="20"/>
                <w:highlight w:val="none"/>
                <w:lang w:val="zh-CN"/>
              </w:rPr>
            </w:pPr>
            <w:r>
              <w:rPr>
                <w:rFonts w:hint="eastAsia" w:ascii="宋体" w:hAnsi="宋体" w:eastAsia="宋体"/>
                <w:sz w:val="24"/>
                <w:szCs w:val="20"/>
                <w:highlight w:val="none"/>
                <w:lang w:val="zh-CN"/>
              </w:rPr>
              <w:t>2</w:t>
            </w:r>
          </w:p>
        </w:tc>
        <w:tc>
          <w:tcPr>
            <w:tcW w:w="2532" w:type="pct"/>
            <w:vAlign w:val="center"/>
          </w:tcPr>
          <w:p w14:paraId="412B7499">
            <w:pPr>
              <w:pStyle w:val="56"/>
              <w:keepNext w:val="0"/>
              <w:keepLines w:val="0"/>
              <w:suppressLineNumbers w:val="0"/>
              <w:spacing w:before="0" w:beforeAutospacing="0" w:after="0" w:afterAutospacing="0"/>
              <w:ind w:left="0" w:right="0" w:firstLine="200"/>
              <w:jc w:val="center"/>
              <w:rPr>
                <w:rFonts w:hint="default" w:ascii="宋体" w:hAnsi="宋体" w:eastAsia="宋体"/>
                <w:sz w:val="24"/>
                <w:szCs w:val="24"/>
                <w:highlight w:val="none"/>
              </w:rPr>
            </w:pPr>
          </w:p>
        </w:tc>
        <w:tc>
          <w:tcPr>
            <w:tcW w:w="1899" w:type="pct"/>
            <w:gridSpan w:val="2"/>
            <w:vAlign w:val="center"/>
          </w:tcPr>
          <w:p w14:paraId="03DBD819">
            <w:pPr>
              <w:pStyle w:val="56"/>
              <w:keepNext w:val="0"/>
              <w:keepLines w:val="0"/>
              <w:suppressLineNumbers w:val="0"/>
              <w:spacing w:before="0" w:beforeAutospacing="0" w:after="0" w:afterAutospacing="0"/>
              <w:ind w:left="0" w:right="0" w:firstLine="200"/>
              <w:jc w:val="center"/>
              <w:rPr>
                <w:rFonts w:hint="default" w:ascii="宋体" w:hAnsi="宋体" w:eastAsia="宋体"/>
                <w:sz w:val="24"/>
                <w:szCs w:val="24"/>
                <w:highlight w:val="none"/>
              </w:rPr>
            </w:pPr>
          </w:p>
        </w:tc>
      </w:tr>
      <w:tr w14:paraId="17EC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CDE2FB8">
            <w:pPr>
              <w:keepNext w:val="0"/>
              <w:keepLines w:val="0"/>
              <w:suppressLineNumbers w:val="0"/>
              <w:spacing w:before="0" w:beforeAutospacing="0" w:after="0" w:afterAutospacing="0"/>
              <w:ind w:left="0" w:right="0"/>
              <w:jc w:val="center"/>
              <w:rPr>
                <w:rFonts w:hint="default" w:ascii="宋体" w:hAnsi="宋体" w:eastAsia="宋体"/>
                <w:sz w:val="24"/>
                <w:szCs w:val="20"/>
                <w:highlight w:val="none"/>
                <w:lang w:val="zh-CN"/>
              </w:rPr>
            </w:pPr>
            <w:r>
              <w:rPr>
                <w:rFonts w:hint="default" w:ascii="宋体" w:hAnsi="宋体" w:eastAsia="宋体"/>
                <w:sz w:val="24"/>
                <w:szCs w:val="20"/>
                <w:highlight w:val="none"/>
                <w:lang w:val="zh-CN"/>
              </w:rPr>
              <w:t>3</w:t>
            </w:r>
          </w:p>
        </w:tc>
        <w:tc>
          <w:tcPr>
            <w:tcW w:w="2532" w:type="pct"/>
            <w:vAlign w:val="center"/>
          </w:tcPr>
          <w:p w14:paraId="735A8E5B">
            <w:pPr>
              <w:pStyle w:val="56"/>
              <w:keepNext w:val="0"/>
              <w:keepLines w:val="0"/>
              <w:suppressLineNumbers w:val="0"/>
              <w:spacing w:before="0" w:beforeAutospacing="0" w:after="0" w:afterAutospacing="0"/>
              <w:ind w:left="0" w:right="0" w:firstLine="200"/>
              <w:jc w:val="center"/>
              <w:rPr>
                <w:rFonts w:hint="default" w:ascii="宋体" w:hAnsi="宋体" w:eastAsia="宋体"/>
                <w:sz w:val="24"/>
                <w:szCs w:val="24"/>
                <w:highlight w:val="none"/>
              </w:rPr>
            </w:pPr>
          </w:p>
        </w:tc>
        <w:tc>
          <w:tcPr>
            <w:tcW w:w="1899" w:type="pct"/>
            <w:gridSpan w:val="2"/>
            <w:vAlign w:val="center"/>
          </w:tcPr>
          <w:p w14:paraId="1E0C3E2C">
            <w:pPr>
              <w:pStyle w:val="56"/>
              <w:keepNext w:val="0"/>
              <w:keepLines w:val="0"/>
              <w:suppressLineNumbers w:val="0"/>
              <w:spacing w:before="0" w:beforeAutospacing="0" w:after="0" w:afterAutospacing="0"/>
              <w:ind w:left="0" w:right="0" w:firstLine="200"/>
              <w:jc w:val="center"/>
              <w:rPr>
                <w:rFonts w:hint="default" w:ascii="宋体" w:hAnsi="宋体" w:eastAsia="宋体"/>
                <w:sz w:val="24"/>
                <w:szCs w:val="24"/>
                <w:highlight w:val="none"/>
              </w:rPr>
            </w:pPr>
          </w:p>
        </w:tc>
      </w:tr>
      <w:tr w14:paraId="695F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EE40221">
            <w:pPr>
              <w:keepNext w:val="0"/>
              <w:keepLines w:val="0"/>
              <w:suppressLineNumbers w:val="0"/>
              <w:spacing w:before="0" w:beforeAutospacing="0" w:after="0" w:afterAutospacing="0"/>
              <w:ind w:left="0" w:right="0"/>
              <w:jc w:val="center"/>
              <w:rPr>
                <w:rFonts w:hint="default" w:ascii="宋体" w:hAnsi="宋体" w:eastAsia="宋体"/>
                <w:sz w:val="24"/>
                <w:szCs w:val="20"/>
                <w:highlight w:val="none"/>
                <w:lang w:val="zh-CN"/>
              </w:rPr>
            </w:pPr>
            <w:r>
              <w:rPr>
                <w:rFonts w:hint="eastAsia" w:ascii="宋体" w:hAnsi="宋体" w:eastAsia="宋体"/>
                <w:sz w:val="24"/>
                <w:szCs w:val="20"/>
                <w:highlight w:val="none"/>
                <w:lang w:val="zh-CN"/>
              </w:rPr>
              <w:t>……</w:t>
            </w:r>
          </w:p>
        </w:tc>
        <w:tc>
          <w:tcPr>
            <w:tcW w:w="2532" w:type="pct"/>
            <w:vAlign w:val="center"/>
          </w:tcPr>
          <w:p w14:paraId="77D01260">
            <w:pPr>
              <w:pStyle w:val="56"/>
              <w:keepNext w:val="0"/>
              <w:keepLines w:val="0"/>
              <w:suppressLineNumbers w:val="0"/>
              <w:spacing w:before="0" w:beforeAutospacing="0" w:after="0" w:afterAutospacing="0"/>
              <w:ind w:left="0" w:right="0" w:firstLine="200"/>
              <w:jc w:val="center"/>
              <w:rPr>
                <w:rFonts w:hint="default" w:ascii="宋体" w:hAnsi="宋体" w:eastAsia="宋体"/>
                <w:sz w:val="24"/>
                <w:szCs w:val="24"/>
                <w:highlight w:val="none"/>
              </w:rPr>
            </w:pPr>
          </w:p>
        </w:tc>
        <w:tc>
          <w:tcPr>
            <w:tcW w:w="1899" w:type="pct"/>
            <w:gridSpan w:val="2"/>
            <w:vAlign w:val="center"/>
          </w:tcPr>
          <w:p w14:paraId="0564B603">
            <w:pPr>
              <w:pStyle w:val="56"/>
              <w:keepNext w:val="0"/>
              <w:keepLines w:val="0"/>
              <w:suppressLineNumbers w:val="0"/>
              <w:spacing w:before="0" w:beforeAutospacing="0" w:after="0" w:afterAutospacing="0"/>
              <w:ind w:left="0" w:right="0" w:firstLine="200"/>
              <w:jc w:val="center"/>
              <w:rPr>
                <w:rFonts w:hint="default" w:ascii="宋体" w:hAnsi="宋体" w:eastAsia="宋体"/>
                <w:sz w:val="24"/>
                <w:szCs w:val="24"/>
                <w:highlight w:val="none"/>
              </w:rPr>
            </w:pPr>
          </w:p>
        </w:tc>
      </w:tr>
      <w:tr w14:paraId="2B0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78C96820">
            <w:pPr>
              <w:pStyle w:val="56"/>
              <w:keepNext w:val="0"/>
              <w:keepLines w:val="0"/>
              <w:suppressLineNumbers w:val="0"/>
              <w:spacing w:before="0" w:beforeAutospacing="0" w:after="0" w:afterAutospacing="0"/>
              <w:ind w:left="0" w:right="0" w:firstLine="200"/>
              <w:jc w:val="center"/>
              <w:rPr>
                <w:rFonts w:hint="default" w:ascii="宋体" w:hAnsi="宋体" w:eastAsia="宋体"/>
                <w:sz w:val="24"/>
                <w:szCs w:val="24"/>
                <w:highlight w:val="none"/>
              </w:rPr>
            </w:pPr>
            <w:r>
              <w:rPr>
                <w:rFonts w:hint="eastAsia" w:ascii="宋体" w:hAnsi="宋体" w:eastAsia="宋体"/>
                <w:sz w:val="24"/>
                <w:szCs w:val="24"/>
                <w:highlight w:val="none"/>
              </w:rPr>
              <w:t>总价</w:t>
            </w:r>
          </w:p>
        </w:tc>
        <w:tc>
          <w:tcPr>
            <w:tcW w:w="1899" w:type="pct"/>
            <w:gridSpan w:val="2"/>
            <w:vAlign w:val="center"/>
          </w:tcPr>
          <w:p w14:paraId="396B454A">
            <w:pPr>
              <w:pStyle w:val="56"/>
              <w:keepNext w:val="0"/>
              <w:keepLines w:val="0"/>
              <w:suppressLineNumbers w:val="0"/>
              <w:spacing w:before="0" w:beforeAutospacing="0" w:after="0" w:afterAutospacing="0"/>
              <w:ind w:left="0" w:right="0" w:firstLine="200"/>
              <w:jc w:val="center"/>
              <w:rPr>
                <w:rFonts w:hint="default" w:ascii="宋体" w:hAnsi="宋体" w:eastAsia="宋体"/>
                <w:sz w:val="24"/>
                <w:szCs w:val="24"/>
                <w:highlight w:val="none"/>
              </w:rPr>
            </w:pPr>
          </w:p>
        </w:tc>
      </w:tr>
    </w:tbl>
    <w:p w14:paraId="061275F7">
      <w:pPr>
        <w:spacing w:line="360" w:lineRule="auto"/>
        <w:ind w:firstLine="437"/>
        <w:outlineLvl w:val="2"/>
        <w:rPr>
          <w:rFonts w:ascii="宋体" w:hAnsi="宋体" w:eastAsia="宋体"/>
          <w:b/>
          <w:bCs/>
          <w:sz w:val="24"/>
          <w:highlight w:val="none"/>
          <w:lang w:val="zh-CN"/>
        </w:rPr>
      </w:pPr>
      <w:bookmarkStart w:id="50" w:name="_Toc1814"/>
      <w:bookmarkStart w:id="51" w:name="_Toc22618"/>
      <w:bookmarkStart w:id="52" w:name="_Toc10340"/>
      <w:r>
        <w:rPr>
          <w:rFonts w:hint="eastAsia" w:ascii="宋体" w:hAnsi="宋体" w:eastAsia="宋体"/>
          <w:b/>
          <w:bCs/>
          <w:sz w:val="24"/>
          <w:highlight w:val="none"/>
          <w:lang w:val="zh-CN"/>
        </w:rPr>
        <w:t>1.</w:t>
      </w:r>
      <w:r>
        <w:rPr>
          <w:rFonts w:ascii="宋体" w:hAnsi="宋体" w:eastAsia="宋体"/>
          <w:b/>
          <w:bCs/>
          <w:sz w:val="24"/>
          <w:highlight w:val="none"/>
          <w:lang w:val="zh-CN"/>
        </w:rPr>
        <w:t>4 付款方式和发票开具方式</w:t>
      </w:r>
      <w:bookmarkEnd w:id="50"/>
      <w:bookmarkEnd w:id="51"/>
      <w:bookmarkEnd w:id="52"/>
    </w:p>
    <w:p w14:paraId="71BA608B">
      <w:pPr>
        <w:spacing w:line="360" w:lineRule="auto"/>
        <w:ind w:firstLine="435"/>
        <w:rPr>
          <w:rFonts w:ascii="宋体" w:hAnsi="宋体" w:eastAsia="宋体"/>
          <w:sz w:val="24"/>
          <w:highlight w:val="none"/>
        </w:rPr>
      </w:pPr>
      <w:r>
        <w:rPr>
          <w:rFonts w:hint="eastAsia" w:ascii="宋体" w:hAnsi="宋体" w:eastAsia="宋体"/>
          <w:sz w:val="24"/>
          <w:highlight w:val="none"/>
        </w:rPr>
        <w:t>1.4.1</w:t>
      </w:r>
      <w:r>
        <w:rPr>
          <w:rFonts w:ascii="宋体" w:hAnsi="宋体" w:eastAsia="宋体"/>
          <w:sz w:val="24"/>
          <w:highlight w:val="none"/>
        </w:rPr>
        <w:t>付款方式：</w:t>
      </w:r>
      <w:r>
        <w:rPr>
          <w:rFonts w:hint="eastAsia" w:ascii="宋体" w:hAnsi="宋体" w:eastAsia="宋体"/>
          <w:sz w:val="24"/>
          <w:highlight w:val="none"/>
          <w:u w:val="single"/>
          <w:lang w:val="en-US" w:eastAsia="zh-CN"/>
        </w:rPr>
        <w:t xml:space="preserve">                                               </w:t>
      </w:r>
      <w:r>
        <w:rPr>
          <w:rFonts w:hint="eastAsia" w:ascii="宋体" w:hAnsi="宋体" w:eastAsia="宋体"/>
          <w:sz w:val="24"/>
          <w:highlight w:val="none"/>
        </w:rPr>
        <w:t>；</w:t>
      </w:r>
    </w:p>
    <w:p w14:paraId="4EF80F62">
      <w:pPr>
        <w:spacing w:line="360" w:lineRule="auto"/>
        <w:ind w:firstLine="435"/>
        <w:rPr>
          <w:rFonts w:ascii="宋体" w:hAnsi="宋体" w:eastAsia="宋体"/>
          <w:sz w:val="24"/>
          <w:highlight w:val="none"/>
        </w:rPr>
      </w:pPr>
      <w:r>
        <w:rPr>
          <w:rFonts w:hint="eastAsia" w:ascii="宋体" w:hAnsi="宋体" w:eastAsia="宋体"/>
          <w:sz w:val="24"/>
          <w:highlight w:val="none"/>
        </w:rPr>
        <w:t>1.4.2发票开具方式：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220564D3">
      <w:pPr>
        <w:spacing w:line="360" w:lineRule="auto"/>
        <w:ind w:firstLine="437"/>
        <w:outlineLvl w:val="2"/>
        <w:rPr>
          <w:rFonts w:ascii="宋体" w:hAnsi="宋体" w:eastAsia="宋体"/>
          <w:b/>
          <w:bCs/>
          <w:sz w:val="24"/>
          <w:highlight w:val="none"/>
          <w:lang w:val="zh-CN"/>
        </w:rPr>
      </w:pPr>
      <w:bookmarkStart w:id="53" w:name="_Toc32071"/>
      <w:bookmarkStart w:id="54" w:name="_Toc19304"/>
      <w:bookmarkStart w:id="55" w:name="_Toc2846"/>
      <w:r>
        <w:rPr>
          <w:rFonts w:hint="eastAsia" w:ascii="宋体" w:hAnsi="宋体" w:eastAsia="宋体"/>
          <w:b/>
          <w:bCs/>
          <w:sz w:val="24"/>
          <w:highlight w:val="none"/>
          <w:lang w:val="zh-CN"/>
        </w:rPr>
        <w:t>1.</w:t>
      </w:r>
      <w:r>
        <w:rPr>
          <w:rFonts w:ascii="宋体" w:hAnsi="宋体" w:eastAsia="宋体"/>
          <w:b/>
          <w:bCs/>
          <w:sz w:val="24"/>
          <w:highlight w:val="none"/>
          <w:lang w:val="zh-CN"/>
        </w:rPr>
        <w:t xml:space="preserve">5 </w:t>
      </w:r>
      <w:r>
        <w:rPr>
          <w:rFonts w:hint="eastAsia" w:ascii="宋体" w:hAnsi="宋体" w:eastAsia="宋体"/>
          <w:b/>
          <w:bCs/>
          <w:sz w:val="24"/>
          <w:highlight w:val="none"/>
          <w:lang w:val="zh-CN"/>
        </w:rPr>
        <w:t>服务</w:t>
      </w:r>
      <w:r>
        <w:rPr>
          <w:rFonts w:ascii="宋体" w:hAnsi="宋体" w:eastAsia="宋体"/>
          <w:b/>
          <w:bCs/>
          <w:sz w:val="24"/>
          <w:highlight w:val="none"/>
          <w:lang w:val="zh-CN"/>
        </w:rPr>
        <w:t>期限</w:t>
      </w:r>
      <w:r>
        <w:rPr>
          <w:rFonts w:hint="eastAsia" w:ascii="宋体" w:hAnsi="宋体" w:eastAsia="宋体"/>
          <w:b/>
          <w:bCs/>
          <w:sz w:val="24"/>
          <w:highlight w:val="none"/>
          <w:lang w:val="zh-CN"/>
        </w:rPr>
        <w:t>、地点和方式</w:t>
      </w:r>
      <w:bookmarkEnd w:id="53"/>
      <w:bookmarkEnd w:id="54"/>
      <w:bookmarkEnd w:id="55"/>
    </w:p>
    <w:p w14:paraId="52FD8320">
      <w:pPr>
        <w:spacing w:line="360" w:lineRule="auto"/>
        <w:ind w:firstLine="435"/>
        <w:rPr>
          <w:rFonts w:ascii="宋体" w:hAnsi="宋体" w:eastAsia="宋体"/>
          <w:sz w:val="24"/>
          <w:highlight w:val="none"/>
          <w:u w:val="single"/>
        </w:rPr>
      </w:pPr>
      <w:r>
        <w:rPr>
          <w:rFonts w:hint="eastAsia" w:ascii="宋体" w:hAnsi="宋体" w:eastAsia="宋体"/>
          <w:sz w:val="24"/>
          <w:highlight w:val="none"/>
        </w:rPr>
        <w:t>1.5.1服务期限</w:t>
      </w:r>
      <w:r>
        <w:rPr>
          <w:rFonts w:ascii="宋体" w:hAnsi="宋体" w:eastAsia="宋体"/>
          <w:sz w:val="24"/>
          <w:highlight w:val="none"/>
        </w:rPr>
        <w:t>：</w:t>
      </w:r>
      <w:r>
        <w:rPr>
          <w:rFonts w:hint="eastAsia" w:ascii="宋体" w:hAnsi="宋体" w:eastAsia="宋体"/>
          <w:sz w:val="24"/>
          <w:highlight w:val="none"/>
          <w:u w:val="single"/>
          <w:lang w:val="en-US" w:eastAsia="zh-CN"/>
        </w:rPr>
        <w:t xml:space="preserve">             </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78834CCF">
      <w:pPr>
        <w:spacing w:line="360" w:lineRule="auto"/>
        <w:ind w:firstLine="435"/>
        <w:rPr>
          <w:rFonts w:ascii="宋体" w:hAnsi="宋体" w:eastAsia="宋体"/>
          <w:sz w:val="24"/>
          <w:highlight w:val="none"/>
        </w:rPr>
      </w:pPr>
      <w:r>
        <w:rPr>
          <w:rFonts w:hint="eastAsia" w:ascii="宋体" w:hAnsi="宋体" w:eastAsia="宋体"/>
          <w:sz w:val="24"/>
          <w:highlight w:val="none"/>
        </w:rPr>
        <w:t>1.5.2服务地点</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甲方指定地点</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0C9EDF90">
      <w:pPr>
        <w:spacing w:line="360" w:lineRule="auto"/>
        <w:ind w:firstLine="435"/>
        <w:rPr>
          <w:rFonts w:ascii="宋体" w:hAnsi="宋体" w:eastAsia="宋体"/>
          <w:sz w:val="24"/>
          <w:highlight w:val="none"/>
        </w:rPr>
      </w:pPr>
      <w:r>
        <w:rPr>
          <w:rFonts w:hint="eastAsia" w:ascii="宋体" w:hAnsi="宋体" w:eastAsia="宋体"/>
          <w:sz w:val="24"/>
          <w:highlight w:val="none"/>
        </w:rPr>
        <w:t>1.5.3服务方式：</w:t>
      </w:r>
      <w:r>
        <w:rPr>
          <w:rFonts w:hint="eastAsia" w:ascii="宋体" w:hAnsi="宋体" w:eastAsia="宋体"/>
          <w:sz w:val="24"/>
          <w:highlight w:val="none"/>
          <w:u w:val="single"/>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甲方指定方式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022B4E2C">
      <w:pPr>
        <w:spacing w:line="360" w:lineRule="auto"/>
        <w:ind w:firstLine="437"/>
        <w:outlineLvl w:val="2"/>
        <w:rPr>
          <w:rFonts w:ascii="宋体" w:hAnsi="宋体" w:eastAsia="宋体"/>
          <w:b/>
          <w:bCs/>
          <w:sz w:val="24"/>
          <w:highlight w:val="none"/>
          <w:lang w:val="zh-CN"/>
        </w:rPr>
      </w:pPr>
      <w:bookmarkStart w:id="56" w:name="_Toc19554"/>
      <w:bookmarkStart w:id="57" w:name="_Toc27250"/>
      <w:bookmarkStart w:id="58" w:name="_Toc21423"/>
      <w:r>
        <w:rPr>
          <w:rFonts w:hint="eastAsia" w:ascii="宋体" w:hAnsi="宋体" w:eastAsia="宋体"/>
          <w:b/>
          <w:bCs/>
          <w:sz w:val="24"/>
          <w:highlight w:val="none"/>
          <w:lang w:val="zh-CN"/>
        </w:rPr>
        <w:t>1.6 违约责任</w:t>
      </w:r>
      <w:bookmarkEnd w:id="56"/>
      <w:bookmarkEnd w:id="57"/>
      <w:bookmarkEnd w:id="58"/>
    </w:p>
    <w:p w14:paraId="4AA07172">
      <w:pPr>
        <w:spacing w:line="360" w:lineRule="auto"/>
        <w:ind w:firstLine="435"/>
        <w:rPr>
          <w:rFonts w:ascii="宋体" w:hAnsi="宋体" w:eastAsia="宋体"/>
          <w:sz w:val="24"/>
          <w:highlight w:val="none"/>
        </w:rPr>
      </w:pPr>
      <w:r>
        <w:rPr>
          <w:rFonts w:hint="eastAsia" w:ascii="宋体" w:hAnsi="宋体" w:eastAsia="宋体"/>
          <w:sz w:val="24"/>
          <w:highlight w:val="none"/>
        </w:rPr>
        <w:t>1.6.1</w:t>
      </w:r>
      <w:r>
        <w:rPr>
          <w:rFonts w:ascii="宋体" w:hAnsi="宋体" w:eastAsia="宋体"/>
          <w:sz w:val="24"/>
          <w:highlight w:val="none"/>
        </w:rPr>
        <w:t>除不可抗力外，如果乙方没有按照本合同约定的期限</w:t>
      </w:r>
      <w:r>
        <w:rPr>
          <w:rFonts w:hint="eastAsia" w:ascii="宋体" w:hAnsi="宋体" w:eastAsia="宋体"/>
          <w:sz w:val="24"/>
          <w:highlight w:val="none"/>
        </w:rPr>
        <w:t>、</w:t>
      </w:r>
      <w:r>
        <w:rPr>
          <w:rFonts w:ascii="宋体" w:hAnsi="宋体" w:eastAsia="宋体"/>
          <w:sz w:val="24"/>
          <w:highlight w:val="none"/>
        </w:rPr>
        <w:t>地点和方式</w:t>
      </w:r>
      <w:r>
        <w:rPr>
          <w:rFonts w:hint="eastAsia" w:ascii="宋体" w:hAnsi="宋体" w:eastAsia="宋体"/>
          <w:sz w:val="24"/>
          <w:highlight w:val="none"/>
        </w:rPr>
        <w:t>履行</w:t>
      </w:r>
      <w:r>
        <w:rPr>
          <w:rFonts w:ascii="宋体" w:hAnsi="宋体" w:eastAsia="宋体"/>
          <w:sz w:val="24"/>
          <w:highlight w:val="none"/>
        </w:rPr>
        <w:t>，那么甲方可要求乙方支付违约金</w:t>
      </w:r>
      <w:r>
        <w:rPr>
          <w:rFonts w:hint="eastAsia" w:ascii="宋体" w:hAnsi="宋体" w:eastAsia="宋体"/>
          <w:sz w:val="24"/>
          <w:highlight w:val="none"/>
        </w:rPr>
        <w:t>，</w:t>
      </w:r>
      <w:r>
        <w:rPr>
          <w:rFonts w:ascii="宋体" w:hAnsi="宋体" w:eastAsia="宋体"/>
          <w:sz w:val="24"/>
          <w:highlight w:val="none"/>
        </w:rPr>
        <w:t>违约金按每迟延</w:t>
      </w:r>
      <w:r>
        <w:rPr>
          <w:rFonts w:hint="eastAsia" w:ascii="宋体" w:hAnsi="宋体" w:eastAsia="宋体"/>
          <w:sz w:val="24"/>
          <w:highlight w:val="none"/>
        </w:rPr>
        <w:t>履行</w:t>
      </w:r>
      <w:r>
        <w:rPr>
          <w:rFonts w:ascii="宋体" w:hAnsi="宋体" w:eastAsia="宋体"/>
          <w:sz w:val="24"/>
          <w:highlight w:val="none"/>
        </w:rPr>
        <w:t>一日的应提供而未</w:t>
      </w:r>
      <w:r>
        <w:rPr>
          <w:rFonts w:hint="eastAsia" w:ascii="宋体" w:hAnsi="宋体" w:eastAsia="宋体"/>
          <w:sz w:val="24"/>
          <w:highlight w:val="none"/>
        </w:rPr>
        <w:t>提供</w:t>
      </w:r>
      <w:r>
        <w:rPr>
          <w:rFonts w:ascii="宋体" w:hAnsi="宋体" w:eastAsia="宋体"/>
          <w:sz w:val="24"/>
          <w:highlight w:val="none"/>
        </w:rPr>
        <w:t>服务价格的</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0.1</w:t>
      </w:r>
      <w:r>
        <w:rPr>
          <w:rFonts w:hint="eastAsia" w:ascii="宋体" w:hAnsi="宋体" w:eastAsia="宋体"/>
          <w:sz w:val="24"/>
          <w:highlight w:val="none"/>
          <w:u w:val="single"/>
        </w:rPr>
        <w:t xml:space="preserve"> </w:t>
      </w:r>
      <w:r>
        <w:rPr>
          <w:rFonts w:ascii="宋体" w:hAnsi="宋体" w:eastAsia="宋体"/>
          <w:sz w:val="24"/>
          <w:highlight w:val="none"/>
        </w:rPr>
        <w:t>%计算</w:t>
      </w:r>
      <w:r>
        <w:rPr>
          <w:rFonts w:hint="eastAsia" w:ascii="宋体" w:hAnsi="宋体" w:eastAsia="宋体"/>
          <w:sz w:val="24"/>
          <w:highlight w:val="none"/>
        </w:rPr>
        <w:t>，</w:t>
      </w:r>
      <w:r>
        <w:rPr>
          <w:rFonts w:ascii="宋体" w:hAnsi="宋体" w:eastAsia="宋体"/>
          <w:sz w:val="24"/>
          <w:highlight w:val="none"/>
        </w:rPr>
        <w:t>最高限额为</w:t>
      </w:r>
      <w:r>
        <w:rPr>
          <w:rFonts w:hint="eastAsia" w:ascii="宋体" w:hAnsi="宋体" w:eastAsia="宋体"/>
          <w:sz w:val="24"/>
          <w:highlight w:val="none"/>
        </w:rPr>
        <w:t>本</w:t>
      </w:r>
      <w:r>
        <w:rPr>
          <w:rFonts w:ascii="宋体" w:hAnsi="宋体" w:eastAsia="宋体"/>
          <w:sz w:val="24"/>
          <w:highlight w:val="none"/>
        </w:rPr>
        <w:t>合同总价的</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10</w:t>
      </w:r>
      <w:r>
        <w:rPr>
          <w:rFonts w:hint="eastAsia" w:ascii="宋体" w:hAnsi="宋体" w:eastAsia="宋体"/>
          <w:sz w:val="24"/>
          <w:highlight w:val="none"/>
          <w:u w:val="single"/>
        </w:rPr>
        <w:t xml:space="preserve"> </w:t>
      </w:r>
      <w:r>
        <w:rPr>
          <w:rFonts w:ascii="宋体" w:hAnsi="宋体" w:eastAsia="宋体"/>
          <w:sz w:val="24"/>
          <w:highlight w:val="none"/>
        </w:rPr>
        <w:t>%</w:t>
      </w:r>
      <w:r>
        <w:rPr>
          <w:rFonts w:hint="eastAsia" w:ascii="宋体" w:hAnsi="宋体" w:eastAsia="宋体"/>
          <w:sz w:val="24"/>
          <w:highlight w:val="none"/>
        </w:rPr>
        <w:t>；</w:t>
      </w:r>
      <w:r>
        <w:rPr>
          <w:rFonts w:ascii="宋体" w:hAnsi="宋体" w:eastAsia="宋体"/>
          <w:sz w:val="24"/>
          <w:highlight w:val="none"/>
        </w:rPr>
        <w:t>迟延</w:t>
      </w:r>
      <w:r>
        <w:rPr>
          <w:rFonts w:hint="eastAsia" w:ascii="宋体" w:hAnsi="宋体" w:eastAsia="宋体"/>
          <w:sz w:val="24"/>
          <w:highlight w:val="none"/>
        </w:rPr>
        <w:t>履行</w:t>
      </w:r>
      <w:r>
        <w:rPr>
          <w:rFonts w:ascii="宋体" w:hAnsi="宋体" w:eastAsia="宋体"/>
          <w:sz w:val="24"/>
          <w:highlight w:val="none"/>
        </w:rPr>
        <w:t>的违约金计算数额达到前述最高限额之日起</w:t>
      </w:r>
      <w:r>
        <w:rPr>
          <w:rFonts w:hint="eastAsia" w:ascii="宋体" w:hAnsi="宋体" w:eastAsia="宋体"/>
          <w:sz w:val="24"/>
          <w:highlight w:val="none"/>
        </w:rPr>
        <w:t>，</w:t>
      </w:r>
      <w:r>
        <w:rPr>
          <w:rFonts w:ascii="宋体" w:hAnsi="宋体" w:eastAsia="宋体"/>
          <w:sz w:val="24"/>
          <w:highlight w:val="none"/>
        </w:rPr>
        <w:t>甲方有权在要求乙方支付违约金的同时</w:t>
      </w:r>
      <w:r>
        <w:rPr>
          <w:rFonts w:hint="eastAsia" w:ascii="宋体" w:hAnsi="宋体" w:eastAsia="宋体"/>
          <w:sz w:val="24"/>
          <w:highlight w:val="none"/>
        </w:rPr>
        <w:t>，书面通知乙方</w:t>
      </w:r>
      <w:r>
        <w:rPr>
          <w:rFonts w:ascii="宋体" w:hAnsi="宋体" w:eastAsia="宋体"/>
          <w:sz w:val="24"/>
          <w:highlight w:val="none"/>
        </w:rPr>
        <w:t>解除本合同</w:t>
      </w:r>
      <w:r>
        <w:rPr>
          <w:rFonts w:hint="eastAsia" w:ascii="宋体" w:hAnsi="宋体" w:eastAsia="宋体"/>
          <w:sz w:val="24"/>
          <w:highlight w:val="none"/>
        </w:rPr>
        <w:t>；</w:t>
      </w:r>
    </w:p>
    <w:p w14:paraId="7972BFFF">
      <w:pPr>
        <w:spacing w:line="360" w:lineRule="auto"/>
        <w:ind w:firstLine="435"/>
        <w:rPr>
          <w:rFonts w:ascii="宋体" w:hAnsi="宋体" w:eastAsia="宋体"/>
          <w:sz w:val="24"/>
          <w:highlight w:val="none"/>
        </w:rPr>
      </w:pPr>
      <w:r>
        <w:rPr>
          <w:rFonts w:hint="eastAsia" w:ascii="宋体" w:hAnsi="宋体" w:eastAsia="宋体"/>
          <w:sz w:val="24"/>
          <w:highlight w:val="none"/>
        </w:rPr>
        <w:t>1.6.2</w:t>
      </w:r>
      <w:r>
        <w:rPr>
          <w:rFonts w:ascii="宋体" w:hAnsi="宋体" w:eastAsia="宋体"/>
          <w:sz w:val="24"/>
          <w:highlight w:val="none"/>
        </w:rPr>
        <w:t>除不可抗力外，如果甲方没有按照本合同约定的付款方式付款，那么乙方可要求甲方支付违约金</w:t>
      </w:r>
      <w:r>
        <w:rPr>
          <w:rFonts w:hint="eastAsia" w:ascii="宋体" w:hAnsi="宋体" w:eastAsia="宋体"/>
          <w:sz w:val="24"/>
          <w:highlight w:val="none"/>
        </w:rPr>
        <w:t>，</w:t>
      </w:r>
      <w:r>
        <w:rPr>
          <w:rFonts w:ascii="宋体" w:hAnsi="宋体" w:eastAsia="宋体"/>
          <w:sz w:val="24"/>
          <w:highlight w:val="none"/>
        </w:rPr>
        <w:t>违约金按每迟延</w:t>
      </w:r>
      <w:r>
        <w:rPr>
          <w:rFonts w:hint="eastAsia" w:ascii="宋体" w:hAnsi="宋体" w:eastAsia="宋体"/>
          <w:sz w:val="24"/>
          <w:highlight w:val="none"/>
        </w:rPr>
        <w:t>付款</w:t>
      </w:r>
      <w:r>
        <w:rPr>
          <w:rFonts w:ascii="宋体" w:hAnsi="宋体" w:eastAsia="宋体"/>
          <w:sz w:val="24"/>
          <w:highlight w:val="none"/>
        </w:rPr>
        <w:t>一日的应付而未付款的</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0.1</w:t>
      </w:r>
      <w:r>
        <w:rPr>
          <w:rFonts w:hint="eastAsia" w:ascii="宋体" w:hAnsi="宋体" w:eastAsia="宋体"/>
          <w:sz w:val="24"/>
          <w:highlight w:val="none"/>
          <w:u w:val="single"/>
        </w:rPr>
        <w:t xml:space="preserve"> </w:t>
      </w:r>
      <w:r>
        <w:rPr>
          <w:rFonts w:ascii="宋体" w:hAnsi="宋体" w:eastAsia="宋体"/>
          <w:sz w:val="24"/>
          <w:highlight w:val="none"/>
        </w:rPr>
        <w:t>%计算</w:t>
      </w:r>
      <w:r>
        <w:rPr>
          <w:rFonts w:hint="eastAsia" w:ascii="宋体" w:hAnsi="宋体" w:eastAsia="宋体"/>
          <w:sz w:val="24"/>
          <w:highlight w:val="none"/>
        </w:rPr>
        <w:t>，</w:t>
      </w:r>
      <w:r>
        <w:rPr>
          <w:rFonts w:ascii="宋体" w:hAnsi="宋体" w:eastAsia="宋体"/>
          <w:sz w:val="24"/>
          <w:highlight w:val="none"/>
        </w:rPr>
        <w:t>最高限额为</w:t>
      </w:r>
      <w:r>
        <w:rPr>
          <w:rFonts w:hint="eastAsia" w:ascii="宋体" w:hAnsi="宋体" w:eastAsia="宋体"/>
          <w:sz w:val="24"/>
          <w:highlight w:val="none"/>
        </w:rPr>
        <w:t>本</w:t>
      </w:r>
      <w:r>
        <w:rPr>
          <w:rFonts w:ascii="宋体" w:hAnsi="宋体" w:eastAsia="宋体"/>
          <w:sz w:val="24"/>
          <w:highlight w:val="none"/>
        </w:rPr>
        <w:t>合同总价的</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10</w:t>
      </w:r>
      <w:r>
        <w:rPr>
          <w:rFonts w:hint="eastAsia" w:ascii="宋体" w:hAnsi="宋体" w:eastAsia="宋体"/>
          <w:sz w:val="24"/>
          <w:highlight w:val="none"/>
          <w:u w:val="single"/>
        </w:rPr>
        <w:t xml:space="preserve"> </w:t>
      </w:r>
      <w:r>
        <w:rPr>
          <w:rFonts w:ascii="宋体" w:hAnsi="宋体" w:eastAsia="宋体"/>
          <w:sz w:val="24"/>
          <w:highlight w:val="none"/>
        </w:rPr>
        <w:t>%</w:t>
      </w:r>
      <w:r>
        <w:rPr>
          <w:rFonts w:hint="eastAsia" w:ascii="宋体" w:hAnsi="宋体" w:eastAsia="宋体"/>
          <w:sz w:val="24"/>
          <w:highlight w:val="none"/>
        </w:rPr>
        <w:t>；</w:t>
      </w:r>
      <w:r>
        <w:rPr>
          <w:rFonts w:ascii="宋体" w:hAnsi="宋体" w:eastAsia="宋体"/>
          <w:sz w:val="24"/>
          <w:highlight w:val="none"/>
        </w:rPr>
        <w:t>迟延</w:t>
      </w:r>
      <w:r>
        <w:rPr>
          <w:rFonts w:hint="eastAsia" w:ascii="宋体" w:hAnsi="宋体" w:eastAsia="宋体"/>
          <w:sz w:val="24"/>
          <w:highlight w:val="none"/>
        </w:rPr>
        <w:t>付款</w:t>
      </w:r>
      <w:r>
        <w:rPr>
          <w:rFonts w:ascii="宋体" w:hAnsi="宋体" w:eastAsia="宋体"/>
          <w:sz w:val="24"/>
          <w:highlight w:val="none"/>
        </w:rPr>
        <w:t>的违约金计算数额达到前述最高限额之日起</w:t>
      </w:r>
      <w:r>
        <w:rPr>
          <w:rFonts w:hint="eastAsia" w:ascii="宋体" w:hAnsi="宋体" w:eastAsia="宋体"/>
          <w:sz w:val="24"/>
          <w:highlight w:val="none"/>
        </w:rPr>
        <w:t>，乙</w:t>
      </w:r>
      <w:r>
        <w:rPr>
          <w:rFonts w:ascii="宋体" w:hAnsi="宋体" w:eastAsia="宋体"/>
          <w:sz w:val="24"/>
          <w:highlight w:val="none"/>
        </w:rPr>
        <w:t>方有权在要求甲方支付违约金的同时</w:t>
      </w:r>
      <w:r>
        <w:rPr>
          <w:rFonts w:hint="eastAsia" w:ascii="宋体" w:hAnsi="宋体" w:eastAsia="宋体"/>
          <w:sz w:val="24"/>
          <w:highlight w:val="none"/>
        </w:rPr>
        <w:t>，书面通知甲方</w:t>
      </w:r>
      <w:r>
        <w:rPr>
          <w:rFonts w:ascii="宋体" w:hAnsi="宋体" w:eastAsia="宋体"/>
          <w:sz w:val="24"/>
          <w:highlight w:val="none"/>
        </w:rPr>
        <w:t>解除本合同</w:t>
      </w:r>
      <w:r>
        <w:rPr>
          <w:rFonts w:hint="eastAsia" w:ascii="宋体" w:hAnsi="宋体" w:eastAsia="宋体"/>
          <w:sz w:val="24"/>
          <w:highlight w:val="none"/>
        </w:rPr>
        <w:t>；</w:t>
      </w:r>
    </w:p>
    <w:p w14:paraId="668EEA43">
      <w:pPr>
        <w:spacing w:line="360" w:lineRule="auto"/>
        <w:ind w:firstLine="435"/>
        <w:rPr>
          <w:rFonts w:ascii="宋体" w:hAnsi="宋体" w:eastAsia="宋体"/>
          <w:sz w:val="24"/>
          <w:highlight w:val="none"/>
        </w:rPr>
      </w:pPr>
      <w:r>
        <w:rPr>
          <w:rFonts w:hint="eastAsia" w:ascii="宋体" w:hAnsi="宋体" w:eastAsia="宋体"/>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1B9F64A">
      <w:pPr>
        <w:spacing w:line="360" w:lineRule="auto"/>
        <w:ind w:firstLine="435"/>
        <w:rPr>
          <w:rFonts w:ascii="宋体" w:hAnsi="宋体" w:eastAsia="宋体"/>
          <w:sz w:val="24"/>
          <w:highlight w:val="none"/>
        </w:rPr>
      </w:pPr>
      <w:r>
        <w:rPr>
          <w:rFonts w:hint="eastAsia" w:ascii="宋体" w:hAnsi="宋体" w:eastAsia="宋体"/>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8D7D082">
      <w:pPr>
        <w:spacing w:line="360" w:lineRule="auto"/>
        <w:ind w:firstLine="435"/>
        <w:rPr>
          <w:rFonts w:ascii="宋体" w:hAnsi="宋体" w:eastAsia="宋体"/>
          <w:sz w:val="24"/>
          <w:highlight w:val="none"/>
        </w:rPr>
      </w:pPr>
      <w:r>
        <w:rPr>
          <w:rFonts w:hint="eastAsia" w:ascii="宋体" w:hAnsi="宋体" w:eastAsia="宋体"/>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5B930AF">
      <w:pPr>
        <w:spacing w:line="360" w:lineRule="auto"/>
        <w:ind w:firstLine="435"/>
        <w:rPr>
          <w:rFonts w:ascii="宋体" w:hAnsi="宋体" w:eastAsia="宋体"/>
          <w:sz w:val="24"/>
          <w:highlight w:val="none"/>
        </w:rPr>
      </w:pPr>
      <w:r>
        <w:rPr>
          <w:rFonts w:hint="eastAsia" w:ascii="宋体" w:hAnsi="宋体" w:eastAsia="宋体"/>
          <w:sz w:val="24"/>
          <w:highlight w:val="none"/>
        </w:rPr>
        <w:t>1.6.6如果出现政府采购监督管理部门在处理投诉事项期间，书面通知甲方暂停采购活动的情形，或者询问或质疑事项可能影响成交结果的，导致甲方中止履行合同的情形，均不视为甲方违约。</w:t>
      </w:r>
    </w:p>
    <w:p w14:paraId="69569A1F">
      <w:pPr>
        <w:spacing w:line="360" w:lineRule="auto"/>
        <w:ind w:firstLine="435"/>
        <w:rPr>
          <w:rFonts w:asciiTheme="minorEastAsia" w:hAnsiTheme="minorEastAsia" w:eastAsiaTheme="minorEastAsia"/>
          <w:sz w:val="24"/>
          <w:highlight w:val="none"/>
        </w:rPr>
      </w:pPr>
      <w:bookmarkStart w:id="59" w:name="_Toc15583"/>
      <w:bookmarkStart w:id="60" w:name="_Toc16021"/>
      <w:bookmarkStart w:id="61" w:name="_Toc28375"/>
      <w:r>
        <w:rPr>
          <w:rFonts w:hint="eastAsia" w:asciiTheme="minorEastAsia" w:hAnsiTheme="minorEastAsia" w:eastAsiaTheme="minorEastAsia"/>
          <w:sz w:val="24"/>
          <w:highlight w:val="none"/>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hint="eastAsia" w:asciiTheme="minorEastAsia" w:hAnsiTheme="minorEastAsia" w:eastAsiaTheme="minorEastAsia"/>
          <w:sz w:val="24"/>
          <w:highlight w:val="none"/>
        </w:rPr>
        <w:t>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5F78DA8C">
      <w:pPr>
        <w:spacing w:line="360" w:lineRule="auto"/>
        <w:ind w:firstLine="437"/>
        <w:outlineLvl w:val="2"/>
        <w:rPr>
          <w:rFonts w:ascii="宋体" w:hAnsi="宋体" w:eastAsia="宋体"/>
          <w:b/>
          <w:bCs/>
          <w:sz w:val="24"/>
          <w:highlight w:val="none"/>
          <w:lang w:val="zh-CN"/>
        </w:rPr>
      </w:pPr>
      <w:r>
        <w:rPr>
          <w:rFonts w:hint="eastAsia" w:ascii="宋体" w:hAnsi="宋体" w:eastAsia="宋体"/>
          <w:b/>
          <w:bCs/>
          <w:sz w:val="24"/>
          <w:highlight w:val="none"/>
          <w:lang w:val="zh-CN"/>
        </w:rPr>
        <w:t>1.7</w:t>
      </w:r>
      <w:r>
        <w:rPr>
          <w:rFonts w:ascii="宋体" w:hAnsi="宋体" w:eastAsia="宋体"/>
          <w:b/>
          <w:bCs/>
          <w:sz w:val="24"/>
          <w:highlight w:val="none"/>
          <w:lang w:val="zh-CN"/>
        </w:rPr>
        <w:t xml:space="preserve"> </w:t>
      </w:r>
      <w:r>
        <w:rPr>
          <w:rFonts w:hint="eastAsia" w:ascii="宋体" w:hAnsi="宋体" w:eastAsia="宋体"/>
          <w:b/>
          <w:bCs/>
          <w:sz w:val="24"/>
          <w:highlight w:val="none"/>
          <w:lang w:val="zh-CN"/>
        </w:rPr>
        <w:t>合同</w:t>
      </w:r>
      <w:r>
        <w:rPr>
          <w:rFonts w:ascii="宋体" w:hAnsi="宋体" w:eastAsia="宋体"/>
          <w:b/>
          <w:bCs/>
          <w:sz w:val="24"/>
          <w:highlight w:val="none"/>
          <w:lang w:val="zh-CN"/>
        </w:rPr>
        <w:t>争议的解决</w:t>
      </w:r>
      <w:bookmarkEnd w:id="59"/>
      <w:bookmarkEnd w:id="60"/>
      <w:bookmarkEnd w:id="61"/>
    </w:p>
    <w:p w14:paraId="77B7817F">
      <w:pPr>
        <w:spacing w:line="360" w:lineRule="auto"/>
        <w:ind w:firstLine="435"/>
        <w:rPr>
          <w:rFonts w:ascii="宋体" w:hAnsi="宋体" w:eastAsia="宋体"/>
          <w:sz w:val="24"/>
          <w:highlight w:val="none"/>
        </w:rPr>
      </w:pPr>
      <w:r>
        <w:rPr>
          <w:rFonts w:hint="eastAsia" w:ascii="宋体" w:hAnsi="宋体" w:eastAsia="宋体"/>
          <w:sz w:val="24"/>
          <w:highlight w:val="none"/>
        </w:rPr>
        <w:t>本合</w:t>
      </w:r>
      <w:r>
        <w:rPr>
          <w:rFonts w:ascii="宋体" w:hAnsi="宋体" w:eastAsia="宋体"/>
          <w:sz w:val="24"/>
          <w:highlight w:val="none"/>
        </w:rPr>
        <w:t>同履行过程中发生的任何争议，双方当事人均可</w:t>
      </w:r>
      <w:r>
        <w:rPr>
          <w:rFonts w:hint="eastAsia" w:ascii="宋体" w:hAnsi="宋体" w:eastAsia="宋体"/>
          <w:sz w:val="24"/>
          <w:highlight w:val="none"/>
        </w:rPr>
        <w:t>通过和解或者调解解决；不愿和解、调解或者和解、调解不成的，可以选择下列第</w:t>
      </w:r>
      <w:r>
        <w:rPr>
          <w:rFonts w:hint="eastAsia" w:ascii="宋体" w:hAnsi="宋体" w:eastAsia="宋体"/>
          <w:sz w:val="24"/>
          <w:highlight w:val="none"/>
          <w:u w:val="single"/>
        </w:rPr>
        <w:t xml:space="preserve">    </w:t>
      </w:r>
      <w:r>
        <w:rPr>
          <w:rFonts w:hint="eastAsia" w:ascii="宋体" w:hAnsi="宋体" w:eastAsia="宋体"/>
          <w:sz w:val="24"/>
          <w:highlight w:val="none"/>
        </w:rPr>
        <w:t>种方式解决：</w:t>
      </w:r>
    </w:p>
    <w:p w14:paraId="74EF13DE">
      <w:pPr>
        <w:spacing w:line="360" w:lineRule="auto"/>
        <w:ind w:firstLine="435"/>
        <w:rPr>
          <w:rFonts w:ascii="宋体" w:hAnsi="宋体" w:eastAsia="宋体"/>
          <w:sz w:val="24"/>
          <w:highlight w:val="none"/>
        </w:rPr>
      </w:pPr>
      <w:r>
        <w:rPr>
          <w:rFonts w:hint="eastAsia" w:ascii="宋体" w:hAnsi="宋体" w:eastAsia="宋体"/>
          <w:sz w:val="24"/>
          <w:highlight w:val="none"/>
        </w:rPr>
        <w:t>1.7.1将争议提交</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滁州</w:t>
      </w:r>
      <w:r>
        <w:rPr>
          <w:rFonts w:hint="eastAsia" w:ascii="宋体" w:hAnsi="宋体" w:eastAsia="宋体"/>
          <w:sz w:val="24"/>
          <w:highlight w:val="none"/>
          <w:u w:val="single"/>
        </w:rPr>
        <w:t xml:space="preserve">   </w:t>
      </w:r>
      <w:r>
        <w:rPr>
          <w:rFonts w:hint="eastAsia" w:ascii="宋体" w:hAnsi="宋体" w:eastAsia="宋体"/>
          <w:sz w:val="24"/>
          <w:highlight w:val="none"/>
        </w:rPr>
        <w:t>仲裁委员会依申请仲裁时其现行有效的仲裁规则裁决；</w:t>
      </w:r>
    </w:p>
    <w:p w14:paraId="573DA2D0">
      <w:pPr>
        <w:spacing w:line="360" w:lineRule="auto"/>
        <w:ind w:firstLine="435"/>
        <w:rPr>
          <w:rFonts w:ascii="宋体" w:hAnsi="宋体" w:eastAsia="宋体"/>
          <w:sz w:val="24"/>
          <w:highlight w:val="none"/>
        </w:rPr>
      </w:pPr>
      <w:r>
        <w:rPr>
          <w:rFonts w:hint="eastAsia" w:ascii="宋体" w:hAnsi="宋体" w:eastAsia="宋体"/>
          <w:sz w:val="24"/>
          <w:highlight w:val="none"/>
        </w:rPr>
        <w:t>1.7.2向</w:t>
      </w:r>
      <w:r>
        <w:rPr>
          <w:rFonts w:hint="eastAsia" w:ascii="宋体" w:hAnsi="宋体" w:eastAsia="宋体"/>
          <w:sz w:val="24"/>
          <w:highlight w:val="none"/>
          <w:u w:val="single"/>
        </w:rPr>
        <w:t xml:space="preserve">   </w:t>
      </w:r>
      <w:r>
        <w:rPr>
          <w:rFonts w:hint="eastAsia" w:asciiTheme="minorEastAsia" w:hAnsiTheme="minorEastAsia" w:eastAsiaTheme="minorEastAsia"/>
          <w:sz w:val="24"/>
          <w:highlight w:val="none"/>
          <w:u w:val="single"/>
        </w:rPr>
        <w:t>甲方（采购人）所在地</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hint="eastAsia" w:ascii="宋体" w:hAnsi="宋体" w:eastAsia="宋体"/>
          <w:sz w:val="24"/>
          <w:highlight w:val="none"/>
        </w:rPr>
        <w:t>人民法院起诉。</w:t>
      </w:r>
    </w:p>
    <w:p w14:paraId="3DFBCEF3">
      <w:pPr>
        <w:spacing w:line="360" w:lineRule="auto"/>
        <w:ind w:firstLine="437"/>
        <w:outlineLvl w:val="2"/>
        <w:rPr>
          <w:rFonts w:ascii="宋体" w:hAnsi="宋体" w:eastAsia="宋体"/>
          <w:b/>
          <w:bCs/>
          <w:sz w:val="24"/>
          <w:highlight w:val="none"/>
          <w:lang w:val="zh-CN"/>
        </w:rPr>
      </w:pPr>
      <w:bookmarkStart w:id="62" w:name="_Toc15322"/>
      <w:bookmarkStart w:id="63" w:name="_Toc7245"/>
      <w:bookmarkStart w:id="64" w:name="_Toc11173"/>
      <w:r>
        <w:rPr>
          <w:rFonts w:hint="eastAsia" w:ascii="宋体" w:hAnsi="宋体" w:eastAsia="宋体"/>
          <w:b/>
          <w:bCs/>
          <w:sz w:val="24"/>
          <w:highlight w:val="none"/>
          <w:lang w:val="zh-CN"/>
        </w:rPr>
        <w:t>1.8</w:t>
      </w:r>
      <w:r>
        <w:rPr>
          <w:rFonts w:ascii="宋体" w:hAnsi="宋体" w:eastAsia="宋体"/>
          <w:b/>
          <w:bCs/>
          <w:sz w:val="24"/>
          <w:highlight w:val="none"/>
          <w:lang w:val="zh-CN"/>
        </w:rPr>
        <w:t xml:space="preserve"> 合同生效</w:t>
      </w:r>
      <w:bookmarkEnd w:id="62"/>
      <w:bookmarkEnd w:id="63"/>
      <w:bookmarkEnd w:id="64"/>
    </w:p>
    <w:p w14:paraId="7C12DA62">
      <w:pPr>
        <w:spacing w:line="360" w:lineRule="auto"/>
        <w:ind w:firstLine="435"/>
        <w:rPr>
          <w:rFonts w:ascii="宋体" w:hAnsi="宋体" w:eastAsia="宋体"/>
          <w:sz w:val="24"/>
          <w:highlight w:val="none"/>
        </w:rPr>
      </w:pPr>
      <w:r>
        <w:rPr>
          <w:rFonts w:ascii="宋体" w:hAnsi="宋体" w:eastAsia="宋体"/>
          <w:sz w:val="24"/>
          <w:highlight w:val="none"/>
        </w:rPr>
        <w:t>本合同自</w:t>
      </w:r>
      <w:r>
        <w:rPr>
          <w:rFonts w:hint="eastAsia" w:ascii="宋体" w:hAnsi="宋体" w:eastAsia="宋体"/>
          <w:sz w:val="24"/>
          <w:highlight w:val="none"/>
        </w:rPr>
        <w:t>双方当事人盖章时</w:t>
      </w:r>
      <w:r>
        <w:rPr>
          <w:rFonts w:ascii="宋体" w:hAnsi="宋体" w:eastAsia="宋体"/>
          <w:sz w:val="24"/>
          <w:highlight w:val="none"/>
        </w:rPr>
        <w:t>生效。</w:t>
      </w:r>
    </w:p>
    <w:p w14:paraId="5EF188A8">
      <w:pPr>
        <w:autoSpaceDE w:val="0"/>
        <w:autoSpaceDN w:val="0"/>
        <w:adjustRightInd w:val="0"/>
        <w:spacing w:line="560" w:lineRule="exact"/>
        <w:rPr>
          <w:rFonts w:cs="Times New Roman" w:asciiTheme="minorEastAsia" w:hAnsiTheme="minorEastAsia" w:eastAsiaTheme="minorEastAsia"/>
          <w:bCs/>
          <w:sz w:val="24"/>
          <w:szCs w:val="24"/>
          <w:highlight w:val="none"/>
          <w:lang w:val="zh-CN"/>
        </w:rPr>
      </w:pPr>
      <w:bookmarkStart w:id="65" w:name="_Toc331685783"/>
      <w:r>
        <w:rPr>
          <w:rFonts w:hint="eastAsia" w:cs="Times New Roman" w:asciiTheme="minorEastAsia" w:hAnsiTheme="minorEastAsia" w:eastAsiaTheme="minorEastAsia"/>
          <w:bCs/>
          <w:sz w:val="24"/>
          <w:szCs w:val="24"/>
          <w:highlight w:val="none"/>
          <w:lang w:val="zh-CN"/>
        </w:rPr>
        <w:t xml:space="preserve">甲 </w:t>
      </w:r>
      <w:r>
        <w:rPr>
          <w:rFonts w:cs="Times New Roman" w:asciiTheme="minorEastAsia" w:hAnsiTheme="minorEastAsia" w:eastAsiaTheme="minorEastAsia"/>
          <w:bCs/>
          <w:sz w:val="24"/>
          <w:szCs w:val="24"/>
          <w:highlight w:val="none"/>
          <w:lang w:val="zh-CN"/>
        </w:rPr>
        <w:t xml:space="preserve">   </w:t>
      </w:r>
      <w:r>
        <w:rPr>
          <w:rFonts w:hint="eastAsia" w:cs="Times New Roman" w:asciiTheme="minorEastAsia" w:hAnsiTheme="minorEastAsia" w:eastAsiaTheme="minorEastAsia"/>
          <w:bCs/>
          <w:sz w:val="24"/>
          <w:szCs w:val="24"/>
          <w:highlight w:val="none"/>
          <w:lang w:val="zh-CN"/>
        </w:rPr>
        <w:t>方：</w:t>
      </w:r>
      <w:r>
        <w:rPr>
          <w:rFonts w:hint="eastAsia" w:cs="Times New Roman" w:asciiTheme="minorEastAsia" w:hAnsiTheme="minorEastAsia" w:eastAsiaTheme="minorEastAsia"/>
          <w:bCs/>
          <w:sz w:val="24"/>
          <w:szCs w:val="24"/>
          <w:highlight w:val="none"/>
          <w:u w:val="single"/>
          <w:lang w:val="zh-CN"/>
        </w:rPr>
        <w:t xml:space="preserve">    （单位盖章）     </w:t>
      </w:r>
      <w:r>
        <w:rPr>
          <w:rFonts w:hint="eastAsia" w:cs="Times New Roman" w:asciiTheme="minorEastAsia" w:hAnsiTheme="minorEastAsia" w:eastAsiaTheme="minorEastAsia"/>
          <w:bCs/>
          <w:sz w:val="24"/>
          <w:szCs w:val="24"/>
          <w:highlight w:val="none"/>
          <w:lang w:val="zh-CN"/>
        </w:rPr>
        <w:t xml:space="preserve">          乙方：</w:t>
      </w:r>
      <w:r>
        <w:rPr>
          <w:rFonts w:hint="eastAsia" w:cs="Times New Roman" w:asciiTheme="minorEastAsia" w:hAnsiTheme="minorEastAsia" w:eastAsiaTheme="minorEastAsia"/>
          <w:bCs/>
          <w:sz w:val="24"/>
          <w:szCs w:val="24"/>
          <w:highlight w:val="none"/>
          <w:u w:val="single"/>
          <w:lang w:val="zh-CN"/>
        </w:rPr>
        <w:t xml:space="preserve">    （单位盖章）     </w:t>
      </w:r>
    </w:p>
    <w:p w14:paraId="08C3CFD4">
      <w:pPr>
        <w:autoSpaceDE w:val="0"/>
        <w:autoSpaceDN w:val="0"/>
        <w:adjustRightInd w:val="0"/>
        <w:spacing w:line="560" w:lineRule="exact"/>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 xml:space="preserve">法定代表人                             </w:t>
      </w:r>
      <w:r>
        <w:rPr>
          <w:rFonts w:cs="Times New Roman" w:asciiTheme="minorEastAsia" w:hAnsiTheme="minorEastAsia" w:eastAsiaTheme="minorEastAsia"/>
          <w:sz w:val="24"/>
          <w:szCs w:val="24"/>
          <w:highlight w:val="none"/>
          <w:lang w:val="zh-CN"/>
        </w:rPr>
        <w:t xml:space="preserve">  </w:t>
      </w:r>
      <w:r>
        <w:rPr>
          <w:rFonts w:hint="eastAsia" w:cs="Times New Roman" w:asciiTheme="minorEastAsia" w:hAnsiTheme="minorEastAsia" w:eastAsiaTheme="minorEastAsia"/>
          <w:sz w:val="24"/>
          <w:szCs w:val="24"/>
          <w:highlight w:val="none"/>
          <w:lang w:val="zh-CN"/>
        </w:rPr>
        <w:t>法定代表人</w:t>
      </w:r>
    </w:p>
    <w:p w14:paraId="19559207">
      <w:pPr>
        <w:autoSpaceDE w:val="0"/>
        <w:autoSpaceDN w:val="0"/>
        <w:adjustRightInd w:val="0"/>
        <w:spacing w:line="560" w:lineRule="exact"/>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或授权代表（签字）：                      或授权代表（签字）：</w:t>
      </w:r>
    </w:p>
    <w:p w14:paraId="7CB3795D">
      <w:pPr>
        <w:widowControl/>
        <w:spacing w:line="560" w:lineRule="exact"/>
        <w:jc w:val="left"/>
        <w:rPr>
          <w:rFonts w:hint="eastAsia" w:cs="Times New Roman" w:asciiTheme="minorEastAsia" w:hAnsiTheme="minorEastAsia" w:eastAsiaTheme="minorEastAsia"/>
          <w:bCs/>
          <w:sz w:val="24"/>
          <w:szCs w:val="24"/>
          <w:highlight w:val="none"/>
        </w:rPr>
      </w:pPr>
      <w:r>
        <w:rPr>
          <w:rFonts w:hint="eastAsia" w:cs="Times New Roman" w:asciiTheme="minorEastAsia" w:hAnsiTheme="minorEastAsia" w:eastAsiaTheme="minorEastAsia"/>
          <w:bCs/>
          <w:sz w:val="24"/>
          <w:szCs w:val="24"/>
          <w:highlight w:val="none"/>
        </w:rPr>
        <w:t>时间：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月</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日               时间：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月</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日</w:t>
      </w:r>
    </w:p>
    <w:p w14:paraId="6BF04849">
      <w:pPr>
        <w:widowControl/>
        <w:spacing w:line="560" w:lineRule="exact"/>
        <w:jc w:val="left"/>
        <w:rPr>
          <w:rFonts w:hint="eastAsia" w:cs="Times New Roman" w:asciiTheme="minorEastAsia" w:hAnsiTheme="minorEastAsia" w:eastAsiaTheme="minorEastAsia"/>
          <w:bCs/>
          <w:sz w:val="24"/>
          <w:szCs w:val="24"/>
          <w:highlight w:val="none"/>
        </w:rPr>
      </w:pPr>
      <w:r>
        <w:rPr>
          <w:rFonts w:hint="eastAsia" w:cs="Times New Roman" w:asciiTheme="minorEastAsia" w:hAnsiTheme="minorEastAsia" w:eastAsiaTheme="minorEastAsia"/>
          <w:bCs/>
          <w:sz w:val="24"/>
          <w:szCs w:val="24"/>
          <w:highlight w:val="none"/>
        </w:rPr>
        <w:t xml:space="preserve"> </w:t>
      </w:r>
      <w:r>
        <w:rPr>
          <w:rFonts w:hint="eastAsia" w:cs="Times New Roman" w:asciiTheme="minorEastAsia" w:hAnsiTheme="minorEastAsia" w:eastAsiaTheme="minorEastAsia"/>
          <w:bCs/>
          <w:sz w:val="24"/>
          <w:szCs w:val="24"/>
          <w:highlight w:val="none"/>
          <w:lang w:val="en-US" w:eastAsia="zh-CN"/>
        </w:rPr>
        <w:t xml:space="preserve">                                       </w:t>
      </w:r>
      <w:r>
        <w:rPr>
          <w:rFonts w:hint="eastAsia" w:cs="Times New Roman" w:asciiTheme="minorEastAsia" w:hAnsiTheme="minorEastAsia" w:eastAsiaTheme="minorEastAsia"/>
          <w:bCs/>
          <w:sz w:val="24"/>
          <w:szCs w:val="24"/>
          <w:highlight w:val="none"/>
        </w:rPr>
        <w:t>乙方账户信息</w:t>
      </w:r>
    </w:p>
    <w:p w14:paraId="6D7F7D11">
      <w:pPr>
        <w:widowControl/>
        <w:spacing w:line="560" w:lineRule="exact"/>
        <w:jc w:val="left"/>
        <w:rPr>
          <w:rFonts w:hint="eastAsia"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w:t>
      </w:r>
      <w:r>
        <w:rPr>
          <w:rFonts w:hint="eastAsia" w:cs="Times New Roman" w:asciiTheme="minorEastAsia" w:hAnsiTheme="minorEastAsia" w:eastAsiaTheme="minorEastAsia"/>
          <w:bCs/>
          <w:sz w:val="24"/>
          <w:szCs w:val="24"/>
          <w:highlight w:val="none"/>
          <w:lang w:val="en-US" w:eastAsia="zh-CN"/>
        </w:rPr>
        <w:t xml:space="preserve">             </w:t>
      </w:r>
      <w:r>
        <w:rPr>
          <w:rFonts w:hint="eastAsia" w:cs="Times New Roman" w:asciiTheme="minorEastAsia" w:hAnsiTheme="minorEastAsia" w:eastAsiaTheme="minorEastAsia"/>
          <w:bCs/>
          <w:sz w:val="24"/>
          <w:szCs w:val="24"/>
          <w:highlight w:val="none"/>
        </w:rPr>
        <w:t>户名：</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lang w:val="en-US" w:eastAsia="zh-CN"/>
        </w:rPr>
        <w:t xml:space="preserve">        </w:t>
      </w:r>
      <w:r>
        <w:rPr>
          <w:rFonts w:hint="eastAsia" w:cs="Times New Roman" w:asciiTheme="minorEastAsia" w:hAnsiTheme="minorEastAsia" w:eastAsiaTheme="minorEastAsia"/>
          <w:bCs/>
          <w:sz w:val="24"/>
          <w:szCs w:val="24"/>
          <w:highlight w:val="none"/>
          <w:u w:val="single"/>
        </w:rPr>
        <w:t xml:space="preserve">   </w:t>
      </w:r>
    </w:p>
    <w:p w14:paraId="0D6C75C3">
      <w:pPr>
        <w:widowControl/>
        <w:spacing w:line="560" w:lineRule="exact"/>
        <w:jc w:val="left"/>
        <w:rPr>
          <w:rFonts w:hint="eastAsia"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账号：</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lang w:val="en-US" w:eastAsia="zh-CN"/>
        </w:rPr>
        <w:t xml:space="preserve">        </w:t>
      </w:r>
      <w:r>
        <w:rPr>
          <w:rFonts w:hint="eastAsia" w:cs="Times New Roman" w:asciiTheme="minorEastAsia" w:hAnsiTheme="minorEastAsia" w:eastAsiaTheme="minorEastAsia"/>
          <w:bCs/>
          <w:sz w:val="24"/>
          <w:szCs w:val="24"/>
          <w:highlight w:val="none"/>
          <w:u w:val="single"/>
        </w:rPr>
        <w:t xml:space="preserve">   </w:t>
      </w:r>
    </w:p>
    <w:p w14:paraId="53DF2DB9">
      <w:pPr>
        <w:widowControl/>
        <w:spacing w:line="560" w:lineRule="exact"/>
        <w:jc w:val="left"/>
        <w:rPr>
          <w:rFonts w:hint="eastAsia"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w:t>
      </w:r>
      <w:r>
        <w:rPr>
          <w:rFonts w:hint="eastAsia" w:cs="Times New Roman" w:asciiTheme="minorEastAsia" w:hAnsiTheme="minorEastAsia" w:eastAsiaTheme="minorEastAsia"/>
          <w:bCs/>
          <w:sz w:val="24"/>
          <w:szCs w:val="24"/>
          <w:highlight w:val="none"/>
          <w:lang w:val="en-US" w:eastAsia="zh-CN"/>
        </w:rPr>
        <w:t xml:space="preserve">             </w:t>
      </w:r>
      <w:r>
        <w:rPr>
          <w:rFonts w:hint="eastAsia" w:cs="Times New Roman" w:asciiTheme="minorEastAsia" w:hAnsiTheme="minorEastAsia" w:eastAsiaTheme="minorEastAsia"/>
          <w:bCs/>
          <w:sz w:val="24"/>
          <w:szCs w:val="24"/>
          <w:highlight w:val="none"/>
        </w:rPr>
        <w:t xml:space="preserve"> 开户银行：</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lang w:val="en-US" w:eastAsia="zh-CN"/>
        </w:rPr>
        <w:t xml:space="preserve">        </w:t>
      </w:r>
      <w:r>
        <w:rPr>
          <w:rFonts w:hint="eastAsia" w:cs="Times New Roman" w:asciiTheme="minorEastAsia" w:hAnsiTheme="minorEastAsia" w:eastAsiaTheme="minorEastAsia"/>
          <w:bCs/>
          <w:sz w:val="24"/>
          <w:szCs w:val="24"/>
          <w:highlight w:val="none"/>
          <w:u w:val="single"/>
        </w:rPr>
        <w:t xml:space="preserve">     </w:t>
      </w:r>
    </w:p>
    <w:p w14:paraId="46D171F5">
      <w:pPr>
        <w:widowControl/>
        <w:jc w:val="left"/>
        <w:rPr>
          <w:rFonts w:ascii="宋体" w:hAnsi="宋体" w:eastAsia="宋体"/>
          <w:b/>
          <w:sz w:val="24"/>
          <w:highlight w:val="none"/>
        </w:rPr>
      </w:pPr>
      <w:r>
        <w:rPr>
          <w:rFonts w:ascii="宋体" w:hAnsi="宋体" w:eastAsia="宋体"/>
          <w:b/>
          <w:sz w:val="24"/>
          <w:highlight w:val="none"/>
        </w:rPr>
        <w:br w:type="page"/>
      </w:r>
    </w:p>
    <w:p w14:paraId="036E2A2D">
      <w:pPr>
        <w:spacing w:line="360" w:lineRule="auto"/>
        <w:jc w:val="center"/>
        <w:outlineLvl w:val="1"/>
        <w:rPr>
          <w:rFonts w:ascii="宋体" w:hAnsi="宋体" w:eastAsia="宋体"/>
          <w:b/>
          <w:sz w:val="24"/>
          <w:highlight w:val="none"/>
        </w:rPr>
      </w:pPr>
      <w:r>
        <w:rPr>
          <w:rFonts w:hint="eastAsia" w:ascii="宋体" w:hAnsi="宋体" w:eastAsia="宋体"/>
          <w:b/>
          <w:sz w:val="24"/>
          <w:highlight w:val="none"/>
        </w:rPr>
        <w:t>第二部分</w:t>
      </w:r>
      <w:r>
        <w:rPr>
          <w:rFonts w:ascii="宋体" w:hAnsi="宋体" w:eastAsia="宋体"/>
          <w:b/>
          <w:sz w:val="24"/>
          <w:highlight w:val="none"/>
        </w:rPr>
        <w:t xml:space="preserve"> </w:t>
      </w:r>
      <w:r>
        <w:rPr>
          <w:rFonts w:hint="eastAsia" w:ascii="宋体" w:hAnsi="宋体" w:eastAsia="宋体"/>
          <w:b/>
          <w:sz w:val="24"/>
          <w:highlight w:val="none"/>
        </w:rPr>
        <w:t>合同一般条款</w:t>
      </w:r>
      <w:bookmarkEnd w:id="65"/>
    </w:p>
    <w:p w14:paraId="5C397B7D">
      <w:pPr>
        <w:spacing w:line="360" w:lineRule="auto"/>
        <w:ind w:firstLine="437"/>
        <w:outlineLvl w:val="2"/>
        <w:rPr>
          <w:rFonts w:ascii="宋体" w:hAnsi="宋体" w:eastAsia="宋体"/>
          <w:b/>
          <w:bCs/>
          <w:sz w:val="24"/>
          <w:highlight w:val="none"/>
          <w:lang w:val="zh-CN"/>
        </w:rPr>
      </w:pPr>
      <w:bookmarkStart w:id="66" w:name="_Ref467379195"/>
      <w:bookmarkStart w:id="67" w:name="_Toc259093669"/>
      <w:bookmarkStart w:id="68" w:name="_Ref467378499"/>
      <w:bookmarkStart w:id="69" w:name="_Toc487900349"/>
      <w:bookmarkStart w:id="70" w:name="_Ref467379109"/>
      <w:bookmarkStart w:id="71" w:name="_Ref467378463"/>
      <w:bookmarkStart w:id="72" w:name="_Toc279701240"/>
      <w:bookmarkStart w:id="73" w:name="_Ref467378404"/>
      <w:bookmarkStart w:id="74" w:name="_Ref467379214"/>
      <w:bookmarkStart w:id="75" w:name="_Ref467379225"/>
      <w:bookmarkStart w:id="76" w:name="_Ref467379101"/>
      <w:bookmarkStart w:id="77" w:name="_Ref467379205"/>
      <w:bookmarkStart w:id="78" w:name="_Toc16917"/>
      <w:bookmarkStart w:id="79" w:name="_Toc28763"/>
      <w:bookmarkStart w:id="80" w:name="_Toc19614"/>
      <w:bookmarkStart w:id="81" w:name="_Ref467379094"/>
      <w:r>
        <w:rPr>
          <w:rFonts w:hint="eastAsia" w:ascii="宋体" w:hAnsi="宋体" w:eastAsia="宋体"/>
          <w:b/>
          <w:bCs/>
          <w:sz w:val="24"/>
          <w:highlight w:val="none"/>
          <w:lang w:val="zh-CN"/>
        </w:rPr>
        <w:t>2.1</w:t>
      </w:r>
      <w:r>
        <w:rPr>
          <w:rFonts w:ascii="宋体" w:hAnsi="宋体" w:eastAsia="宋体"/>
          <w:b/>
          <w:bCs/>
          <w:sz w:val="24"/>
          <w:highlight w:val="none"/>
          <w:lang w:val="zh-CN"/>
        </w:rPr>
        <w:t xml:space="preserve"> 定义</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174F840D">
      <w:pPr>
        <w:spacing w:line="360" w:lineRule="auto"/>
        <w:ind w:firstLine="435"/>
        <w:rPr>
          <w:rFonts w:ascii="宋体" w:hAnsi="宋体" w:eastAsia="宋体"/>
          <w:sz w:val="24"/>
          <w:highlight w:val="none"/>
        </w:rPr>
      </w:pPr>
      <w:r>
        <w:rPr>
          <w:rFonts w:ascii="宋体" w:hAnsi="宋体" w:eastAsia="宋体"/>
          <w:sz w:val="24"/>
          <w:highlight w:val="none"/>
        </w:rPr>
        <w:t>本合同中的下列</w:t>
      </w:r>
      <w:r>
        <w:rPr>
          <w:rFonts w:hint="eastAsia" w:ascii="宋体" w:hAnsi="宋体" w:eastAsia="宋体"/>
          <w:sz w:val="24"/>
          <w:highlight w:val="none"/>
        </w:rPr>
        <w:t>词</w:t>
      </w:r>
      <w:r>
        <w:rPr>
          <w:rFonts w:ascii="宋体" w:hAnsi="宋体" w:eastAsia="宋体"/>
          <w:sz w:val="24"/>
          <w:highlight w:val="none"/>
        </w:rPr>
        <w:t>语应</w:t>
      </w:r>
      <w:r>
        <w:rPr>
          <w:rFonts w:hint="eastAsia" w:ascii="宋体" w:hAnsi="宋体" w:eastAsia="宋体"/>
          <w:sz w:val="24"/>
          <w:highlight w:val="none"/>
        </w:rPr>
        <w:t>按以下内容进行</w:t>
      </w:r>
      <w:r>
        <w:rPr>
          <w:rFonts w:ascii="宋体" w:hAnsi="宋体" w:eastAsia="宋体"/>
          <w:sz w:val="24"/>
          <w:highlight w:val="none"/>
        </w:rPr>
        <w:t>解释：</w:t>
      </w:r>
    </w:p>
    <w:p w14:paraId="64CC4375">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.1</w:t>
      </w:r>
      <w:r>
        <w:rPr>
          <w:rFonts w:ascii="宋体" w:hAnsi="宋体" w:eastAsia="宋体"/>
          <w:sz w:val="24"/>
          <w:highlight w:val="none"/>
        </w:rPr>
        <w:t>“合同”系指采购人和成交供应商签订的载明双方当事人所达成的协议，并包括所有的附件、附录和构成合同的其他文件。</w:t>
      </w:r>
    </w:p>
    <w:p w14:paraId="77EC3EFA">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1.2“合同价”系指根据合同约定，成交供应商在完全履行合同义务后</w:t>
      </w:r>
      <w:r>
        <w:rPr>
          <w:rFonts w:hint="eastAsia" w:ascii="宋体" w:hAnsi="宋体" w:eastAsia="宋体"/>
          <w:sz w:val="24"/>
          <w:highlight w:val="none"/>
        </w:rPr>
        <w:t>，</w:t>
      </w:r>
      <w:r>
        <w:rPr>
          <w:rFonts w:ascii="宋体" w:hAnsi="宋体" w:eastAsia="宋体"/>
          <w:sz w:val="24"/>
          <w:highlight w:val="none"/>
        </w:rPr>
        <w:t>采购人应支付给成交供应商的价格。</w:t>
      </w:r>
    </w:p>
    <w:p w14:paraId="3046FE58">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1.3“</w:t>
      </w:r>
      <w:r>
        <w:rPr>
          <w:rFonts w:hint="eastAsia" w:ascii="宋体" w:hAnsi="宋体" w:eastAsia="宋体"/>
          <w:sz w:val="24"/>
          <w:highlight w:val="none"/>
        </w:rPr>
        <w:t>服务</w:t>
      </w:r>
      <w:r>
        <w:rPr>
          <w:rFonts w:ascii="宋体" w:hAnsi="宋体" w:eastAsia="宋体"/>
          <w:sz w:val="24"/>
          <w:highlight w:val="none"/>
        </w:rPr>
        <w:t>”系指</w:t>
      </w:r>
      <w:r>
        <w:rPr>
          <w:rFonts w:hint="eastAsia" w:ascii="宋体" w:hAnsi="宋体" w:eastAsia="宋体"/>
          <w:sz w:val="24"/>
          <w:highlight w:val="none"/>
        </w:rPr>
        <w:t>成交供应商</w:t>
      </w:r>
      <w:r>
        <w:rPr>
          <w:rFonts w:ascii="宋体" w:hAnsi="宋体" w:eastAsia="宋体"/>
          <w:sz w:val="24"/>
          <w:highlight w:val="none"/>
        </w:rPr>
        <w:t>根据合同约定应向采购人</w:t>
      </w:r>
      <w:r>
        <w:rPr>
          <w:rFonts w:hint="eastAsia" w:ascii="宋体" w:hAnsi="宋体" w:eastAsia="宋体"/>
          <w:sz w:val="24"/>
          <w:highlight w:val="none"/>
        </w:rPr>
        <w:t>履行</w:t>
      </w:r>
      <w:r>
        <w:rPr>
          <w:rFonts w:ascii="宋体" w:hAnsi="宋体" w:eastAsia="宋体"/>
          <w:sz w:val="24"/>
          <w:highlight w:val="none"/>
        </w:rPr>
        <w:t>的</w:t>
      </w:r>
      <w:r>
        <w:rPr>
          <w:rFonts w:hint="eastAsia" w:ascii="宋体" w:hAnsi="宋体" w:eastAsia="宋体"/>
          <w:sz w:val="24"/>
          <w:highlight w:val="none"/>
        </w:rPr>
        <w:t>除货物和工程以外的其他政府采购对象，包括采购人自身需要的服务和向社会公众提供的公共服务。</w:t>
      </w:r>
    </w:p>
    <w:p w14:paraId="74ADA628">
      <w:pPr>
        <w:spacing w:line="360" w:lineRule="auto"/>
        <w:ind w:firstLine="435"/>
        <w:rPr>
          <w:rFonts w:ascii="宋体" w:hAnsi="宋体" w:eastAsia="宋体"/>
          <w:sz w:val="24"/>
          <w:highlight w:val="none"/>
        </w:rPr>
      </w:pPr>
      <w:bookmarkStart w:id="82" w:name="_Ref467378840"/>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4</w:t>
      </w:r>
      <w:r>
        <w:rPr>
          <w:rFonts w:ascii="宋体" w:hAnsi="宋体" w:eastAsia="宋体"/>
          <w:sz w:val="24"/>
          <w:highlight w:val="none"/>
        </w:rPr>
        <w:t>“</w:t>
      </w:r>
      <w:r>
        <w:rPr>
          <w:rFonts w:hint="eastAsia" w:ascii="宋体" w:hAnsi="宋体" w:eastAsia="宋体"/>
          <w:sz w:val="24"/>
          <w:highlight w:val="none"/>
        </w:rPr>
        <w:t>甲方</w:t>
      </w:r>
      <w:r>
        <w:rPr>
          <w:rFonts w:ascii="宋体" w:hAnsi="宋体" w:eastAsia="宋体"/>
          <w:sz w:val="24"/>
          <w:highlight w:val="none"/>
        </w:rPr>
        <w:t>”系指与</w:t>
      </w:r>
      <w:r>
        <w:rPr>
          <w:rFonts w:hint="eastAsia" w:ascii="宋体" w:hAnsi="宋体" w:eastAsia="宋体"/>
          <w:sz w:val="24"/>
          <w:highlight w:val="none"/>
        </w:rPr>
        <w:t>成交供应商</w:t>
      </w:r>
      <w:r>
        <w:rPr>
          <w:rFonts w:ascii="宋体" w:hAnsi="宋体" w:eastAsia="宋体"/>
          <w:sz w:val="24"/>
          <w:highlight w:val="none"/>
        </w:rPr>
        <w:t>签署合同的采购人</w:t>
      </w:r>
      <w:bookmarkEnd w:id="82"/>
      <w:r>
        <w:rPr>
          <w:rFonts w:hint="eastAsia" w:ascii="宋体" w:hAnsi="宋体" w:eastAsia="宋体"/>
          <w:sz w:val="24"/>
          <w:highlight w:val="none"/>
        </w:rPr>
        <w:t>；采购人委托采购代理机构代表其与乙方签订合同的，采购人的授权委托书作为合同附件。</w:t>
      </w:r>
    </w:p>
    <w:p w14:paraId="1FD7268E">
      <w:pPr>
        <w:spacing w:line="360" w:lineRule="auto"/>
        <w:ind w:firstLine="435"/>
        <w:rPr>
          <w:rFonts w:ascii="宋体" w:hAnsi="宋体" w:eastAsia="宋体"/>
          <w:sz w:val="24"/>
          <w:highlight w:val="none"/>
        </w:rPr>
      </w:pPr>
      <w:bookmarkStart w:id="83" w:name="_Ref467379400"/>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5</w:t>
      </w:r>
      <w:r>
        <w:rPr>
          <w:rFonts w:ascii="宋体" w:hAnsi="宋体" w:eastAsia="宋体"/>
          <w:sz w:val="24"/>
          <w:highlight w:val="none"/>
        </w:rPr>
        <w:t>“乙方”系指根据合同约定</w:t>
      </w:r>
      <w:r>
        <w:rPr>
          <w:rFonts w:hint="eastAsia" w:ascii="宋体" w:hAnsi="宋体" w:eastAsia="宋体"/>
          <w:sz w:val="24"/>
          <w:highlight w:val="none"/>
        </w:rPr>
        <w:t>提供服务</w:t>
      </w:r>
      <w:r>
        <w:rPr>
          <w:rFonts w:ascii="宋体" w:hAnsi="宋体" w:eastAsia="宋体"/>
          <w:sz w:val="24"/>
          <w:highlight w:val="none"/>
        </w:rPr>
        <w:t>的成交供应商</w:t>
      </w:r>
      <w:bookmarkEnd w:id="83"/>
      <w:r>
        <w:rPr>
          <w:rFonts w:hint="eastAsia" w:ascii="宋体" w:hAnsi="宋体" w:eastAsia="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53967D5">
      <w:pPr>
        <w:spacing w:line="360" w:lineRule="auto"/>
        <w:ind w:firstLine="435"/>
        <w:rPr>
          <w:rFonts w:ascii="宋体" w:hAnsi="宋体" w:eastAsia="宋体"/>
          <w:sz w:val="24"/>
          <w:highlight w:val="none"/>
        </w:rPr>
      </w:pPr>
      <w:bookmarkStart w:id="84" w:name="_Ref467379436"/>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6</w:t>
      </w:r>
      <w:r>
        <w:rPr>
          <w:rFonts w:ascii="宋体" w:hAnsi="宋体" w:eastAsia="宋体"/>
          <w:sz w:val="24"/>
          <w:highlight w:val="none"/>
        </w:rPr>
        <w:t>“现场”系指合同约定</w:t>
      </w:r>
      <w:r>
        <w:rPr>
          <w:rFonts w:hint="eastAsia" w:ascii="宋体" w:hAnsi="宋体" w:eastAsia="宋体"/>
          <w:sz w:val="24"/>
          <w:highlight w:val="none"/>
        </w:rPr>
        <w:t>提供服务</w:t>
      </w:r>
      <w:r>
        <w:rPr>
          <w:rFonts w:ascii="宋体" w:hAnsi="宋体" w:eastAsia="宋体"/>
          <w:sz w:val="24"/>
          <w:highlight w:val="none"/>
        </w:rPr>
        <w:t>的地点。</w:t>
      </w:r>
      <w:bookmarkEnd w:id="84"/>
    </w:p>
    <w:p w14:paraId="52138D64">
      <w:pPr>
        <w:spacing w:line="360" w:lineRule="auto"/>
        <w:ind w:firstLine="437"/>
        <w:outlineLvl w:val="2"/>
        <w:rPr>
          <w:rFonts w:ascii="宋体" w:hAnsi="宋体" w:eastAsia="宋体"/>
          <w:b/>
          <w:bCs/>
          <w:sz w:val="24"/>
          <w:highlight w:val="none"/>
          <w:lang w:val="zh-CN"/>
        </w:rPr>
      </w:pPr>
      <w:bookmarkStart w:id="85" w:name="_Toc13336"/>
      <w:bookmarkStart w:id="86" w:name="_Toc279701241"/>
      <w:bookmarkStart w:id="87" w:name="_Toc487900350"/>
      <w:bookmarkStart w:id="88" w:name="_Toc259093670"/>
      <w:bookmarkStart w:id="89" w:name="_Toc32504"/>
      <w:bookmarkStart w:id="90" w:name="_Toc27635"/>
      <w:r>
        <w:rPr>
          <w:rFonts w:hint="eastAsia" w:ascii="宋体" w:hAnsi="宋体" w:eastAsia="宋体"/>
          <w:b/>
          <w:bCs/>
          <w:sz w:val="24"/>
          <w:highlight w:val="none"/>
          <w:lang w:val="zh-CN"/>
        </w:rPr>
        <w:t>2.</w:t>
      </w:r>
      <w:r>
        <w:rPr>
          <w:rFonts w:ascii="宋体" w:hAnsi="宋体" w:eastAsia="宋体"/>
          <w:b/>
          <w:bCs/>
          <w:sz w:val="24"/>
          <w:highlight w:val="none"/>
          <w:lang w:val="zh-CN"/>
        </w:rPr>
        <w:t>2 技术规范</w:t>
      </w:r>
      <w:bookmarkEnd w:id="85"/>
      <w:bookmarkEnd w:id="86"/>
      <w:bookmarkEnd w:id="87"/>
      <w:bookmarkEnd w:id="88"/>
      <w:bookmarkEnd w:id="89"/>
      <w:bookmarkEnd w:id="90"/>
    </w:p>
    <w:p w14:paraId="149FEFDB">
      <w:pPr>
        <w:spacing w:line="360" w:lineRule="auto"/>
        <w:ind w:firstLine="435"/>
        <w:rPr>
          <w:rFonts w:ascii="宋体" w:hAnsi="宋体" w:eastAsia="宋体"/>
          <w:sz w:val="24"/>
          <w:highlight w:val="none"/>
        </w:rPr>
      </w:pPr>
      <w:r>
        <w:rPr>
          <w:rFonts w:ascii="宋体" w:hAnsi="宋体" w:eastAsia="宋体"/>
          <w:sz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sz w:val="24"/>
          <w:highlight w:val="none"/>
        </w:rPr>
        <w:t>；</w:t>
      </w:r>
      <w:r>
        <w:rPr>
          <w:rFonts w:ascii="宋体" w:hAnsi="宋体" w:eastAsia="宋体"/>
          <w:sz w:val="24"/>
          <w:highlight w:val="none"/>
        </w:rPr>
        <w:t>如果采购文件中没有技术规范的相应说明，那么应以国家有关部门最新颁布的相应标准</w:t>
      </w:r>
      <w:r>
        <w:rPr>
          <w:rFonts w:hint="eastAsia" w:ascii="宋体" w:hAnsi="宋体" w:eastAsia="宋体"/>
          <w:sz w:val="24"/>
          <w:highlight w:val="none"/>
        </w:rPr>
        <w:t>和</w:t>
      </w:r>
      <w:r>
        <w:rPr>
          <w:rFonts w:ascii="宋体" w:hAnsi="宋体" w:eastAsia="宋体"/>
          <w:sz w:val="24"/>
          <w:highlight w:val="none"/>
        </w:rPr>
        <w:t>规范为准。</w:t>
      </w:r>
    </w:p>
    <w:p w14:paraId="339BF40E">
      <w:pPr>
        <w:spacing w:line="360" w:lineRule="auto"/>
        <w:ind w:firstLine="437"/>
        <w:outlineLvl w:val="2"/>
        <w:rPr>
          <w:rFonts w:ascii="宋体" w:hAnsi="宋体" w:eastAsia="宋体"/>
          <w:b/>
          <w:bCs/>
          <w:sz w:val="24"/>
          <w:highlight w:val="none"/>
          <w:lang w:val="zh-CN"/>
        </w:rPr>
      </w:pPr>
      <w:bookmarkStart w:id="91" w:name="_Toc9829"/>
      <w:bookmarkStart w:id="92" w:name="_Toc259093671"/>
      <w:bookmarkStart w:id="93" w:name="_Toc31634"/>
      <w:bookmarkStart w:id="94" w:name="_Toc487900351"/>
      <w:bookmarkStart w:id="95" w:name="_Toc27853"/>
      <w:bookmarkStart w:id="96" w:name="_Toc279701242"/>
      <w:r>
        <w:rPr>
          <w:rFonts w:hint="eastAsia" w:ascii="宋体" w:hAnsi="宋体" w:eastAsia="宋体"/>
          <w:b/>
          <w:bCs/>
          <w:sz w:val="24"/>
          <w:highlight w:val="none"/>
          <w:lang w:val="zh-CN"/>
        </w:rPr>
        <w:t>2.</w:t>
      </w:r>
      <w:r>
        <w:rPr>
          <w:rFonts w:ascii="宋体" w:hAnsi="宋体" w:eastAsia="宋体"/>
          <w:b/>
          <w:bCs/>
          <w:sz w:val="24"/>
          <w:highlight w:val="none"/>
          <w:lang w:val="zh-CN"/>
        </w:rPr>
        <w:t>3 知识产权</w:t>
      </w:r>
      <w:bookmarkEnd w:id="91"/>
      <w:bookmarkEnd w:id="92"/>
      <w:bookmarkEnd w:id="93"/>
      <w:bookmarkEnd w:id="94"/>
      <w:bookmarkEnd w:id="95"/>
      <w:bookmarkEnd w:id="96"/>
    </w:p>
    <w:p w14:paraId="5F1F8045">
      <w:pPr>
        <w:spacing w:line="360" w:lineRule="auto"/>
        <w:ind w:firstLine="435"/>
        <w:rPr>
          <w:rFonts w:ascii="宋体" w:hAnsi="宋体" w:eastAsia="宋体"/>
          <w:sz w:val="24"/>
          <w:highlight w:val="none"/>
        </w:rPr>
      </w:pPr>
      <w:r>
        <w:rPr>
          <w:rFonts w:hint="eastAsia" w:ascii="宋体" w:hAnsi="宋体" w:eastAsia="宋体"/>
          <w:sz w:val="24"/>
          <w:highlight w:val="none"/>
        </w:rPr>
        <w:t>2.3.1乙</w:t>
      </w:r>
      <w:r>
        <w:rPr>
          <w:rFonts w:ascii="宋体" w:hAnsi="宋体" w:eastAsia="宋体"/>
          <w:sz w:val="24"/>
          <w:highlight w:val="none"/>
        </w:rPr>
        <w:t>方应保证</w:t>
      </w:r>
      <w:r>
        <w:rPr>
          <w:rFonts w:hint="eastAsia" w:ascii="宋体" w:hAnsi="宋体" w:eastAsia="宋体"/>
          <w:sz w:val="24"/>
          <w:highlight w:val="none"/>
        </w:rPr>
        <w:t>其提供的服务</w:t>
      </w:r>
      <w:r>
        <w:rPr>
          <w:rFonts w:ascii="宋体" w:hAnsi="宋体" w:eastAsia="宋体"/>
          <w:sz w:val="24"/>
          <w:highlight w:val="none"/>
        </w:rPr>
        <w:t>不受任何第三方提出的侵犯其著作权、商标权、专利权等知识产权方面的起诉</w:t>
      </w:r>
      <w:r>
        <w:rPr>
          <w:rFonts w:hint="eastAsia" w:ascii="宋体" w:hAnsi="宋体" w:eastAsia="宋体"/>
          <w:sz w:val="24"/>
          <w:highlight w:val="none"/>
        </w:rPr>
        <w:t>；</w:t>
      </w:r>
      <w:r>
        <w:rPr>
          <w:rFonts w:ascii="宋体" w:hAnsi="宋体" w:eastAsia="宋体"/>
          <w:sz w:val="24"/>
          <w:highlight w:val="none"/>
        </w:rPr>
        <w:t>如果任何第三方提出侵权</w:t>
      </w:r>
      <w:r>
        <w:rPr>
          <w:rFonts w:hint="eastAsia" w:ascii="宋体" w:hAnsi="宋体" w:eastAsia="宋体"/>
          <w:sz w:val="24"/>
          <w:highlight w:val="none"/>
        </w:rPr>
        <w:t>指控</w:t>
      </w:r>
      <w:r>
        <w:rPr>
          <w:rFonts w:ascii="宋体" w:hAnsi="宋体" w:eastAsia="宋体"/>
          <w:sz w:val="24"/>
          <w:highlight w:val="none"/>
        </w:rPr>
        <w:t>，那么乙方须与该第三方交涉并承担由此发生的一切责任、费用和赔偿</w:t>
      </w:r>
      <w:r>
        <w:rPr>
          <w:rFonts w:hint="eastAsia" w:ascii="宋体" w:hAnsi="宋体" w:eastAsia="宋体"/>
          <w:sz w:val="24"/>
          <w:highlight w:val="none"/>
        </w:rPr>
        <w:t>；</w:t>
      </w:r>
    </w:p>
    <w:p w14:paraId="0857609F">
      <w:pPr>
        <w:spacing w:line="360" w:lineRule="auto"/>
        <w:ind w:firstLine="435"/>
        <w:rPr>
          <w:rFonts w:ascii="宋体" w:hAnsi="宋体" w:eastAsia="宋体"/>
          <w:sz w:val="24"/>
          <w:highlight w:val="none"/>
        </w:rPr>
      </w:pPr>
      <w:r>
        <w:rPr>
          <w:rFonts w:hint="eastAsia" w:ascii="宋体" w:hAnsi="宋体" w:eastAsia="宋体"/>
          <w:sz w:val="24"/>
          <w:highlight w:val="none"/>
        </w:rPr>
        <w:t>2.3.2具有知识产权的计算机软件等货物的知识产权归属，</w:t>
      </w:r>
      <w:r>
        <w:rPr>
          <w:rFonts w:ascii="宋体" w:hAnsi="宋体" w:eastAsia="宋体"/>
          <w:sz w:val="24"/>
          <w:highlight w:val="none"/>
        </w:rPr>
        <w:t>详见</w:t>
      </w:r>
      <w:r>
        <w:rPr>
          <w:rFonts w:ascii="宋体" w:hAnsi="宋体" w:eastAsia="宋体"/>
          <w:b/>
          <w:i/>
          <w:sz w:val="24"/>
          <w:highlight w:val="none"/>
          <w:u w:val="single"/>
        </w:rPr>
        <w:t>合同专用条款</w:t>
      </w:r>
      <w:r>
        <w:rPr>
          <w:rFonts w:ascii="宋体" w:hAnsi="宋体" w:eastAsia="宋体"/>
          <w:sz w:val="24"/>
          <w:highlight w:val="none"/>
        </w:rPr>
        <w:t>。</w:t>
      </w:r>
    </w:p>
    <w:p w14:paraId="797823E9">
      <w:pPr>
        <w:spacing w:line="360" w:lineRule="auto"/>
        <w:ind w:firstLine="437"/>
        <w:outlineLvl w:val="2"/>
        <w:rPr>
          <w:rFonts w:ascii="宋体" w:hAnsi="宋体" w:eastAsia="宋体"/>
          <w:b/>
          <w:bCs/>
          <w:sz w:val="24"/>
          <w:highlight w:val="none"/>
          <w:lang w:val="zh-CN"/>
        </w:rPr>
      </w:pPr>
      <w:bookmarkStart w:id="97" w:name="_Toc279701245"/>
      <w:bookmarkStart w:id="98" w:name="_Ref467379542"/>
      <w:bookmarkStart w:id="99" w:name="_Toc259093674"/>
      <w:bookmarkStart w:id="100" w:name="_Ref467379536"/>
      <w:bookmarkStart w:id="101" w:name="_Ref467378591"/>
      <w:bookmarkStart w:id="102" w:name="_Toc487900354"/>
      <w:bookmarkStart w:id="103" w:name="_Ref467379527"/>
      <w:bookmarkStart w:id="104" w:name="_Ref467378541"/>
      <w:bookmarkStart w:id="105" w:name="_Toc30272"/>
      <w:bookmarkStart w:id="106" w:name="_Toc26182"/>
      <w:bookmarkStart w:id="107" w:name="_Toc19074"/>
      <w:r>
        <w:rPr>
          <w:rFonts w:hint="eastAsia" w:ascii="宋体" w:hAnsi="宋体" w:eastAsia="宋体"/>
          <w:b/>
          <w:bCs/>
          <w:sz w:val="24"/>
          <w:highlight w:val="none"/>
          <w:lang w:val="zh-CN"/>
        </w:rPr>
        <w:t>2.</w:t>
      </w:r>
      <w:bookmarkEnd w:id="97"/>
      <w:bookmarkEnd w:id="98"/>
      <w:bookmarkEnd w:id="99"/>
      <w:bookmarkEnd w:id="100"/>
      <w:bookmarkEnd w:id="101"/>
      <w:bookmarkEnd w:id="102"/>
      <w:bookmarkEnd w:id="103"/>
      <w:bookmarkEnd w:id="104"/>
      <w:r>
        <w:rPr>
          <w:rFonts w:ascii="宋体" w:hAnsi="宋体" w:eastAsia="宋体"/>
          <w:b/>
          <w:bCs/>
          <w:sz w:val="24"/>
          <w:highlight w:val="none"/>
          <w:lang w:val="zh-CN"/>
        </w:rPr>
        <w:t xml:space="preserve">4 </w:t>
      </w:r>
      <w:r>
        <w:rPr>
          <w:rFonts w:hint="eastAsia" w:ascii="宋体" w:hAnsi="宋体" w:eastAsia="宋体"/>
          <w:b/>
          <w:bCs/>
          <w:sz w:val="24"/>
          <w:highlight w:val="none"/>
          <w:lang w:val="zh-CN"/>
        </w:rPr>
        <w:t>履约检查和问题反馈</w:t>
      </w:r>
      <w:bookmarkEnd w:id="105"/>
      <w:bookmarkEnd w:id="106"/>
      <w:bookmarkEnd w:id="107"/>
    </w:p>
    <w:p w14:paraId="4C2A88EB">
      <w:pPr>
        <w:spacing w:line="360" w:lineRule="auto"/>
        <w:ind w:firstLine="435"/>
        <w:rPr>
          <w:rFonts w:ascii="宋体" w:hAnsi="宋体" w:eastAsia="宋体"/>
          <w:sz w:val="24"/>
          <w:highlight w:val="none"/>
        </w:rPr>
      </w:pPr>
      <w:bookmarkStart w:id="108" w:name="_Toc186431854"/>
      <w:bookmarkStart w:id="109" w:name="_Ref467379793"/>
      <w:bookmarkStart w:id="110" w:name="_Toc279701247"/>
      <w:bookmarkStart w:id="111" w:name="_Ref467379807"/>
      <w:bookmarkStart w:id="112" w:name="_Toc487900357"/>
      <w:bookmarkStart w:id="113" w:name="_Toc259093676"/>
      <w:r>
        <w:rPr>
          <w:rFonts w:hint="eastAsia" w:ascii="宋体" w:hAnsi="宋体" w:eastAsia="宋体"/>
          <w:sz w:val="24"/>
          <w:highlight w:val="none"/>
        </w:rPr>
        <w:t>2.4</w:t>
      </w:r>
      <w:r>
        <w:rPr>
          <w:rFonts w:ascii="宋体" w:hAnsi="宋体" w:eastAsia="宋体"/>
          <w:sz w:val="24"/>
          <w:highlight w:val="none"/>
        </w:rPr>
        <w:t>.1甲方</w:t>
      </w:r>
      <w:r>
        <w:rPr>
          <w:rFonts w:hint="eastAsia" w:ascii="宋体" w:hAnsi="宋体" w:eastAsia="宋体"/>
          <w:sz w:val="24"/>
          <w:highlight w:val="none"/>
        </w:rPr>
        <w:t>有权</w:t>
      </w:r>
      <w:r>
        <w:rPr>
          <w:rFonts w:ascii="宋体" w:hAnsi="宋体" w:eastAsia="宋体"/>
          <w:sz w:val="24"/>
          <w:highlight w:val="none"/>
        </w:rPr>
        <w:t>在其认为必要时</w:t>
      </w:r>
      <w:r>
        <w:rPr>
          <w:rFonts w:hint="eastAsia" w:ascii="宋体" w:hAnsi="宋体" w:eastAsia="宋体"/>
          <w:sz w:val="24"/>
          <w:highlight w:val="none"/>
        </w:rPr>
        <w:t>，对乙方是否能够按照合同约定提供服务进行履约检查，以确保乙方所提供的服务能够依约满足甲方项目需求，但不得因履约检查妨碍乙方的正常工作，乙方应予积极配合；</w:t>
      </w:r>
    </w:p>
    <w:p w14:paraId="3E85AEC1">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4</w:t>
      </w:r>
      <w:r>
        <w:rPr>
          <w:rFonts w:hint="eastAsia" w:ascii="宋体" w:hAnsi="宋体" w:eastAsia="宋体"/>
          <w:sz w:val="24"/>
          <w:highlight w:val="none"/>
        </w:rPr>
        <w:t>.2合同履行期间，甲方有权将履行过程中出现的问题反馈给乙方，双方当事人应以书面形式约定需要完善和改进的内容</w:t>
      </w:r>
      <w:bookmarkEnd w:id="108"/>
      <w:bookmarkStart w:id="114" w:name="_Toc186431855"/>
      <w:r>
        <w:rPr>
          <w:rFonts w:hint="eastAsia" w:ascii="宋体" w:hAnsi="宋体" w:eastAsia="宋体"/>
          <w:sz w:val="24"/>
          <w:highlight w:val="none"/>
        </w:rPr>
        <w:t>。</w:t>
      </w:r>
    </w:p>
    <w:bookmarkEnd w:id="114"/>
    <w:p w14:paraId="2BF0261D">
      <w:pPr>
        <w:spacing w:line="360" w:lineRule="auto"/>
        <w:ind w:firstLine="437"/>
        <w:outlineLvl w:val="2"/>
        <w:rPr>
          <w:rFonts w:ascii="宋体" w:hAnsi="宋体" w:eastAsia="宋体"/>
          <w:b/>
          <w:bCs/>
          <w:sz w:val="24"/>
          <w:highlight w:val="none"/>
          <w:lang w:val="zh-CN"/>
        </w:rPr>
      </w:pPr>
      <w:bookmarkStart w:id="115" w:name="_Toc7836"/>
      <w:bookmarkStart w:id="116" w:name="_Toc19219"/>
      <w:bookmarkStart w:id="117" w:name="_Toc28451"/>
      <w:r>
        <w:rPr>
          <w:rFonts w:hint="eastAsia" w:ascii="宋体" w:hAnsi="宋体" w:eastAsia="宋体"/>
          <w:b/>
          <w:bCs/>
          <w:sz w:val="24"/>
          <w:highlight w:val="none"/>
          <w:lang w:val="zh-CN"/>
        </w:rPr>
        <w:t>2.</w:t>
      </w:r>
      <w:r>
        <w:rPr>
          <w:rFonts w:ascii="宋体" w:hAnsi="宋体" w:eastAsia="宋体"/>
          <w:b/>
          <w:bCs/>
          <w:sz w:val="24"/>
          <w:highlight w:val="none"/>
          <w:lang w:val="zh-CN"/>
        </w:rPr>
        <w:t>5</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结算方式和付款条件</w:t>
      </w:r>
      <w:bookmarkEnd w:id="109"/>
      <w:bookmarkEnd w:id="110"/>
      <w:bookmarkEnd w:id="111"/>
      <w:bookmarkEnd w:id="112"/>
      <w:bookmarkEnd w:id="113"/>
      <w:bookmarkEnd w:id="115"/>
      <w:bookmarkEnd w:id="116"/>
      <w:bookmarkEnd w:id="117"/>
    </w:p>
    <w:p w14:paraId="2749A369">
      <w:pPr>
        <w:spacing w:line="360" w:lineRule="auto"/>
        <w:ind w:firstLine="435"/>
        <w:rPr>
          <w:rFonts w:ascii="宋体" w:hAnsi="宋体" w:eastAsia="宋体"/>
          <w:sz w:val="24"/>
          <w:highlight w:val="none"/>
        </w:rPr>
      </w:pPr>
      <w:r>
        <w:rPr>
          <w:rFonts w:ascii="宋体" w:hAnsi="宋体" w:eastAsia="宋体"/>
          <w:sz w:val="24"/>
          <w:highlight w:val="none"/>
        </w:rPr>
        <w:t>详见</w:t>
      </w:r>
      <w:r>
        <w:rPr>
          <w:rFonts w:ascii="宋体" w:hAnsi="宋体" w:eastAsia="宋体"/>
          <w:b/>
          <w:i/>
          <w:sz w:val="24"/>
          <w:highlight w:val="none"/>
          <w:u w:val="single"/>
        </w:rPr>
        <w:t>合同专用条款</w:t>
      </w:r>
      <w:r>
        <w:rPr>
          <w:rFonts w:ascii="宋体" w:hAnsi="宋体" w:eastAsia="宋体"/>
          <w:sz w:val="24"/>
          <w:highlight w:val="none"/>
        </w:rPr>
        <w:t>。</w:t>
      </w:r>
    </w:p>
    <w:p w14:paraId="1CAEEE16">
      <w:pPr>
        <w:spacing w:line="360" w:lineRule="auto"/>
        <w:ind w:firstLine="437"/>
        <w:outlineLvl w:val="2"/>
        <w:rPr>
          <w:rFonts w:ascii="宋体" w:hAnsi="宋体" w:eastAsia="宋体"/>
          <w:b/>
          <w:bCs/>
          <w:sz w:val="24"/>
          <w:highlight w:val="none"/>
          <w:lang w:val="zh-CN"/>
        </w:rPr>
      </w:pPr>
      <w:bookmarkStart w:id="118" w:name="_Toc259093677"/>
      <w:bookmarkStart w:id="119" w:name="_Toc279701248"/>
      <w:bookmarkStart w:id="120" w:name="_Ref467379852"/>
      <w:bookmarkStart w:id="121" w:name="_Ref467379923"/>
      <w:bookmarkStart w:id="122" w:name="_Ref467379863"/>
      <w:bookmarkStart w:id="123" w:name="_Toc487900358"/>
      <w:bookmarkStart w:id="124" w:name="_Toc774"/>
      <w:bookmarkStart w:id="125" w:name="_Toc3225"/>
      <w:bookmarkStart w:id="126" w:name="_Toc16110"/>
      <w:r>
        <w:rPr>
          <w:rFonts w:hint="eastAsia" w:ascii="宋体" w:hAnsi="宋体" w:eastAsia="宋体"/>
          <w:b/>
          <w:bCs/>
          <w:sz w:val="24"/>
          <w:highlight w:val="none"/>
          <w:lang w:val="zh-CN"/>
        </w:rPr>
        <w:t>2.</w:t>
      </w:r>
      <w:r>
        <w:rPr>
          <w:rFonts w:ascii="宋体" w:hAnsi="宋体" w:eastAsia="宋体"/>
          <w:b/>
          <w:bCs/>
          <w:sz w:val="24"/>
          <w:highlight w:val="none"/>
          <w:lang w:val="zh-CN"/>
        </w:rPr>
        <w:t>6</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技术资料</w:t>
      </w:r>
      <w:bookmarkEnd w:id="118"/>
      <w:bookmarkEnd w:id="119"/>
      <w:bookmarkEnd w:id="120"/>
      <w:bookmarkEnd w:id="121"/>
      <w:bookmarkEnd w:id="122"/>
      <w:bookmarkEnd w:id="123"/>
      <w:r>
        <w:rPr>
          <w:rFonts w:ascii="宋体" w:hAnsi="宋体" w:eastAsia="宋体"/>
          <w:b/>
          <w:bCs/>
          <w:sz w:val="24"/>
          <w:highlight w:val="none"/>
          <w:lang w:val="zh-CN"/>
        </w:rPr>
        <w:t>和保密义务</w:t>
      </w:r>
      <w:bookmarkEnd w:id="124"/>
      <w:bookmarkEnd w:id="125"/>
      <w:bookmarkEnd w:id="126"/>
    </w:p>
    <w:p w14:paraId="3F340186">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6.1</w:t>
      </w:r>
      <w:r>
        <w:rPr>
          <w:rFonts w:hint="eastAsia" w:ascii="宋体" w:hAnsi="宋体" w:eastAsia="宋体"/>
          <w:sz w:val="24"/>
          <w:highlight w:val="none"/>
        </w:rPr>
        <w:t>乙方有权依据合同约定和项目需要，向甲方了解有关情况，调阅有关资料等，甲方应予积极配合；</w:t>
      </w:r>
    </w:p>
    <w:p w14:paraId="3BDDFE6D">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6</w:t>
      </w:r>
      <w:r>
        <w:rPr>
          <w:rFonts w:hint="eastAsia" w:ascii="宋体" w:hAnsi="宋体" w:eastAsia="宋体"/>
          <w:sz w:val="24"/>
          <w:highlight w:val="none"/>
        </w:rPr>
        <w:t>.2乙方有义务妥善保管和保护由甲方提供的前款信息和资料等；</w:t>
      </w:r>
    </w:p>
    <w:p w14:paraId="1AE9FEB3">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6.</w:t>
      </w:r>
      <w:r>
        <w:rPr>
          <w:rFonts w:hint="eastAsia" w:ascii="宋体" w:hAnsi="宋体" w:eastAsia="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sz w:val="24"/>
          <w:highlight w:val="none"/>
        </w:rPr>
        <w:t>技术情报</w:t>
      </w:r>
      <w:r>
        <w:rPr>
          <w:rFonts w:hint="eastAsia" w:ascii="宋体" w:hAnsi="宋体" w:eastAsia="宋体"/>
          <w:sz w:val="24"/>
          <w:highlight w:val="none"/>
        </w:rPr>
        <w:t>、</w:t>
      </w:r>
      <w:r>
        <w:rPr>
          <w:rFonts w:ascii="宋体" w:hAnsi="宋体" w:eastAsia="宋体"/>
          <w:sz w:val="24"/>
          <w:highlight w:val="none"/>
        </w:rPr>
        <w:t>技术资料</w:t>
      </w:r>
      <w:r>
        <w:rPr>
          <w:rFonts w:hint="eastAsia" w:ascii="宋体" w:hAnsi="宋体" w:eastAsia="宋体"/>
          <w:sz w:val="24"/>
          <w:highlight w:val="none"/>
        </w:rPr>
        <w:t>、商业秘密和商业信息等，并采取一切合理和必要措施和方式防止任何第三方接触到对方当事人的上述保密信息和资料。</w:t>
      </w:r>
    </w:p>
    <w:p w14:paraId="2773DA57">
      <w:pPr>
        <w:spacing w:line="360" w:lineRule="auto"/>
        <w:ind w:firstLine="437"/>
        <w:outlineLvl w:val="2"/>
        <w:rPr>
          <w:rFonts w:ascii="宋体" w:hAnsi="宋体" w:eastAsia="宋体"/>
          <w:b/>
          <w:bCs/>
          <w:sz w:val="24"/>
          <w:highlight w:val="none"/>
          <w:lang w:val="zh-CN"/>
        </w:rPr>
      </w:pPr>
      <w:bookmarkStart w:id="127" w:name="_Toc7860"/>
      <w:r>
        <w:rPr>
          <w:rFonts w:ascii="宋体" w:hAnsi="宋体" w:eastAsia="宋体"/>
          <w:b/>
          <w:bCs/>
          <w:sz w:val="24"/>
          <w:highlight w:val="none"/>
          <w:lang w:val="zh-CN"/>
        </w:rPr>
        <w:t>2.7 质量保证</w:t>
      </w:r>
      <w:bookmarkEnd w:id="127"/>
    </w:p>
    <w:p w14:paraId="6537BF4F">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7</w:t>
      </w:r>
      <w:r>
        <w:rPr>
          <w:rFonts w:hint="eastAsia" w:ascii="宋体" w:hAnsi="宋体" w:eastAsia="宋体"/>
          <w:sz w:val="24"/>
          <w:highlight w:val="none"/>
        </w:rPr>
        <w:t>.1乙方应建立和完善履行合同的内部质量保证体系，并提供相关内部规章制度给甲方，以便甲方进行监督检查；</w:t>
      </w:r>
    </w:p>
    <w:p w14:paraId="56AF231A">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7</w:t>
      </w:r>
      <w:r>
        <w:rPr>
          <w:rFonts w:hint="eastAsia" w:ascii="宋体" w:hAnsi="宋体" w:eastAsia="宋体"/>
          <w:sz w:val="24"/>
          <w:highlight w:val="none"/>
        </w:rPr>
        <w:t>.2乙方应保证履行合同的人员数量和素质、软件和硬件设备的配置、场地、环境和设施等满足全面履行合同的要求，并应接受甲方的监督检查。</w:t>
      </w:r>
    </w:p>
    <w:p w14:paraId="03324FB6">
      <w:pPr>
        <w:spacing w:line="360" w:lineRule="auto"/>
        <w:ind w:firstLine="437"/>
        <w:outlineLvl w:val="2"/>
        <w:rPr>
          <w:rFonts w:ascii="宋体" w:hAnsi="宋体" w:eastAsia="宋体"/>
          <w:b/>
          <w:sz w:val="24"/>
          <w:highlight w:val="none"/>
        </w:rPr>
      </w:pPr>
      <w:bookmarkStart w:id="128" w:name="_Toc22267"/>
      <w:r>
        <w:rPr>
          <w:rFonts w:hint="eastAsia" w:ascii="宋体" w:hAnsi="宋体" w:eastAsia="宋体"/>
          <w:b/>
          <w:sz w:val="24"/>
          <w:highlight w:val="none"/>
        </w:rPr>
        <w:t>2.8 延迟履行</w:t>
      </w:r>
      <w:bookmarkEnd w:id="128"/>
    </w:p>
    <w:p w14:paraId="027B7129">
      <w:pPr>
        <w:spacing w:line="360" w:lineRule="auto"/>
        <w:ind w:firstLine="435"/>
        <w:rPr>
          <w:rFonts w:ascii="宋体" w:hAnsi="宋体" w:eastAsia="宋体"/>
          <w:sz w:val="24"/>
          <w:highlight w:val="none"/>
        </w:rPr>
      </w:pPr>
      <w:r>
        <w:rPr>
          <w:rFonts w:ascii="宋体" w:hAnsi="宋体" w:eastAsia="宋体"/>
          <w:sz w:val="24"/>
          <w:highlight w:val="none"/>
        </w:rPr>
        <w:t>在合同履行过程中，如果乙方遇到不能按时</w:t>
      </w:r>
      <w:r>
        <w:rPr>
          <w:rFonts w:hint="eastAsia" w:ascii="宋体" w:hAnsi="宋体" w:eastAsia="宋体"/>
          <w:sz w:val="24"/>
          <w:highlight w:val="none"/>
        </w:rPr>
        <w:t>提供服务</w:t>
      </w:r>
      <w:r>
        <w:rPr>
          <w:rFonts w:ascii="宋体" w:hAnsi="宋体" w:eastAsia="宋体"/>
          <w:sz w:val="24"/>
          <w:highlight w:val="none"/>
        </w:rPr>
        <w:t>的情况，应及时以书面形式将不能按时</w:t>
      </w:r>
      <w:r>
        <w:rPr>
          <w:rFonts w:hint="eastAsia" w:ascii="宋体" w:hAnsi="宋体" w:eastAsia="宋体"/>
          <w:sz w:val="24"/>
          <w:highlight w:val="none"/>
        </w:rPr>
        <w:t>提供服务</w:t>
      </w:r>
      <w:r>
        <w:rPr>
          <w:rFonts w:ascii="宋体" w:hAnsi="宋体" w:eastAsia="宋体"/>
          <w:sz w:val="24"/>
          <w:highlight w:val="none"/>
        </w:rPr>
        <w:t>的理由、预期延误时间通知甲方</w:t>
      </w:r>
      <w:r>
        <w:rPr>
          <w:rFonts w:hint="eastAsia" w:ascii="宋体" w:hAnsi="宋体" w:eastAsia="宋体"/>
          <w:sz w:val="24"/>
          <w:highlight w:val="none"/>
        </w:rPr>
        <w:t>；甲</w:t>
      </w:r>
      <w:r>
        <w:rPr>
          <w:rFonts w:ascii="宋体" w:hAnsi="宋体" w:eastAsia="宋体"/>
          <w:sz w:val="24"/>
          <w:highlight w:val="none"/>
        </w:rPr>
        <w:t>方收到乙方通知后，认为其理由正当的，可以书面形式酌情同意乙方可以延长</w:t>
      </w:r>
      <w:r>
        <w:rPr>
          <w:rFonts w:hint="eastAsia" w:ascii="宋体" w:hAnsi="宋体" w:eastAsia="宋体"/>
          <w:sz w:val="24"/>
          <w:highlight w:val="none"/>
        </w:rPr>
        <w:t>履行</w:t>
      </w:r>
      <w:r>
        <w:rPr>
          <w:rFonts w:ascii="宋体" w:hAnsi="宋体" w:eastAsia="宋体"/>
          <w:sz w:val="24"/>
          <w:highlight w:val="none"/>
        </w:rPr>
        <w:t>的具体时间。</w:t>
      </w:r>
    </w:p>
    <w:p w14:paraId="6207EB0A">
      <w:pPr>
        <w:spacing w:line="360" w:lineRule="auto"/>
        <w:ind w:firstLine="437"/>
        <w:outlineLvl w:val="2"/>
        <w:rPr>
          <w:rFonts w:ascii="宋体" w:hAnsi="宋体" w:eastAsia="宋体"/>
          <w:b/>
          <w:bCs/>
          <w:sz w:val="24"/>
          <w:highlight w:val="none"/>
          <w:lang w:val="zh-CN"/>
        </w:rPr>
      </w:pPr>
      <w:bookmarkStart w:id="129" w:name="_Toc7502"/>
      <w:bookmarkStart w:id="130" w:name="_Toc487900364"/>
      <w:bookmarkStart w:id="131" w:name="_Ref467378121"/>
      <w:bookmarkStart w:id="132" w:name="_Toc279701254"/>
      <w:bookmarkStart w:id="133" w:name="_Toc259093683"/>
      <w:r>
        <w:rPr>
          <w:rFonts w:ascii="宋体" w:hAnsi="宋体" w:eastAsia="宋体"/>
          <w:b/>
          <w:bCs/>
          <w:sz w:val="24"/>
          <w:highlight w:val="none"/>
          <w:lang w:val="zh-CN"/>
        </w:rPr>
        <w:t>2.9 合同变更</w:t>
      </w:r>
      <w:bookmarkEnd w:id="129"/>
    </w:p>
    <w:p w14:paraId="25D6898E">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9</w:t>
      </w:r>
      <w:r>
        <w:rPr>
          <w:rFonts w:hint="eastAsia" w:ascii="宋体" w:hAnsi="宋体" w:eastAsia="宋体"/>
          <w:sz w:val="24"/>
          <w:highlight w:val="none"/>
        </w:rPr>
        <w:t>.1双方当事人协商一致，可以签订书面补充合同的形式变更合同，但不得违背采购文件确定的事项；</w:t>
      </w:r>
    </w:p>
    <w:p w14:paraId="035F1917">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9</w:t>
      </w:r>
      <w:r>
        <w:rPr>
          <w:rFonts w:hint="eastAsia" w:ascii="宋体" w:hAnsi="宋体" w:eastAsia="宋体"/>
          <w:sz w:val="24"/>
          <w:highlight w:val="none"/>
        </w:rPr>
        <w:t>.2合同继续履行将损害国家利益和社会公共利益的，双方当事人应当以书面形式变更合同。有过错的一方应当承担赔偿责任，双方当事人都有过错的，各自承担相应的责任。</w:t>
      </w:r>
      <w:bookmarkStart w:id="134" w:name="_Toc259093688"/>
      <w:bookmarkStart w:id="135" w:name="_Toc487900369"/>
      <w:bookmarkStart w:id="136" w:name="_Toc279701259"/>
    </w:p>
    <w:p w14:paraId="1E73A301">
      <w:pPr>
        <w:spacing w:line="360" w:lineRule="auto"/>
        <w:ind w:firstLine="437"/>
        <w:outlineLvl w:val="2"/>
        <w:rPr>
          <w:rFonts w:ascii="宋体" w:hAnsi="宋体" w:eastAsia="宋体"/>
          <w:b/>
          <w:bCs/>
          <w:sz w:val="24"/>
          <w:highlight w:val="none"/>
          <w:lang w:val="zh-CN"/>
        </w:rPr>
      </w:pPr>
      <w:bookmarkStart w:id="137" w:name="_Toc15237"/>
      <w:bookmarkStart w:id="138" w:name="_Toc22955"/>
      <w:bookmarkStart w:id="139" w:name="_Toc10366"/>
      <w:r>
        <w:rPr>
          <w:rFonts w:hint="eastAsia" w:ascii="宋体" w:hAnsi="宋体" w:eastAsia="宋体"/>
          <w:b/>
          <w:bCs/>
          <w:sz w:val="24"/>
          <w:highlight w:val="none"/>
          <w:lang w:val="zh-CN"/>
        </w:rPr>
        <w:t>2.1</w:t>
      </w:r>
      <w:r>
        <w:rPr>
          <w:rFonts w:ascii="宋体" w:hAnsi="宋体" w:eastAsia="宋体"/>
          <w:b/>
          <w:bCs/>
          <w:sz w:val="24"/>
          <w:highlight w:val="none"/>
          <w:lang w:val="zh-CN"/>
        </w:rPr>
        <w:t>0</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合同转让</w:t>
      </w:r>
      <w:bookmarkEnd w:id="134"/>
      <w:bookmarkEnd w:id="135"/>
      <w:bookmarkEnd w:id="136"/>
      <w:r>
        <w:rPr>
          <w:rFonts w:ascii="宋体" w:hAnsi="宋体" w:eastAsia="宋体"/>
          <w:b/>
          <w:bCs/>
          <w:sz w:val="24"/>
          <w:highlight w:val="none"/>
          <w:lang w:val="zh-CN"/>
        </w:rPr>
        <w:t>和分包</w:t>
      </w:r>
      <w:bookmarkEnd w:id="137"/>
      <w:bookmarkEnd w:id="138"/>
      <w:bookmarkEnd w:id="139"/>
    </w:p>
    <w:p w14:paraId="34B32380">
      <w:pPr>
        <w:spacing w:line="360" w:lineRule="auto"/>
        <w:ind w:firstLine="435"/>
        <w:rPr>
          <w:rFonts w:ascii="宋体" w:hAnsi="宋体" w:eastAsia="宋体"/>
          <w:sz w:val="24"/>
          <w:highlight w:val="none"/>
        </w:rPr>
      </w:pPr>
      <w:r>
        <w:rPr>
          <w:rFonts w:ascii="宋体" w:hAnsi="宋体" w:eastAsia="宋体"/>
          <w:sz w:val="24"/>
          <w:highlight w:val="none"/>
        </w:rPr>
        <w:t>合同的权利义务依法不</w:t>
      </w:r>
      <w:r>
        <w:rPr>
          <w:rFonts w:hint="eastAsia" w:ascii="宋体" w:hAnsi="宋体" w:eastAsia="宋体"/>
          <w:sz w:val="24"/>
          <w:highlight w:val="none"/>
        </w:rPr>
        <w:t>得</w:t>
      </w:r>
      <w:r>
        <w:rPr>
          <w:rFonts w:ascii="宋体" w:hAnsi="宋体" w:eastAsia="宋体"/>
          <w:sz w:val="24"/>
          <w:highlight w:val="none"/>
        </w:rPr>
        <w:t>转让</w:t>
      </w:r>
      <w:r>
        <w:rPr>
          <w:rFonts w:hint="eastAsia" w:ascii="宋体" w:hAnsi="宋体" w:eastAsia="宋体"/>
          <w:sz w:val="24"/>
          <w:highlight w:val="none"/>
        </w:rPr>
        <w:t>，</w:t>
      </w:r>
      <w:r>
        <w:rPr>
          <w:rFonts w:ascii="宋体" w:hAnsi="宋体" w:eastAsia="宋体"/>
          <w:sz w:val="24"/>
          <w:highlight w:val="none"/>
        </w:rPr>
        <w:t>但经甲方</w:t>
      </w:r>
      <w:r>
        <w:rPr>
          <w:rFonts w:hint="eastAsia" w:ascii="宋体" w:hAnsi="宋体" w:eastAsia="宋体"/>
          <w:sz w:val="24"/>
          <w:highlight w:val="none"/>
        </w:rPr>
        <w:t>同意，乙方可以依法采取分包方式履行合同，即：依法可以</w:t>
      </w:r>
      <w:r>
        <w:rPr>
          <w:rFonts w:ascii="宋体" w:hAnsi="宋体" w:eastAsia="宋体"/>
          <w:sz w:val="24"/>
          <w:highlight w:val="none"/>
        </w:rPr>
        <w:t>将合同项下的部分非主体、非关键性工作分包给他人完成</w:t>
      </w:r>
      <w:r>
        <w:rPr>
          <w:rFonts w:hint="eastAsia" w:ascii="宋体" w:hAnsi="宋体" w:eastAsia="宋体"/>
          <w:sz w:val="24"/>
          <w:highlight w:val="none"/>
        </w:rPr>
        <w:t>，</w:t>
      </w:r>
      <w:r>
        <w:rPr>
          <w:rFonts w:ascii="宋体" w:hAnsi="宋体" w:eastAsia="宋体"/>
          <w:sz w:val="24"/>
          <w:highlight w:val="none"/>
        </w:rPr>
        <w:t>接受分包的人应当具备相应的资格条件，并不得再次分包</w:t>
      </w:r>
      <w:r>
        <w:rPr>
          <w:rFonts w:hint="eastAsia" w:ascii="宋体" w:hAnsi="宋体" w:eastAsia="宋体"/>
          <w:sz w:val="24"/>
          <w:highlight w:val="none"/>
        </w:rPr>
        <w:t>，</w:t>
      </w:r>
      <w:r>
        <w:rPr>
          <w:rFonts w:ascii="宋体" w:hAnsi="宋体" w:eastAsia="宋体"/>
          <w:sz w:val="24"/>
          <w:highlight w:val="none"/>
        </w:rPr>
        <w:t>且乙方应就分包项目向甲方负责</w:t>
      </w:r>
      <w:r>
        <w:rPr>
          <w:rFonts w:hint="eastAsia" w:ascii="宋体" w:hAnsi="宋体" w:eastAsia="宋体"/>
          <w:sz w:val="24"/>
          <w:highlight w:val="none"/>
        </w:rPr>
        <w:t>，</w:t>
      </w:r>
      <w:r>
        <w:rPr>
          <w:rFonts w:ascii="宋体" w:hAnsi="宋体" w:eastAsia="宋体"/>
          <w:sz w:val="24"/>
          <w:highlight w:val="none"/>
        </w:rPr>
        <w:t>并</w:t>
      </w:r>
      <w:r>
        <w:rPr>
          <w:rFonts w:hint="eastAsia" w:ascii="宋体" w:hAnsi="宋体" w:eastAsia="宋体"/>
          <w:sz w:val="24"/>
          <w:highlight w:val="none"/>
        </w:rPr>
        <w:t>与分包供应商就分包项目向甲方承担连带责任。</w:t>
      </w:r>
    </w:p>
    <w:p w14:paraId="0C78BAE8">
      <w:pPr>
        <w:spacing w:line="360" w:lineRule="auto"/>
        <w:ind w:firstLine="437"/>
        <w:outlineLvl w:val="2"/>
        <w:rPr>
          <w:rFonts w:ascii="宋体" w:hAnsi="宋体" w:eastAsia="宋体"/>
          <w:b/>
          <w:bCs/>
          <w:sz w:val="24"/>
          <w:highlight w:val="none"/>
          <w:lang w:val="zh-CN"/>
        </w:rPr>
      </w:pPr>
      <w:bookmarkStart w:id="140" w:name="_Toc13566"/>
      <w:bookmarkStart w:id="141" w:name="_Toc14066"/>
      <w:bookmarkStart w:id="142" w:name="_Toc16508"/>
      <w:r>
        <w:rPr>
          <w:rFonts w:hint="eastAsia" w:ascii="宋体" w:hAnsi="宋体" w:eastAsia="宋体"/>
          <w:b/>
          <w:bCs/>
          <w:sz w:val="24"/>
          <w:highlight w:val="none"/>
          <w:lang w:val="zh-CN"/>
        </w:rPr>
        <w:t>2.1</w:t>
      </w:r>
      <w:r>
        <w:rPr>
          <w:rFonts w:ascii="宋体" w:hAnsi="宋体" w:eastAsia="宋体"/>
          <w:b/>
          <w:bCs/>
          <w:sz w:val="24"/>
          <w:highlight w:val="none"/>
          <w:lang w:val="zh-CN"/>
        </w:rPr>
        <w:t>1 不可抗力</w:t>
      </w:r>
      <w:bookmarkEnd w:id="140"/>
      <w:bookmarkEnd w:id="141"/>
      <w:bookmarkEnd w:id="142"/>
    </w:p>
    <w:p w14:paraId="79D8556A">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sz w:val="24"/>
          <w:highlight w:val="none"/>
        </w:rPr>
        <w:t>；</w:t>
      </w:r>
    </w:p>
    <w:p w14:paraId="140FD3A6">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w:t>
      </w:r>
      <w:r>
        <w:rPr>
          <w:rFonts w:hint="eastAsia" w:ascii="宋体" w:hAnsi="宋体" w:eastAsia="宋体"/>
          <w:sz w:val="24"/>
          <w:highlight w:val="none"/>
        </w:rPr>
        <w:t>.2因不可抗力致使不能实现合同目的的，当事人可以解除合同；</w:t>
      </w:r>
    </w:p>
    <w:p w14:paraId="3322C490">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w:t>
      </w:r>
      <w:r>
        <w:rPr>
          <w:rFonts w:hint="eastAsia" w:ascii="宋体" w:hAnsi="宋体" w:eastAsia="宋体"/>
          <w:sz w:val="24"/>
          <w:highlight w:val="none"/>
        </w:rPr>
        <w:t>.3因</w:t>
      </w:r>
      <w:r>
        <w:rPr>
          <w:rFonts w:ascii="宋体" w:hAnsi="宋体" w:eastAsia="宋体"/>
          <w:sz w:val="24"/>
          <w:highlight w:val="none"/>
        </w:rPr>
        <w:t>不可抗力致使合同有变更必要的，双方当事人应在</w:t>
      </w:r>
      <w:r>
        <w:rPr>
          <w:rFonts w:ascii="宋体" w:hAnsi="宋体" w:eastAsia="宋体"/>
          <w:b/>
          <w:i/>
          <w:sz w:val="24"/>
          <w:highlight w:val="none"/>
          <w:u w:val="single"/>
        </w:rPr>
        <w:t>合同专用条款</w:t>
      </w:r>
      <w:r>
        <w:rPr>
          <w:rFonts w:ascii="宋体" w:hAnsi="宋体" w:eastAsia="宋体"/>
          <w:sz w:val="24"/>
          <w:highlight w:val="none"/>
        </w:rPr>
        <w:t>约定时间内以书面形式变更合同</w:t>
      </w:r>
      <w:r>
        <w:rPr>
          <w:rFonts w:hint="eastAsia" w:ascii="宋体" w:hAnsi="宋体" w:eastAsia="宋体"/>
          <w:sz w:val="24"/>
          <w:highlight w:val="none"/>
        </w:rPr>
        <w:t>；</w:t>
      </w:r>
    </w:p>
    <w:p w14:paraId="5F479253">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w:t>
      </w:r>
      <w:r>
        <w:rPr>
          <w:rFonts w:hint="eastAsia" w:ascii="宋体" w:hAnsi="宋体" w:eastAsia="宋体"/>
          <w:sz w:val="24"/>
          <w:highlight w:val="none"/>
        </w:rPr>
        <w:t>4</w:t>
      </w:r>
      <w:r>
        <w:rPr>
          <w:rFonts w:ascii="宋体" w:hAnsi="宋体" w:eastAsia="宋体"/>
          <w:sz w:val="24"/>
          <w:highlight w:val="none"/>
        </w:rPr>
        <w:t>受</w:t>
      </w:r>
      <w:r>
        <w:rPr>
          <w:rFonts w:hint="eastAsia" w:ascii="宋体" w:hAnsi="宋体" w:eastAsia="宋体"/>
          <w:sz w:val="24"/>
          <w:highlight w:val="none"/>
        </w:rPr>
        <w:t>不可抗力</w:t>
      </w:r>
      <w:r>
        <w:rPr>
          <w:rFonts w:ascii="宋体" w:hAnsi="宋体" w:eastAsia="宋体"/>
          <w:sz w:val="24"/>
          <w:highlight w:val="none"/>
        </w:rPr>
        <w:t>影响的一方在不可抗力发生后</w:t>
      </w:r>
      <w:r>
        <w:rPr>
          <w:rFonts w:hint="eastAsia" w:ascii="宋体" w:hAnsi="宋体" w:eastAsia="宋体"/>
          <w:sz w:val="24"/>
          <w:highlight w:val="none"/>
        </w:rPr>
        <w:t>，</w:t>
      </w:r>
      <w:r>
        <w:rPr>
          <w:rFonts w:ascii="宋体" w:hAnsi="宋体" w:eastAsia="宋体"/>
          <w:sz w:val="24"/>
          <w:highlight w:val="none"/>
        </w:rPr>
        <w:t>应在</w:t>
      </w:r>
      <w:r>
        <w:rPr>
          <w:rFonts w:ascii="宋体" w:hAnsi="宋体" w:eastAsia="宋体"/>
          <w:b/>
          <w:i/>
          <w:sz w:val="24"/>
          <w:highlight w:val="none"/>
          <w:u w:val="single"/>
        </w:rPr>
        <w:t>合同专用条款</w:t>
      </w:r>
      <w:r>
        <w:rPr>
          <w:rFonts w:ascii="宋体" w:hAnsi="宋体" w:eastAsia="宋体"/>
          <w:sz w:val="24"/>
          <w:highlight w:val="none"/>
        </w:rPr>
        <w:t>约定时间内以书面形式通知</w:t>
      </w:r>
      <w:r>
        <w:rPr>
          <w:rFonts w:hint="eastAsia" w:ascii="宋体" w:hAnsi="宋体" w:eastAsia="宋体"/>
          <w:sz w:val="24"/>
          <w:highlight w:val="none"/>
        </w:rPr>
        <w:t>对</w:t>
      </w:r>
      <w:r>
        <w:rPr>
          <w:rFonts w:ascii="宋体" w:hAnsi="宋体" w:eastAsia="宋体"/>
          <w:sz w:val="24"/>
          <w:highlight w:val="none"/>
        </w:rPr>
        <w:t>方当事人，并在</w:t>
      </w:r>
      <w:r>
        <w:rPr>
          <w:rFonts w:ascii="宋体" w:hAnsi="宋体" w:eastAsia="宋体"/>
          <w:b/>
          <w:i/>
          <w:sz w:val="24"/>
          <w:highlight w:val="none"/>
          <w:u w:val="single"/>
        </w:rPr>
        <w:t>合同专用条款</w:t>
      </w:r>
      <w:r>
        <w:rPr>
          <w:rFonts w:ascii="宋体" w:hAnsi="宋体" w:eastAsia="宋体"/>
          <w:sz w:val="24"/>
          <w:highlight w:val="none"/>
        </w:rPr>
        <w:t>约定时间内，将有关部门出具的证明文件送达</w:t>
      </w:r>
      <w:r>
        <w:rPr>
          <w:rFonts w:hint="eastAsia" w:ascii="宋体" w:hAnsi="宋体" w:eastAsia="宋体"/>
          <w:sz w:val="24"/>
          <w:highlight w:val="none"/>
        </w:rPr>
        <w:t>对方当事人</w:t>
      </w:r>
      <w:r>
        <w:rPr>
          <w:rFonts w:ascii="宋体" w:hAnsi="宋体" w:eastAsia="宋体"/>
          <w:sz w:val="24"/>
          <w:highlight w:val="none"/>
        </w:rPr>
        <w:t>。</w:t>
      </w:r>
    </w:p>
    <w:p w14:paraId="5F4AAFD8">
      <w:pPr>
        <w:spacing w:line="360" w:lineRule="auto"/>
        <w:ind w:firstLine="437"/>
        <w:outlineLvl w:val="2"/>
        <w:rPr>
          <w:rFonts w:ascii="宋体" w:hAnsi="宋体" w:eastAsia="宋体"/>
          <w:b/>
          <w:bCs/>
          <w:sz w:val="24"/>
          <w:highlight w:val="none"/>
          <w:lang w:val="zh-CN"/>
        </w:rPr>
      </w:pPr>
      <w:bookmarkStart w:id="143" w:name="_Toc259093684"/>
      <w:bookmarkStart w:id="144" w:name="_Toc689"/>
      <w:bookmarkStart w:id="145" w:name="_Toc487900365"/>
      <w:bookmarkStart w:id="146" w:name="_Toc6969"/>
      <w:bookmarkStart w:id="147" w:name="_Toc30676"/>
      <w:bookmarkStart w:id="148" w:name="_Toc279701255"/>
      <w:r>
        <w:rPr>
          <w:rFonts w:hint="eastAsia" w:ascii="宋体" w:hAnsi="宋体" w:eastAsia="宋体"/>
          <w:b/>
          <w:bCs/>
          <w:sz w:val="24"/>
          <w:highlight w:val="none"/>
          <w:lang w:val="zh-CN"/>
        </w:rPr>
        <w:t>2.</w:t>
      </w:r>
      <w:r>
        <w:rPr>
          <w:rFonts w:ascii="宋体" w:hAnsi="宋体" w:eastAsia="宋体"/>
          <w:b/>
          <w:bCs/>
          <w:sz w:val="24"/>
          <w:highlight w:val="none"/>
          <w:lang w:val="zh-CN"/>
        </w:rPr>
        <w:t>12</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税费</w:t>
      </w:r>
      <w:bookmarkEnd w:id="143"/>
      <w:bookmarkEnd w:id="144"/>
      <w:bookmarkEnd w:id="145"/>
      <w:bookmarkEnd w:id="146"/>
      <w:bookmarkEnd w:id="147"/>
      <w:bookmarkEnd w:id="148"/>
    </w:p>
    <w:p w14:paraId="609F6E26">
      <w:pPr>
        <w:spacing w:line="360" w:lineRule="auto"/>
        <w:ind w:firstLine="435"/>
        <w:rPr>
          <w:rFonts w:ascii="宋体" w:hAnsi="宋体" w:eastAsia="宋体"/>
          <w:sz w:val="24"/>
          <w:highlight w:val="none"/>
        </w:rPr>
      </w:pPr>
      <w:r>
        <w:rPr>
          <w:rFonts w:ascii="宋体" w:hAnsi="宋体" w:eastAsia="宋体"/>
          <w:sz w:val="24"/>
          <w:highlight w:val="none"/>
        </w:rPr>
        <w:t>与合同有关的一切税费</w:t>
      </w:r>
      <w:r>
        <w:rPr>
          <w:rFonts w:hint="eastAsia" w:ascii="宋体" w:hAnsi="宋体" w:eastAsia="宋体"/>
          <w:sz w:val="24"/>
          <w:highlight w:val="none"/>
        </w:rPr>
        <w:t>，</w:t>
      </w:r>
      <w:r>
        <w:rPr>
          <w:rFonts w:ascii="宋体" w:hAnsi="宋体" w:eastAsia="宋体"/>
          <w:sz w:val="24"/>
          <w:highlight w:val="none"/>
        </w:rPr>
        <w:t>均按照中华人民共和国法律的相关规定</w:t>
      </w:r>
      <w:r>
        <w:rPr>
          <w:rFonts w:hint="eastAsia" w:ascii="宋体" w:hAnsi="宋体" w:eastAsia="宋体"/>
          <w:sz w:val="24"/>
          <w:highlight w:val="none"/>
        </w:rPr>
        <w:t>缴纳</w:t>
      </w:r>
      <w:r>
        <w:rPr>
          <w:rFonts w:ascii="宋体" w:hAnsi="宋体" w:eastAsia="宋体"/>
          <w:sz w:val="24"/>
          <w:highlight w:val="none"/>
        </w:rPr>
        <w:t>。</w:t>
      </w:r>
    </w:p>
    <w:p w14:paraId="7249225E">
      <w:pPr>
        <w:spacing w:line="360" w:lineRule="auto"/>
        <w:ind w:firstLine="437"/>
        <w:outlineLvl w:val="2"/>
        <w:rPr>
          <w:rFonts w:ascii="宋体" w:hAnsi="宋体" w:eastAsia="宋体"/>
          <w:b/>
          <w:bCs/>
          <w:sz w:val="24"/>
          <w:highlight w:val="none"/>
          <w:lang w:val="zh-CN"/>
        </w:rPr>
      </w:pPr>
      <w:bookmarkStart w:id="149" w:name="_Toc16959"/>
      <w:bookmarkStart w:id="150" w:name="_Toc7102"/>
      <w:bookmarkStart w:id="151" w:name="_Toc487900368"/>
      <w:bookmarkStart w:id="152" w:name="_Toc259093687"/>
      <w:bookmarkStart w:id="153" w:name="_Toc8298"/>
      <w:bookmarkStart w:id="154" w:name="_Toc279701258"/>
      <w:r>
        <w:rPr>
          <w:rFonts w:hint="eastAsia" w:ascii="宋体" w:hAnsi="宋体" w:eastAsia="宋体"/>
          <w:b/>
          <w:bCs/>
          <w:sz w:val="24"/>
          <w:highlight w:val="none"/>
          <w:lang w:val="zh-CN"/>
        </w:rPr>
        <w:t>2.</w:t>
      </w:r>
      <w:r>
        <w:rPr>
          <w:rFonts w:ascii="宋体" w:hAnsi="宋体" w:eastAsia="宋体"/>
          <w:b/>
          <w:bCs/>
          <w:sz w:val="24"/>
          <w:highlight w:val="none"/>
          <w:lang w:val="zh-CN"/>
        </w:rPr>
        <w:t>13</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乙方破产</w:t>
      </w:r>
      <w:bookmarkEnd w:id="149"/>
      <w:bookmarkEnd w:id="150"/>
      <w:bookmarkEnd w:id="151"/>
      <w:bookmarkEnd w:id="152"/>
      <w:bookmarkEnd w:id="153"/>
      <w:bookmarkEnd w:id="154"/>
    </w:p>
    <w:p w14:paraId="47B04E8D">
      <w:pPr>
        <w:spacing w:line="360" w:lineRule="auto"/>
        <w:ind w:firstLine="435"/>
        <w:rPr>
          <w:rFonts w:ascii="宋体" w:hAnsi="宋体" w:eastAsia="宋体"/>
          <w:sz w:val="24"/>
          <w:highlight w:val="none"/>
        </w:rPr>
      </w:pPr>
      <w:r>
        <w:rPr>
          <w:rFonts w:ascii="宋体" w:hAnsi="宋体" w:eastAsia="宋体"/>
          <w:sz w:val="24"/>
          <w:highlight w:val="none"/>
        </w:rPr>
        <w:t>如果乙方破产导致合同无法履行时，甲方可以书面形式通知乙方终止合同且不给予乙方任何补偿和赔偿</w:t>
      </w:r>
      <w:r>
        <w:rPr>
          <w:rFonts w:hint="eastAsia" w:ascii="宋体" w:hAnsi="宋体" w:eastAsia="宋体"/>
          <w:sz w:val="24"/>
          <w:highlight w:val="none"/>
        </w:rPr>
        <w:t>，但合同的</w:t>
      </w:r>
      <w:r>
        <w:rPr>
          <w:rFonts w:ascii="宋体" w:hAnsi="宋体" w:eastAsia="宋体"/>
          <w:sz w:val="24"/>
          <w:highlight w:val="none"/>
        </w:rPr>
        <w:t>终止不损害或不影响甲方已经采取或将要采取的任何要求乙方支付违约金</w:t>
      </w:r>
      <w:r>
        <w:rPr>
          <w:rFonts w:hint="eastAsia" w:ascii="宋体" w:hAnsi="宋体" w:eastAsia="宋体"/>
          <w:sz w:val="24"/>
          <w:highlight w:val="none"/>
        </w:rPr>
        <w:t>、</w:t>
      </w:r>
      <w:r>
        <w:rPr>
          <w:rFonts w:ascii="宋体" w:hAnsi="宋体" w:eastAsia="宋体"/>
          <w:sz w:val="24"/>
          <w:highlight w:val="none"/>
        </w:rPr>
        <w:t>赔偿损失等的行动或补救措施的权利</w:t>
      </w:r>
      <w:r>
        <w:rPr>
          <w:rFonts w:hint="eastAsia" w:ascii="宋体" w:hAnsi="宋体" w:eastAsia="宋体"/>
          <w:sz w:val="24"/>
          <w:highlight w:val="none"/>
        </w:rPr>
        <w:t>。</w:t>
      </w:r>
    </w:p>
    <w:p w14:paraId="1F482F86">
      <w:pPr>
        <w:spacing w:line="360" w:lineRule="auto"/>
        <w:ind w:firstLine="437"/>
        <w:outlineLvl w:val="2"/>
        <w:rPr>
          <w:rFonts w:ascii="宋体" w:hAnsi="宋体" w:eastAsia="宋体"/>
          <w:b/>
          <w:sz w:val="24"/>
          <w:highlight w:val="none"/>
        </w:rPr>
      </w:pPr>
      <w:bookmarkStart w:id="155" w:name="_Toc6134"/>
      <w:bookmarkStart w:id="156" w:name="_Toc15387"/>
      <w:bookmarkStart w:id="157" w:name="_Toc29333"/>
      <w:r>
        <w:rPr>
          <w:rFonts w:hint="eastAsia" w:ascii="宋体" w:hAnsi="宋体" w:eastAsia="宋体"/>
          <w:b/>
          <w:bCs/>
          <w:sz w:val="24"/>
          <w:highlight w:val="none"/>
          <w:lang w:val="zh-CN"/>
        </w:rPr>
        <w:t>2.1</w:t>
      </w:r>
      <w:r>
        <w:rPr>
          <w:rFonts w:ascii="宋体" w:hAnsi="宋体" w:eastAsia="宋体"/>
          <w:b/>
          <w:bCs/>
          <w:sz w:val="24"/>
          <w:highlight w:val="none"/>
          <w:lang w:val="zh-CN"/>
        </w:rPr>
        <w:t>4</w:t>
      </w:r>
      <w:r>
        <w:rPr>
          <w:rFonts w:hint="eastAsia" w:ascii="宋体" w:hAnsi="宋体" w:eastAsia="宋体"/>
          <w:b/>
          <w:bCs/>
          <w:sz w:val="24"/>
          <w:highlight w:val="none"/>
          <w:lang w:val="zh-CN"/>
        </w:rPr>
        <w:t xml:space="preserve"> 合同中止、终止</w:t>
      </w:r>
      <w:bookmarkEnd w:id="155"/>
      <w:bookmarkEnd w:id="156"/>
      <w:bookmarkEnd w:id="157"/>
    </w:p>
    <w:p w14:paraId="1E449DAB">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4</w:t>
      </w:r>
      <w:r>
        <w:rPr>
          <w:rFonts w:hint="eastAsia" w:ascii="宋体" w:hAnsi="宋体" w:eastAsia="宋体"/>
          <w:sz w:val="24"/>
          <w:highlight w:val="none"/>
        </w:rPr>
        <w:t>.1双方当事人不得擅自中止或者终止合同；</w:t>
      </w:r>
    </w:p>
    <w:p w14:paraId="1561CC97">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4</w:t>
      </w:r>
      <w:r>
        <w:rPr>
          <w:rFonts w:hint="eastAsia" w:ascii="宋体" w:hAnsi="宋体" w:eastAsia="宋体"/>
          <w:sz w:val="24"/>
          <w:highlight w:val="none"/>
        </w:rPr>
        <w:t>.2合同继续履行将损害国家利益和社会公共利益的，双方当事人应当中止或者终止合同。有过错的一方应当承担赔偿责任，双方当事人都有过错的，各自承担相应的责任。</w:t>
      </w:r>
    </w:p>
    <w:p w14:paraId="715270E6">
      <w:pPr>
        <w:spacing w:line="360" w:lineRule="auto"/>
        <w:ind w:firstLine="437"/>
        <w:outlineLvl w:val="2"/>
        <w:rPr>
          <w:rFonts w:ascii="宋体" w:hAnsi="宋体" w:eastAsia="宋体"/>
          <w:b/>
          <w:bCs/>
          <w:sz w:val="24"/>
          <w:highlight w:val="none"/>
          <w:lang w:val="zh-CN"/>
        </w:rPr>
      </w:pPr>
      <w:bookmarkStart w:id="158" w:name="_Toc6596"/>
      <w:bookmarkStart w:id="159" w:name="_Toc14563"/>
      <w:bookmarkStart w:id="160" w:name="_Toc1125"/>
      <w:r>
        <w:rPr>
          <w:rFonts w:hint="eastAsia" w:ascii="宋体" w:hAnsi="宋体" w:eastAsia="宋体"/>
          <w:b/>
          <w:bCs/>
          <w:sz w:val="24"/>
          <w:highlight w:val="none"/>
          <w:lang w:val="zh-CN"/>
        </w:rPr>
        <w:t>2.1</w:t>
      </w:r>
      <w:r>
        <w:rPr>
          <w:rFonts w:ascii="宋体" w:hAnsi="宋体" w:eastAsia="宋体"/>
          <w:b/>
          <w:bCs/>
          <w:sz w:val="24"/>
          <w:highlight w:val="none"/>
          <w:lang w:val="zh-CN"/>
        </w:rPr>
        <w:t>5</w:t>
      </w:r>
      <w:r>
        <w:rPr>
          <w:rFonts w:hint="eastAsia" w:ascii="宋体" w:hAnsi="宋体" w:eastAsia="宋体"/>
          <w:b/>
          <w:bCs/>
          <w:sz w:val="24"/>
          <w:highlight w:val="none"/>
          <w:lang w:val="zh-CN"/>
        </w:rPr>
        <w:t xml:space="preserve"> 检验和验收</w:t>
      </w:r>
      <w:bookmarkEnd w:id="158"/>
      <w:bookmarkEnd w:id="159"/>
      <w:bookmarkEnd w:id="160"/>
    </w:p>
    <w:p w14:paraId="32BF249C">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5</w:t>
      </w:r>
      <w:r>
        <w:rPr>
          <w:rFonts w:ascii="宋体" w:hAnsi="宋体" w:eastAsia="宋体"/>
          <w:sz w:val="24"/>
          <w:highlight w:val="none"/>
        </w:rPr>
        <w:t>.</w:t>
      </w:r>
      <w:r>
        <w:rPr>
          <w:rFonts w:hint="eastAsia" w:ascii="宋体" w:hAnsi="宋体" w:eastAsia="宋体"/>
          <w:sz w:val="24"/>
          <w:highlight w:val="none"/>
        </w:rPr>
        <w:t>1乙方按照</w:t>
      </w:r>
      <w:r>
        <w:rPr>
          <w:rFonts w:ascii="宋体" w:hAnsi="宋体" w:eastAsia="宋体"/>
          <w:b/>
          <w:i/>
          <w:sz w:val="24"/>
          <w:highlight w:val="none"/>
          <w:u w:val="single"/>
        </w:rPr>
        <w:t>合同专用条款</w:t>
      </w:r>
      <w:r>
        <w:rPr>
          <w:rFonts w:ascii="宋体" w:hAnsi="宋体" w:eastAsia="宋体"/>
          <w:sz w:val="24"/>
          <w:highlight w:val="none"/>
        </w:rPr>
        <w:t>的约定</w:t>
      </w:r>
      <w:r>
        <w:rPr>
          <w:rFonts w:hint="eastAsia" w:ascii="宋体" w:hAnsi="宋体" w:eastAsia="宋体"/>
          <w:sz w:val="24"/>
          <w:highlight w:val="none"/>
        </w:rPr>
        <w:t>，</w:t>
      </w:r>
      <w:r>
        <w:rPr>
          <w:rFonts w:ascii="宋体" w:hAnsi="宋体" w:eastAsia="宋体"/>
          <w:sz w:val="24"/>
          <w:highlight w:val="none"/>
        </w:rPr>
        <w:t>定期提交服务报告</w:t>
      </w:r>
      <w:r>
        <w:rPr>
          <w:rFonts w:hint="eastAsia" w:ascii="宋体" w:hAnsi="宋体" w:eastAsia="宋体"/>
          <w:sz w:val="24"/>
          <w:highlight w:val="none"/>
        </w:rPr>
        <w:t>，甲方按照</w:t>
      </w:r>
      <w:r>
        <w:rPr>
          <w:rFonts w:ascii="宋体" w:hAnsi="宋体" w:eastAsia="宋体"/>
          <w:b/>
          <w:i/>
          <w:sz w:val="24"/>
          <w:highlight w:val="none"/>
          <w:u w:val="single"/>
        </w:rPr>
        <w:t>合同专用条款</w:t>
      </w:r>
      <w:r>
        <w:rPr>
          <w:rFonts w:ascii="宋体" w:hAnsi="宋体" w:eastAsia="宋体"/>
          <w:sz w:val="24"/>
          <w:highlight w:val="none"/>
        </w:rPr>
        <w:t>的约定进行定期验收</w:t>
      </w:r>
      <w:r>
        <w:rPr>
          <w:rFonts w:hint="eastAsia" w:ascii="宋体" w:hAnsi="宋体" w:eastAsia="宋体"/>
          <w:sz w:val="24"/>
          <w:highlight w:val="none"/>
        </w:rPr>
        <w:t>；</w:t>
      </w:r>
    </w:p>
    <w:p w14:paraId="5BCE0D41">
      <w:pPr>
        <w:spacing w:line="360" w:lineRule="auto"/>
        <w:ind w:firstLine="435"/>
        <w:rPr>
          <w:rFonts w:ascii="宋体" w:hAnsi="宋体" w:eastAsia="宋体"/>
          <w:sz w:val="24"/>
          <w:highlight w:val="none"/>
        </w:rPr>
      </w:pPr>
      <w:r>
        <w:rPr>
          <w:rFonts w:hint="eastAsia" w:ascii="宋体" w:hAnsi="宋体" w:eastAsia="宋体"/>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525779A">
      <w:pPr>
        <w:spacing w:line="360" w:lineRule="auto"/>
        <w:ind w:firstLine="435"/>
        <w:rPr>
          <w:rFonts w:ascii="宋体" w:hAnsi="宋体" w:eastAsia="宋体"/>
          <w:sz w:val="24"/>
          <w:highlight w:val="none"/>
        </w:rPr>
      </w:pPr>
      <w:r>
        <w:rPr>
          <w:rFonts w:hint="eastAsia" w:ascii="宋体" w:hAnsi="宋体" w:eastAsia="宋体"/>
          <w:sz w:val="24"/>
          <w:highlight w:val="none"/>
        </w:rPr>
        <w:t>2.15.3检验和验收标准、程序等具体内容以及前述验收书的效力详见</w:t>
      </w:r>
      <w:r>
        <w:rPr>
          <w:rFonts w:ascii="宋体" w:hAnsi="宋体" w:eastAsia="宋体"/>
          <w:b/>
          <w:i/>
          <w:sz w:val="24"/>
          <w:highlight w:val="none"/>
          <w:u w:val="single"/>
        </w:rPr>
        <w:t>合同专用条款</w:t>
      </w:r>
      <w:r>
        <w:rPr>
          <w:rFonts w:hint="eastAsia" w:ascii="宋体" w:hAnsi="宋体" w:eastAsia="宋体"/>
          <w:i/>
          <w:sz w:val="24"/>
          <w:highlight w:val="none"/>
        </w:rPr>
        <w:t>。</w:t>
      </w:r>
    </w:p>
    <w:bookmarkEnd w:id="130"/>
    <w:bookmarkEnd w:id="131"/>
    <w:bookmarkEnd w:id="132"/>
    <w:bookmarkEnd w:id="133"/>
    <w:p w14:paraId="37BB26B5">
      <w:pPr>
        <w:spacing w:line="360" w:lineRule="auto"/>
        <w:ind w:firstLine="437"/>
        <w:outlineLvl w:val="2"/>
        <w:rPr>
          <w:rFonts w:ascii="宋体" w:hAnsi="宋体" w:eastAsia="宋体"/>
          <w:b/>
          <w:bCs/>
          <w:sz w:val="24"/>
          <w:highlight w:val="none"/>
        </w:rPr>
      </w:pPr>
      <w:bookmarkStart w:id="161" w:name="_Toc259093692"/>
      <w:bookmarkStart w:id="162" w:name="_Toc279701263"/>
      <w:bookmarkStart w:id="163" w:name="_Toc10330"/>
      <w:bookmarkStart w:id="164" w:name="_Toc12773"/>
      <w:bookmarkStart w:id="165" w:name="_Toc487900373"/>
      <w:bookmarkStart w:id="166" w:name="_Toc18567"/>
      <w:r>
        <w:rPr>
          <w:rFonts w:hint="eastAsia" w:ascii="宋体" w:hAnsi="宋体" w:eastAsia="宋体"/>
          <w:b/>
          <w:bCs/>
          <w:sz w:val="24"/>
          <w:highlight w:val="none"/>
        </w:rPr>
        <w:t>2.</w:t>
      </w:r>
      <w:r>
        <w:rPr>
          <w:rFonts w:ascii="宋体" w:hAnsi="宋体" w:eastAsia="宋体"/>
          <w:b/>
          <w:bCs/>
          <w:sz w:val="24"/>
          <w:highlight w:val="none"/>
        </w:rPr>
        <w:t>16</w:t>
      </w:r>
      <w:r>
        <w:rPr>
          <w:rFonts w:hint="eastAsia" w:ascii="宋体" w:hAnsi="宋体" w:eastAsia="宋体"/>
          <w:b/>
          <w:bCs/>
          <w:sz w:val="24"/>
          <w:highlight w:val="none"/>
        </w:rPr>
        <w:t xml:space="preserve"> </w:t>
      </w:r>
      <w:r>
        <w:rPr>
          <w:rFonts w:hint="eastAsia" w:ascii="宋体" w:hAnsi="宋体" w:eastAsia="宋体"/>
          <w:b/>
          <w:bCs/>
          <w:sz w:val="24"/>
          <w:highlight w:val="none"/>
          <w:lang w:val="zh-CN"/>
        </w:rPr>
        <w:t>合同使用的文字和</w:t>
      </w:r>
      <w:r>
        <w:rPr>
          <w:rFonts w:ascii="宋体" w:hAnsi="宋体" w:eastAsia="宋体"/>
          <w:b/>
          <w:bCs/>
          <w:sz w:val="24"/>
          <w:highlight w:val="none"/>
          <w:lang w:val="zh-CN"/>
        </w:rPr>
        <w:t>适用的法律</w:t>
      </w:r>
      <w:bookmarkEnd w:id="161"/>
      <w:bookmarkEnd w:id="162"/>
      <w:bookmarkEnd w:id="163"/>
      <w:bookmarkEnd w:id="164"/>
      <w:bookmarkEnd w:id="165"/>
      <w:bookmarkEnd w:id="166"/>
    </w:p>
    <w:p w14:paraId="1189C0CF">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16.1合同使用汉语书就</w:t>
      </w:r>
      <w:r>
        <w:rPr>
          <w:rFonts w:hint="eastAsia" w:ascii="宋体" w:hAnsi="宋体" w:eastAsia="宋体"/>
          <w:sz w:val="24"/>
          <w:highlight w:val="none"/>
        </w:rPr>
        <w:t>、</w:t>
      </w:r>
      <w:r>
        <w:rPr>
          <w:rFonts w:ascii="宋体" w:hAnsi="宋体" w:eastAsia="宋体"/>
          <w:sz w:val="24"/>
          <w:highlight w:val="none"/>
        </w:rPr>
        <w:t>变更和解释</w:t>
      </w:r>
      <w:r>
        <w:rPr>
          <w:rFonts w:hint="eastAsia" w:ascii="宋体" w:hAnsi="宋体" w:eastAsia="宋体"/>
          <w:sz w:val="24"/>
          <w:highlight w:val="none"/>
        </w:rPr>
        <w:t>；</w:t>
      </w:r>
    </w:p>
    <w:p w14:paraId="4CA65331">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16</w:t>
      </w:r>
      <w:r>
        <w:rPr>
          <w:rFonts w:hint="eastAsia" w:ascii="宋体" w:hAnsi="宋体" w:eastAsia="宋体"/>
          <w:sz w:val="24"/>
          <w:highlight w:val="none"/>
        </w:rPr>
        <w:t>.2合同适用</w:t>
      </w:r>
      <w:r>
        <w:rPr>
          <w:rFonts w:ascii="宋体" w:hAnsi="宋体" w:eastAsia="宋体"/>
          <w:sz w:val="24"/>
          <w:highlight w:val="none"/>
        </w:rPr>
        <w:t>中华人民共和国法律。</w:t>
      </w:r>
    </w:p>
    <w:p w14:paraId="0F595E4B">
      <w:pPr>
        <w:spacing w:line="360" w:lineRule="auto"/>
        <w:ind w:firstLine="437"/>
        <w:outlineLvl w:val="2"/>
        <w:rPr>
          <w:rFonts w:ascii="宋体" w:hAnsi="宋体" w:eastAsia="宋体"/>
          <w:b/>
          <w:sz w:val="24"/>
          <w:highlight w:val="none"/>
        </w:rPr>
      </w:pPr>
      <w:bookmarkStart w:id="167" w:name="_Toc259093693"/>
      <w:bookmarkStart w:id="168" w:name="_Toc279701264"/>
      <w:bookmarkStart w:id="169" w:name="_Toc3148"/>
      <w:bookmarkStart w:id="170" w:name="_Toc16673"/>
      <w:bookmarkStart w:id="171" w:name="_Toc12004"/>
      <w:bookmarkStart w:id="172" w:name="_Toc487900374"/>
      <w:r>
        <w:rPr>
          <w:rFonts w:hint="eastAsia" w:ascii="宋体" w:hAnsi="宋体" w:eastAsia="宋体"/>
          <w:b/>
          <w:bCs/>
          <w:sz w:val="24"/>
          <w:highlight w:val="none"/>
          <w:lang w:val="zh-CN"/>
        </w:rPr>
        <w:t>2.</w:t>
      </w:r>
      <w:r>
        <w:rPr>
          <w:rFonts w:ascii="宋体" w:hAnsi="宋体" w:eastAsia="宋体"/>
          <w:b/>
          <w:bCs/>
          <w:sz w:val="24"/>
          <w:highlight w:val="none"/>
          <w:lang w:val="zh-CN"/>
        </w:rPr>
        <w:t>17</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履约保证金</w:t>
      </w:r>
      <w:bookmarkEnd w:id="167"/>
      <w:bookmarkEnd w:id="168"/>
      <w:bookmarkEnd w:id="169"/>
      <w:bookmarkEnd w:id="170"/>
      <w:bookmarkEnd w:id="171"/>
    </w:p>
    <w:p w14:paraId="42883DB8">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17</w:t>
      </w:r>
      <w:r>
        <w:rPr>
          <w:rFonts w:hint="eastAsia" w:ascii="宋体" w:hAnsi="宋体" w:eastAsia="宋体"/>
          <w:sz w:val="24"/>
          <w:highlight w:val="none"/>
        </w:rPr>
        <w:t>.1采购文件要求乙方提交履约保证金的，乙方</w:t>
      </w:r>
      <w:r>
        <w:rPr>
          <w:rFonts w:ascii="宋体" w:hAnsi="宋体" w:eastAsia="宋体"/>
          <w:sz w:val="24"/>
          <w:highlight w:val="none"/>
        </w:rPr>
        <w:t>应按</w:t>
      </w:r>
      <w:r>
        <w:rPr>
          <w:rFonts w:ascii="宋体" w:hAnsi="宋体" w:eastAsia="宋体"/>
          <w:b/>
          <w:i/>
          <w:sz w:val="24"/>
          <w:highlight w:val="none"/>
          <w:u w:val="single"/>
        </w:rPr>
        <w:t>合同专用条款</w:t>
      </w:r>
      <w:r>
        <w:rPr>
          <w:rFonts w:ascii="宋体" w:hAnsi="宋体" w:eastAsia="宋体"/>
          <w:sz w:val="24"/>
          <w:highlight w:val="none"/>
        </w:rPr>
        <w:t>约定的方式</w:t>
      </w:r>
      <w:r>
        <w:rPr>
          <w:rFonts w:hint="eastAsia" w:ascii="宋体" w:hAnsi="宋体" w:eastAsia="宋体"/>
          <w:sz w:val="24"/>
          <w:highlight w:val="none"/>
        </w:rPr>
        <w:t>，以支票、汇票、本票或者金融机构、担保机构出具的保函等非现金形式提交；</w:t>
      </w:r>
    </w:p>
    <w:p w14:paraId="4231D940">
      <w:pPr>
        <w:spacing w:line="360" w:lineRule="auto"/>
        <w:ind w:firstLine="435"/>
        <w:rPr>
          <w:rFonts w:hint="eastAsia" w:ascii="宋体" w:hAnsi="宋体" w:eastAsia="宋体"/>
          <w:sz w:val="24"/>
          <w:highlight w:val="none"/>
          <w:lang w:eastAsia="zh-CN"/>
        </w:rPr>
      </w:pPr>
      <w:r>
        <w:rPr>
          <w:rFonts w:hint="eastAsia" w:ascii="宋体" w:hAnsi="宋体" w:eastAsia="宋体"/>
          <w:sz w:val="24"/>
          <w:highlight w:val="none"/>
        </w:rPr>
        <w:t>2.</w:t>
      </w:r>
      <w:r>
        <w:rPr>
          <w:rFonts w:ascii="宋体" w:hAnsi="宋体" w:eastAsia="宋体"/>
          <w:sz w:val="24"/>
          <w:highlight w:val="none"/>
        </w:rPr>
        <w:t>17.2履约保证金在</w:t>
      </w:r>
      <w:r>
        <w:rPr>
          <w:rFonts w:ascii="宋体" w:hAnsi="宋体" w:eastAsia="宋体"/>
          <w:b/>
          <w:i/>
          <w:sz w:val="24"/>
          <w:highlight w:val="none"/>
          <w:u w:val="single"/>
        </w:rPr>
        <w:t>合同专用条款</w:t>
      </w:r>
      <w:r>
        <w:rPr>
          <w:rFonts w:ascii="宋体" w:hAnsi="宋体" w:eastAsia="宋体"/>
          <w:sz w:val="24"/>
          <w:highlight w:val="none"/>
        </w:rPr>
        <w:t>约定期间内不予退还或者应完全有效</w:t>
      </w:r>
      <w:r>
        <w:rPr>
          <w:rFonts w:hint="eastAsia" w:ascii="宋体" w:hAnsi="宋体" w:eastAsia="宋体"/>
          <w:sz w:val="24"/>
          <w:highlight w:val="none"/>
        </w:rPr>
        <w:t>，前述约定期间届满</w:t>
      </w:r>
      <w:r>
        <w:rPr>
          <w:rFonts w:ascii="宋体" w:hAnsi="宋体" w:eastAsia="宋体"/>
          <w:sz w:val="24"/>
          <w:highlight w:val="none"/>
        </w:rPr>
        <w:t>之日起</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hint="eastAsia" w:ascii="宋体" w:hAnsi="宋体" w:eastAsia="宋体"/>
          <w:sz w:val="24"/>
          <w:highlight w:val="none"/>
        </w:rPr>
        <w:t>个</w:t>
      </w:r>
      <w:r>
        <w:rPr>
          <w:rFonts w:ascii="宋体" w:hAnsi="宋体" w:eastAsia="宋体"/>
          <w:sz w:val="24"/>
          <w:highlight w:val="none"/>
        </w:rPr>
        <w:t>工作日内，甲方应将履约保证金退还乙方</w:t>
      </w:r>
      <w:r>
        <w:rPr>
          <w:rFonts w:hint="eastAsia" w:ascii="宋体" w:hAnsi="宋体" w:eastAsia="宋体"/>
          <w:sz w:val="24"/>
          <w:highlight w:val="none"/>
          <w:lang w:eastAsia="zh-CN"/>
        </w:rPr>
        <w:t>，</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应承担违约责任。</w:t>
      </w:r>
    </w:p>
    <w:p w14:paraId="7F3F93E5">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17</w:t>
      </w:r>
      <w:r>
        <w:rPr>
          <w:rFonts w:hint="eastAsia" w:ascii="宋体" w:hAnsi="宋体" w:eastAsia="宋体"/>
          <w:sz w:val="24"/>
          <w:highlight w:val="none"/>
        </w:rPr>
        <w:t>.3</w:t>
      </w:r>
      <w:r>
        <w:rPr>
          <w:rFonts w:ascii="宋体" w:hAnsi="宋体" w:eastAsia="宋体"/>
          <w:sz w:val="24"/>
          <w:highlight w:val="none"/>
        </w:rPr>
        <w:t>如果乙方不履行合同</w:t>
      </w:r>
      <w:r>
        <w:rPr>
          <w:rFonts w:hint="eastAsia" w:ascii="宋体" w:hAnsi="宋体" w:eastAsia="宋体"/>
          <w:sz w:val="24"/>
          <w:highlight w:val="none"/>
        </w:rPr>
        <w:t>，履约保证金不予退还；如果乙方</w:t>
      </w:r>
      <w:r>
        <w:rPr>
          <w:rFonts w:ascii="宋体" w:hAnsi="宋体" w:eastAsia="宋体"/>
          <w:sz w:val="24"/>
          <w:highlight w:val="none"/>
        </w:rPr>
        <w:t>未能按合同</w:t>
      </w:r>
      <w:r>
        <w:rPr>
          <w:rFonts w:hint="eastAsia" w:ascii="宋体" w:hAnsi="宋体" w:eastAsia="宋体"/>
          <w:sz w:val="24"/>
          <w:highlight w:val="none"/>
        </w:rPr>
        <w:t>约</w:t>
      </w:r>
      <w:r>
        <w:rPr>
          <w:rFonts w:ascii="宋体" w:hAnsi="宋体" w:eastAsia="宋体"/>
          <w:sz w:val="24"/>
          <w:highlight w:val="none"/>
        </w:rPr>
        <w:t>定全面履行义务，那么甲方有权从履约保证金中取得补偿或赔偿</w:t>
      </w:r>
      <w:r>
        <w:rPr>
          <w:rFonts w:hint="eastAsia" w:ascii="宋体" w:hAnsi="宋体" w:eastAsia="宋体"/>
          <w:sz w:val="24"/>
          <w:highlight w:val="none"/>
        </w:rPr>
        <w:t>，同时不影响甲方要求乙方承担合同约定的超过履约保证金的违约责任的权利。</w:t>
      </w:r>
    </w:p>
    <w:bookmarkEnd w:id="172"/>
    <w:p w14:paraId="5CB33DBE">
      <w:pPr>
        <w:spacing w:line="360" w:lineRule="auto"/>
        <w:ind w:firstLine="437"/>
        <w:outlineLvl w:val="2"/>
        <w:rPr>
          <w:rFonts w:ascii="宋体" w:hAnsi="宋体" w:eastAsia="宋体"/>
          <w:b/>
          <w:sz w:val="24"/>
          <w:highlight w:val="none"/>
        </w:rPr>
      </w:pPr>
      <w:bookmarkStart w:id="173" w:name="_Toc6885"/>
      <w:bookmarkStart w:id="174" w:name="_Toc19890"/>
      <w:bookmarkStart w:id="175" w:name="_Toc14001"/>
      <w:r>
        <w:rPr>
          <w:rFonts w:hint="eastAsia" w:ascii="宋体" w:hAnsi="宋体" w:eastAsia="宋体"/>
          <w:b/>
          <w:bCs/>
          <w:sz w:val="24"/>
          <w:highlight w:val="none"/>
          <w:lang w:val="zh-CN"/>
        </w:rPr>
        <w:t>2.</w:t>
      </w:r>
      <w:r>
        <w:rPr>
          <w:rFonts w:ascii="宋体" w:hAnsi="宋体" w:eastAsia="宋体"/>
          <w:b/>
          <w:bCs/>
          <w:sz w:val="24"/>
          <w:highlight w:val="none"/>
          <w:lang w:val="zh-CN"/>
        </w:rPr>
        <w:t>18</w:t>
      </w:r>
      <w:r>
        <w:rPr>
          <w:rFonts w:hint="eastAsia" w:ascii="宋体" w:hAnsi="宋体" w:eastAsia="宋体"/>
          <w:b/>
          <w:bCs/>
          <w:sz w:val="24"/>
          <w:highlight w:val="none"/>
          <w:lang w:val="zh-CN"/>
        </w:rPr>
        <w:t xml:space="preserve"> 合同份数</w:t>
      </w:r>
      <w:bookmarkEnd w:id="173"/>
      <w:bookmarkEnd w:id="174"/>
      <w:bookmarkEnd w:id="175"/>
    </w:p>
    <w:p w14:paraId="588AEA31">
      <w:pPr>
        <w:spacing w:line="360" w:lineRule="auto"/>
        <w:ind w:firstLine="435"/>
        <w:rPr>
          <w:rFonts w:ascii="宋体" w:hAnsi="宋体" w:eastAsia="宋体"/>
          <w:sz w:val="24"/>
          <w:highlight w:val="none"/>
        </w:rPr>
      </w:pPr>
      <w:r>
        <w:rPr>
          <w:rFonts w:ascii="宋体" w:hAnsi="宋体" w:eastAsia="宋体"/>
          <w:sz w:val="24"/>
          <w:highlight w:val="none"/>
        </w:rPr>
        <w:t>合同份数按</w:t>
      </w:r>
      <w:r>
        <w:rPr>
          <w:rFonts w:ascii="宋体" w:hAnsi="宋体" w:eastAsia="宋体"/>
          <w:b/>
          <w:i/>
          <w:sz w:val="24"/>
          <w:highlight w:val="none"/>
          <w:u w:val="single"/>
        </w:rPr>
        <w:t>合同专用条款</w:t>
      </w:r>
      <w:r>
        <w:rPr>
          <w:rFonts w:ascii="宋体" w:hAnsi="宋体" w:eastAsia="宋体"/>
          <w:sz w:val="24"/>
          <w:highlight w:val="none"/>
        </w:rPr>
        <w:t>规定</w:t>
      </w:r>
      <w:r>
        <w:rPr>
          <w:rFonts w:hint="eastAsia" w:ascii="宋体" w:hAnsi="宋体" w:eastAsia="宋体"/>
          <w:sz w:val="24"/>
          <w:highlight w:val="none"/>
        </w:rPr>
        <w:t>，</w:t>
      </w:r>
      <w:r>
        <w:rPr>
          <w:rFonts w:ascii="宋体" w:hAnsi="宋体" w:eastAsia="宋体"/>
          <w:sz w:val="24"/>
          <w:highlight w:val="none"/>
        </w:rPr>
        <w:t>每份均具有同等法律效力</w:t>
      </w:r>
      <w:r>
        <w:rPr>
          <w:rFonts w:hint="eastAsia" w:ascii="宋体" w:hAnsi="宋体" w:eastAsia="宋体"/>
          <w:sz w:val="24"/>
          <w:highlight w:val="none"/>
        </w:rPr>
        <w:t>。</w:t>
      </w:r>
    </w:p>
    <w:p w14:paraId="25CBC3B3">
      <w:pPr>
        <w:spacing w:line="360" w:lineRule="auto"/>
        <w:jc w:val="center"/>
        <w:outlineLvl w:val="1"/>
        <w:rPr>
          <w:rFonts w:ascii="宋体" w:hAnsi="宋体" w:eastAsia="宋体"/>
          <w:b/>
          <w:sz w:val="24"/>
          <w:highlight w:val="none"/>
        </w:rPr>
      </w:pPr>
      <w:r>
        <w:rPr>
          <w:rFonts w:ascii="宋体" w:hAnsi="宋体" w:eastAsia="宋体"/>
          <w:sz w:val="24"/>
          <w:highlight w:val="none"/>
        </w:rPr>
        <w:br w:type="page"/>
      </w:r>
      <w:bookmarkStart w:id="176" w:name="_Toc331685784"/>
      <w:r>
        <w:rPr>
          <w:rFonts w:hint="eastAsia" w:ascii="宋体" w:hAnsi="宋体" w:eastAsia="宋体"/>
          <w:b/>
          <w:sz w:val="24"/>
          <w:highlight w:val="none"/>
        </w:rPr>
        <w:t>第三部分</w:t>
      </w:r>
      <w:r>
        <w:rPr>
          <w:rFonts w:ascii="宋体" w:hAnsi="宋体" w:eastAsia="宋体"/>
          <w:b/>
          <w:sz w:val="24"/>
          <w:highlight w:val="none"/>
        </w:rPr>
        <w:t xml:space="preserve"> </w:t>
      </w:r>
      <w:r>
        <w:rPr>
          <w:rFonts w:hint="eastAsia" w:ascii="宋体" w:hAnsi="宋体" w:eastAsia="宋体"/>
          <w:b/>
          <w:sz w:val="24"/>
          <w:highlight w:val="none"/>
        </w:rPr>
        <w:t>合同专用条款</w:t>
      </w:r>
      <w:bookmarkEnd w:id="176"/>
    </w:p>
    <w:p w14:paraId="681DD672">
      <w:pPr>
        <w:spacing w:line="360" w:lineRule="auto"/>
        <w:ind w:firstLine="435"/>
        <w:rPr>
          <w:rFonts w:ascii="宋体" w:hAnsi="宋体" w:eastAsia="宋体"/>
          <w:sz w:val="24"/>
          <w:highlight w:val="none"/>
        </w:rPr>
      </w:pPr>
      <w:r>
        <w:rPr>
          <w:rFonts w:hint="eastAsia" w:ascii="宋体" w:hAnsi="宋体" w:eastAsia="宋体"/>
          <w:sz w:val="24"/>
          <w:highlight w:val="none"/>
        </w:rPr>
        <w:t>本部分</w:t>
      </w:r>
      <w:r>
        <w:rPr>
          <w:rFonts w:ascii="宋体" w:hAnsi="宋体" w:eastAsia="宋体"/>
          <w:sz w:val="24"/>
          <w:highlight w:val="none"/>
        </w:rPr>
        <w:t>是对</w:t>
      </w:r>
      <w:r>
        <w:rPr>
          <w:rFonts w:hint="eastAsia" w:ascii="宋体" w:hAnsi="宋体" w:eastAsia="宋体"/>
          <w:sz w:val="24"/>
          <w:highlight w:val="none"/>
        </w:rPr>
        <w:t>前两</w:t>
      </w:r>
      <w:r>
        <w:rPr>
          <w:rFonts w:ascii="宋体" w:hAnsi="宋体" w:eastAsia="宋体"/>
          <w:sz w:val="24"/>
          <w:highlight w:val="none"/>
        </w:rPr>
        <w:t>部分的补充和修改</w:t>
      </w:r>
      <w:r>
        <w:rPr>
          <w:rFonts w:hint="eastAsia" w:ascii="宋体" w:hAnsi="宋体" w:eastAsia="宋体"/>
          <w:sz w:val="24"/>
          <w:highlight w:val="none"/>
        </w:rPr>
        <w:t>，</w:t>
      </w:r>
      <w:r>
        <w:rPr>
          <w:rFonts w:ascii="宋体" w:hAnsi="宋体" w:eastAsia="宋体"/>
          <w:sz w:val="24"/>
          <w:highlight w:val="none"/>
        </w:rPr>
        <w:t>如果</w:t>
      </w:r>
      <w:r>
        <w:rPr>
          <w:rFonts w:hint="eastAsia" w:ascii="宋体" w:hAnsi="宋体" w:eastAsia="宋体"/>
          <w:sz w:val="24"/>
          <w:highlight w:val="none"/>
        </w:rPr>
        <w:t>前两</w:t>
      </w:r>
      <w:r>
        <w:rPr>
          <w:rFonts w:ascii="宋体" w:hAnsi="宋体" w:eastAsia="宋体"/>
          <w:sz w:val="24"/>
          <w:highlight w:val="none"/>
        </w:rPr>
        <w:t>部分和本部分的约定不一致</w:t>
      </w:r>
      <w:r>
        <w:rPr>
          <w:rFonts w:hint="eastAsia" w:ascii="宋体" w:hAnsi="宋体" w:eastAsia="宋体"/>
          <w:sz w:val="24"/>
          <w:highlight w:val="none"/>
        </w:rPr>
        <w:t>，</w:t>
      </w:r>
      <w:r>
        <w:rPr>
          <w:rFonts w:ascii="宋体" w:hAnsi="宋体" w:eastAsia="宋体"/>
          <w:sz w:val="24"/>
          <w:highlight w:val="none"/>
        </w:rPr>
        <w:t>应以本部分的约定为准</w:t>
      </w:r>
      <w:r>
        <w:rPr>
          <w:rFonts w:hint="eastAsia" w:ascii="宋体" w:hAnsi="宋体" w:eastAsia="宋体"/>
          <w:sz w:val="24"/>
          <w:highlight w:val="none"/>
        </w:rPr>
        <w:t>。</w:t>
      </w:r>
      <w:r>
        <w:rPr>
          <w:rFonts w:ascii="宋体" w:hAnsi="宋体" w:eastAsia="宋体"/>
          <w:sz w:val="24"/>
          <w:highlight w:val="none"/>
        </w:rPr>
        <w:t>本部分的条款号应与</w:t>
      </w:r>
      <w:r>
        <w:rPr>
          <w:rFonts w:hint="eastAsia" w:ascii="宋体" w:hAnsi="宋体" w:eastAsia="宋体"/>
          <w:sz w:val="24"/>
          <w:highlight w:val="none"/>
        </w:rPr>
        <w:t>前两部分</w:t>
      </w:r>
      <w:r>
        <w:rPr>
          <w:rFonts w:ascii="宋体" w:hAnsi="宋体" w:eastAsia="宋体"/>
          <w:sz w:val="24"/>
          <w:highlight w:val="none"/>
        </w:rPr>
        <w:t>的条款号保持对应</w:t>
      </w:r>
      <w:r>
        <w:rPr>
          <w:rFonts w:hint="eastAsia" w:ascii="宋体" w:hAnsi="宋体" w:eastAsia="宋体"/>
          <w:sz w:val="24"/>
          <w:highlight w:val="none"/>
        </w:rPr>
        <w:t>；与前两部分</w:t>
      </w:r>
      <w:r>
        <w:rPr>
          <w:rFonts w:ascii="宋体" w:hAnsi="宋体" w:eastAsia="宋体"/>
          <w:sz w:val="24"/>
          <w:highlight w:val="none"/>
        </w:rPr>
        <w:t>无对应关系的内容可另行编制条款号</w:t>
      </w:r>
      <w:r>
        <w:rPr>
          <w:rFonts w:hint="eastAsia" w:ascii="宋体" w:hAnsi="宋体" w:eastAsia="宋体"/>
          <w:sz w:val="24"/>
          <w:highlight w:val="none"/>
        </w:rPr>
        <w:t>。</w:t>
      </w:r>
    </w:p>
    <w:tbl>
      <w:tblPr>
        <w:tblStyle w:val="2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3"/>
        <w:gridCol w:w="7569"/>
      </w:tblGrid>
      <w:tr w14:paraId="4BEE6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4" w:type="pct"/>
            <w:tcBorders>
              <w:left w:val="single" w:color="auto" w:sz="4" w:space="0"/>
            </w:tcBorders>
            <w:vAlign w:val="center"/>
          </w:tcPr>
          <w:p w14:paraId="60B3E8E9">
            <w:pPr>
              <w:keepNext w:val="0"/>
              <w:keepLines w:val="0"/>
              <w:suppressLineNumbers w:val="0"/>
              <w:spacing w:before="0" w:beforeAutospacing="0" w:after="0" w:afterAutospacing="0"/>
              <w:ind w:left="0" w:right="0"/>
              <w:jc w:val="center"/>
              <w:rPr>
                <w:rFonts w:hint="default" w:ascii="宋体" w:hAnsi="宋体" w:eastAsia="宋体"/>
                <w:b/>
                <w:sz w:val="24"/>
                <w:szCs w:val="20"/>
                <w:highlight w:val="none"/>
              </w:rPr>
            </w:pPr>
            <w:r>
              <w:rPr>
                <w:rFonts w:hint="default" w:ascii="宋体" w:hAnsi="宋体" w:eastAsia="宋体"/>
                <w:b/>
                <w:sz w:val="24"/>
                <w:szCs w:val="20"/>
                <w:highlight w:val="none"/>
              </w:rPr>
              <w:t>条款号</w:t>
            </w:r>
          </w:p>
        </w:tc>
        <w:tc>
          <w:tcPr>
            <w:tcW w:w="4525" w:type="pct"/>
            <w:vAlign w:val="center"/>
          </w:tcPr>
          <w:p w14:paraId="68518FC8">
            <w:pPr>
              <w:keepNext w:val="0"/>
              <w:keepLines w:val="0"/>
              <w:suppressLineNumbers w:val="0"/>
              <w:spacing w:before="0" w:beforeAutospacing="0" w:after="0" w:afterAutospacing="0"/>
              <w:ind w:left="0" w:right="0"/>
              <w:jc w:val="center"/>
              <w:rPr>
                <w:rFonts w:hint="default" w:ascii="宋体" w:hAnsi="宋体" w:eastAsia="宋体"/>
                <w:b/>
                <w:sz w:val="24"/>
                <w:szCs w:val="20"/>
                <w:highlight w:val="none"/>
              </w:rPr>
            </w:pPr>
            <w:r>
              <w:rPr>
                <w:rFonts w:hint="default" w:ascii="宋体" w:hAnsi="宋体" w:eastAsia="宋体"/>
                <w:b/>
                <w:sz w:val="24"/>
                <w:szCs w:val="20"/>
                <w:highlight w:val="none"/>
              </w:rPr>
              <w:t>约定内容</w:t>
            </w:r>
          </w:p>
        </w:tc>
      </w:tr>
      <w:tr w14:paraId="0CF24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4" w:type="pct"/>
            <w:tcBorders>
              <w:left w:val="single" w:color="auto" w:sz="4" w:space="0"/>
            </w:tcBorders>
            <w:vAlign w:val="center"/>
          </w:tcPr>
          <w:p w14:paraId="3F163A92">
            <w:pPr>
              <w:keepNext w:val="0"/>
              <w:keepLines w:val="0"/>
              <w:suppressLineNumbers w:val="0"/>
              <w:spacing w:before="0" w:beforeAutospacing="0" w:after="0" w:afterAutospacing="0" w:line="560" w:lineRule="exact"/>
              <w:ind w:left="0" w:right="0"/>
              <w:jc w:val="center"/>
              <w:rPr>
                <w:rFonts w:hint="default" w:ascii="宋体" w:hAnsi="宋体" w:eastAsia="宋体"/>
                <w:sz w:val="24"/>
                <w:szCs w:val="20"/>
                <w:highlight w:val="none"/>
                <w:lang w:val="en-US" w:eastAsia="zh-CN"/>
              </w:rPr>
            </w:pPr>
            <w:r>
              <w:rPr>
                <w:rFonts w:hint="eastAsia" w:ascii="宋体" w:hAnsi="宋体" w:eastAsia="宋体"/>
                <w:sz w:val="24"/>
                <w:szCs w:val="20"/>
                <w:highlight w:val="none"/>
                <w:lang w:val="en-US" w:eastAsia="zh-CN"/>
              </w:rPr>
              <w:t>2.3.2</w:t>
            </w:r>
          </w:p>
        </w:tc>
        <w:tc>
          <w:tcPr>
            <w:tcW w:w="4525" w:type="pct"/>
            <w:vAlign w:val="center"/>
          </w:tcPr>
          <w:p w14:paraId="786F4F40">
            <w:pPr>
              <w:keepNext w:val="0"/>
              <w:keepLines w:val="0"/>
              <w:suppressLineNumbers w:val="0"/>
              <w:spacing w:before="0" w:beforeAutospacing="0" w:after="0" w:afterAutospacing="0" w:line="440" w:lineRule="exact"/>
              <w:ind w:left="0" w:right="0"/>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s="宋体"/>
                <w:b w:val="0"/>
                <w:color w:val="auto"/>
                <w:sz w:val="24"/>
                <w:szCs w:val="20"/>
                <w:highlight w:val="none"/>
                <w:lang w:val="en-US" w:eastAsia="zh-CN"/>
              </w:rPr>
              <w:t>知识产权归甲方所有，在未得到甲方同意的情况下，乙方不得向第三方提供，否则，由此发生的损失和法律责任由乙方承担。</w:t>
            </w:r>
          </w:p>
        </w:tc>
      </w:tr>
      <w:tr w14:paraId="3DD16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4" w:type="pct"/>
            <w:tcBorders>
              <w:left w:val="single" w:color="auto" w:sz="4" w:space="0"/>
            </w:tcBorders>
            <w:vAlign w:val="center"/>
          </w:tcPr>
          <w:p w14:paraId="6A7DE323">
            <w:pPr>
              <w:keepNext w:val="0"/>
              <w:keepLines w:val="0"/>
              <w:suppressLineNumbers w:val="0"/>
              <w:spacing w:before="0" w:beforeAutospacing="0" w:after="0" w:afterAutospacing="0" w:line="560" w:lineRule="exact"/>
              <w:ind w:left="0" w:right="0"/>
              <w:jc w:val="center"/>
              <w:rPr>
                <w:rFonts w:hint="default" w:ascii="宋体" w:hAnsi="宋体" w:eastAsia="宋体"/>
                <w:sz w:val="24"/>
                <w:szCs w:val="20"/>
                <w:highlight w:val="none"/>
                <w:lang w:val="en-US" w:eastAsia="zh-CN"/>
              </w:rPr>
            </w:pPr>
            <w:r>
              <w:rPr>
                <w:rFonts w:hint="eastAsia" w:ascii="宋体" w:hAnsi="宋体" w:eastAsia="宋体"/>
                <w:sz w:val="24"/>
                <w:szCs w:val="20"/>
                <w:highlight w:val="none"/>
                <w:lang w:val="en-US" w:eastAsia="zh-CN"/>
              </w:rPr>
              <w:t>2.5</w:t>
            </w:r>
          </w:p>
        </w:tc>
        <w:tc>
          <w:tcPr>
            <w:tcW w:w="4525" w:type="pct"/>
            <w:vAlign w:val="center"/>
          </w:tcPr>
          <w:p w14:paraId="66F40B34">
            <w:pPr>
              <w:keepNext w:val="0"/>
              <w:keepLines w:val="0"/>
              <w:suppressLineNumbers w:val="0"/>
              <w:spacing w:before="0" w:beforeAutospacing="0" w:after="0" w:afterAutospacing="0" w:line="440" w:lineRule="exact"/>
              <w:ind w:left="0" w:right="0"/>
              <w:rPr>
                <w:rFonts w:hint="eastAsia" w:ascii="宋体" w:hAnsi="宋体" w:eastAsia="宋体" w:cs="宋体"/>
                <w:b w:val="0"/>
                <w:color w:val="auto"/>
                <w:sz w:val="24"/>
                <w:szCs w:val="20"/>
                <w:highlight w:val="none"/>
                <w:lang w:val="en-US" w:eastAsia="zh-CN"/>
              </w:rPr>
            </w:pPr>
            <w:r>
              <w:rPr>
                <w:rFonts w:hint="eastAsia" w:ascii="宋体" w:hAnsi="宋体" w:eastAsia="宋体" w:cs="宋体"/>
                <w:b w:val="0"/>
                <w:color w:val="auto"/>
                <w:sz w:val="24"/>
                <w:szCs w:val="20"/>
                <w:highlight w:val="none"/>
                <w:lang w:val="en-US" w:eastAsia="zh-CN"/>
              </w:rPr>
              <w:t>合同签订且具备实施条件后，采购人支付合同价的40%预付款（预付款支付前，成交人须提供同等金额的见索即付保函）；成交人出具本项目《房屋结构安全性鉴定报告》（含抗震、地基基础、主体结构和钢结构鉴定等相关内容），鉴定结果符合安全标准的并经市住房城乡建设主管部门对鉴定报告登记确认，出具收讫意见后后支付对应合同金额的90%；余款待采购人办理房屋不动产登记手续后付清。</w:t>
            </w:r>
          </w:p>
        </w:tc>
      </w:tr>
      <w:tr w14:paraId="73640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4FD3D7F0">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0"/>
                <w:highlight w:val="none"/>
                <w:lang w:val="en-US" w:eastAsia="zh-CN"/>
              </w:rPr>
            </w:pPr>
            <w:r>
              <w:rPr>
                <w:rFonts w:hint="eastAsia" w:ascii="宋体" w:hAnsi="宋体" w:eastAsia="宋体"/>
                <w:sz w:val="24"/>
                <w:szCs w:val="20"/>
                <w:highlight w:val="none"/>
                <w:lang w:val="en-US" w:eastAsia="zh-CN"/>
              </w:rPr>
              <w:t>2.5</w:t>
            </w:r>
          </w:p>
        </w:tc>
        <w:tc>
          <w:tcPr>
            <w:tcW w:w="4525" w:type="pct"/>
            <w:vAlign w:val="center"/>
          </w:tcPr>
          <w:p w14:paraId="7BF48B34">
            <w:pPr>
              <w:keepNext w:val="0"/>
              <w:keepLines w:val="0"/>
              <w:suppressLineNumbers w:val="0"/>
              <w:spacing w:before="0" w:beforeAutospacing="0" w:after="0" w:afterAutospacing="0" w:line="440" w:lineRule="exact"/>
              <w:ind w:left="0" w:right="0"/>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kern w:val="2"/>
                <w:sz w:val="24"/>
                <w:szCs w:val="24"/>
                <w:highlight w:val="none"/>
                <w:u w:val="single" w:color="000000"/>
                <w:lang w:val="en-US" w:eastAsia="zh-CN" w:bidi="ar"/>
              </w:rPr>
              <w:t>结算价=中标单价×实际检测鉴定楼宇建筑面积。</w:t>
            </w:r>
          </w:p>
        </w:tc>
      </w:tr>
      <w:tr w14:paraId="53752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4F8CDBD1">
            <w:pPr>
              <w:keepNext w:val="0"/>
              <w:keepLines w:val="0"/>
              <w:suppressLineNumbers w:val="0"/>
              <w:spacing w:before="0" w:beforeAutospacing="0" w:after="0" w:afterAutospacing="0" w:line="440" w:lineRule="exact"/>
              <w:ind w:left="0" w:right="0"/>
              <w:jc w:val="center"/>
              <w:rPr>
                <w:rFonts w:hint="default" w:ascii="宋体" w:hAnsi="宋体" w:eastAsia="宋体"/>
                <w:sz w:val="24"/>
                <w:szCs w:val="20"/>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2.11.3</w:t>
            </w:r>
          </w:p>
        </w:tc>
        <w:tc>
          <w:tcPr>
            <w:tcW w:w="4525" w:type="pct"/>
            <w:vAlign w:val="center"/>
          </w:tcPr>
          <w:p w14:paraId="3DFDC5F0">
            <w:pPr>
              <w:keepNext w:val="0"/>
              <w:keepLines w:val="0"/>
              <w:suppressLineNumbers w:val="0"/>
              <w:spacing w:before="0" w:beforeAutospacing="0" w:after="0" w:afterAutospacing="0" w:line="440" w:lineRule="exact"/>
              <w:ind w:left="0" w:right="0"/>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因不可抗力致使合同有变更必要的，双方当事人应在不可抗力发生的</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15</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个工作日内以书面形式变更合同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p>
        </w:tc>
      </w:tr>
      <w:tr w14:paraId="2D680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shd w:val="clear" w:color="auto" w:fill="auto"/>
            <w:vAlign w:val="center"/>
          </w:tcPr>
          <w:p w14:paraId="46069ECB">
            <w:pPr>
              <w:keepNext w:val="0"/>
              <w:keepLines w:val="0"/>
              <w:suppressLineNumbers w:val="0"/>
              <w:spacing w:before="0" w:beforeAutospacing="0" w:after="0" w:afterAutospacing="0" w:line="440" w:lineRule="exact"/>
              <w:ind w:left="0" w:leftChars="0" w:right="0" w:rightChars="0"/>
              <w:jc w:val="center"/>
              <w:rPr>
                <w:rFonts w:hint="default" w:ascii="宋体" w:hAnsi="宋体" w:eastAsia="宋体" w:cs="@仿宋_GB2312"/>
                <w:kern w:val="2"/>
                <w:sz w:val="24"/>
                <w:szCs w:val="20"/>
                <w:highlight w:val="none"/>
                <w:lang w:val="en-US" w:eastAsia="zh-CN" w:bidi="ar-SA"/>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2.11.4</w:t>
            </w:r>
          </w:p>
        </w:tc>
        <w:tc>
          <w:tcPr>
            <w:tcW w:w="4525" w:type="pct"/>
            <w:shd w:val="clear" w:color="auto" w:fill="auto"/>
            <w:vAlign w:val="center"/>
          </w:tcPr>
          <w:p w14:paraId="004D4856">
            <w:pPr>
              <w:keepNext w:val="0"/>
              <w:keepLines w:val="0"/>
              <w:suppressLineNumbers w:val="0"/>
              <w:spacing w:before="0" w:beforeAutospacing="0" w:after="0" w:afterAutospacing="0" w:line="440" w:lineRule="exact"/>
              <w:ind w:left="0" w:leftChars="0" w:right="0" w:rightChars="0"/>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受不可抗力影响的一方在不可抗力发生后，应在不可抗力发生的</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3</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个工作日内以书面形式通知对方当事人，并在</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3</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个工作日内，将有关部门出具的证明文件送达对方当事人</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p>
        </w:tc>
      </w:tr>
      <w:tr w14:paraId="70A74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shd w:val="clear" w:color="auto" w:fill="auto"/>
            <w:vAlign w:val="center"/>
          </w:tcPr>
          <w:p w14:paraId="1DC480E8">
            <w:pPr>
              <w:keepNext w:val="0"/>
              <w:keepLines w:val="0"/>
              <w:suppressLineNumbers w:val="0"/>
              <w:spacing w:before="0" w:beforeAutospacing="0" w:after="0" w:afterAutospacing="0" w:line="440" w:lineRule="exact"/>
              <w:ind w:left="0" w:leftChars="0" w:right="0" w:rightChars="0"/>
              <w:jc w:val="center"/>
              <w:rPr>
                <w:rFonts w:hint="default" w:ascii="宋体" w:hAnsi="宋体" w:eastAsia="宋体" w:cs="@仿宋_GB2312"/>
                <w:kern w:val="2"/>
                <w:sz w:val="24"/>
                <w:szCs w:val="20"/>
                <w:highlight w:val="none"/>
                <w:lang w:val="en-US" w:eastAsia="zh-CN" w:bidi="ar-SA"/>
              </w:rPr>
            </w:pPr>
            <w:r>
              <w:rPr>
                <w:rFonts w:hint="eastAsia" w:ascii="宋体" w:hAnsi="宋体" w:eastAsia="宋体" w:cs="宋体"/>
                <w:color w:val="000000" w:themeColor="text1"/>
                <w:sz w:val="24"/>
                <w:szCs w:val="24"/>
                <w:highlight w:val="none"/>
                <w14:textFill>
                  <w14:solidFill>
                    <w14:schemeClr w14:val="tx1"/>
                  </w14:solidFill>
                </w14:textFill>
              </w:rPr>
              <w:t>2.15</w:t>
            </w:r>
          </w:p>
        </w:tc>
        <w:tc>
          <w:tcPr>
            <w:tcW w:w="4525" w:type="pct"/>
            <w:shd w:val="clear" w:color="auto" w:fill="auto"/>
            <w:vAlign w:val="center"/>
          </w:tcPr>
          <w:p w14:paraId="1B03817F">
            <w:pPr>
              <w:keepNext w:val="0"/>
              <w:keepLines w:val="0"/>
              <w:suppressLineNumbers w:val="0"/>
              <w:spacing w:before="0" w:beforeAutospacing="0" w:after="0" w:afterAutospacing="0" w:line="440" w:lineRule="exact"/>
              <w:ind w:left="0" w:right="0"/>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2.15.1乙方须接受甲方对项目执行情况、服务质量等的监督、检查和验收，甲方有权查看与项目直接相关的凭证和资料，乙方应予以配合。</w:t>
            </w:r>
          </w:p>
          <w:p w14:paraId="1C2D0735">
            <w:pPr>
              <w:keepNext w:val="0"/>
              <w:keepLines w:val="0"/>
              <w:suppressLineNumbers w:val="0"/>
              <w:spacing w:before="0" w:beforeAutospacing="0" w:after="0" w:afterAutospacing="0" w:line="440" w:lineRule="exact"/>
              <w:ind w:left="0" w:leftChars="0" w:right="0" w:rightChars="0"/>
              <w:rPr>
                <w:rFonts w:hint="default"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2.15.3验收标准：按合同约定所有内容并通过属地相关行政主管部门对鉴定报告登记确认，出具收讫意见。</w:t>
            </w:r>
          </w:p>
        </w:tc>
      </w:tr>
      <w:tr w14:paraId="5E08F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shd w:val="clear" w:color="auto" w:fill="auto"/>
            <w:vAlign w:val="center"/>
          </w:tcPr>
          <w:p w14:paraId="524CF4D5">
            <w:pPr>
              <w:keepNext w:val="0"/>
              <w:keepLines w:val="0"/>
              <w:suppressLineNumbers w:val="0"/>
              <w:spacing w:before="0" w:beforeAutospacing="0" w:after="0" w:afterAutospacing="0" w:line="560" w:lineRule="exact"/>
              <w:ind w:left="0" w:leftChars="0" w:right="0" w:rightChars="0"/>
              <w:jc w:val="center"/>
              <w:rPr>
                <w:rFonts w:hint="default" w:ascii="宋体" w:hAnsi="宋体" w:eastAsia="宋体" w:cs="@仿宋_GB2312"/>
                <w:kern w:val="2"/>
                <w:sz w:val="24"/>
                <w:szCs w:val="20"/>
                <w:highlight w:val="none"/>
                <w:lang w:val="en-US" w:eastAsia="zh-CN" w:bidi="ar-SA"/>
              </w:rPr>
            </w:pPr>
            <w:r>
              <w:rPr>
                <w:rFonts w:hint="eastAsia" w:ascii="宋体" w:hAnsi="宋体" w:eastAsia="宋体"/>
                <w:sz w:val="24"/>
                <w:szCs w:val="20"/>
                <w:highlight w:val="none"/>
              </w:rPr>
              <w:t>2.17</w:t>
            </w:r>
          </w:p>
        </w:tc>
        <w:tc>
          <w:tcPr>
            <w:tcW w:w="4525" w:type="pct"/>
            <w:shd w:val="clear" w:color="auto" w:fill="auto"/>
            <w:vAlign w:val="center"/>
          </w:tcPr>
          <w:p w14:paraId="1D5ADD0D">
            <w:pPr>
              <w:keepNext w:val="0"/>
              <w:keepLines w:val="0"/>
              <w:suppressLineNumbers w:val="0"/>
              <w:spacing w:before="0" w:beforeAutospacing="0" w:after="0" w:afterAutospacing="0" w:line="440" w:lineRule="exact"/>
              <w:ind w:left="0" w:leftChars="0" w:right="0" w:rightChars="0"/>
              <w:rPr>
                <w:rFonts w:hint="default" w:ascii="宋体" w:hAnsi="宋体" w:eastAsia="宋体" w:cs="@仿宋_GB2312"/>
                <w:kern w:val="2"/>
                <w:sz w:val="24"/>
                <w:szCs w:val="20"/>
                <w:highlight w:val="none"/>
                <w:u w:val="single"/>
                <w:lang w:val="en-US" w:eastAsia="zh-CN" w:bidi="ar-SA"/>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本项目不要求提交履约保证金</w:t>
            </w:r>
          </w:p>
        </w:tc>
      </w:tr>
      <w:tr w14:paraId="6B33B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shd w:val="clear" w:color="auto" w:fill="auto"/>
            <w:vAlign w:val="center"/>
          </w:tcPr>
          <w:p w14:paraId="6E7BA04A">
            <w:pPr>
              <w:keepNext w:val="0"/>
              <w:keepLines w:val="0"/>
              <w:suppressLineNumbers w:val="0"/>
              <w:spacing w:before="0" w:beforeAutospacing="0" w:after="0" w:afterAutospacing="0" w:line="440" w:lineRule="exact"/>
              <w:ind w:left="0" w:leftChars="0" w:right="0" w:rightChars="0"/>
              <w:jc w:val="center"/>
              <w:rPr>
                <w:rFonts w:hint="default" w:ascii="宋体" w:hAnsi="宋体" w:eastAsia="宋体" w:cs="@仿宋_GB2312"/>
                <w:kern w:val="2"/>
                <w:sz w:val="24"/>
                <w:szCs w:val="20"/>
                <w:highlight w:val="none"/>
                <w:lang w:val="en-US" w:eastAsia="zh-CN" w:bidi="ar-SA"/>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2.18</w:t>
            </w:r>
          </w:p>
        </w:tc>
        <w:tc>
          <w:tcPr>
            <w:tcW w:w="4525" w:type="pct"/>
            <w:shd w:val="clear" w:color="auto" w:fill="auto"/>
            <w:vAlign w:val="center"/>
          </w:tcPr>
          <w:p w14:paraId="1CA7CAA1">
            <w:pPr>
              <w:keepNext w:val="0"/>
              <w:keepLines w:val="0"/>
              <w:suppressLineNumbers w:val="0"/>
              <w:spacing w:before="0" w:beforeAutospacing="0" w:after="0" w:afterAutospacing="0" w:line="440" w:lineRule="exact"/>
              <w:ind w:left="0" w:leftChars="0" w:right="0" w:rightChars="0"/>
              <w:rPr>
                <w:rFonts w:hint="default" w:ascii="宋体" w:hAnsi="宋体" w:eastAsia="宋体" w:cs="@仿宋_GB2312"/>
                <w:kern w:val="2"/>
                <w:sz w:val="24"/>
                <w:szCs w:val="20"/>
                <w:highlight w:val="none"/>
                <w:lang w:val="en-US" w:eastAsia="zh-CN" w:bidi="ar-SA"/>
              </w:rPr>
            </w:pPr>
            <w:r>
              <w:rPr>
                <w:rFonts w:hint="eastAsia" w:ascii="宋体" w:hAnsi="宋体" w:eastAsia="宋体" w:cs="宋体"/>
                <w:sz w:val="24"/>
                <w:szCs w:val="20"/>
                <w:highlight w:val="none"/>
              </w:rPr>
              <w:t>合同一式捌份，甲乙双方各执四份。</w:t>
            </w:r>
          </w:p>
        </w:tc>
      </w:tr>
      <w:tr w14:paraId="4BF4D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10F7C3C9">
            <w:pPr>
              <w:keepNext w:val="0"/>
              <w:keepLines w:val="0"/>
              <w:suppressLineNumbers w:val="0"/>
              <w:spacing w:before="0" w:beforeAutospacing="0" w:after="0" w:afterAutospacing="0" w:line="560" w:lineRule="exact"/>
              <w:ind w:left="0" w:right="0"/>
              <w:rPr>
                <w:rFonts w:hint="default" w:ascii="宋体" w:hAnsi="宋体" w:eastAsia="宋体"/>
                <w:sz w:val="24"/>
                <w:szCs w:val="20"/>
                <w:highlight w:val="none"/>
              </w:rPr>
            </w:pPr>
          </w:p>
        </w:tc>
        <w:tc>
          <w:tcPr>
            <w:tcW w:w="4525" w:type="pct"/>
            <w:vAlign w:val="center"/>
          </w:tcPr>
          <w:p w14:paraId="364D61FE">
            <w:pPr>
              <w:keepNext w:val="0"/>
              <w:keepLines w:val="0"/>
              <w:suppressLineNumbers w:val="0"/>
              <w:spacing w:before="0" w:beforeAutospacing="0" w:after="0" w:afterAutospacing="0" w:line="560" w:lineRule="exact"/>
              <w:ind w:left="0" w:right="0"/>
              <w:rPr>
                <w:rFonts w:hint="default" w:ascii="宋体" w:hAnsi="宋体" w:eastAsia="宋体"/>
                <w:sz w:val="24"/>
                <w:szCs w:val="20"/>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（签订合同时可补充）</w:t>
            </w:r>
          </w:p>
        </w:tc>
      </w:tr>
    </w:tbl>
    <w:p w14:paraId="22EBF27C">
      <w:pPr>
        <w:pStyle w:val="23"/>
        <w:ind w:firstLine="420"/>
        <w:rPr>
          <w:rFonts w:hAnsi="宋体" w:cs="宋体"/>
          <w:color w:val="auto"/>
          <w:highlight w:val="none"/>
        </w:rPr>
      </w:pPr>
    </w:p>
    <w:p w14:paraId="4C672F12">
      <w:pPr>
        <w:spacing w:line="360" w:lineRule="auto"/>
        <w:rPr>
          <w:rFonts w:ascii="宋体" w:hAnsi="宋体" w:eastAsia="宋体" w:cs="宋体"/>
          <w:color w:val="auto"/>
          <w:sz w:val="28"/>
          <w:szCs w:val="27"/>
          <w:highlight w:val="none"/>
        </w:rPr>
      </w:pPr>
      <w:r>
        <w:rPr>
          <w:rFonts w:hint="eastAsia" w:ascii="宋体" w:hAnsi="宋体" w:eastAsia="宋体" w:cs="宋体"/>
          <w:color w:val="auto"/>
          <w:sz w:val="28"/>
          <w:szCs w:val="27"/>
          <w:highlight w:val="none"/>
        </w:rPr>
        <w:br w:type="page"/>
      </w:r>
    </w:p>
    <w:p w14:paraId="337563E9">
      <w:pPr>
        <w:spacing w:line="480" w:lineRule="auto"/>
        <w:jc w:val="center"/>
        <w:rPr>
          <w:rFonts w:ascii="宋体" w:hAnsi="宋体" w:eastAsia="宋体"/>
          <w:b/>
          <w:color w:val="auto"/>
          <w:sz w:val="24"/>
          <w:highlight w:val="none"/>
        </w:rPr>
      </w:pPr>
    </w:p>
    <w:p w14:paraId="60C12D5A">
      <w:pPr>
        <w:spacing w:line="360" w:lineRule="auto"/>
        <w:jc w:val="center"/>
        <w:outlineLvl w:val="0"/>
        <w:rPr>
          <w:rFonts w:asciiTheme="minorEastAsia" w:hAnsiTheme="minorEastAsia" w:eastAsiaTheme="minorEastAsia"/>
          <w:b/>
          <w:color w:val="auto"/>
          <w:sz w:val="28"/>
          <w:highlight w:val="none"/>
        </w:rPr>
      </w:pPr>
      <w:bookmarkStart w:id="177" w:name="_Toc9979"/>
      <w:bookmarkStart w:id="178" w:name="_Toc25148"/>
      <w:bookmarkStart w:id="179" w:name="_Toc2430"/>
      <w:r>
        <w:rPr>
          <w:rFonts w:hint="eastAsia" w:asciiTheme="minorEastAsia" w:hAnsiTheme="minorEastAsia" w:eastAsiaTheme="minorEastAsia"/>
          <w:b/>
          <w:color w:val="auto"/>
          <w:sz w:val="28"/>
          <w:highlight w:val="none"/>
        </w:rPr>
        <w:t>第六章  响应文件格式</w:t>
      </w:r>
      <w:bookmarkEnd w:id="177"/>
      <w:bookmarkEnd w:id="178"/>
      <w:bookmarkEnd w:id="179"/>
    </w:p>
    <w:p w14:paraId="4F7EE13F">
      <w:pPr>
        <w:spacing w:line="900" w:lineRule="exact"/>
        <w:jc w:val="center"/>
        <w:rPr>
          <w:rFonts w:asciiTheme="minorEastAsia" w:hAnsiTheme="minorEastAsia" w:eastAsiaTheme="minorEastAsia"/>
          <w:b/>
          <w:color w:val="auto"/>
          <w:sz w:val="72"/>
          <w:highlight w:val="none"/>
        </w:rPr>
      </w:pPr>
    </w:p>
    <w:p w14:paraId="36C138E1">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01BDF1CE">
      <w:pPr>
        <w:spacing w:line="900" w:lineRule="exact"/>
        <w:jc w:val="center"/>
        <w:rPr>
          <w:rFonts w:asciiTheme="minorEastAsia" w:hAnsiTheme="minorEastAsia" w:eastAsiaTheme="minorEastAsia"/>
          <w:b/>
          <w:color w:val="auto"/>
          <w:sz w:val="72"/>
          <w:highlight w:val="none"/>
        </w:rPr>
      </w:pPr>
    </w:p>
    <w:p w14:paraId="2DCEF41A">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66002F71">
      <w:pPr>
        <w:spacing w:line="900" w:lineRule="exact"/>
        <w:jc w:val="center"/>
        <w:rPr>
          <w:rFonts w:asciiTheme="minorEastAsia" w:hAnsiTheme="minorEastAsia" w:eastAsiaTheme="minorEastAsia"/>
          <w:b/>
          <w:color w:val="auto"/>
          <w:sz w:val="72"/>
          <w:highlight w:val="none"/>
        </w:rPr>
      </w:pPr>
    </w:p>
    <w:p w14:paraId="070FD0BA">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534F91B5">
      <w:pPr>
        <w:spacing w:line="900" w:lineRule="exact"/>
        <w:jc w:val="center"/>
        <w:rPr>
          <w:rFonts w:asciiTheme="minorEastAsia" w:hAnsiTheme="minorEastAsia" w:eastAsiaTheme="minorEastAsia"/>
          <w:b/>
          <w:color w:val="auto"/>
          <w:sz w:val="72"/>
          <w:highlight w:val="none"/>
        </w:rPr>
      </w:pPr>
    </w:p>
    <w:p w14:paraId="67C3B261">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786C2D37">
      <w:pPr>
        <w:spacing w:afterLines="50"/>
        <w:jc w:val="center"/>
        <w:rPr>
          <w:rFonts w:asciiTheme="minorEastAsia" w:hAnsiTheme="minorEastAsia" w:eastAsiaTheme="minorEastAsia"/>
          <w:b/>
          <w:color w:val="auto"/>
          <w:sz w:val="72"/>
          <w:highlight w:val="none"/>
        </w:rPr>
      </w:pPr>
    </w:p>
    <w:p w14:paraId="3C2A06DA">
      <w:pPr>
        <w:spacing w:afterLines="50" w:line="500" w:lineRule="exact"/>
        <w:rPr>
          <w:rFonts w:asciiTheme="minorEastAsia" w:hAnsiTheme="minorEastAsia" w:eastAsiaTheme="minorEastAsia"/>
          <w:b/>
          <w:color w:val="auto"/>
          <w:sz w:val="72"/>
          <w:highlight w:val="none"/>
        </w:rPr>
      </w:pPr>
    </w:p>
    <w:p w14:paraId="19DDD8EA">
      <w:pPr>
        <w:spacing w:afterLines="50" w:line="500" w:lineRule="exact"/>
        <w:jc w:val="center"/>
        <w:rPr>
          <w:rFonts w:asciiTheme="minorEastAsia" w:hAnsiTheme="minorEastAsia" w:eastAsiaTheme="minorEastAsia"/>
          <w:b/>
          <w:color w:val="auto"/>
          <w:sz w:val="28"/>
          <w:szCs w:val="28"/>
          <w:highlight w:val="none"/>
        </w:rPr>
      </w:pPr>
    </w:p>
    <w:p w14:paraId="66A9D34A">
      <w:pPr>
        <w:tabs>
          <w:tab w:val="left" w:pos="2410"/>
        </w:tabs>
        <w:autoSpaceDE w:val="0"/>
        <w:autoSpaceDN w:val="0"/>
        <w:adjustRightInd w:val="0"/>
        <w:snapToGrid w:val="0"/>
        <w:spacing w:line="360" w:lineRule="auto"/>
        <w:ind w:firstLine="643" w:firstLineChars="200"/>
        <w:rPr>
          <w:rFonts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30BE3340">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0D19F59E">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 应 商：</w:t>
      </w:r>
      <w:r>
        <w:rPr>
          <w:rFonts w:hint="eastAsia" w:asciiTheme="minorEastAsia" w:hAnsiTheme="minorEastAsia" w:eastAsiaTheme="minorEastAsia"/>
          <w:b/>
          <w:color w:val="auto"/>
          <w:sz w:val="32"/>
          <w:highlight w:val="none"/>
          <w:u w:val="single"/>
        </w:rPr>
        <w:t xml:space="preserve">                  </w:t>
      </w:r>
    </w:p>
    <w:p w14:paraId="68D6B840">
      <w:pPr>
        <w:spacing w:afterLines="50" w:line="500" w:lineRule="exact"/>
        <w:jc w:val="center"/>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180"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180"/>
    </w:p>
    <w:p w14:paraId="31832FEE">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9FFE2CC">
      <w:pPr>
        <w:spacing w:line="360" w:lineRule="auto"/>
        <w:jc w:val="center"/>
        <w:outlineLvl w:val="1"/>
        <w:rPr>
          <w:rFonts w:asciiTheme="minorEastAsia" w:hAnsiTheme="minorEastAsia" w:eastAsiaTheme="minorEastAsia"/>
          <w:b/>
          <w:color w:val="auto"/>
          <w:sz w:val="24"/>
          <w:highlight w:val="none"/>
        </w:rPr>
      </w:pPr>
      <w:bookmarkStart w:id="181" w:name="_Toc461056631"/>
      <w:bookmarkStart w:id="182" w:name="_Toc461053086"/>
      <w:bookmarkStart w:id="183" w:name="_Toc26791"/>
      <w:bookmarkStart w:id="184" w:name="_Toc5881"/>
      <w:bookmarkStart w:id="185" w:name="_Toc520983587"/>
      <w:r>
        <w:rPr>
          <w:rFonts w:hint="eastAsia" w:asciiTheme="minorEastAsia" w:hAnsiTheme="minorEastAsia" w:eastAsiaTheme="minorEastAsia"/>
          <w:b/>
          <w:color w:val="auto"/>
          <w:sz w:val="24"/>
          <w:highlight w:val="none"/>
        </w:rPr>
        <w:t>一</w:t>
      </w:r>
      <w:bookmarkEnd w:id="181"/>
      <w:bookmarkEnd w:id="182"/>
      <w:r>
        <w:rPr>
          <w:rFonts w:hint="eastAsia" w:asciiTheme="minorEastAsia" w:hAnsiTheme="minorEastAsia" w:eastAsiaTheme="minorEastAsia"/>
          <w:b/>
          <w:color w:val="auto"/>
          <w:sz w:val="24"/>
          <w:highlight w:val="none"/>
        </w:rPr>
        <w:t>、报价表格式</w:t>
      </w:r>
      <w:bookmarkEnd w:id="183"/>
      <w:bookmarkEnd w:id="184"/>
      <w:bookmarkEnd w:id="185"/>
    </w:p>
    <w:p w14:paraId="36667FD1">
      <w:pPr>
        <w:spacing w:beforeLines="50"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5315383F">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p>
    <w:p w14:paraId="3164AF7D">
      <w:pPr>
        <w:snapToGrid w:val="0"/>
        <w:spacing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1433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F5A61F3">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供应商名称</w:t>
            </w:r>
          </w:p>
        </w:tc>
        <w:tc>
          <w:tcPr>
            <w:tcW w:w="3557" w:type="pct"/>
            <w:tcBorders>
              <w:left w:val="single" w:color="auto" w:sz="4" w:space="0"/>
            </w:tcBorders>
          </w:tcPr>
          <w:p w14:paraId="354F1C34">
            <w:pPr>
              <w:keepNext w:val="0"/>
              <w:keepLines w:val="0"/>
              <w:suppressLineNumbers w:val="0"/>
              <w:spacing w:before="0" w:beforeAutospacing="0" w:after="0" w:afterAutospacing="0" w:line="360" w:lineRule="auto"/>
              <w:ind w:left="0" w:right="0"/>
              <w:rPr>
                <w:rFonts w:hint="default" w:ascii="宋体" w:hAnsi="宋体" w:eastAsia="宋体"/>
                <w:b/>
                <w:color w:val="auto"/>
                <w:sz w:val="24"/>
                <w:szCs w:val="20"/>
                <w:highlight w:val="none"/>
              </w:rPr>
            </w:pPr>
          </w:p>
        </w:tc>
      </w:tr>
      <w:tr w14:paraId="7316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F787A18">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磋商范围</w:t>
            </w:r>
          </w:p>
        </w:tc>
        <w:tc>
          <w:tcPr>
            <w:tcW w:w="3557" w:type="pct"/>
            <w:tcBorders>
              <w:left w:val="single" w:color="auto" w:sz="4" w:space="0"/>
            </w:tcBorders>
            <w:vAlign w:val="center"/>
          </w:tcPr>
          <w:p w14:paraId="6775B653">
            <w:pPr>
              <w:keepNext w:val="0"/>
              <w:keepLines w:val="0"/>
              <w:widowControl/>
              <w:suppressLineNumbers w:val="0"/>
              <w:spacing w:before="0" w:beforeAutospacing="0" w:after="0" w:afterAutospacing="0" w:line="360" w:lineRule="exact"/>
              <w:ind w:left="0" w:right="0"/>
              <w:rPr>
                <w:rFonts w:hint="default" w:ascii="宋体" w:hAnsi="宋体" w:eastAsia="宋体"/>
                <w:b/>
                <w:color w:val="auto"/>
                <w:sz w:val="24"/>
                <w:szCs w:val="20"/>
                <w:highlight w:val="none"/>
              </w:rPr>
            </w:pPr>
            <w:r>
              <w:rPr>
                <w:rFonts w:hint="eastAsia" w:asciiTheme="minorEastAsia" w:hAnsiTheme="minorEastAsia" w:eastAsiaTheme="minorEastAsia"/>
                <w:color w:val="auto"/>
                <w:sz w:val="24"/>
                <w:szCs w:val="28"/>
                <w:highlight w:val="none"/>
              </w:rPr>
              <w:t xml:space="preserve">全部 </w:t>
            </w:r>
          </w:p>
        </w:tc>
      </w:tr>
      <w:tr w14:paraId="6B56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1364A6BD">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报价</w:t>
            </w:r>
          </w:p>
          <w:p w14:paraId="43F420C4">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（详见备注说明）</w:t>
            </w:r>
          </w:p>
        </w:tc>
        <w:tc>
          <w:tcPr>
            <w:tcW w:w="3557" w:type="pct"/>
            <w:vAlign w:val="center"/>
          </w:tcPr>
          <w:p w14:paraId="2DBC09AA">
            <w:pPr>
              <w:keepNext w:val="0"/>
              <w:keepLines w:val="0"/>
              <w:suppressLineNumbers w:val="0"/>
              <w:snapToGrid w:val="0"/>
              <w:spacing w:before="0" w:beforeAutospacing="0" w:after="0" w:afterAutospacing="0" w:line="360" w:lineRule="auto"/>
              <w:ind w:left="0" w:right="0"/>
              <w:rPr>
                <w:rFonts w:hint="default" w:ascii="宋体" w:hAnsi="宋体" w:eastAsia="宋体"/>
                <w:color w:val="auto"/>
                <w:sz w:val="24"/>
                <w:szCs w:val="28"/>
                <w:highlight w:val="none"/>
              </w:rPr>
            </w:pPr>
          </w:p>
          <w:p w14:paraId="44ACD73B">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A09E0B0">
            <w:pPr>
              <w:keepNext w:val="0"/>
              <w:keepLines w:val="0"/>
              <w:suppressLineNumbers w:val="0"/>
              <w:spacing w:before="0" w:beforeAutospacing="0" w:after="0" w:afterAutospacing="0" w:line="360" w:lineRule="auto"/>
              <w:ind w:left="0" w:right="-670"/>
              <w:rPr>
                <w:rFonts w:hint="default" w:eastAsia="宋体" w:asciiTheme="minorEastAsia" w:hAnsiTheme="minorEastAsia"/>
                <w:color w:val="auto"/>
                <w:sz w:val="24"/>
                <w:szCs w:val="20"/>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14:paraId="7F9583DF">
            <w:pPr>
              <w:keepNext w:val="0"/>
              <w:keepLines w:val="0"/>
              <w:suppressLineNumbers w:val="0"/>
              <w:snapToGrid w:val="0"/>
              <w:spacing w:before="0" w:beforeAutospacing="0" w:after="0" w:afterAutospacing="0" w:line="360" w:lineRule="auto"/>
              <w:ind w:left="0" w:right="0"/>
              <w:rPr>
                <w:rFonts w:hint="default" w:ascii="宋体" w:hAnsi="宋体" w:eastAsia="宋体"/>
                <w:b/>
                <w:color w:val="auto"/>
                <w:sz w:val="24"/>
                <w:szCs w:val="20"/>
                <w:highlight w:val="none"/>
              </w:rPr>
            </w:pPr>
          </w:p>
        </w:tc>
      </w:tr>
      <w:tr w14:paraId="6DC4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41BC7329">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备注说明</w:t>
            </w:r>
          </w:p>
        </w:tc>
        <w:tc>
          <w:tcPr>
            <w:tcW w:w="3557" w:type="pct"/>
          </w:tcPr>
          <w:p w14:paraId="32C45E50">
            <w:pPr>
              <w:keepNext w:val="0"/>
              <w:keepLines w:val="0"/>
              <w:suppressLineNumbers w:val="0"/>
              <w:spacing w:before="0" w:beforeAutospacing="0" w:after="0" w:afterAutospacing="0" w:line="360" w:lineRule="auto"/>
              <w:ind w:left="0" w:right="0"/>
              <w:rPr>
                <w:rFonts w:hint="default" w:ascii="宋体" w:hAnsi="宋体" w:eastAsia="宋体"/>
                <w:b/>
                <w:color w:val="auto"/>
                <w:sz w:val="24"/>
                <w:szCs w:val="20"/>
                <w:highlight w:val="none"/>
                <w:lang w:val="en-US" w:eastAsia="zh-CN"/>
              </w:rPr>
            </w:pPr>
            <w:r>
              <w:rPr>
                <w:rFonts w:hint="eastAsia" w:ascii="宋体" w:hAnsi="宋体" w:eastAsia="宋体"/>
                <w:b/>
                <w:color w:val="auto"/>
                <w:sz w:val="24"/>
                <w:szCs w:val="20"/>
                <w:highlight w:val="none"/>
                <w:lang w:val="en-US" w:eastAsia="zh-CN"/>
              </w:rPr>
              <w:t>综合单价为</w:t>
            </w:r>
            <w:r>
              <w:rPr>
                <w:rFonts w:hint="eastAsia" w:ascii="宋体" w:hAnsi="宋体" w:eastAsia="宋体"/>
                <w:b/>
                <w:color w:val="auto"/>
                <w:sz w:val="24"/>
                <w:szCs w:val="20"/>
                <w:highlight w:val="none"/>
                <w:u w:val="single"/>
                <w:lang w:val="en-US" w:eastAsia="zh-CN"/>
              </w:rPr>
              <w:t xml:space="preserve">          </w:t>
            </w:r>
            <w:r>
              <w:rPr>
                <w:rFonts w:hint="eastAsia" w:ascii="宋体" w:hAnsi="宋体" w:eastAsia="宋体"/>
                <w:b/>
                <w:color w:val="auto"/>
                <w:sz w:val="24"/>
                <w:szCs w:val="20"/>
                <w:highlight w:val="none"/>
                <w:lang w:val="en-US" w:eastAsia="zh-CN"/>
              </w:rPr>
              <w:t>元/平方米。</w:t>
            </w:r>
          </w:p>
        </w:tc>
      </w:tr>
    </w:tbl>
    <w:p w14:paraId="73C1DE92">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583E22A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9D0A283">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44E28BAC">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磋商文件要求包括了服务及其配套的设计、采购、制造、检测、试验、运输、保险、仓储、税费以及现场落地、安装及安装耗损、调试、培训、技术服务（包括技术资料、图纸的提供）质保期内的售后服务保障等所有费用。</w:t>
      </w:r>
    </w:p>
    <w:p w14:paraId="6A2A95F2">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1D6B7EA1">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3.表中大写金额与小写金额不一致的，以大写金额为准。</w:t>
      </w:r>
    </w:p>
    <w:p w14:paraId="741D95A2">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40B1880F">
      <w:pPr>
        <w:spacing w:before="156" w:beforeLines="50" w:after="156" w:afterLines="50" w:line="360" w:lineRule="auto"/>
        <w:jc w:val="left"/>
        <w:outlineLvl w:val="2"/>
        <w:rPr>
          <w:rFonts w:ascii="宋体" w:hAnsi="宋体" w:eastAsia="宋体"/>
          <w:b/>
          <w:sz w:val="24"/>
          <w:szCs w:val="28"/>
          <w:highlight w:val="none"/>
        </w:rPr>
      </w:pPr>
      <w:r>
        <w:rPr>
          <w:rFonts w:hint="eastAsia" w:ascii="宋体" w:hAnsi="宋体" w:eastAsia="宋体"/>
          <w:b/>
          <w:sz w:val="24"/>
          <w:szCs w:val="28"/>
          <w:highlight w:val="none"/>
        </w:rPr>
        <w:t>1-2 分项报价明细表</w:t>
      </w:r>
    </w:p>
    <w:p w14:paraId="602DA514">
      <w:pPr>
        <w:spacing w:line="360" w:lineRule="auto"/>
        <w:ind w:firstLine="435"/>
        <w:jc w:val="center"/>
        <w:rPr>
          <w:rFonts w:asciiTheme="minorEastAsia" w:hAnsiTheme="minorEastAsia" w:eastAsiaTheme="minorEastAsia"/>
          <w:b/>
          <w:sz w:val="24"/>
          <w:highlight w:val="none"/>
        </w:rPr>
      </w:pPr>
      <w:r>
        <w:rPr>
          <w:rFonts w:hint="eastAsia" w:asciiTheme="minorEastAsia" w:hAnsiTheme="minorEastAsia" w:eastAsiaTheme="minorEastAsia"/>
          <w:i/>
          <w:sz w:val="24"/>
          <w:highlight w:val="none"/>
        </w:rPr>
        <w:t>（仅供参考，供应商可自行制作格式）</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109"/>
        <w:gridCol w:w="1357"/>
        <w:gridCol w:w="1698"/>
        <w:gridCol w:w="1568"/>
      </w:tblGrid>
      <w:tr w14:paraId="2E0C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14:paraId="4E92FABC">
            <w:pPr>
              <w:keepNext w:val="0"/>
              <w:keepLines w:val="0"/>
              <w:suppressLineNumbers w:val="0"/>
              <w:spacing w:before="0" w:beforeAutospacing="0" w:after="0" w:afterAutospacing="0"/>
              <w:ind w:left="0" w:right="0"/>
              <w:jc w:val="center"/>
              <w:rPr>
                <w:rFonts w:hint="default" w:ascii="宋体" w:hAnsi="宋体" w:eastAsia="宋体"/>
                <w:b/>
                <w:sz w:val="24"/>
                <w:szCs w:val="20"/>
                <w:highlight w:val="none"/>
              </w:rPr>
            </w:pPr>
            <w:r>
              <w:rPr>
                <w:rFonts w:hint="eastAsia" w:ascii="宋体" w:hAnsi="宋体" w:eastAsia="宋体"/>
                <w:b/>
                <w:sz w:val="24"/>
                <w:szCs w:val="20"/>
                <w:highlight w:val="none"/>
              </w:rPr>
              <w:t>序号</w:t>
            </w:r>
          </w:p>
        </w:tc>
        <w:tc>
          <w:tcPr>
            <w:tcW w:w="1824" w:type="pct"/>
            <w:vAlign w:val="center"/>
          </w:tcPr>
          <w:p w14:paraId="01455A34">
            <w:pPr>
              <w:keepNext w:val="0"/>
              <w:keepLines w:val="0"/>
              <w:suppressLineNumbers w:val="0"/>
              <w:spacing w:before="0" w:beforeAutospacing="0" w:after="0" w:afterAutospacing="0"/>
              <w:ind w:left="0" w:right="0"/>
              <w:jc w:val="center"/>
              <w:rPr>
                <w:rFonts w:hint="default" w:ascii="宋体" w:hAnsi="宋体" w:eastAsia="宋体"/>
                <w:b/>
                <w:sz w:val="24"/>
                <w:szCs w:val="20"/>
                <w:highlight w:val="none"/>
              </w:rPr>
            </w:pPr>
            <w:r>
              <w:rPr>
                <w:rFonts w:hint="eastAsia" w:ascii="宋体" w:hAnsi="宋体" w:eastAsia="宋体"/>
                <w:b/>
                <w:sz w:val="24"/>
                <w:szCs w:val="20"/>
                <w:highlight w:val="none"/>
              </w:rPr>
              <w:t>服务内容</w:t>
            </w:r>
          </w:p>
        </w:tc>
        <w:tc>
          <w:tcPr>
            <w:tcW w:w="796" w:type="pct"/>
            <w:vAlign w:val="center"/>
          </w:tcPr>
          <w:p w14:paraId="53853F3C">
            <w:pPr>
              <w:keepNext w:val="0"/>
              <w:keepLines w:val="0"/>
              <w:suppressLineNumbers w:val="0"/>
              <w:spacing w:before="0" w:beforeAutospacing="0" w:after="0" w:afterAutospacing="0"/>
              <w:ind w:left="0" w:right="0"/>
              <w:jc w:val="center"/>
              <w:rPr>
                <w:rFonts w:hint="default" w:ascii="宋体" w:hAnsi="宋体" w:eastAsia="宋体"/>
                <w:b/>
                <w:sz w:val="24"/>
                <w:szCs w:val="20"/>
                <w:highlight w:val="none"/>
              </w:rPr>
            </w:pPr>
            <w:r>
              <w:rPr>
                <w:rFonts w:hint="eastAsia" w:ascii="宋体" w:hAnsi="宋体" w:eastAsia="宋体"/>
                <w:b/>
                <w:sz w:val="24"/>
                <w:szCs w:val="20"/>
                <w:highlight w:val="none"/>
              </w:rPr>
              <w:t>项</w:t>
            </w:r>
          </w:p>
        </w:tc>
        <w:tc>
          <w:tcPr>
            <w:tcW w:w="996" w:type="pct"/>
            <w:vAlign w:val="center"/>
          </w:tcPr>
          <w:p w14:paraId="6664C8C0">
            <w:pPr>
              <w:keepNext w:val="0"/>
              <w:keepLines w:val="0"/>
              <w:suppressLineNumbers w:val="0"/>
              <w:spacing w:before="0" w:beforeAutospacing="0" w:after="0" w:afterAutospacing="0"/>
              <w:ind w:left="0" w:right="0"/>
              <w:jc w:val="center"/>
              <w:rPr>
                <w:rFonts w:hint="default" w:ascii="宋体" w:hAnsi="宋体" w:eastAsia="宋体"/>
                <w:b/>
                <w:sz w:val="24"/>
                <w:szCs w:val="20"/>
                <w:highlight w:val="none"/>
              </w:rPr>
            </w:pPr>
            <w:r>
              <w:rPr>
                <w:rFonts w:hint="eastAsia" w:ascii="宋体" w:hAnsi="宋体" w:eastAsia="宋体"/>
                <w:b/>
                <w:sz w:val="24"/>
                <w:szCs w:val="20"/>
                <w:highlight w:val="none"/>
              </w:rPr>
              <w:t>单价</w:t>
            </w:r>
          </w:p>
        </w:tc>
        <w:tc>
          <w:tcPr>
            <w:tcW w:w="920" w:type="pct"/>
            <w:vAlign w:val="center"/>
          </w:tcPr>
          <w:p w14:paraId="0E733EE1">
            <w:pPr>
              <w:keepNext w:val="0"/>
              <w:keepLines w:val="0"/>
              <w:suppressLineNumbers w:val="0"/>
              <w:spacing w:before="0" w:beforeAutospacing="0" w:after="0" w:afterAutospacing="0"/>
              <w:ind w:left="0" w:right="0"/>
              <w:jc w:val="center"/>
              <w:rPr>
                <w:rFonts w:hint="default" w:ascii="宋体" w:hAnsi="宋体" w:eastAsia="宋体"/>
                <w:b/>
                <w:sz w:val="24"/>
                <w:szCs w:val="20"/>
                <w:highlight w:val="none"/>
              </w:rPr>
            </w:pPr>
            <w:r>
              <w:rPr>
                <w:rFonts w:hint="eastAsia" w:ascii="宋体" w:hAnsi="宋体" w:eastAsia="宋体"/>
                <w:b/>
                <w:sz w:val="24"/>
                <w:szCs w:val="20"/>
                <w:highlight w:val="none"/>
              </w:rPr>
              <w:t>小计金额（元）</w:t>
            </w:r>
          </w:p>
        </w:tc>
      </w:tr>
      <w:tr w14:paraId="549B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5BD07292">
            <w:pPr>
              <w:keepNext w:val="0"/>
              <w:keepLines w:val="0"/>
              <w:suppressLineNumbers w:val="0"/>
              <w:spacing w:before="0" w:beforeAutospacing="0" w:after="0" w:afterAutospacing="0"/>
              <w:ind w:left="0" w:right="0"/>
              <w:jc w:val="center"/>
              <w:rPr>
                <w:rFonts w:hint="default" w:ascii="宋体" w:hAnsi="宋体" w:eastAsia="宋体"/>
                <w:sz w:val="24"/>
                <w:szCs w:val="20"/>
                <w:highlight w:val="none"/>
              </w:rPr>
            </w:pPr>
            <w:r>
              <w:rPr>
                <w:rFonts w:hint="eastAsia" w:ascii="宋体" w:hAnsi="宋体" w:eastAsia="宋体"/>
                <w:sz w:val="24"/>
                <w:szCs w:val="20"/>
                <w:highlight w:val="none"/>
              </w:rPr>
              <w:t>1</w:t>
            </w:r>
          </w:p>
        </w:tc>
        <w:tc>
          <w:tcPr>
            <w:tcW w:w="1824" w:type="pct"/>
            <w:vAlign w:val="center"/>
          </w:tcPr>
          <w:p w14:paraId="4164B435">
            <w:pPr>
              <w:keepNext w:val="0"/>
              <w:keepLines w:val="0"/>
              <w:suppressLineNumbers w:val="0"/>
              <w:spacing w:before="0" w:beforeAutospacing="0" w:after="0" w:afterAutospacing="0"/>
              <w:ind w:left="0" w:right="0"/>
              <w:jc w:val="center"/>
              <w:rPr>
                <w:rFonts w:hint="default" w:ascii="宋体" w:hAnsi="宋体" w:eastAsia="宋体"/>
                <w:sz w:val="24"/>
                <w:szCs w:val="20"/>
                <w:highlight w:val="none"/>
              </w:rPr>
            </w:pPr>
          </w:p>
        </w:tc>
        <w:tc>
          <w:tcPr>
            <w:tcW w:w="796" w:type="pct"/>
            <w:vAlign w:val="center"/>
          </w:tcPr>
          <w:p w14:paraId="2D0ECD71">
            <w:pPr>
              <w:keepNext w:val="0"/>
              <w:keepLines w:val="0"/>
              <w:suppressLineNumbers w:val="0"/>
              <w:spacing w:before="0" w:beforeAutospacing="0" w:after="0" w:afterAutospacing="0"/>
              <w:ind w:left="0" w:right="0"/>
              <w:jc w:val="center"/>
              <w:rPr>
                <w:rFonts w:hint="default" w:ascii="宋体" w:hAnsi="宋体" w:eastAsia="宋体"/>
                <w:sz w:val="24"/>
                <w:szCs w:val="20"/>
                <w:highlight w:val="none"/>
              </w:rPr>
            </w:pPr>
          </w:p>
        </w:tc>
        <w:tc>
          <w:tcPr>
            <w:tcW w:w="996" w:type="pct"/>
            <w:vAlign w:val="center"/>
          </w:tcPr>
          <w:p w14:paraId="2EB88F80">
            <w:pPr>
              <w:keepNext w:val="0"/>
              <w:keepLines w:val="0"/>
              <w:suppressLineNumbers w:val="0"/>
              <w:spacing w:before="0" w:beforeAutospacing="0" w:after="0" w:afterAutospacing="0"/>
              <w:ind w:left="0" w:right="0"/>
              <w:jc w:val="center"/>
              <w:rPr>
                <w:rFonts w:hint="default" w:ascii="宋体" w:hAnsi="宋体" w:eastAsia="宋体"/>
                <w:sz w:val="24"/>
                <w:szCs w:val="20"/>
                <w:highlight w:val="none"/>
              </w:rPr>
            </w:pPr>
          </w:p>
        </w:tc>
        <w:tc>
          <w:tcPr>
            <w:tcW w:w="920" w:type="pct"/>
            <w:vAlign w:val="center"/>
          </w:tcPr>
          <w:p w14:paraId="3BD85A6E">
            <w:pPr>
              <w:keepNext w:val="0"/>
              <w:keepLines w:val="0"/>
              <w:suppressLineNumbers w:val="0"/>
              <w:spacing w:before="0" w:beforeAutospacing="0" w:after="0" w:afterAutospacing="0"/>
              <w:ind w:left="0" w:right="0"/>
              <w:jc w:val="center"/>
              <w:rPr>
                <w:rFonts w:hint="default" w:ascii="宋体" w:hAnsi="宋体" w:eastAsia="宋体"/>
                <w:sz w:val="24"/>
                <w:szCs w:val="20"/>
                <w:highlight w:val="none"/>
              </w:rPr>
            </w:pPr>
          </w:p>
        </w:tc>
      </w:tr>
      <w:tr w14:paraId="4084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57E5D368">
            <w:pPr>
              <w:keepNext w:val="0"/>
              <w:keepLines w:val="0"/>
              <w:suppressLineNumbers w:val="0"/>
              <w:spacing w:before="0" w:beforeAutospacing="0" w:after="0" w:afterAutospacing="0"/>
              <w:ind w:left="0" w:right="0"/>
              <w:jc w:val="center"/>
              <w:rPr>
                <w:rFonts w:hint="default" w:ascii="宋体" w:hAnsi="宋体" w:eastAsia="宋体"/>
                <w:sz w:val="24"/>
                <w:szCs w:val="20"/>
                <w:highlight w:val="none"/>
              </w:rPr>
            </w:pPr>
            <w:r>
              <w:rPr>
                <w:rFonts w:hint="eastAsia" w:ascii="宋体" w:hAnsi="宋体" w:eastAsia="宋体"/>
                <w:sz w:val="24"/>
                <w:szCs w:val="20"/>
                <w:highlight w:val="none"/>
              </w:rPr>
              <w:t>2</w:t>
            </w:r>
          </w:p>
        </w:tc>
        <w:tc>
          <w:tcPr>
            <w:tcW w:w="1824" w:type="pct"/>
            <w:vAlign w:val="center"/>
          </w:tcPr>
          <w:p w14:paraId="003FE6A6">
            <w:pPr>
              <w:keepNext w:val="0"/>
              <w:keepLines w:val="0"/>
              <w:suppressLineNumbers w:val="0"/>
              <w:spacing w:before="0" w:beforeAutospacing="0" w:after="0" w:afterAutospacing="0"/>
              <w:ind w:left="0" w:right="0"/>
              <w:jc w:val="center"/>
              <w:rPr>
                <w:rFonts w:hint="default" w:ascii="宋体" w:hAnsi="宋体" w:eastAsia="宋体"/>
                <w:sz w:val="24"/>
                <w:szCs w:val="20"/>
                <w:highlight w:val="none"/>
              </w:rPr>
            </w:pPr>
          </w:p>
        </w:tc>
        <w:tc>
          <w:tcPr>
            <w:tcW w:w="796" w:type="pct"/>
            <w:vAlign w:val="center"/>
          </w:tcPr>
          <w:p w14:paraId="7C6ED3C6">
            <w:pPr>
              <w:keepNext w:val="0"/>
              <w:keepLines w:val="0"/>
              <w:suppressLineNumbers w:val="0"/>
              <w:spacing w:before="0" w:beforeAutospacing="0" w:after="0" w:afterAutospacing="0"/>
              <w:ind w:left="0" w:right="0"/>
              <w:jc w:val="center"/>
              <w:rPr>
                <w:rFonts w:hint="default" w:ascii="宋体" w:hAnsi="宋体" w:eastAsia="宋体"/>
                <w:sz w:val="24"/>
                <w:szCs w:val="20"/>
                <w:highlight w:val="none"/>
              </w:rPr>
            </w:pPr>
          </w:p>
        </w:tc>
        <w:tc>
          <w:tcPr>
            <w:tcW w:w="996" w:type="pct"/>
            <w:vAlign w:val="center"/>
          </w:tcPr>
          <w:p w14:paraId="682FE270">
            <w:pPr>
              <w:keepNext w:val="0"/>
              <w:keepLines w:val="0"/>
              <w:suppressLineNumbers w:val="0"/>
              <w:spacing w:before="0" w:beforeAutospacing="0" w:after="0" w:afterAutospacing="0"/>
              <w:ind w:left="0" w:right="0"/>
              <w:jc w:val="center"/>
              <w:rPr>
                <w:rFonts w:hint="default" w:ascii="宋体" w:hAnsi="宋体" w:eastAsia="宋体"/>
                <w:sz w:val="24"/>
                <w:szCs w:val="20"/>
                <w:highlight w:val="none"/>
              </w:rPr>
            </w:pPr>
          </w:p>
        </w:tc>
        <w:tc>
          <w:tcPr>
            <w:tcW w:w="920" w:type="pct"/>
            <w:vAlign w:val="center"/>
          </w:tcPr>
          <w:p w14:paraId="7D86E2DB">
            <w:pPr>
              <w:keepNext w:val="0"/>
              <w:keepLines w:val="0"/>
              <w:suppressLineNumbers w:val="0"/>
              <w:spacing w:before="0" w:beforeAutospacing="0" w:after="0" w:afterAutospacing="0"/>
              <w:ind w:left="0" w:right="0"/>
              <w:jc w:val="center"/>
              <w:rPr>
                <w:rFonts w:hint="default" w:ascii="宋体" w:hAnsi="宋体" w:eastAsia="宋体"/>
                <w:sz w:val="24"/>
                <w:szCs w:val="20"/>
                <w:highlight w:val="none"/>
              </w:rPr>
            </w:pPr>
          </w:p>
        </w:tc>
      </w:tr>
      <w:tr w14:paraId="567B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59E35F69">
            <w:pPr>
              <w:keepNext w:val="0"/>
              <w:keepLines w:val="0"/>
              <w:suppressLineNumbers w:val="0"/>
              <w:spacing w:before="0" w:beforeAutospacing="0" w:after="0" w:afterAutospacing="0"/>
              <w:ind w:left="0" w:right="0"/>
              <w:jc w:val="center"/>
              <w:rPr>
                <w:rFonts w:hint="default" w:ascii="宋体" w:hAnsi="宋体" w:eastAsia="宋体"/>
                <w:sz w:val="24"/>
                <w:szCs w:val="20"/>
                <w:highlight w:val="none"/>
              </w:rPr>
            </w:pPr>
            <w:r>
              <w:rPr>
                <w:rFonts w:hint="eastAsia" w:ascii="宋体" w:hAnsi="宋体" w:eastAsia="宋体"/>
                <w:sz w:val="24"/>
                <w:szCs w:val="20"/>
                <w:highlight w:val="none"/>
              </w:rPr>
              <w:t>3</w:t>
            </w:r>
          </w:p>
        </w:tc>
        <w:tc>
          <w:tcPr>
            <w:tcW w:w="1824" w:type="pct"/>
            <w:vAlign w:val="center"/>
          </w:tcPr>
          <w:p w14:paraId="748D3588">
            <w:pPr>
              <w:keepNext w:val="0"/>
              <w:keepLines w:val="0"/>
              <w:suppressLineNumbers w:val="0"/>
              <w:spacing w:before="0" w:beforeAutospacing="0" w:after="0" w:afterAutospacing="0"/>
              <w:ind w:left="0" w:right="0"/>
              <w:jc w:val="center"/>
              <w:rPr>
                <w:rFonts w:hint="default" w:ascii="宋体" w:hAnsi="宋体" w:eastAsia="宋体"/>
                <w:sz w:val="24"/>
                <w:szCs w:val="20"/>
                <w:highlight w:val="none"/>
              </w:rPr>
            </w:pPr>
          </w:p>
        </w:tc>
        <w:tc>
          <w:tcPr>
            <w:tcW w:w="796" w:type="pct"/>
            <w:vAlign w:val="center"/>
          </w:tcPr>
          <w:p w14:paraId="2F12081D">
            <w:pPr>
              <w:keepNext w:val="0"/>
              <w:keepLines w:val="0"/>
              <w:suppressLineNumbers w:val="0"/>
              <w:spacing w:before="0" w:beforeAutospacing="0" w:after="0" w:afterAutospacing="0"/>
              <w:ind w:left="0" w:right="0"/>
              <w:jc w:val="center"/>
              <w:rPr>
                <w:rFonts w:hint="default" w:ascii="宋体" w:hAnsi="宋体" w:eastAsia="宋体"/>
                <w:sz w:val="24"/>
                <w:szCs w:val="20"/>
                <w:highlight w:val="none"/>
              </w:rPr>
            </w:pPr>
          </w:p>
        </w:tc>
        <w:tc>
          <w:tcPr>
            <w:tcW w:w="996" w:type="pct"/>
            <w:vAlign w:val="center"/>
          </w:tcPr>
          <w:p w14:paraId="088DBD84">
            <w:pPr>
              <w:keepNext w:val="0"/>
              <w:keepLines w:val="0"/>
              <w:suppressLineNumbers w:val="0"/>
              <w:spacing w:before="0" w:beforeAutospacing="0" w:after="0" w:afterAutospacing="0"/>
              <w:ind w:left="0" w:right="0"/>
              <w:jc w:val="center"/>
              <w:rPr>
                <w:rFonts w:hint="default" w:ascii="宋体" w:hAnsi="宋体" w:eastAsia="宋体"/>
                <w:sz w:val="24"/>
                <w:szCs w:val="20"/>
                <w:highlight w:val="none"/>
              </w:rPr>
            </w:pPr>
          </w:p>
        </w:tc>
        <w:tc>
          <w:tcPr>
            <w:tcW w:w="920" w:type="pct"/>
            <w:vAlign w:val="center"/>
          </w:tcPr>
          <w:p w14:paraId="31AFCE41">
            <w:pPr>
              <w:keepNext w:val="0"/>
              <w:keepLines w:val="0"/>
              <w:suppressLineNumbers w:val="0"/>
              <w:spacing w:before="0" w:beforeAutospacing="0" w:after="0" w:afterAutospacing="0"/>
              <w:ind w:left="0" w:right="0"/>
              <w:jc w:val="center"/>
              <w:rPr>
                <w:rFonts w:hint="default" w:ascii="宋体" w:hAnsi="宋体" w:eastAsia="宋体"/>
                <w:sz w:val="24"/>
                <w:szCs w:val="20"/>
                <w:highlight w:val="none"/>
              </w:rPr>
            </w:pPr>
          </w:p>
        </w:tc>
      </w:tr>
      <w:tr w14:paraId="4679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495AAF50">
            <w:pPr>
              <w:keepNext w:val="0"/>
              <w:keepLines w:val="0"/>
              <w:suppressLineNumbers w:val="0"/>
              <w:spacing w:before="0" w:beforeAutospacing="0" w:after="0" w:afterAutospacing="0"/>
              <w:ind w:left="0" w:right="0"/>
              <w:jc w:val="center"/>
              <w:rPr>
                <w:rFonts w:hint="default" w:ascii="宋体" w:hAnsi="宋体" w:eastAsia="宋体"/>
                <w:sz w:val="24"/>
                <w:szCs w:val="20"/>
                <w:highlight w:val="none"/>
              </w:rPr>
            </w:pPr>
            <w:r>
              <w:rPr>
                <w:rFonts w:hint="default" w:ascii="宋体" w:hAnsi="宋体" w:eastAsia="宋体"/>
                <w:sz w:val="24"/>
                <w:szCs w:val="20"/>
                <w:highlight w:val="none"/>
              </w:rPr>
              <w:t>…</w:t>
            </w:r>
          </w:p>
        </w:tc>
        <w:tc>
          <w:tcPr>
            <w:tcW w:w="1824" w:type="pct"/>
            <w:vAlign w:val="center"/>
          </w:tcPr>
          <w:p w14:paraId="3FF91D41">
            <w:pPr>
              <w:keepNext w:val="0"/>
              <w:keepLines w:val="0"/>
              <w:suppressLineNumbers w:val="0"/>
              <w:spacing w:before="0" w:beforeAutospacing="0" w:after="0" w:afterAutospacing="0"/>
              <w:ind w:left="0" w:right="0"/>
              <w:jc w:val="center"/>
              <w:rPr>
                <w:rFonts w:hint="default" w:ascii="宋体" w:hAnsi="宋体" w:eastAsia="宋体"/>
                <w:sz w:val="24"/>
                <w:szCs w:val="20"/>
                <w:highlight w:val="none"/>
              </w:rPr>
            </w:pPr>
          </w:p>
        </w:tc>
        <w:tc>
          <w:tcPr>
            <w:tcW w:w="796" w:type="pct"/>
            <w:vAlign w:val="center"/>
          </w:tcPr>
          <w:p w14:paraId="3C02995F">
            <w:pPr>
              <w:keepNext w:val="0"/>
              <w:keepLines w:val="0"/>
              <w:suppressLineNumbers w:val="0"/>
              <w:spacing w:before="0" w:beforeAutospacing="0" w:after="0" w:afterAutospacing="0"/>
              <w:ind w:left="0" w:right="0"/>
              <w:jc w:val="center"/>
              <w:rPr>
                <w:rFonts w:hint="default" w:ascii="宋体" w:hAnsi="宋体" w:eastAsia="宋体"/>
                <w:sz w:val="24"/>
                <w:szCs w:val="20"/>
                <w:highlight w:val="none"/>
              </w:rPr>
            </w:pPr>
          </w:p>
        </w:tc>
        <w:tc>
          <w:tcPr>
            <w:tcW w:w="996" w:type="pct"/>
            <w:vAlign w:val="center"/>
          </w:tcPr>
          <w:p w14:paraId="495EB4C4">
            <w:pPr>
              <w:keepNext w:val="0"/>
              <w:keepLines w:val="0"/>
              <w:suppressLineNumbers w:val="0"/>
              <w:spacing w:before="0" w:beforeAutospacing="0" w:after="0" w:afterAutospacing="0"/>
              <w:ind w:left="0" w:right="0"/>
              <w:jc w:val="center"/>
              <w:rPr>
                <w:rFonts w:hint="default" w:ascii="宋体" w:hAnsi="宋体" w:eastAsia="宋体"/>
                <w:sz w:val="24"/>
                <w:szCs w:val="20"/>
                <w:highlight w:val="none"/>
              </w:rPr>
            </w:pPr>
          </w:p>
        </w:tc>
        <w:tc>
          <w:tcPr>
            <w:tcW w:w="920" w:type="pct"/>
            <w:vAlign w:val="center"/>
          </w:tcPr>
          <w:p w14:paraId="085E2644">
            <w:pPr>
              <w:keepNext w:val="0"/>
              <w:keepLines w:val="0"/>
              <w:suppressLineNumbers w:val="0"/>
              <w:spacing w:before="0" w:beforeAutospacing="0" w:after="0" w:afterAutospacing="0"/>
              <w:ind w:left="0" w:right="0"/>
              <w:jc w:val="center"/>
              <w:rPr>
                <w:rFonts w:hint="default" w:ascii="宋体" w:hAnsi="宋体" w:eastAsia="宋体"/>
                <w:sz w:val="24"/>
                <w:szCs w:val="20"/>
                <w:highlight w:val="none"/>
              </w:rPr>
            </w:pPr>
          </w:p>
        </w:tc>
      </w:tr>
      <w:tr w14:paraId="317C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073CCC96">
            <w:pPr>
              <w:keepNext w:val="0"/>
              <w:keepLines w:val="0"/>
              <w:suppressLineNumbers w:val="0"/>
              <w:spacing w:before="0" w:beforeAutospacing="0" w:after="0" w:afterAutospacing="0"/>
              <w:ind w:left="0" w:right="0"/>
              <w:jc w:val="center"/>
              <w:rPr>
                <w:rFonts w:hint="default" w:ascii="宋体" w:hAnsi="宋体" w:eastAsia="宋体"/>
                <w:sz w:val="24"/>
                <w:szCs w:val="20"/>
                <w:highlight w:val="none"/>
              </w:rPr>
            </w:pPr>
          </w:p>
        </w:tc>
        <w:tc>
          <w:tcPr>
            <w:tcW w:w="1824" w:type="pct"/>
            <w:vAlign w:val="center"/>
          </w:tcPr>
          <w:p w14:paraId="4A3EC261">
            <w:pPr>
              <w:pStyle w:val="51"/>
              <w:keepNext w:val="0"/>
              <w:keepLines w:val="0"/>
              <w:suppressLineNumbers w:val="0"/>
              <w:spacing w:before="0" w:beforeAutospacing="0" w:after="0" w:afterAutospacing="0"/>
              <w:ind w:left="-108" w:right="0"/>
              <w:jc w:val="center"/>
              <w:rPr>
                <w:rFonts w:hint="default" w:ascii="宋体" w:hAnsi="宋体"/>
                <w:szCs w:val="20"/>
                <w:highlight w:val="none"/>
              </w:rPr>
            </w:pPr>
            <w:r>
              <w:rPr>
                <w:rFonts w:hint="eastAsia" w:ascii="宋体" w:hAnsi="宋体"/>
                <w:szCs w:val="20"/>
                <w:highlight w:val="none"/>
              </w:rPr>
              <w:t>其他费用</w:t>
            </w:r>
          </w:p>
        </w:tc>
        <w:tc>
          <w:tcPr>
            <w:tcW w:w="796" w:type="pct"/>
            <w:vAlign w:val="center"/>
          </w:tcPr>
          <w:p w14:paraId="5AE69943">
            <w:pPr>
              <w:keepNext w:val="0"/>
              <w:keepLines w:val="0"/>
              <w:suppressLineNumbers w:val="0"/>
              <w:spacing w:before="0" w:beforeAutospacing="0" w:after="0" w:afterAutospacing="0"/>
              <w:ind w:left="0" w:right="0"/>
              <w:jc w:val="center"/>
              <w:rPr>
                <w:rFonts w:hint="default" w:ascii="宋体" w:hAnsi="宋体" w:eastAsia="宋体"/>
                <w:sz w:val="24"/>
                <w:szCs w:val="20"/>
                <w:highlight w:val="none"/>
              </w:rPr>
            </w:pPr>
          </w:p>
        </w:tc>
        <w:tc>
          <w:tcPr>
            <w:tcW w:w="996" w:type="pct"/>
            <w:vAlign w:val="center"/>
          </w:tcPr>
          <w:p w14:paraId="1FA22348">
            <w:pPr>
              <w:keepNext w:val="0"/>
              <w:keepLines w:val="0"/>
              <w:suppressLineNumbers w:val="0"/>
              <w:spacing w:before="0" w:beforeAutospacing="0" w:after="0" w:afterAutospacing="0"/>
              <w:ind w:left="0" w:right="0"/>
              <w:jc w:val="center"/>
              <w:rPr>
                <w:rFonts w:hint="default" w:ascii="宋体" w:hAnsi="宋体" w:eastAsia="宋体"/>
                <w:sz w:val="24"/>
                <w:szCs w:val="20"/>
                <w:highlight w:val="none"/>
              </w:rPr>
            </w:pPr>
          </w:p>
        </w:tc>
        <w:tc>
          <w:tcPr>
            <w:tcW w:w="920" w:type="pct"/>
            <w:vAlign w:val="center"/>
          </w:tcPr>
          <w:p w14:paraId="46747BFD">
            <w:pPr>
              <w:keepNext w:val="0"/>
              <w:keepLines w:val="0"/>
              <w:suppressLineNumbers w:val="0"/>
              <w:spacing w:before="0" w:beforeAutospacing="0" w:after="0" w:afterAutospacing="0"/>
              <w:ind w:left="0" w:right="0"/>
              <w:jc w:val="center"/>
              <w:rPr>
                <w:rFonts w:hint="default" w:ascii="宋体" w:hAnsi="宋体" w:eastAsia="宋体"/>
                <w:sz w:val="24"/>
                <w:szCs w:val="20"/>
                <w:highlight w:val="none"/>
              </w:rPr>
            </w:pPr>
          </w:p>
        </w:tc>
      </w:tr>
      <w:tr w14:paraId="3842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59FD721C">
            <w:pPr>
              <w:keepNext w:val="0"/>
              <w:keepLines w:val="0"/>
              <w:suppressLineNumbers w:val="0"/>
              <w:spacing w:before="0" w:beforeAutospacing="0" w:after="0" w:afterAutospacing="0"/>
              <w:ind w:left="0" w:right="0"/>
              <w:jc w:val="center"/>
              <w:rPr>
                <w:rFonts w:hint="default" w:ascii="宋体" w:hAnsi="宋体" w:eastAsia="宋体"/>
                <w:sz w:val="24"/>
                <w:szCs w:val="20"/>
                <w:highlight w:val="none"/>
              </w:rPr>
            </w:pPr>
          </w:p>
        </w:tc>
        <w:tc>
          <w:tcPr>
            <w:tcW w:w="1824" w:type="pct"/>
            <w:vAlign w:val="center"/>
          </w:tcPr>
          <w:p w14:paraId="1E57C9FD">
            <w:pPr>
              <w:keepNext w:val="0"/>
              <w:keepLines w:val="0"/>
              <w:suppressLineNumbers w:val="0"/>
              <w:spacing w:before="0" w:beforeAutospacing="0" w:after="0" w:afterAutospacing="0"/>
              <w:ind w:left="0" w:right="0"/>
              <w:jc w:val="center"/>
              <w:rPr>
                <w:rFonts w:hint="default" w:ascii="宋体" w:hAnsi="宋体" w:eastAsia="宋体"/>
                <w:sz w:val="24"/>
                <w:szCs w:val="20"/>
                <w:highlight w:val="none"/>
              </w:rPr>
            </w:pPr>
            <w:r>
              <w:rPr>
                <w:rFonts w:hint="default" w:ascii="宋体" w:hAnsi="宋体" w:eastAsia="宋体"/>
                <w:sz w:val="24"/>
                <w:szCs w:val="20"/>
                <w:highlight w:val="none"/>
              </w:rPr>
              <w:t>……</w:t>
            </w:r>
          </w:p>
        </w:tc>
        <w:tc>
          <w:tcPr>
            <w:tcW w:w="796" w:type="pct"/>
            <w:vAlign w:val="center"/>
          </w:tcPr>
          <w:p w14:paraId="0A174D2A">
            <w:pPr>
              <w:keepNext w:val="0"/>
              <w:keepLines w:val="0"/>
              <w:suppressLineNumbers w:val="0"/>
              <w:spacing w:before="0" w:beforeAutospacing="0" w:after="0" w:afterAutospacing="0"/>
              <w:ind w:left="0" w:right="0"/>
              <w:jc w:val="center"/>
              <w:rPr>
                <w:rFonts w:hint="default" w:ascii="宋体" w:hAnsi="宋体" w:eastAsia="宋体"/>
                <w:sz w:val="24"/>
                <w:szCs w:val="20"/>
                <w:highlight w:val="none"/>
              </w:rPr>
            </w:pPr>
          </w:p>
        </w:tc>
        <w:tc>
          <w:tcPr>
            <w:tcW w:w="996" w:type="pct"/>
            <w:vAlign w:val="center"/>
          </w:tcPr>
          <w:p w14:paraId="6F0A447C">
            <w:pPr>
              <w:keepNext w:val="0"/>
              <w:keepLines w:val="0"/>
              <w:suppressLineNumbers w:val="0"/>
              <w:spacing w:before="0" w:beforeAutospacing="0" w:after="0" w:afterAutospacing="0"/>
              <w:ind w:left="0" w:right="0"/>
              <w:jc w:val="center"/>
              <w:rPr>
                <w:rFonts w:hint="default" w:ascii="宋体" w:hAnsi="宋体" w:eastAsia="宋体"/>
                <w:sz w:val="24"/>
                <w:szCs w:val="20"/>
                <w:highlight w:val="none"/>
              </w:rPr>
            </w:pPr>
          </w:p>
        </w:tc>
        <w:tc>
          <w:tcPr>
            <w:tcW w:w="920" w:type="pct"/>
            <w:vAlign w:val="center"/>
          </w:tcPr>
          <w:p w14:paraId="66C347E2">
            <w:pPr>
              <w:keepNext w:val="0"/>
              <w:keepLines w:val="0"/>
              <w:suppressLineNumbers w:val="0"/>
              <w:spacing w:before="0" w:beforeAutospacing="0" w:after="0" w:afterAutospacing="0"/>
              <w:ind w:left="0" w:right="0"/>
              <w:jc w:val="center"/>
              <w:rPr>
                <w:rFonts w:hint="default" w:ascii="宋体" w:hAnsi="宋体" w:eastAsia="宋体"/>
                <w:sz w:val="24"/>
                <w:szCs w:val="20"/>
                <w:highlight w:val="none"/>
              </w:rPr>
            </w:pPr>
          </w:p>
        </w:tc>
      </w:tr>
      <w:tr w14:paraId="6C5B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26FA8CAA">
            <w:pPr>
              <w:keepNext w:val="0"/>
              <w:keepLines w:val="0"/>
              <w:suppressLineNumbers w:val="0"/>
              <w:spacing w:before="0" w:beforeAutospacing="0" w:after="0" w:afterAutospacing="0"/>
              <w:ind w:left="0" w:right="0"/>
              <w:jc w:val="center"/>
              <w:rPr>
                <w:rFonts w:hint="default" w:ascii="宋体" w:hAnsi="宋体" w:eastAsia="宋体"/>
                <w:sz w:val="24"/>
                <w:szCs w:val="20"/>
                <w:highlight w:val="none"/>
              </w:rPr>
            </w:pPr>
            <w:r>
              <w:rPr>
                <w:rFonts w:hint="eastAsia" w:ascii="宋体" w:hAnsi="宋体" w:eastAsia="宋体"/>
                <w:b/>
                <w:sz w:val="24"/>
                <w:szCs w:val="20"/>
                <w:highlight w:val="none"/>
              </w:rPr>
              <w:t>合计金额（元）</w:t>
            </w:r>
          </w:p>
        </w:tc>
        <w:tc>
          <w:tcPr>
            <w:tcW w:w="920" w:type="pct"/>
            <w:vAlign w:val="center"/>
          </w:tcPr>
          <w:p w14:paraId="08E7EED6">
            <w:pPr>
              <w:keepNext w:val="0"/>
              <w:keepLines w:val="0"/>
              <w:suppressLineNumbers w:val="0"/>
              <w:spacing w:before="0" w:beforeAutospacing="0" w:after="0" w:afterAutospacing="0"/>
              <w:ind w:left="0" w:right="0"/>
              <w:jc w:val="center"/>
              <w:rPr>
                <w:rFonts w:hint="default" w:ascii="宋体" w:hAnsi="宋体" w:eastAsia="宋体"/>
                <w:sz w:val="24"/>
                <w:szCs w:val="20"/>
                <w:highlight w:val="none"/>
              </w:rPr>
            </w:pPr>
          </w:p>
        </w:tc>
      </w:tr>
    </w:tbl>
    <w:p w14:paraId="056B622E">
      <w:pPr>
        <w:spacing w:line="360" w:lineRule="auto"/>
        <w:ind w:firstLine="4800" w:firstLineChars="2000"/>
        <w:rPr>
          <w:rFonts w:ascii="宋体" w:hAnsi="宋体" w:eastAsia="宋体"/>
          <w:sz w:val="24"/>
          <w:highlight w:val="none"/>
        </w:rPr>
      </w:pPr>
      <w:r>
        <w:rPr>
          <w:rFonts w:hint="eastAsia" w:ascii="宋体" w:hAnsi="宋体" w:eastAsia="宋体"/>
          <w:sz w:val="24"/>
          <w:highlight w:val="none"/>
        </w:rPr>
        <w:t>供应商电子签章：</w:t>
      </w:r>
      <w:r>
        <w:rPr>
          <w:rFonts w:hint="eastAsia" w:ascii="宋体" w:hAnsi="宋体" w:eastAsia="宋体"/>
          <w:sz w:val="24"/>
          <w:highlight w:val="none"/>
          <w:u w:val="single"/>
        </w:rPr>
        <w:t xml:space="preserve">             </w:t>
      </w:r>
    </w:p>
    <w:p w14:paraId="3A7031D9">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19C8AD9C">
      <w:pPr>
        <w:adjustRightInd w:val="0"/>
        <w:snapToGrid w:val="0"/>
        <w:spacing w:line="360" w:lineRule="auto"/>
        <w:rPr>
          <w:rFonts w:ascii="宋体" w:hAnsi="宋体" w:eastAsia="宋体"/>
          <w:b/>
          <w:bCs/>
          <w:sz w:val="24"/>
          <w:szCs w:val="28"/>
          <w:highlight w:val="none"/>
        </w:rPr>
      </w:pPr>
      <w:r>
        <w:rPr>
          <w:rFonts w:hint="eastAsia" w:ascii="宋体" w:hAnsi="宋体" w:eastAsia="宋体"/>
          <w:b/>
          <w:bCs/>
          <w:sz w:val="24"/>
          <w:szCs w:val="28"/>
          <w:highlight w:val="none"/>
        </w:rPr>
        <w:t>注：</w:t>
      </w:r>
    </w:p>
    <w:p w14:paraId="157A10F7">
      <w:pPr>
        <w:adjustRightInd w:val="0"/>
        <w:snapToGrid w:val="0"/>
        <w:spacing w:line="360" w:lineRule="auto"/>
        <w:ind w:firstLine="482" w:firstLineChars="200"/>
        <w:rPr>
          <w:rFonts w:ascii="宋体" w:hAnsi="宋体" w:eastAsia="宋体"/>
          <w:b/>
          <w:bCs/>
          <w:sz w:val="24"/>
          <w:szCs w:val="28"/>
          <w:highlight w:val="none"/>
        </w:rPr>
      </w:pPr>
      <w:r>
        <w:rPr>
          <w:rFonts w:hint="eastAsia" w:ascii="宋体" w:hAnsi="宋体" w:eastAsia="宋体"/>
          <w:b/>
          <w:bCs/>
          <w:sz w:val="24"/>
          <w:szCs w:val="28"/>
          <w:highlight w:val="none"/>
        </w:rPr>
        <w:t>表中所列服务为对应本项目需求的全部服务内容。如有漏项或缺项，供应商承担全部责任。</w:t>
      </w:r>
    </w:p>
    <w:p w14:paraId="48B6B23B">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44F72FAB">
      <w:pPr>
        <w:spacing w:line="360" w:lineRule="auto"/>
        <w:jc w:val="center"/>
        <w:outlineLvl w:val="1"/>
        <w:rPr>
          <w:rFonts w:asciiTheme="minorEastAsia" w:hAnsiTheme="minorEastAsia" w:eastAsiaTheme="minorEastAsia"/>
          <w:b/>
          <w:color w:val="auto"/>
          <w:sz w:val="24"/>
          <w:highlight w:val="none"/>
        </w:rPr>
      </w:pPr>
      <w:bookmarkStart w:id="186" w:name="_Toc461053087"/>
      <w:bookmarkStart w:id="187" w:name="_Toc461056632"/>
      <w:bookmarkStart w:id="188" w:name="_Toc28695"/>
      <w:bookmarkStart w:id="189" w:name="_Toc520983588"/>
      <w:bookmarkStart w:id="190" w:name="_Toc32436"/>
      <w:r>
        <w:rPr>
          <w:rFonts w:hint="eastAsia" w:asciiTheme="minorEastAsia" w:hAnsiTheme="minorEastAsia" w:eastAsiaTheme="minorEastAsia"/>
          <w:b/>
          <w:color w:val="auto"/>
          <w:sz w:val="24"/>
          <w:highlight w:val="none"/>
        </w:rPr>
        <w:t>二</w:t>
      </w:r>
      <w:bookmarkEnd w:id="186"/>
      <w:bookmarkEnd w:id="187"/>
      <w:r>
        <w:rPr>
          <w:rFonts w:hint="eastAsia" w:asciiTheme="minorEastAsia" w:hAnsiTheme="minorEastAsia" w:eastAsiaTheme="minorEastAsia"/>
          <w:b/>
          <w:color w:val="auto"/>
          <w:sz w:val="24"/>
          <w:highlight w:val="none"/>
        </w:rPr>
        <w:t>、最后承诺报价表</w:t>
      </w:r>
      <w:bookmarkEnd w:id="188"/>
      <w:bookmarkEnd w:id="189"/>
      <w:bookmarkEnd w:id="190"/>
    </w:p>
    <w:p w14:paraId="6EFB504B">
      <w:pPr>
        <w:spacing w:beforeLines="50" w:afterLines="50" w:line="360" w:lineRule="auto"/>
        <w:ind w:firstLine="236" w:firstLineChars="98"/>
        <w:jc w:val="center"/>
        <w:rPr>
          <w:rFonts w:ascii="宋体" w:hAnsi="宋体" w:eastAsia="宋体"/>
          <w:b/>
          <w:color w:val="auto"/>
          <w:sz w:val="24"/>
          <w:szCs w:val="28"/>
          <w:highlight w:val="none"/>
        </w:rPr>
      </w:pPr>
      <w:r>
        <w:rPr>
          <w:rFonts w:hint="eastAsia" w:ascii="宋体" w:hAnsi="宋体" w:eastAsia="宋体"/>
          <w:b/>
          <w:color w:val="auto"/>
          <w:sz w:val="24"/>
          <w:szCs w:val="28"/>
          <w:highlight w:val="none"/>
        </w:rPr>
        <w:t>（第</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rPr>
        <w:t>次报价书）</w:t>
      </w:r>
    </w:p>
    <w:p w14:paraId="61533976">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p>
    <w:p w14:paraId="77D34103">
      <w:pPr>
        <w:snapToGrid w:val="0"/>
        <w:spacing w:afterLines="50" w:line="360" w:lineRule="auto"/>
        <w:jc w:val="left"/>
        <w:rPr>
          <w:rFonts w:ascii="宋体" w:hAnsi="宋体" w:eastAsia="宋体"/>
          <w:b/>
          <w:bCs/>
          <w:color w:val="auto"/>
          <w:sz w:val="24"/>
          <w:szCs w:val="28"/>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6062"/>
      </w:tblGrid>
      <w:tr w14:paraId="508B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1A6AC1B">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供应商名称</w:t>
            </w:r>
          </w:p>
        </w:tc>
        <w:tc>
          <w:tcPr>
            <w:tcW w:w="3556" w:type="pct"/>
            <w:tcBorders>
              <w:left w:val="single" w:color="auto" w:sz="4" w:space="0"/>
            </w:tcBorders>
          </w:tcPr>
          <w:p w14:paraId="3087294F">
            <w:pPr>
              <w:keepNext w:val="0"/>
              <w:keepLines w:val="0"/>
              <w:suppressLineNumbers w:val="0"/>
              <w:spacing w:before="0" w:beforeAutospacing="0" w:after="0" w:afterAutospacing="0" w:line="360" w:lineRule="auto"/>
              <w:ind w:left="0" w:right="0"/>
              <w:rPr>
                <w:rFonts w:hint="default" w:ascii="宋体" w:hAnsi="宋体" w:eastAsia="宋体"/>
                <w:b/>
                <w:color w:val="auto"/>
                <w:sz w:val="24"/>
                <w:szCs w:val="20"/>
                <w:highlight w:val="none"/>
              </w:rPr>
            </w:pPr>
          </w:p>
        </w:tc>
      </w:tr>
      <w:tr w14:paraId="0AE5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52A4C2D6">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bCs/>
                <w:color w:val="auto"/>
                <w:sz w:val="24"/>
                <w:szCs w:val="28"/>
                <w:highlight w:val="none"/>
              </w:rPr>
              <w:t>磋商</w:t>
            </w:r>
            <w:r>
              <w:rPr>
                <w:rFonts w:hint="eastAsia" w:ascii="宋体" w:hAnsi="宋体" w:eastAsia="宋体"/>
                <w:b/>
                <w:color w:val="auto"/>
                <w:sz w:val="24"/>
                <w:szCs w:val="20"/>
                <w:highlight w:val="none"/>
              </w:rPr>
              <w:t>范围</w:t>
            </w:r>
          </w:p>
        </w:tc>
        <w:tc>
          <w:tcPr>
            <w:tcW w:w="6062" w:type="dxa"/>
            <w:tcBorders>
              <w:left w:val="single" w:color="auto" w:sz="4" w:space="0"/>
            </w:tcBorders>
            <w:vAlign w:val="center"/>
          </w:tcPr>
          <w:p w14:paraId="6A37DFA1">
            <w:pPr>
              <w:keepNext w:val="0"/>
              <w:keepLines w:val="0"/>
              <w:widowControl/>
              <w:suppressLineNumbers w:val="0"/>
              <w:spacing w:before="0" w:beforeAutospacing="0" w:after="0" w:afterAutospacing="0" w:line="360" w:lineRule="exact"/>
              <w:ind w:left="0" w:right="0"/>
              <w:rPr>
                <w:rFonts w:hint="default" w:ascii="宋体" w:hAnsi="宋体" w:eastAsia="宋体"/>
                <w:b/>
                <w:color w:val="auto"/>
                <w:sz w:val="24"/>
                <w:szCs w:val="20"/>
                <w:highlight w:val="none"/>
              </w:rPr>
            </w:pPr>
            <w:r>
              <w:rPr>
                <w:rFonts w:hint="eastAsia" w:asciiTheme="minorEastAsia" w:hAnsiTheme="minorEastAsia" w:eastAsiaTheme="minorEastAsia"/>
                <w:sz w:val="24"/>
                <w:szCs w:val="28"/>
                <w:highlight w:val="none"/>
              </w:rPr>
              <w:t>全部</w:t>
            </w:r>
          </w:p>
        </w:tc>
      </w:tr>
      <w:tr w14:paraId="649B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6E4D22E">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bCs/>
                <w:color w:val="auto"/>
                <w:sz w:val="24"/>
                <w:szCs w:val="28"/>
                <w:highlight w:val="none"/>
              </w:rPr>
              <w:t>最后报价</w:t>
            </w:r>
          </w:p>
          <w:p w14:paraId="3144D449">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（详见备注说明）</w:t>
            </w:r>
          </w:p>
        </w:tc>
        <w:tc>
          <w:tcPr>
            <w:tcW w:w="6062" w:type="dxa"/>
            <w:shd w:val="clear" w:color="auto" w:fill="auto"/>
            <w:vAlign w:val="center"/>
          </w:tcPr>
          <w:p w14:paraId="35286EAD">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bCs/>
                <w:sz w:val="24"/>
                <w:szCs w:val="24"/>
                <w:highlight w:val="none"/>
                <w:u w:val="single"/>
              </w:rPr>
            </w:pPr>
            <w:r>
              <w:rPr>
                <w:rFonts w:hint="eastAsia" w:ascii="宋体" w:hAnsi="宋体" w:eastAsia="宋体" w:cs="宋体"/>
                <w:bCs/>
                <w:sz w:val="24"/>
                <w:szCs w:val="24"/>
                <w:highlight w:val="none"/>
              </w:rPr>
              <w:t>人民币大写：</w:t>
            </w:r>
            <w:r>
              <w:rPr>
                <w:rFonts w:hint="eastAsia" w:ascii="宋体" w:hAnsi="宋体" w:eastAsia="宋体" w:cs="宋体"/>
                <w:bCs/>
                <w:sz w:val="24"/>
                <w:szCs w:val="24"/>
                <w:highlight w:val="none"/>
                <w:u w:val="single"/>
              </w:rPr>
              <w:t xml:space="preserve">                     </w:t>
            </w:r>
          </w:p>
          <w:p w14:paraId="4567209B">
            <w:pPr>
              <w:keepNext w:val="0"/>
              <w:keepLines w:val="0"/>
              <w:suppressLineNumbers w:val="0"/>
              <w:spacing w:before="0" w:beforeAutospacing="0" w:after="0" w:afterAutospacing="0" w:line="360" w:lineRule="auto"/>
              <w:ind w:left="0" w:right="-670" w:rightChars="0"/>
              <w:rPr>
                <w:rFonts w:hint="default" w:ascii="宋体" w:hAnsi="宋体" w:eastAsia="宋体"/>
                <w:b/>
                <w:color w:val="auto"/>
                <w:sz w:val="24"/>
                <w:szCs w:val="20"/>
                <w:highlight w:val="none"/>
              </w:rPr>
            </w:pPr>
            <w:r>
              <w:rPr>
                <w:rFonts w:hint="eastAsia" w:ascii="宋体" w:hAnsi="宋体" w:eastAsia="宋体" w:cs="宋体"/>
                <w:bCs/>
                <w:sz w:val="24"/>
                <w:szCs w:val="24"/>
                <w:highlight w:val="none"/>
              </w:rPr>
              <w:t>人民币小写：</w:t>
            </w:r>
            <w:r>
              <w:rPr>
                <w:rFonts w:hint="eastAsia" w:ascii="宋体" w:hAnsi="宋体" w:eastAsia="宋体" w:cs="宋体"/>
                <w:bCs/>
                <w:sz w:val="24"/>
                <w:szCs w:val="24"/>
                <w:highlight w:val="none"/>
                <w:u w:val="single"/>
              </w:rPr>
              <w:t xml:space="preserve">                     </w:t>
            </w:r>
          </w:p>
        </w:tc>
      </w:tr>
      <w:tr w14:paraId="55C8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3" w:type="pct"/>
            <w:vAlign w:val="center"/>
          </w:tcPr>
          <w:p w14:paraId="44BB32DE">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备注说明</w:t>
            </w:r>
          </w:p>
        </w:tc>
        <w:tc>
          <w:tcPr>
            <w:tcW w:w="3556" w:type="pct"/>
          </w:tcPr>
          <w:p w14:paraId="1924092E">
            <w:pPr>
              <w:keepNext w:val="0"/>
              <w:keepLines w:val="0"/>
              <w:suppressLineNumbers w:val="0"/>
              <w:spacing w:before="0" w:beforeAutospacing="0" w:after="0" w:afterAutospacing="0" w:line="360" w:lineRule="auto"/>
              <w:ind w:left="0" w:right="0"/>
              <w:rPr>
                <w:rFonts w:hint="eastAsia" w:ascii="宋体" w:hAnsi="宋体" w:eastAsia="宋体"/>
                <w:b/>
                <w:i/>
                <w:color w:val="auto"/>
                <w:sz w:val="24"/>
                <w:szCs w:val="20"/>
                <w:highlight w:val="none"/>
              </w:rPr>
            </w:pPr>
            <w:r>
              <w:rPr>
                <w:rFonts w:hint="eastAsia" w:ascii="宋体" w:hAnsi="宋体" w:eastAsia="宋体"/>
                <w:b/>
                <w:i/>
                <w:color w:val="auto"/>
                <w:sz w:val="24"/>
                <w:szCs w:val="20"/>
                <w:highlight w:val="none"/>
              </w:rPr>
              <w:t>（此处可补充磋商小组根据与供应商磋商情况变动的磋商文件的内容，包括采购需求中的技术、服务要求以及合同草案条款。）</w:t>
            </w:r>
          </w:p>
          <w:p w14:paraId="5B2151BA">
            <w:pPr>
              <w:keepNext w:val="0"/>
              <w:keepLines w:val="0"/>
              <w:suppressLineNumbers w:val="0"/>
              <w:spacing w:before="0" w:beforeAutospacing="0" w:after="0" w:afterAutospacing="0" w:line="360" w:lineRule="auto"/>
              <w:ind w:left="0" w:right="0"/>
              <w:rPr>
                <w:rFonts w:hint="eastAsia" w:ascii="宋体" w:hAnsi="宋体" w:eastAsia="宋体"/>
                <w:b/>
                <w:color w:val="auto"/>
                <w:sz w:val="24"/>
                <w:szCs w:val="20"/>
                <w:highlight w:val="none"/>
                <w:lang w:eastAsia="zh-CN"/>
              </w:rPr>
            </w:pPr>
            <w:r>
              <w:rPr>
                <w:rFonts w:hint="eastAsia" w:ascii="宋体" w:hAnsi="宋体" w:eastAsia="宋体"/>
                <w:b/>
                <w:i w:val="0"/>
                <w:iCs/>
                <w:color w:val="auto"/>
                <w:sz w:val="24"/>
                <w:szCs w:val="20"/>
                <w:highlight w:val="none"/>
              </w:rPr>
              <w:t>综合单价为</w:t>
            </w:r>
            <w:r>
              <w:rPr>
                <w:rFonts w:hint="eastAsia" w:ascii="宋体" w:hAnsi="宋体" w:eastAsia="宋体"/>
                <w:b/>
                <w:i w:val="0"/>
                <w:iCs/>
                <w:color w:val="auto"/>
                <w:sz w:val="24"/>
                <w:szCs w:val="20"/>
                <w:highlight w:val="none"/>
                <w:u w:val="single"/>
              </w:rPr>
              <w:t xml:space="preserve">          </w:t>
            </w:r>
            <w:r>
              <w:rPr>
                <w:rFonts w:hint="eastAsia" w:ascii="宋体" w:hAnsi="宋体" w:eastAsia="宋体"/>
                <w:b/>
                <w:i w:val="0"/>
                <w:iCs/>
                <w:color w:val="auto"/>
                <w:sz w:val="24"/>
                <w:szCs w:val="20"/>
                <w:highlight w:val="none"/>
              </w:rPr>
              <w:t>元/平方米</w:t>
            </w:r>
            <w:r>
              <w:rPr>
                <w:rFonts w:hint="eastAsia" w:ascii="宋体" w:hAnsi="宋体" w:eastAsia="宋体"/>
                <w:b/>
                <w:i w:val="0"/>
                <w:iCs/>
                <w:color w:val="auto"/>
                <w:sz w:val="24"/>
                <w:szCs w:val="20"/>
                <w:highlight w:val="none"/>
                <w:lang w:eastAsia="zh-CN"/>
              </w:rPr>
              <w:t>。</w:t>
            </w:r>
          </w:p>
        </w:tc>
      </w:tr>
      <w:tr w14:paraId="310D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29C8105F">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bCs/>
                <w:color w:val="auto"/>
                <w:sz w:val="24"/>
                <w:szCs w:val="28"/>
                <w:highlight w:val="none"/>
              </w:rPr>
              <w:t>磋商小组</w:t>
            </w:r>
            <w:r>
              <w:rPr>
                <w:rFonts w:hint="default" w:ascii="宋体" w:hAnsi="宋体" w:eastAsia="宋体"/>
                <w:b/>
                <w:bCs/>
                <w:color w:val="auto"/>
                <w:sz w:val="24"/>
                <w:szCs w:val="28"/>
                <w:highlight w:val="none"/>
              </w:rPr>
              <w:t>签字</w:t>
            </w:r>
          </w:p>
        </w:tc>
        <w:tc>
          <w:tcPr>
            <w:tcW w:w="3556" w:type="pct"/>
          </w:tcPr>
          <w:p w14:paraId="44F7CB13">
            <w:pPr>
              <w:keepNext w:val="0"/>
              <w:keepLines w:val="0"/>
              <w:suppressLineNumbers w:val="0"/>
              <w:spacing w:before="0" w:beforeAutospacing="0" w:after="0" w:afterAutospacing="0" w:line="360" w:lineRule="auto"/>
              <w:ind w:left="0" w:right="0"/>
              <w:rPr>
                <w:rFonts w:hint="default" w:ascii="宋体" w:hAnsi="宋体" w:eastAsia="宋体"/>
                <w:b/>
                <w:color w:val="auto"/>
                <w:sz w:val="24"/>
                <w:szCs w:val="20"/>
                <w:highlight w:val="none"/>
              </w:rPr>
            </w:pPr>
          </w:p>
        </w:tc>
      </w:tr>
    </w:tbl>
    <w:p w14:paraId="3DE63485">
      <w:pPr>
        <w:spacing w:line="360" w:lineRule="auto"/>
        <w:ind w:firstLine="3600" w:firstLineChars="1500"/>
        <w:jc w:val="left"/>
        <w:rPr>
          <w:rFonts w:ascii="宋体" w:hAnsi="宋体" w:eastAsia="宋体"/>
          <w:color w:val="auto"/>
          <w:sz w:val="24"/>
          <w:highlight w:val="none"/>
        </w:rPr>
      </w:pPr>
      <w:r>
        <w:rPr>
          <w:rFonts w:hint="eastAsia" w:ascii="宋体" w:hAnsi="宋体" w:eastAsia="宋体"/>
          <w:color w:val="auto"/>
          <w:sz w:val="24"/>
          <w:highlight w:val="none"/>
        </w:rPr>
        <w:t>供应商公章或授权代表签字：</w:t>
      </w:r>
      <w:r>
        <w:rPr>
          <w:rFonts w:hint="eastAsia" w:ascii="宋体" w:hAnsi="宋体" w:eastAsia="宋体"/>
          <w:color w:val="auto"/>
          <w:sz w:val="24"/>
          <w:highlight w:val="none"/>
          <w:u w:val="single"/>
        </w:rPr>
        <w:t xml:space="preserve">             </w:t>
      </w:r>
    </w:p>
    <w:p w14:paraId="18B2501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D126EE0">
      <w:pPr>
        <w:spacing w:line="360" w:lineRule="auto"/>
        <w:jc w:val="left"/>
        <w:rPr>
          <w:rFonts w:ascii="宋体" w:hAnsi="宋体" w:eastAsia="宋体"/>
          <w:b/>
          <w:bCs/>
          <w:sz w:val="24"/>
          <w:highlight w:val="none"/>
        </w:rPr>
      </w:pPr>
      <w:r>
        <w:rPr>
          <w:rFonts w:hint="eastAsia" w:ascii="宋体" w:hAnsi="宋体" w:eastAsia="宋体"/>
          <w:b/>
          <w:bCs/>
          <w:sz w:val="24"/>
          <w:highlight w:val="none"/>
        </w:rPr>
        <w:t>注：</w:t>
      </w:r>
    </w:p>
    <w:p w14:paraId="65EB01D2">
      <w:pPr>
        <w:spacing w:line="360" w:lineRule="auto"/>
        <w:ind w:firstLine="482" w:firstLineChars="200"/>
        <w:jc w:val="left"/>
        <w:rPr>
          <w:rFonts w:ascii="宋体" w:hAnsi="宋体" w:eastAsia="宋体"/>
          <w:bCs/>
          <w:sz w:val="24"/>
          <w:highlight w:val="none"/>
        </w:rPr>
      </w:pPr>
      <w:r>
        <w:rPr>
          <w:rFonts w:hint="eastAsia" w:ascii="宋体" w:hAnsi="宋体" w:eastAsia="宋体"/>
          <w:b/>
          <w:bCs/>
          <w:sz w:val="24"/>
          <w:highlight w:val="none"/>
        </w:rPr>
        <w:t>1.本页《报价表》由供应商在接到报价通知后依据磋商情况填写,并在规定时间内提交。</w:t>
      </w:r>
      <w:r>
        <w:rPr>
          <w:rFonts w:hint="eastAsia" w:ascii="宋体" w:hAnsi="宋体" w:eastAsia="宋体"/>
          <w:sz w:val="24"/>
          <w:highlight w:val="none"/>
        </w:rPr>
        <w:t>考虑磋商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bCs/>
          <w:sz w:val="24"/>
          <w:highlight w:val="none"/>
        </w:rPr>
        <w:t>此优惠率调整原则适用于合同内价格的计算及项目增减、变更时价格的计算。</w:t>
      </w:r>
    </w:p>
    <w:p w14:paraId="1727956B">
      <w:pPr>
        <w:spacing w:line="360" w:lineRule="auto"/>
        <w:ind w:firstLine="482" w:firstLineChars="200"/>
        <w:jc w:val="left"/>
        <w:rPr>
          <w:rFonts w:ascii="宋体" w:hAnsi="宋体" w:eastAsia="宋体"/>
          <w:bCs/>
          <w:color w:val="auto"/>
          <w:sz w:val="24"/>
          <w:highlight w:val="none"/>
        </w:rPr>
      </w:pPr>
      <w:r>
        <w:rPr>
          <w:rFonts w:hint="eastAsia" w:ascii="宋体" w:hAnsi="宋体" w:eastAsia="宋体"/>
          <w:b/>
          <w:bCs/>
          <w:sz w:val="24"/>
          <w:highlight w:val="none"/>
        </w:rPr>
        <w:t>2.表中大写金额与小写金额不一致的，以大写金额为准。</w:t>
      </w:r>
      <w:r>
        <w:rPr>
          <w:rFonts w:ascii="宋体" w:hAnsi="宋体" w:eastAsia="宋体"/>
          <w:bCs/>
          <w:color w:val="auto"/>
          <w:sz w:val="24"/>
          <w:highlight w:val="none"/>
        </w:rPr>
        <w:br w:type="page"/>
      </w:r>
    </w:p>
    <w:p w14:paraId="156145B4">
      <w:pPr>
        <w:spacing w:line="360" w:lineRule="auto"/>
        <w:jc w:val="center"/>
        <w:outlineLvl w:val="1"/>
        <w:rPr>
          <w:rFonts w:asciiTheme="minorEastAsia" w:hAnsiTheme="minorEastAsia" w:eastAsiaTheme="minorEastAsia"/>
          <w:b/>
          <w:color w:val="auto"/>
          <w:sz w:val="24"/>
          <w:highlight w:val="none"/>
        </w:rPr>
      </w:pPr>
      <w:bookmarkStart w:id="191" w:name="_Toc11500"/>
      <w:bookmarkStart w:id="192" w:name="_Toc520983591"/>
      <w:bookmarkStart w:id="193" w:name="_Toc32385"/>
      <w:r>
        <w:rPr>
          <w:rFonts w:hint="eastAsia" w:asciiTheme="minorEastAsia" w:hAnsiTheme="minorEastAsia" w:eastAsiaTheme="minorEastAsia"/>
          <w:b/>
          <w:color w:val="auto"/>
          <w:sz w:val="24"/>
          <w:highlight w:val="none"/>
        </w:rPr>
        <w:t>三、磋商响应函</w:t>
      </w:r>
      <w:bookmarkEnd w:id="191"/>
      <w:bookmarkEnd w:id="192"/>
      <w:bookmarkEnd w:id="193"/>
    </w:p>
    <w:p w14:paraId="58915FB7">
      <w:pPr>
        <w:pStyle w:val="14"/>
        <w:spacing w:line="360" w:lineRule="auto"/>
        <w:rPr>
          <w:rFonts w:ascii="宋体" w:hAnsi="宋体"/>
          <w:color w:val="auto"/>
          <w:sz w:val="24"/>
          <w:highlight w:val="none"/>
        </w:rPr>
      </w:pPr>
      <w:r>
        <w:rPr>
          <w:rFonts w:hint="eastAsia" w:ascii="宋体" w:hAnsi="宋体"/>
          <w:color w:val="auto"/>
          <w:sz w:val="24"/>
          <w:highlight w:val="none"/>
        </w:rPr>
        <w:t>致：采购人</w:t>
      </w:r>
    </w:p>
    <w:p w14:paraId="5D29402D">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94" w:name="_Hlk44287543"/>
      <w:r>
        <w:rPr>
          <w:rFonts w:hint="eastAsia" w:ascii="宋体" w:hAnsi="宋体" w:eastAsia="宋体"/>
          <w:color w:val="auto"/>
          <w:sz w:val="24"/>
          <w:highlight w:val="none"/>
        </w:rPr>
        <w:t>竞争性磋商公告和磋商邀请</w:t>
      </w:r>
      <w:bookmarkEnd w:id="194"/>
      <w:r>
        <w:rPr>
          <w:rFonts w:hint="eastAsia" w:ascii="宋体" w:hAnsi="宋体" w:eastAsia="宋体"/>
          <w:color w:val="auto"/>
          <w:sz w:val="24"/>
          <w:highlight w:val="none"/>
        </w:rPr>
        <w:t>，我方兹宣布同意如下：</w:t>
      </w:r>
    </w:p>
    <w:p w14:paraId="01F25B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我方根据磋商文件的规定，严格履行合同的责任和义务,并保证于买方要求的日期内完成，并通过买方验收。</w:t>
      </w:r>
    </w:p>
    <w:p w14:paraId="7D1B8F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2.我方已详细审核全部磋商文件，包括磋商文件附件及更正公告（如有），我方正式认可并遵守本次磋商文件，并对磋商文件各项条款、规定及要求均无异议。</w:t>
      </w:r>
    </w:p>
    <w:p w14:paraId="0CE3FE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3.我方同意从磋商文件规定的磋商日期起遵循本磋商文件，并在磋商文件规定的磋商有效期之前均具有约束力。</w:t>
      </w:r>
    </w:p>
    <w:p w14:paraId="1D3FE38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响应文件所提供的一切资料均真实无误、及时、有效，企业运营正常。由于我方提供资料不实而造成的责任和后果由我方承担。我方同意按照贵方提出的要求，提供与磋商有关的任何证据、数据或资料。</w:t>
      </w:r>
    </w:p>
    <w:p w14:paraId="254F8263">
      <w:pPr>
        <w:spacing w:line="360" w:lineRule="auto"/>
        <w:ind w:firstLine="480" w:firstLineChars="200"/>
        <w:rPr>
          <w:rFonts w:ascii="宋体" w:hAnsi="宋体" w:eastAsia="宋体"/>
          <w:color w:val="auto"/>
          <w:sz w:val="24"/>
          <w:highlight w:val="none"/>
        </w:rPr>
      </w:pPr>
    </w:p>
    <w:p w14:paraId="66EDB91C">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310A0BB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F8AEC28">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3D6D7225">
      <w:pPr>
        <w:spacing w:line="360" w:lineRule="auto"/>
        <w:jc w:val="center"/>
        <w:outlineLvl w:val="1"/>
        <w:rPr>
          <w:rFonts w:asciiTheme="minorEastAsia" w:hAnsiTheme="minorEastAsia" w:eastAsiaTheme="minorEastAsia"/>
          <w:b/>
          <w:color w:val="auto"/>
          <w:sz w:val="24"/>
          <w:highlight w:val="none"/>
        </w:rPr>
      </w:pPr>
      <w:bookmarkStart w:id="195" w:name="_Toc21328"/>
      <w:r>
        <w:rPr>
          <w:rFonts w:hint="eastAsia" w:asciiTheme="minorEastAsia" w:hAnsiTheme="minorEastAsia" w:eastAsiaTheme="minorEastAsia"/>
          <w:b/>
          <w:color w:val="auto"/>
          <w:sz w:val="24"/>
          <w:highlight w:val="none"/>
        </w:rPr>
        <w:t>四、供应商资格声明书</w:t>
      </w:r>
      <w:bookmarkEnd w:id="195"/>
    </w:p>
    <w:p w14:paraId="4D197EDA">
      <w:pPr>
        <w:pStyle w:val="14"/>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致：采购人</w:t>
      </w:r>
    </w:p>
    <w:p w14:paraId="0BC9105D">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在参与本次项目磋商中，我单位承诺：</w:t>
      </w:r>
    </w:p>
    <w:p w14:paraId="05BC6F23">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（一）具有良好的商业信誉和健全的财务会计制度；</w:t>
      </w:r>
    </w:p>
    <w:p w14:paraId="3704F014">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（二）具有履行合同所必需的设备和专业技术能力；</w:t>
      </w:r>
    </w:p>
    <w:p w14:paraId="4F9232FE">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（三）有依法缴纳税收和社会保障资金的良好记录；</w:t>
      </w:r>
    </w:p>
    <w:p w14:paraId="5CF264BA">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62BF1D9">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（五）我单位不存在为采购项目提供整体设计、规范编制或者项目管理、监理、检测等服务后，再参加该采购项目的其他采购活动的情形（单一来源采购项目除外）；</w:t>
      </w:r>
    </w:p>
    <w:p w14:paraId="0A2386A5">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（六）与我单位存在单位负责人为同一人或者存在直接控股、管理关系的其他法人单位信息如下（如有，不论其是否参加同一合同项下的政府采购活动均须填写）：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14:paraId="28EF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6100998A">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4501" w:type="dxa"/>
          </w:tcPr>
          <w:p w14:paraId="51F6F174">
            <w:pPr>
              <w:pStyle w:val="9"/>
              <w:keepNext w:val="0"/>
              <w:keepLines w:val="0"/>
              <w:suppressLineNumbers w:val="0"/>
              <w:spacing w:before="0" w:beforeAutospacing="0" w:afterAutospacing="0"/>
              <w:ind w:left="0" w:right="0"/>
              <w:jc w:val="center"/>
              <w:rPr>
                <w:rFonts w:hint="default"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单位名称</w:t>
            </w:r>
          </w:p>
        </w:tc>
        <w:tc>
          <w:tcPr>
            <w:tcW w:w="2681" w:type="dxa"/>
          </w:tcPr>
          <w:p w14:paraId="3B74D941">
            <w:pPr>
              <w:pStyle w:val="9"/>
              <w:keepNext w:val="0"/>
              <w:keepLines w:val="0"/>
              <w:suppressLineNumbers w:val="0"/>
              <w:spacing w:before="0" w:beforeAutospacing="0" w:afterAutospacing="0"/>
              <w:ind w:left="0" w:right="0"/>
              <w:jc w:val="center"/>
              <w:rPr>
                <w:rFonts w:hint="default"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相互关系</w:t>
            </w:r>
          </w:p>
        </w:tc>
      </w:tr>
      <w:tr w14:paraId="3764B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3C9F6342">
            <w:pPr>
              <w:pStyle w:val="9"/>
              <w:keepNext w:val="0"/>
              <w:keepLines w:val="0"/>
              <w:suppressLineNumbers w:val="0"/>
              <w:spacing w:before="0" w:beforeAutospacing="0" w:afterAutospacing="0"/>
              <w:ind w:left="0" w:right="0"/>
              <w:jc w:val="center"/>
              <w:rPr>
                <w:rFonts w:hint="default"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1</w:t>
            </w:r>
          </w:p>
        </w:tc>
        <w:tc>
          <w:tcPr>
            <w:tcW w:w="4501" w:type="dxa"/>
          </w:tcPr>
          <w:p w14:paraId="3AC84A4C">
            <w:pPr>
              <w:pStyle w:val="9"/>
              <w:keepNext w:val="0"/>
              <w:keepLines w:val="0"/>
              <w:suppressLineNumbers w:val="0"/>
              <w:spacing w:before="0" w:beforeAutospacing="0" w:afterAutospacing="0"/>
              <w:ind w:left="0" w:right="0"/>
              <w:jc w:val="center"/>
              <w:rPr>
                <w:rFonts w:hint="default" w:asciiTheme="minorEastAsia" w:hAnsiTheme="minorEastAsia" w:eastAsiaTheme="minorEastAsia" w:cstheme="minorEastAsia"/>
                <w:color w:val="auto"/>
                <w:kern w:val="0"/>
                <w:sz w:val="24"/>
                <w:highlight w:val="none"/>
                <w:lang w:val="en-US"/>
              </w:rPr>
            </w:pPr>
          </w:p>
        </w:tc>
        <w:tc>
          <w:tcPr>
            <w:tcW w:w="2681" w:type="dxa"/>
          </w:tcPr>
          <w:p w14:paraId="449023FC">
            <w:pPr>
              <w:pStyle w:val="9"/>
              <w:keepNext w:val="0"/>
              <w:keepLines w:val="0"/>
              <w:suppressLineNumbers w:val="0"/>
              <w:spacing w:before="0" w:beforeAutospacing="0" w:afterAutospacing="0"/>
              <w:ind w:left="0" w:right="0"/>
              <w:jc w:val="center"/>
              <w:rPr>
                <w:rFonts w:hint="default" w:asciiTheme="minorEastAsia" w:hAnsiTheme="minorEastAsia" w:eastAsiaTheme="minorEastAsia" w:cstheme="minorEastAsia"/>
                <w:color w:val="auto"/>
                <w:kern w:val="0"/>
                <w:sz w:val="24"/>
                <w:highlight w:val="none"/>
                <w:lang w:val="en-US"/>
              </w:rPr>
            </w:pPr>
          </w:p>
        </w:tc>
      </w:tr>
      <w:tr w14:paraId="5D2F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64ADB545">
            <w:pPr>
              <w:pStyle w:val="9"/>
              <w:keepNext w:val="0"/>
              <w:keepLines w:val="0"/>
              <w:suppressLineNumbers w:val="0"/>
              <w:spacing w:before="0" w:beforeAutospacing="0" w:afterAutospacing="0"/>
              <w:ind w:left="0" w:right="0"/>
              <w:jc w:val="center"/>
              <w:rPr>
                <w:rFonts w:hint="default"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2</w:t>
            </w:r>
          </w:p>
        </w:tc>
        <w:tc>
          <w:tcPr>
            <w:tcW w:w="4501" w:type="dxa"/>
          </w:tcPr>
          <w:p w14:paraId="26392DFB">
            <w:pPr>
              <w:pStyle w:val="9"/>
              <w:keepNext w:val="0"/>
              <w:keepLines w:val="0"/>
              <w:suppressLineNumbers w:val="0"/>
              <w:spacing w:before="0" w:beforeAutospacing="0" w:afterAutospacing="0"/>
              <w:ind w:left="0" w:right="0"/>
              <w:jc w:val="center"/>
              <w:rPr>
                <w:rFonts w:hint="default" w:asciiTheme="minorEastAsia" w:hAnsiTheme="minorEastAsia" w:eastAsiaTheme="minorEastAsia" w:cstheme="minorEastAsia"/>
                <w:color w:val="auto"/>
                <w:kern w:val="0"/>
                <w:sz w:val="24"/>
                <w:highlight w:val="none"/>
                <w:lang w:val="en-US"/>
              </w:rPr>
            </w:pPr>
          </w:p>
        </w:tc>
        <w:tc>
          <w:tcPr>
            <w:tcW w:w="2681" w:type="dxa"/>
          </w:tcPr>
          <w:p w14:paraId="2558AA54">
            <w:pPr>
              <w:pStyle w:val="9"/>
              <w:keepNext w:val="0"/>
              <w:keepLines w:val="0"/>
              <w:suppressLineNumbers w:val="0"/>
              <w:spacing w:before="0" w:beforeAutospacing="0" w:afterAutospacing="0"/>
              <w:ind w:left="0" w:right="0"/>
              <w:jc w:val="center"/>
              <w:rPr>
                <w:rFonts w:hint="default" w:asciiTheme="minorEastAsia" w:hAnsiTheme="minorEastAsia" w:eastAsiaTheme="minorEastAsia" w:cstheme="minorEastAsia"/>
                <w:color w:val="auto"/>
                <w:kern w:val="0"/>
                <w:sz w:val="24"/>
                <w:highlight w:val="none"/>
                <w:lang w:val="en-US"/>
              </w:rPr>
            </w:pPr>
          </w:p>
        </w:tc>
      </w:tr>
    </w:tbl>
    <w:p w14:paraId="55AD08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7437A33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C7DCA58">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2398CDD">
      <w:pPr>
        <w:spacing w:line="440" w:lineRule="exact"/>
        <w:ind w:firstLine="4800" w:firstLineChars="2000"/>
        <w:rPr>
          <w:rFonts w:ascii="宋体" w:hAnsi="宋体" w:eastAsia="宋体"/>
          <w:color w:val="auto"/>
          <w:sz w:val="24"/>
          <w:szCs w:val="24"/>
          <w:highlight w:val="none"/>
          <w:u w:val="single"/>
        </w:rPr>
      </w:pPr>
    </w:p>
    <w:p w14:paraId="712BB8CF">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0449D8AE">
      <w:pPr>
        <w:spacing w:line="360" w:lineRule="auto"/>
        <w:jc w:val="center"/>
        <w:outlineLvl w:val="1"/>
        <w:rPr>
          <w:rFonts w:asciiTheme="minorEastAsia" w:hAnsiTheme="minorEastAsia" w:eastAsiaTheme="minorEastAsia"/>
          <w:b/>
          <w:color w:val="auto"/>
          <w:sz w:val="24"/>
          <w:highlight w:val="none"/>
        </w:rPr>
      </w:pPr>
      <w:bookmarkStart w:id="196" w:name="_Toc520983594"/>
      <w:bookmarkStart w:id="197" w:name="_Toc121626298"/>
      <w:bookmarkStart w:id="198" w:name="_Toc516969106"/>
      <w:bookmarkStart w:id="199" w:name="_Toc204594911"/>
      <w:bookmarkStart w:id="200" w:name="_Toc26922"/>
      <w:bookmarkStart w:id="201" w:name="_Toc31518"/>
      <w:r>
        <w:rPr>
          <w:rFonts w:hint="eastAsia" w:asciiTheme="minorEastAsia" w:hAnsiTheme="minorEastAsia" w:eastAsiaTheme="minorEastAsia"/>
          <w:b/>
          <w:color w:val="auto"/>
          <w:sz w:val="24"/>
          <w:highlight w:val="none"/>
        </w:rPr>
        <w:t>五、授权书</w:t>
      </w:r>
      <w:bookmarkEnd w:id="196"/>
      <w:bookmarkEnd w:id="197"/>
      <w:bookmarkEnd w:id="198"/>
      <w:bookmarkEnd w:id="199"/>
      <w:bookmarkEnd w:id="200"/>
      <w:bookmarkEnd w:id="201"/>
    </w:p>
    <w:p w14:paraId="49543D89">
      <w:pPr>
        <w:spacing w:line="360" w:lineRule="auto"/>
        <w:jc w:val="center"/>
        <w:rPr>
          <w:rFonts w:asciiTheme="minorEastAsia" w:hAnsiTheme="minorEastAsia" w:eastAsiaTheme="minorEastAsia"/>
          <w:b/>
          <w:color w:val="auto"/>
          <w:sz w:val="24"/>
          <w:highlight w:val="none"/>
        </w:rPr>
      </w:pPr>
    </w:p>
    <w:p w14:paraId="38B76E72">
      <w:pPr>
        <w:pStyle w:val="13"/>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75764538">
      <w:pPr>
        <w:pStyle w:val="13"/>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6601D094">
      <w:pPr>
        <w:pStyle w:val="13"/>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7878FC8F">
      <w:pPr>
        <w:pStyle w:val="13"/>
        <w:snapToGrid w:val="0"/>
        <w:spacing w:line="360" w:lineRule="auto"/>
        <w:ind w:firstLine="480" w:firstLineChars="200"/>
        <w:jc w:val="left"/>
        <w:rPr>
          <w:rFonts w:hAnsi="宋体" w:eastAsia="宋体"/>
          <w:color w:val="auto"/>
          <w:sz w:val="24"/>
          <w:highlight w:val="none"/>
        </w:rPr>
      </w:pPr>
    </w:p>
    <w:p w14:paraId="307A21D2">
      <w:pPr>
        <w:pStyle w:val="13"/>
        <w:snapToGrid w:val="0"/>
        <w:spacing w:line="360" w:lineRule="auto"/>
        <w:ind w:firstLine="480" w:firstLineChars="200"/>
        <w:jc w:val="left"/>
        <w:rPr>
          <w:rFonts w:hAnsi="宋体" w:eastAsia="宋体"/>
          <w:color w:val="auto"/>
          <w:sz w:val="24"/>
          <w:highlight w:val="none"/>
        </w:rPr>
      </w:pPr>
    </w:p>
    <w:p w14:paraId="13D679F6">
      <w:pPr>
        <w:pStyle w:val="13"/>
        <w:snapToGrid w:val="0"/>
        <w:spacing w:line="360" w:lineRule="auto"/>
        <w:ind w:firstLine="480" w:firstLineChars="200"/>
        <w:jc w:val="left"/>
        <w:rPr>
          <w:rFonts w:hAnsi="宋体" w:eastAsia="宋体"/>
          <w:color w:val="auto"/>
          <w:sz w:val="24"/>
          <w:highlight w:val="none"/>
        </w:rPr>
      </w:pPr>
    </w:p>
    <w:p w14:paraId="29705CE3">
      <w:pPr>
        <w:pStyle w:val="13"/>
        <w:snapToGrid w:val="0"/>
        <w:spacing w:line="360" w:lineRule="auto"/>
        <w:ind w:firstLine="480" w:firstLineChars="200"/>
        <w:jc w:val="left"/>
        <w:rPr>
          <w:rFonts w:hAnsi="宋体" w:eastAsia="宋体"/>
          <w:color w:val="auto"/>
          <w:sz w:val="24"/>
          <w:highlight w:val="none"/>
        </w:rPr>
      </w:pPr>
    </w:p>
    <w:p w14:paraId="7108CDA2">
      <w:pPr>
        <w:pStyle w:val="13"/>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51A79D5A">
      <w:pPr>
        <w:pStyle w:val="13"/>
        <w:snapToGrid w:val="0"/>
        <w:spacing w:line="360" w:lineRule="auto"/>
        <w:ind w:firstLine="480" w:firstLineChars="200"/>
        <w:jc w:val="left"/>
        <w:rPr>
          <w:rFonts w:hAnsi="宋体" w:eastAsia="宋体"/>
          <w:color w:val="auto"/>
          <w:sz w:val="24"/>
          <w:szCs w:val="28"/>
          <w:highlight w:val="none"/>
        </w:rPr>
      </w:pPr>
    </w:p>
    <w:p w14:paraId="6B614CEE">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78477AAB">
      <w:pPr>
        <w:spacing w:line="360" w:lineRule="auto"/>
        <w:rPr>
          <w:rFonts w:ascii="宋体" w:hAnsi="宋体" w:eastAsia="宋体"/>
          <w:color w:val="auto"/>
          <w:sz w:val="24"/>
          <w:szCs w:val="28"/>
          <w:highlight w:val="none"/>
        </w:rPr>
      </w:pPr>
    </w:p>
    <w:p w14:paraId="5A875CB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13830EC">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8C0FDB3">
      <w:pPr>
        <w:spacing w:line="360" w:lineRule="auto"/>
        <w:rPr>
          <w:rFonts w:ascii="宋体" w:hAnsi="宋体" w:eastAsia="宋体"/>
          <w:color w:val="auto"/>
          <w:sz w:val="24"/>
          <w:szCs w:val="28"/>
          <w:highlight w:val="none"/>
        </w:rPr>
      </w:pPr>
    </w:p>
    <w:p w14:paraId="6B5B3FD4">
      <w:pPr>
        <w:spacing w:line="360" w:lineRule="auto"/>
        <w:rPr>
          <w:rFonts w:ascii="宋体" w:hAnsi="宋体" w:eastAsia="宋体"/>
          <w:color w:val="auto"/>
          <w:sz w:val="24"/>
          <w:szCs w:val="28"/>
          <w:highlight w:val="none"/>
        </w:rPr>
      </w:pPr>
    </w:p>
    <w:p w14:paraId="2E6588DB">
      <w:pPr>
        <w:pStyle w:val="13"/>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435EDDAB">
      <w:pPr>
        <w:pStyle w:val="13"/>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49468D45">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2.法定代表人参加磋商的无需提供授权书，仅提供身份证明扫描件。</w:t>
      </w:r>
    </w:p>
    <w:p w14:paraId="44C401EA">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17C0E546">
      <w:pPr>
        <w:spacing w:line="360" w:lineRule="auto"/>
        <w:jc w:val="center"/>
        <w:outlineLvl w:val="1"/>
        <w:rPr>
          <w:rFonts w:asciiTheme="minorEastAsia" w:hAnsiTheme="minorEastAsia" w:eastAsiaTheme="minorEastAsia"/>
          <w:b/>
          <w:color w:val="auto"/>
          <w:sz w:val="24"/>
          <w:highlight w:val="none"/>
        </w:rPr>
      </w:pPr>
      <w:bookmarkStart w:id="202" w:name="_Toc22233"/>
      <w:bookmarkStart w:id="203" w:name="_Toc28033"/>
      <w:r>
        <w:rPr>
          <w:rFonts w:hint="eastAsia" w:asciiTheme="minorEastAsia" w:hAnsiTheme="minorEastAsia" w:eastAsiaTheme="minorEastAsia"/>
          <w:b/>
          <w:color w:val="auto"/>
          <w:sz w:val="24"/>
          <w:highlight w:val="none"/>
        </w:rPr>
        <w:t>六、磋商响应表</w:t>
      </w:r>
      <w:bookmarkEnd w:id="202"/>
      <w:bookmarkEnd w:id="203"/>
    </w:p>
    <w:p w14:paraId="0B4FB084">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1CA6E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360BF274">
            <w:pPr>
              <w:pStyle w:val="13"/>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6FFC827A">
            <w:pPr>
              <w:pStyle w:val="13"/>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2F7CFFF6">
            <w:pPr>
              <w:pStyle w:val="13"/>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磋商文件要求</w:t>
            </w:r>
          </w:p>
        </w:tc>
        <w:tc>
          <w:tcPr>
            <w:tcW w:w="1510" w:type="pct"/>
            <w:vAlign w:val="center"/>
          </w:tcPr>
          <w:p w14:paraId="7C9FB883">
            <w:pPr>
              <w:pStyle w:val="13"/>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33C5EB93">
            <w:pPr>
              <w:pStyle w:val="13"/>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75B8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E029C9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1</w:t>
            </w:r>
          </w:p>
        </w:tc>
        <w:tc>
          <w:tcPr>
            <w:tcW w:w="1124" w:type="pct"/>
            <w:vAlign w:val="center"/>
          </w:tcPr>
          <w:p w14:paraId="28F8D12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Theme="minorEastAsia" w:hAnsiTheme="minorEastAsia" w:eastAsiaTheme="minorEastAsia"/>
                <w:color w:val="auto"/>
                <w:sz w:val="24"/>
                <w:szCs w:val="20"/>
                <w:highlight w:val="none"/>
              </w:rPr>
              <w:t>付款方式</w:t>
            </w:r>
          </w:p>
        </w:tc>
        <w:tc>
          <w:tcPr>
            <w:tcW w:w="1465" w:type="pct"/>
            <w:vAlign w:val="center"/>
          </w:tcPr>
          <w:p w14:paraId="7A369BF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0" w:type="pct"/>
            <w:vAlign w:val="center"/>
          </w:tcPr>
          <w:p w14:paraId="3F44053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475" w:type="pct"/>
            <w:vAlign w:val="center"/>
          </w:tcPr>
          <w:p w14:paraId="68BF4E1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2961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4E785A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1124" w:type="pct"/>
            <w:vAlign w:val="center"/>
          </w:tcPr>
          <w:p w14:paraId="4102CC0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服务地点</w:t>
            </w:r>
          </w:p>
        </w:tc>
        <w:tc>
          <w:tcPr>
            <w:tcW w:w="1465" w:type="pct"/>
            <w:vAlign w:val="center"/>
          </w:tcPr>
          <w:p w14:paraId="654DC82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0" w:type="pct"/>
            <w:vAlign w:val="center"/>
          </w:tcPr>
          <w:p w14:paraId="0BA4F49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475" w:type="pct"/>
            <w:vAlign w:val="center"/>
          </w:tcPr>
          <w:p w14:paraId="6E5160B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7AD7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FD2FB5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3</w:t>
            </w:r>
          </w:p>
        </w:tc>
        <w:tc>
          <w:tcPr>
            <w:tcW w:w="1124" w:type="pct"/>
            <w:vAlign w:val="center"/>
          </w:tcPr>
          <w:p w14:paraId="2C02BBD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服务期限</w:t>
            </w:r>
          </w:p>
        </w:tc>
        <w:tc>
          <w:tcPr>
            <w:tcW w:w="1465" w:type="pct"/>
            <w:vAlign w:val="center"/>
          </w:tcPr>
          <w:p w14:paraId="29DFBF0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0" w:type="pct"/>
            <w:vAlign w:val="center"/>
          </w:tcPr>
          <w:p w14:paraId="2A689C1D">
            <w:pPr>
              <w:pStyle w:val="51"/>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0"/>
                <w:highlight w:val="none"/>
              </w:rPr>
            </w:pPr>
          </w:p>
        </w:tc>
        <w:tc>
          <w:tcPr>
            <w:tcW w:w="475" w:type="pct"/>
            <w:vAlign w:val="center"/>
          </w:tcPr>
          <w:p w14:paraId="51DF5B6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6CBF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08C02AE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sz w:val="24"/>
                <w:szCs w:val="20"/>
                <w:highlight w:val="none"/>
              </w:rPr>
              <w:t>4</w:t>
            </w:r>
          </w:p>
        </w:tc>
        <w:tc>
          <w:tcPr>
            <w:tcW w:w="1916" w:type="dxa"/>
            <w:vAlign w:val="center"/>
          </w:tcPr>
          <w:p w14:paraId="736FF2B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sz w:val="24"/>
                <w:szCs w:val="20"/>
                <w:highlight w:val="none"/>
              </w:rPr>
              <w:t>“采购需求”所列的所有内容</w:t>
            </w:r>
          </w:p>
        </w:tc>
        <w:tc>
          <w:tcPr>
            <w:tcW w:w="1465" w:type="pct"/>
            <w:vAlign w:val="center"/>
          </w:tcPr>
          <w:p w14:paraId="3FF24B1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0" w:type="pct"/>
            <w:vAlign w:val="center"/>
          </w:tcPr>
          <w:p w14:paraId="69BC2E9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475" w:type="pct"/>
            <w:vAlign w:val="center"/>
          </w:tcPr>
          <w:p w14:paraId="32D3468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bl>
    <w:p w14:paraId="3A56297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CF088A2">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9591AFF">
      <w:pPr>
        <w:pStyle w:val="14"/>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E10DA9A">
      <w:pPr>
        <w:spacing w:line="360" w:lineRule="auto"/>
        <w:jc w:val="center"/>
        <w:outlineLvl w:val="1"/>
        <w:rPr>
          <w:rFonts w:asciiTheme="minorEastAsia" w:hAnsiTheme="minorEastAsia" w:eastAsiaTheme="minorEastAsia"/>
          <w:b/>
          <w:color w:val="auto"/>
          <w:sz w:val="24"/>
          <w:highlight w:val="none"/>
        </w:rPr>
      </w:pPr>
      <w:bookmarkStart w:id="204" w:name="_Toc11260"/>
      <w:bookmarkStart w:id="205" w:name="_Toc29455"/>
      <w:r>
        <w:rPr>
          <w:rFonts w:hint="eastAsia" w:asciiTheme="minorEastAsia" w:hAnsiTheme="minorEastAsia" w:eastAsiaTheme="minorEastAsia"/>
          <w:b/>
          <w:color w:val="auto"/>
          <w:sz w:val="24"/>
          <w:highlight w:val="none"/>
        </w:rPr>
        <w:t>七、</w:t>
      </w:r>
      <w:bookmarkEnd w:id="204"/>
      <w:bookmarkEnd w:id="205"/>
      <w:bookmarkStart w:id="206" w:name="_Toc6445"/>
      <w:bookmarkStart w:id="207" w:name="_Toc17888"/>
      <w:bookmarkStart w:id="208" w:name="_Hlk60608597"/>
      <w:r>
        <w:rPr>
          <w:rFonts w:hint="eastAsia" w:asciiTheme="minorEastAsia" w:hAnsiTheme="minorEastAsia" w:eastAsiaTheme="minorEastAsia"/>
          <w:b/>
          <w:color w:val="auto"/>
          <w:sz w:val="24"/>
          <w:highlight w:val="none"/>
        </w:rPr>
        <w:t>中小企业声明函</w:t>
      </w:r>
      <w:bookmarkEnd w:id="206"/>
      <w:bookmarkEnd w:id="207"/>
    </w:p>
    <w:p w14:paraId="63B21754">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278B94A4">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6E608A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EB5B46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0E153614">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18A53F6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4EF8CB93">
      <w:pPr>
        <w:spacing w:line="360" w:lineRule="auto"/>
        <w:rPr>
          <w:rFonts w:asciiTheme="minorEastAsia" w:hAnsiTheme="minorEastAsia" w:eastAsiaTheme="minorEastAsia"/>
          <w:color w:val="auto"/>
          <w:sz w:val="24"/>
          <w:szCs w:val="24"/>
          <w:highlight w:val="none"/>
        </w:rPr>
      </w:pPr>
    </w:p>
    <w:p w14:paraId="095843F9">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47B48067">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208"/>
    <w:p w14:paraId="5F32486B">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注：</w:t>
      </w:r>
    </w:p>
    <w:p w14:paraId="510433BE">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3E9D6942">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供应商自行登录工业和信息化部官网进行中小企业规模类型自测（查询网址https://www.miit.gov.cn/）。</w:t>
      </w:r>
    </w:p>
    <w:p w14:paraId="4EE7D0BB">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0AE64FA7">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44017B32">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[供应商自行登录工业和信息化部官网进行中小企业规模类型自测（查询网址https://www.miit.gov.cn/）]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5898D94B">
      <w:pPr>
        <w:tabs>
          <w:tab w:val="left" w:pos="4620"/>
        </w:tabs>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7CC0E57">
      <w:pPr>
        <w:spacing w:line="360" w:lineRule="auto"/>
        <w:jc w:val="center"/>
        <w:outlineLvl w:val="1"/>
        <w:rPr>
          <w:rFonts w:asciiTheme="minorEastAsia" w:hAnsiTheme="minorEastAsia" w:eastAsiaTheme="minorEastAsia"/>
          <w:b/>
          <w:color w:val="auto"/>
          <w:sz w:val="24"/>
          <w:highlight w:val="none"/>
        </w:rPr>
      </w:pPr>
      <w:bookmarkStart w:id="209" w:name="_Toc17713"/>
      <w:bookmarkStart w:id="210" w:name="_Toc5908"/>
      <w:bookmarkStart w:id="211" w:name="_Hlk60608725"/>
      <w:r>
        <w:rPr>
          <w:rFonts w:hint="eastAsia" w:asciiTheme="minorEastAsia" w:hAnsiTheme="minorEastAsia" w:eastAsiaTheme="minorEastAsia"/>
          <w:b/>
          <w:color w:val="auto"/>
          <w:sz w:val="24"/>
          <w:highlight w:val="none"/>
        </w:rPr>
        <w:t>八、残疾人福利性单位声明函</w:t>
      </w:r>
      <w:bookmarkEnd w:id="209"/>
      <w:bookmarkEnd w:id="210"/>
    </w:p>
    <w:p w14:paraId="4BD31D45">
      <w:pPr>
        <w:pStyle w:val="9"/>
        <w:jc w:val="center"/>
        <w:rPr>
          <w:rFonts w:asciiTheme="minorEastAsia" w:hAnsiTheme="minorEastAsia" w:eastAsiaTheme="minorEastAsia"/>
          <w:color w:val="auto"/>
          <w:spacing w:val="6"/>
          <w:sz w:val="24"/>
          <w:highlight w:val="none"/>
        </w:rPr>
      </w:pPr>
      <w:r>
        <w:rPr>
          <w:rFonts w:hint="eastAsia" w:ascii="宋体" w:hAnsi="宋体" w:eastAsia="宋体"/>
          <w:i/>
          <w:color w:val="auto"/>
          <w:sz w:val="24"/>
          <w:highlight w:val="none"/>
          <w:lang w:val="en-US"/>
        </w:rPr>
        <w:t>（非残疾人福利性单位磋商，请删去“残疾人福利性单位声明函”）</w:t>
      </w:r>
    </w:p>
    <w:p w14:paraId="147FAE1E">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3FA786E9">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74DE0CD5">
      <w:pPr>
        <w:spacing w:line="360" w:lineRule="auto"/>
        <w:ind w:firstLine="4228" w:firstLineChars="1762"/>
        <w:rPr>
          <w:rFonts w:asciiTheme="minorEastAsia" w:hAnsiTheme="minorEastAsia" w:eastAsiaTheme="minorEastAsia"/>
          <w:color w:val="auto"/>
          <w:sz w:val="24"/>
          <w:szCs w:val="24"/>
          <w:highlight w:val="none"/>
        </w:rPr>
      </w:pPr>
    </w:p>
    <w:p w14:paraId="1DD7E011">
      <w:pPr>
        <w:spacing w:line="360" w:lineRule="auto"/>
        <w:ind w:firstLine="4228" w:firstLineChars="1762"/>
        <w:rPr>
          <w:rFonts w:asciiTheme="minorEastAsia" w:hAnsiTheme="minorEastAsia" w:eastAsiaTheme="minorEastAsia"/>
          <w:color w:val="auto"/>
          <w:sz w:val="24"/>
          <w:szCs w:val="24"/>
          <w:highlight w:val="none"/>
        </w:rPr>
      </w:pPr>
    </w:p>
    <w:p w14:paraId="5CE94456">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04A5A73D">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211"/>
    <w:p w14:paraId="60057116">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5503C33">
      <w:pPr>
        <w:spacing w:line="360" w:lineRule="auto"/>
        <w:jc w:val="center"/>
        <w:outlineLvl w:val="1"/>
        <w:rPr>
          <w:rFonts w:asciiTheme="minorEastAsia" w:hAnsiTheme="minorEastAsia" w:eastAsiaTheme="minorEastAsia"/>
          <w:b/>
          <w:color w:val="auto"/>
          <w:sz w:val="24"/>
          <w:highlight w:val="none"/>
        </w:rPr>
      </w:pPr>
      <w:bookmarkStart w:id="212" w:name="_Toc20592"/>
      <w:bookmarkStart w:id="213" w:name="_Toc2278"/>
      <w:bookmarkStart w:id="214" w:name="_Hlk44283088"/>
      <w:r>
        <w:rPr>
          <w:rFonts w:hint="eastAsia" w:ascii="宋体" w:hAnsi="宋体" w:eastAsia="宋体"/>
          <w:b/>
          <w:color w:val="auto"/>
          <w:sz w:val="24"/>
          <w:highlight w:val="none"/>
        </w:rPr>
        <w:t>九</w:t>
      </w:r>
      <w:r>
        <w:rPr>
          <w:rFonts w:hint="eastAsia" w:asciiTheme="minorEastAsia" w:hAnsiTheme="minorEastAsia" w:eastAsiaTheme="minorEastAsia"/>
          <w:b/>
          <w:color w:val="auto"/>
          <w:sz w:val="24"/>
          <w:highlight w:val="none"/>
        </w:rPr>
        <w:t>、诚信履约承诺函</w:t>
      </w:r>
      <w:bookmarkEnd w:id="212"/>
      <w:bookmarkEnd w:id="213"/>
    </w:p>
    <w:p w14:paraId="3281B3C8">
      <w:pPr>
        <w:spacing w:line="360" w:lineRule="auto"/>
        <w:rPr>
          <w:rFonts w:asciiTheme="minorEastAsia" w:hAnsiTheme="minorEastAsia" w:eastAsiaTheme="minorEastAsia"/>
          <w:b/>
          <w:bCs/>
          <w:color w:val="auto"/>
          <w:sz w:val="24"/>
          <w:highlight w:val="none"/>
        </w:rPr>
      </w:pPr>
    </w:p>
    <w:p w14:paraId="5E9F2516">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致：采购人</w:t>
      </w:r>
    </w:p>
    <w:p w14:paraId="729997E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55F973F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3FC4EAC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529D014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238DBB7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D4F6C8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2246E6D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B99D116">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本承诺声明：</w:t>
      </w:r>
      <w:r>
        <w:rPr>
          <w:rFonts w:hint="eastAsia" w:ascii="宋体" w:hAnsi="宋体" w:eastAsia="宋体" w:cs="宋体"/>
          <w:bCs/>
          <w:color w:val="auto"/>
          <w:sz w:val="24"/>
          <w:highlight w:val="none"/>
          <w:u w:val="single"/>
        </w:rPr>
        <w:t xml:space="preserve">                   （供应商名称）</w:t>
      </w:r>
      <w:r>
        <w:rPr>
          <w:rFonts w:hint="eastAsia" w:ascii="宋体" w:hAnsi="宋体" w:eastAsia="宋体" w:cs="宋体"/>
          <w:bCs/>
          <w:color w:val="auto"/>
          <w:sz w:val="24"/>
          <w:highlight w:val="none"/>
        </w:rPr>
        <w:t>对本</w:t>
      </w:r>
      <w:r>
        <w:rPr>
          <w:rFonts w:hint="eastAsia" w:ascii="宋体" w:hAnsi="宋体" w:eastAsia="宋体" w:cs="宋体"/>
          <w:color w:val="auto"/>
          <w:sz w:val="24"/>
          <w:highlight w:val="none"/>
          <w:lang w:val="zh-CN"/>
        </w:rPr>
        <w:t>磋商文件</w:t>
      </w:r>
      <w:r>
        <w:rPr>
          <w:rFonts w:hint="eastAsia" w:ascii="宋体" w:hAnsi="宋体" w:eastAsia="宋体" w:cs="宋体"/>
          <w:bCs/>
          <w:color w:val="auto"/>
          <w:sz w:val="24"/>
          <w:highlight w:val="none"/>
        </w:rPr>
        <w:t>的相关要求、采购需求要求完全响应。若有幸成交将严格按照以上承诺进行服务。</w:t>
      </w:r>
    </w:p>
    <w:p w14:paraId="42087453">
      <w:pPr>
        <w:spacing w:line="360" w:lineRule="auto"/>
        <w:rPr>
          <w:rFonts w:asciiTheme="minorEastAsia" w:hAnsiTheme="minorEastAsia" w:eastAsiaTheme="minorEastAsia"/>
          <w:bCs/>
          <w:color w:val="auto"/>
          <w:sz w:val="24"/>
          <w:highlight w:val="none"/>
        </w:rPr>
      </w:pPr>
    </w:p>
    <w:p w14:paraId="0FF6B80E">
      <w:pPr>
        <w:spacing w:line="360" w:lineRule="auto"/>
        <w:rPr>
          <w:rFonts w:asciiTheme="minorEastAsia" w:hAnsiTheme="minorEastAsia" w:eastAsiaTheme="minorEastAsia"/>
          <w:bCs/>
          <w:color w:val="auto"/>
          <w:sz w:val="24"/>
          <w:highlight w:val="none"/>
        </w:rPr>
      </w:pPr>
    </w:p>
    <w:p w14:paraId="6DE9B8EB">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3346065F">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68CE779D">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214"/>
    <w:p w14:paraId="4A5539D2">
      <w:pPr>
        <w:spacing w:line="360" w:lineRule="auto"/>
        <w:jc w:val="center"/>
        <w:outlineLvl w:val="1"/>
        <w:rPr>
          <w:rFonts w:ascii="宋体" w:hAnsi="宋体" w:eastAsia="宋体" w:cs="宋体"/>
          <w:b/>
          <w:color w:val="auto"/>
          <w:sz w:val="24"/>
          <w:highlight w:val="none"/>
        </w:rPr>
      </w:pPr>
      <w:bookmarkStart w:id="215" w:name="_Toc7807"/>
      <w:bookmarkStart w:id="216" w:name="_Toc3826"/>
      <w:r>
        <w:rPr>
          <w:rFonts w:hint="eastAsia" w:asciiTheme="minorEastAsia" w:hAnsiTheme="minorEastAsia" w:eastAsiaTheme="minorEastAsia"/>
          <w:b/>
          <w:color w:val="auto"/>
          <w:sz w:val="24"/>
          <w:highlight w:val="none"/>
        </w:rPr>
        <w:t>十、</w:t>
      </w:r>
      <w:r>
        <w:rPr>
          <w:rFonts w:hint="eastAsia" w:ascii="宋体" w:hAnsi="宋体" w:eastAsia="宋体" w:cs="宋体"/>
          <w:b/>
          <w:color w:val="auto"/>
          <w:sz w:val="24"/>
          <w:highlight w:val="none"/>
        </w:rPr>
        <w:t>诚信</w:t>
      </w:r>
      <w:r>
        <w:rPr>
          <w:rFonts w:hint="eastAsia" w:ascii="宋体" w:hAnsi="宋体" w:eastAsia="宋体" w:cs="宋体"/>
          <w:b/>
          <w:color w:val="auto"/>
          <w:sz w:val="24"/>
          <w:highlight w:val="none"/>
          <w:lang w:val="en-US" w:eastAsia="zh-CN"/>
        </w:rPr>
        <w:t>响应</w:t>
      </w:r>
      <w:r>
        <w:rPr>
          <w:rFonts w:hint="eastAsia" w:ascii="宋体" w:hAnsi="宋体" w:eastAsia="宋体" w:cs="宋体"/>
          <w:b/>
          <w:color w:val="auto"/>
          <w:sz w:val="24"/>
          <w:highlight w:val="none"/>
        </w:rPr>
        <w:t>承诺书</w:t>
      </w:r>
    </w:p>
    <w:p w14:paraId="12812C4A">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本人以企业法定代表人的身份郑重承诺：</w:t>
      </w:r>
    </w:p>
    <w:p w14:paraId="301AB7AE">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一、将遵循公开、公正和诚实信用的原则自愿参加</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项目的响应，所提供的一切材料都是真实、有效、合法的；</w:t>
      </w:r>
    </w:p>
    <w:p w14:paraId="0DCDAEDB">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7F7057DF">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三、不出借、转让资质证书，不让他人挂靠，不以他人名义参与或者以其他方式弄虚作假，骗取成交；</w:t>
      </w:r>
    </w:p>
    <w:p w14:paraId="0AC5AFBF">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四、不与其他供应商相互串通响应报价，不排挤其他供应商的公平竞争、损害采购人的合法权益；</w:t>
      </w:r>
    </w:p>
    <w:p w14:paraId="6FBDD35F">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五、不与采购人、采购代理机构或其他供应商串通响应，损害国家利益、社会公共利益或者他人的合法权益；</w:t>
      </w:r>
    </w:p>
    <w:p w14:paraId="65A3CE23">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六、</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或</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供应商所属分公司、办事处等分支机构有上述1-7项信誉要求，在此一并承诺我公司所属分公司、办事处等分支机构没有上述1-7项情形）</w:t>
      </w:r>
    </w:p>
    <w:p w14:paraId="71241E99">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七、严格遵守会议现场纪律，服从监管人员管理；</w:t>
      </w:r>
    </w:p>
    <w:p w14:paraId="1B219BC9">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八、保证成交后不转包，若有分包征得采购人同意；</w:t>
      </w:r>
    </w:p>
    <w:p w14:paraId="02E42114">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九、保证成交之后，按照响应文件要求提供相关后续服务；</w:t>
      </w:r>
    </w:p>
    <w:p w14:paraId="05A79723">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十、保证企业及所属相关人员在本次响应中无行贿等犯罪行为；</w:t>
      </w:r>
    </w:p>
    <w:p w14:paraId="72CF119B">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十一、如在响应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7A5AE37B">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上内容我已仔细阅读，本公司若有违反承诺内容的行为，自愿接受取消磋商或者中标（成交）资格、中标（成交）无效、记入不良行为记录等有关处理，愿意承担法律责任，给采购人造成损失的，依法承担赔偿责任。</w:t>
      </w:r>
    </w:p>
    <w:p w14:paraId="624B55B4">
      <w:pPr>
        <w:spacing w:line="500" w:lineRule="exact"/>
        <w:ind w:firstLine="420" w:firstLineChars="200"/>
        <w:rPr>
          <w:rFonts w:ascii="宋体" w:hAnsi="宋体" w:eastAsia="宋体" w:cs="宋体"/>
          <w:color w:val="auto"/>
          <w:szCs w:val="21"/>
          <w:highlight w:val="none"/>
        </w:rPr>
      </w:pPr>
    </w:p>
    <w:p w14:paraId="0C8DE46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基本账户：</w:t>
      </w:r>
    </w:p>
    <w:p w14:paraId="6E4DA456">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单位（签章）：</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法定代表人（签章）：</w:t>
      </w:r>
    </w:p>
    <w:p w14:paraId="0B9F9172">
      <w:pPr>
        <w:spacing w:line="500" w:lineRule="exact"/>
        <w:ind w:firstLine="420" w:firstLineChars="200"/>
        <w:rPr>
          <w:rFonts w:ascii="宋体" w:hAnsi="宋体" w:eastAsia="宋体" w:cs="宋体"/>
          <w:color w:val="auto"/>
          <w:szCs w:val="21"/>
          <w:highlight w:val="none"/>
        </w:rPr>
      </w:pPr>
    </w:p>
    <w:p w14:paraId="4A24D181">
      <w:pPr>
        <w:widowControl/>
        <w:jc w:val="right"/>
        <w:rPr>
          <w:rFonts w:ascii="宋体" w:hAnsi="宋体" w:eastAsia="宋体" w:cs="宋体"/>
          <w:b/>
          <w:color w:val="auto"/>
          <w:sz w:val="28"/>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w:t>
      </w:r>
    </w:p>
    <w:p w14:paraId="6D501185">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十一、其他相关证明材料</w:t>
      </w:r>
      <w:bookmarkEnd w:id="215"/>
      <w:bookmarkEnd w:id="216"/>
    </w:p>
    <w:p w14:paraId="21059B10">
      <w:pPr>
        <w:tabs>
          <w:tab w:val="left" w:pos="4620"/>
        </w:tabs>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提供符合磋商邀请、采购需求及评审方法和标准规定的相关证明文件。</w:t>
      </w:r>
    </w:p>
    <w:p w14:paraId="09C53153">
      <w:pPr>
        <w:spacing w:line="360" w:lineRule="auto"/>
        <w:ind w:firstLine="435"/>
        <w:rPr>
          <w:rFonts w:asciiTheme="minorEastAsia" w:hAnsiTheme="minorEastAsia" w:eastAsiaTheme="minorEastAsia"/>
          <w:color w:val="auto"/>
          <w:sz w:val="24"/>
          <w:highlight w:val="none"/>
        </w:rPr>
      </w:pPr>
    </w:p>
    <w:p w14:paraId="46BF2D36">
      <w:pPr>
        <w:spacing w:line="360" w:lineRule="auto"/>
        <w:ind w:firstLine="480" w:firstLineChars="200"/>
        <w:rPr>
          <w:rFonts w:asciiTheme="minorEastAsia" w:hAnsiTheme="minorEastAsia" w:eastAsiaTheme="minorEastAsia"/>
          <w:color w:val="auto"/>
          <w:sz w:val="24"/>
          <w:highlight w:val="none"/>
        </w:rPr>
      </w:pPr>
    </w:p>
    <w:p w14:paraId="1032C3F3">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17F94F75">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供应商在响应文件制作时可在此栏内上传磋商文件要求上传的证明资料，如营业执照、证书等，应将上述证明材料制作成扫描件上传。</w:t>
      </w:r>
    </w:p>
    <w:p w14:paraId="2275E62F">
      <w:pPr>
        <w:spacing w:line="360" w:lineRule="auto"/>
        <w:jc w:val="center"/>
        <w:rPr>
          <w:rFonts w:asciiTheme="minorEastAsia" w:hAnsiTheme="minorEastAsia" w:eastAsiaTheme="minorEastAsia"/>
          <w:b/>
          <w:color w:val="auto"/>
          <w:sz w:val="24"/>
          <w:highlight w:val="none"/>
        </w:rPr>
      </w:pPr>
    </w:p>
    <w:p w14:paraId="277EB776">
      <w:pPr>
        <w:widowControl/>
        <w:jc w:val="left"/>
        <w:rPr>
          <w:rFonts w:ascii="宋体" w:hAnsi="宋体" w:eastAsia="宋体"/>
          <w:bCs/>
          <w:color w:val="auto"/>
          <w:sz w:val="24"/>
          <w:highlight w:val="none"/>
        </w:rPr>
      </w:pPr>
      <w:r>
        <w:rPr>
          <w:rFonts w:asciiTheme="minorEastAsia" w:hAnsiTheme="minorEastAsia" w:eastAsiaTheme="minorEastAsia"/>
          <w:color w:val="auto"/>
          <w:sz w:val="24"/>
          <w:highlight w:val="none"/>
        </w:rPr>
        <w:br w:type="page"/>
      </w:r>
    </w:p>
    <w:p w14:paraId="25E89E16">
      <w:pPr>
        <w:spacing w:line="360" w:lineRule="auto"/>
        <w:jc w:val="center"/>
        <w:outlineLvl w:val="0"/>
        <w:rPr>
          <w:rFonts w:ascii="宋体" w:hAnsi="宋体" w:eastAsia="宋体"/>
          <w:b/>
          <w:bCs/>
          <w:color w:val="auto"/>
          <w:sz w:val="28"/>
          <w:highlight w:val="none"/>
        </w:rPr>
      </w:pPr>
      <w:bookmarkStart w:id="217" w:name="_Toc63440924"/>
      <w:bookmarkStart w:id="218" w:name="_Toc145"/>
      <w:bookmarkStart w:id="219" w:name="_Toc19418"/>
      <w:r>
        <w:rPr>
          <w:rFonts w:hint="eastAsia" w:ascii="宋体" w:hAnsi="宋体" w:eastAsia="宋体"/>
          <w:b/>
          <w:bCs/>
          <w:color w:val="auto"/>
          <w:sz w:val="28"/>
          <w:highlight w:val="none"/>
        </w:rPr>
        <w:t>第七章  政府采购</w:t>
      </w:r>
      <w:bookmarkEnd w:id="217"/>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18"/>
      <w:bookmarkEnd w:id="219"/>
    </w:p>
    <w:p w14:paraId="7CEE2A35">
      <w:pPr>
        <w:spacing w:line="360" w:lineRule="auto"/>
        <w:jc w:val="center"/>
        <w:outlineLvl w:val="1"/>
        <w:rPr>
          <w:rFonts w:ascii="仿宋" w:hAnsi="仿宋" w:eastAsia="仿宋" w:cs="仿宋"/>
          <w:b/>
          <w:bCs/>
          <w:color w:val="auto"/>
          <w:sz w:val="32"/>
          <w:szCs w:val="44"/>
          <w:highlight w:val="none"/>
        </w:rPr>
      </w:pPr>
      <w:bookmarkStart w:id="220" w:name="_Toc8735"/>
      <w:bookmarkStart w:id="221" w:name="_Toc2142"/>
      <w:r>
        <w:rPr>
          <w:rFonts w:hint="eastAsia" w:ascii="仿宋" w:hAnsi="仿宋" w:eastAsia="仿宋" w:cs="仿宋"/>
          <w:b/>
          <w:bCs/>
          <w:color w:val="auto"/>
          <w:sz w:val="32"/>
          <w:szCs w:val="44"/>
          <w:highlight w:val="none"/>
        </w:rPr>
        <w:t>询问函范本</w:t>
      </w:r>
      <w:bookmarkEnd w:id="220"/>
      <w:bookmarkEnd w:id="221"/>
    </w:p>
    <w:p w14:paraId="5AA38A35">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6906B1EE">
      <w:pPr>
        <w:adjustRightInd w:val="0"/>
        <w:snapToGrid w:val="0"/>
        <w:spacing w:line="360" w:lineRule="auto"/>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致：采购人</w:t>
      </w:r>
    </w:p>
    <w:p w14:paraId="1488583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600DCA7B">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22" w:name="_Toc26386"/>
      <w:bookmarkStart w:id="223" w:name="_Toc9092"/>
      <w:r>
        <w:rPr>
          <w:rFonts w:hint="eastAsia" w:cs="仿宋" w:asciiTheme="minorEastAsia" w:hAnsiTheme="minorEastAsia" w:eastAsiaTheme="minorEastAsia"/>
          <w:color w:val="auto"/>
          <w:sz w:val="24"/>
          <w:szCs w:val="24"/>
          <w:highlight w:val="none"/>
        </w:rPr>
        <w:t>一、(事项一)</w:t>
      </w:r>
      <w:bookmarkEnd w:id="222"/>
      <w:bookmarkEnd w:id="223"/>
    </w:p>
    <w:p w14:paraId="096A379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2FAADEA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1EE4720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0ACAC6C">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24" w:name="_Toc9273"/>
      <w:bookmarkStart w:id="225" w:name="_Toc17582"/>
      <w:r>
        <w:rPr>
          <w:rFonts w:hint="eastAsia" w:cs="仿宋" w:asciiTheme="minorEastAsia" w:hAnsiTheme="minorEastAsia" w:eastAsiaTheme="minorEastAsia"/>
          <w:color w:val="auto"/>
          <w:sz w:val="24"/>
          <w:szCs w:val="24"/>
          <w:highlight w:val="none"/>
        </w:rPr>
        <w:t>二、(事项二)</w:t>
      </w:r>
      <w:bookmarkEnd w:id="224"/>
      <w:bookmarkEnd w:id="225"/>
    </w:p>
    <w:p w14:paraId="345A675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51B556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0B87F2C7">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BF7A62D">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4EA5AAB2">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EE3596B">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181F8151">
      <w:pPr>
        <w:jc w:val="center"/>
        <w:outlineLvl w:val="1"/>
        <w:rPr>
          <w:rFonts w:ascii="仿宋" w:hAnsi="仿宋" w:eastAsia="仿宋" w:cs="仿宋"/>
          <w:b/>
          <w:bCs/>
          <w:color w:val="auto"/>
          <w:sz w:val="32"/>
          <w:szCs w:val="44"/>
          <w:highlight w:val="none"/>
        </w:rPr>
      </w:pPr>
      <w:bookmarkStart w:id="226" w:name="_Toc26673"/>
      <w:bookmarkStart w:id="227" w:name="_Toc6990"/>
      <w:r>
        <w:rPr>
          <w:rFonts w:hint="eastAsia" w:ascii="仿宋" w:hAnsi="仿宋" w:eastAsia="仿宋" w:cs="仿宋"/>
          <w:b/>
          <w:bCs/>
          <w:color w:val="auto"/>
          <w:sz w:val="32"/>
          <w:szCs w:val="44"/>
          <w:highlight w:val="none"/>
        </w:rPr>
        <w:t>质疑函范本</w:t>
      </w:r>
      <w:bookmarkEnd w:id="226"/>
      <w:bookmarkEnd w:id="227"/>
    </w:p>
    <w:p w14:paraId="5D679401">
      <w:pPr>
        <w:adjustRightInd w:val="0"/>
        <w:snapToGrid w:val="0"/>
        <w:spacing w:beforeLines="100" w:line="360" w:lineRule="auto"/>
        <w:outlineLvl w:val="1"/>
        <w:rPr>
          <w:rFonts w:cs="仿宋" w:asciiTheme="minorEastAsia" w:hAnsiTheme="minorEastAsia" w:eastAsiaTheme="minorEastAsia"/>
          <w:b/>
          <w:bCs/>
          <w:color w:val="auto"/>
          <w:sz w:val="24"/>
          <w:szCs w:val="24"/>
          <w:highlight w:val="none"/>
        </w:rPr>
      </w:pPr>
      <w:bookmarkStart w:id="228" w:name="_Toc29510"/>
      <w:bookmarkStart w:id="229" w:name="_Toc2994"/>
      <w:r>
        <w:rPr>
          <w:rFonts w:hint="eastAsia" w:cs="仿宋" w:asciiTheme="minorEastAsia" w:hAnsiTheme="minorEastAsia" w:eastAsiaTheme="minorEastAsia"/>
          <w:b/>
          <w:bCs/>
          <w:color w:val="auto"/>
          <w:sz w:val="24"/>
          <w:szCs w:val="24"/>
          <w:highlight w:val="none"/>
        </w:rPr>
        <w:t>一、质疑供应商基本信息</w:t>
      </w:r>
      <w:bookmarkEnd w:id="228"/>
      <w:bookmarkEnd w:id="229"/>
    </w:p>
    <w:p w14:paraId="2D51239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708F6BB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E56762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6A24E27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BA5600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3681C45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029F72D">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30" w:name="_Toc31042"/>
      <w:bookmarkStart w:id="231" w:name="_Toc28130"/>
      <w:r>
        <w:rPr>
          <w:rFonts w:hint="eastAsia" w:cs="仿宋" w:asciiTheme="minorEastAsia" w:hAnsiTheme="minorEastAsia" w:eastAsiaTheme="minorEastAsia"/>
          <w:b/>
          <w:bCs/>
          <w:color w:val="auto"/>
          <w:sz w:val="24"/>
          <w:szCs w:val="24"/>
          <w:highlight w:val="none"/>
        </w:rPr>
        <w:t>二、质疑项目基本情况</w:t>
      </w:r>
      <w:bookmarkEnd w:id="230"/>
      <w:bookmarkEnd w:id="231"/>
    </w:p>
    <w:p w14:paraId="02F3E92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6CBE61F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3FA25A2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77CE84F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7CFB3189">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32" w:name="_Toc20587"/>
      <w:bookmarkStart w:id="233" w:name="_Toc6486"/>
      <w:r>
        <w:rPr>
          <w:rFonts w:hint="eastAsia" w:cs="仿宋" w:asciiTheme="minorEastAsia" w:hAnsiTheme="minorEastAsia" w:eastAsiaTheme="minorEastAsia"/>
          <w:b/>
          <w:bCs/>
          <w:color w:val="auto"/>
          <w:sz w:val="24"/>
          <w:szCs w:val="24"/>
          <w:highlight w:val="none"/>
        </w:rPr>
        <w:t>三、质疑事项具体内容</w:t>
      </w:r>
      <w:bookmarkEnd w:id="232"/>
      <w:bookmarkEnd w:id="233"/>
    </w:p>
    <w:p w14:paraId="3EF8963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B462D0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38B8BF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1297166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52656E0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2E38C56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2A52A3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4D6F59F">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34" w:name="_Toc32755"/>
      <w:bookmarkStart w:id="235" w:name="_Toc20470"/>
      <w:r>
        <w:rPr>
          <w:rFonts w:hint="eastAsia" w:cs="仿宋" w:asciiTheme="minorEastAsia" w:hAnsiTheme="minorEastAsia" w:eastAsiaTheme="minorEastAsia"/>
          <w:b/>
          <w:bCs/>
          <w:color w:val="auto"/>
          <w:sz w:val="24"/>
          <w:szCs w:val="24"/>
          <w:highlight w:val="none"/>
        </w:rPr>
        <w:t>四、与质疑事项相关的质疑请求</w:t>
      </w:r>
      <w:bookmarkEnd w:id="234"/>
      <w:bookmarkEnd w:id="235"/>
    </w:p>
    <w:p w14:paraId="0FC55BD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C70B833">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7AAFC379">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35DA76BD">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FE28F9D">
      <w:pPr>
        <w:outlineLvl w:val="0"/>
        <w:rPr>
          <w:rFonts w:asciiTheme="minorEastAsia" w:hAnsiTheme="minorEastAsia" w:eastAsiaTheme="minorEastAsia"/>
          <w:b/>
          <w:color w:val="auto"/>
          <w:sz w:val="28"/>
          <w:szCs w:val="32"/>
          <w:highlight w:val="none"/>
        </w:rPr>
      </w:pPr>
      <w:bookmarkStart w:id="236" w:name="_Toc10815"/>
      <w:bookmarkStart w:id="237" w:name="_Toc21667"/>
      <w:bookmarkStart w:id="238" w:name="_Toc8368"/>
      <w:r>
        <w:rPr>
          <w:rFonts w:hint="eastAsia" w:asciiTheme="minorEastAsia" w:hAnsiTheme="minorEastAsia" w:eastAsiaTheme="minorEastAsia"/>
          <w:b/>
          <w:color w:val="auto"/>
          <w:sz w:val="28"/>
          <w:szCs w:val="32"/>
          <w:highlight w:val="none"/>
        </w:rPr>
        <w:t>质疑函制作说明：</w:t>
      </w:r>
      <w:bookmarkEnd w:id="236"/>
      <w:bookmarkEnd w:id="237"/>
      <w:bookmarkEnd w:id="238"/>
    </w:p>
    <w:p w14:paraId="3FDF60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5EBFA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FF9C5E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767FA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088A29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24312586">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r>
        <w:rPr>
          <w:rFonts w:hint="eastAsia" w:asciiTheme="minorEastAsia" w:hAnsiTheme="minorEastAsia" w:eastAsiaTheme="minorEastAsia"/>
          <w:color w:val="auto"/>
          <w:sz w:val="24"/>
          <w:highlight w:val="none"/>
          <w:lang w:eastAsia="zh-CN"/>
        </w:rPr>
        <w:t>。</w:t>
      </w:r>
    </w:p>
    <w:p w14:paraId="76151B5E">
      <w:pPr>
        <w:spacing w:line="360" w:lineRule="auto"/>
        <w:ind w:firstLine="435"/>
        <w:rPr>
          <w:rFonts w:hint="eastAsia" w:asciiTheme="minorEastAsia" w:hAnsiTheme="minorEastAsia" w:eastAsiaTheme="minorEastAsia"/>
          <w:color w:val="auto"/>
          <w:sz w:val="24"/>
          <w:highlight w:val="none"/>
        </w:rPr>
      </w:pPr>
    </w:p>
    <w:p w14:paraId="0DEF8EFB">
      <w:pPr>
        <w:spacing w:line="360" w:lineRule="auto"/>
        <w:ind w:firstLine="435"/>
        <w:rPr>
          <w:rFonts w:hint="eastAsia" w:asciiTheme="minorEastAsia" w:hAnsiTheme="minorEastAsia" w:eastAsiaTheme="minorEastAsia"/>
          <w:color w:val="auto"/>
          <w:sz w:val="24"/>
          <w:highlight w:val="none"/>
        </w:rPr>
      </w:pPr>
    </w:p>
    <w:p w14:paraId="3FBCEB56">
      <w:pPr>
        <w:rPr>
          <w:rFonts w:hint="eastAsia" w:ascii="宋体" w:hAnsi="宋体" w:eastAsia="宋体" w:cs="宋体"/>
          <w:b/>
          <w:bCs/>
          <w:kern w:val="44"/>
          <w:sz w:val="32"/>
          <w:szCs w:val="32"/>
          <w:highlight w:val="none"/>
          <w:lang w:val="en-US" w:eastAsia="zh-CN" w:bidi="ar"/>
        </w:rPr>
      </w:pPr>
      <w:bookmarkStart w:id="239" w:name="_Toc12723"/>
      <w:bookmarkEnd w:id="239"/>
      <w:bookmarkStart w:id="240" w:name="OLE_LINK24"/>
      <w:bookmarkEnd w:id="240"/>
      <w:bookmarkStart w:id="241" w:name="OLE_LINK7"/>
      <w:bookmarkEnd w:id="241"/>
      <w:bookmarkStart w:id="242" w:name="OLE_LINK25"/>
      <w:r>
        <w:rPr>
          <w:rFonts w:hint="eastAsia" w:ascii="宋体" w:hAnsi="宋体" w:eastAsia="宋体" w:cs="宋体"/>
          <w:b/>
          <w:bCs/>
          <w:kern w:val="44"/>
          <w:sz w:val="32"/>
          <w:szCs w:val="32"/>
          <w:highlight w:val="none"/>
          <w:lang w:val="en-US" w:eastAsia="zh-CN" w:bidi="ar"/>
        </w:rPr>
        <w:br w:type="page"/>
      </w:r>
    </w:p>
    <w:p w14:paraId="7FD8E24C">
      <w:pPr>
        <w:keepNext/>
        <w:keepLines/>
        <w:widowControl w:val="0"/>
        <w:suppressLineNumbers w:val="0"/>
        <w:spacing w:before="200" w:beforeAutospacing="0" w:after="200" w:afterAutospacing="0" w:line="600" w:lineRule="exact"/>
        <w:ind w:left="0" w:right="0"/>
        <w:jc w:val="both"/>
        <w:outlineLvl w:val="0"/>
        <w:rPr>
          <w:rFonts w:hint="eastAsia" w:ascii="宋体" w:hAnsi="宋体" w:eastAsia="宋体" w:cs="宋体"/>
          <w:b/>
          <w:bCs/>
          <w:kern w:val="44"/>
          <w:sz w:val="32"/>
          <w:szCs w:val="32"/>
          <w:highlight w:val="none"/>
        </w:rPr>
      </w:pPr>
      <w:bookmarkStart w:id="243" w:name="_Toc32335"/>
      <w:r>
        <w:rPr>
          <w:rFonts w:hint="eastAsia" w:ascii="宋体" w:hAnsi="宋体" w:eastAsia="宋体" w:cs="宋体"/>
          <w:b/>
          <w:bCs/>
          <w:kern w:val="44"/>
          <w:sz w:val="32"/>
          <w:szCs w:val="32"/>
          <w:highlight w:val="none"/>
          <w:lang w:val="en-US" w:eastAsia="zh-CN" w:bidi="ar"/>
        </w:rPr>
        <w:t>附件1关于联合惩戒失信行为加强信用查询管理的通知</w:t>
      </w:r>
      <w:bookmarkEnd w:id="242"/>
      <w:bookmarkEnd w:id="243"/>
    </w:p>
    <w:p w14:paraId="74CD8209">
      <w:pPr>
        <w:keepNext w:val="0"/>
        <w:keepLines w:val="0"/>
        <w:widowControl w:val="0"/>
        <w:suppressLineNumbers w:val="0"/>
        <w:adjustRightInd w:val="0"/>
        <w:snapToGrid w:val="0"/>
        <w:spacing w:before="0" w:beforeAutospacing="0" w:after="0" w:afterAutospacing="0" w:line="560" w:lineRule="exact"/>
        <w:ind w:left="0" w:right="0" w:firstLine="562" w:firstLineChars="200"/>
        <w:jc w:val="both"/>
        <w:rPr>
          <w:rFonts w:hint="eastAsia" w:ascii="宋体" w:hAnsi="宋体" w:eastAsia="宋体" w:cs="宋体"/>
          <w:b/>
          <w:bCs w:val="0"/>
          <w:kern w:val="2"/>
          <w:sz w:val="28"/>
          <w:szCs w:val="28"/>
          <w:highlight w:val="none"/>
        </w:rPr>
      </w:pPr>
      <w:r>
        <w:rPr>
          <w:rFonts w:hint="eastAsia" w:ascii="宋体" w:hAnsi="宋体" w:eastAsia="宋体" w:cs="宋体"/>
          <w:b/>
          <w:bCs w:val="0"/>
          <w:kern w:val="2"/>
          <w:sz w:val="28"/>
          <w:szCs w:val="28"/>
          <w:highlight w:val="none"/>
          <w:lang w:val="en-US" w:eastAsia="zh-CN" w:bidi="ar"/>
        </w:rPr>
        <w:t>一、失信行为联合惩戒的范围和查询渠道</w:t>
      </w:r>
    </w:p>
    <w:p w14:paraId="27B382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在我市公共资源交易活动中对存在下列失信行为的投标人、法定代表人及其项目经理（建造师）实施联合惩戒，禁止参与我市公共资源交易活动。</w:t>
      </w:r>
    </w:p>
    <w:p w14:paraId="4401251F">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（一）工程建设项目</w:t>
      </w:r>
    </w:p>
    <w:p w14:paraId="42BF4C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1、“信用中国”网站（www.creditchina.gov.cn）查询</w:t>
      </w:r>
      <w:bookmarkStart w:id="244" w:name="OLE_LINK103"/>
      <w:bookmarkEnd w:id="244"/>
      <w:bookmarkStart w:id="245" w:name="OLE_LINK93"/>
      <w:bookmarkEnd w:id="245"/>
      <w:bookmarkStart w:id="246" w:name="OLE_LINK91"/>
      <w:bookmarkEnd w:id="246"/>
      <w:bookmarkStart w:id="247" w:name="OLE_LINK92"/>
      <w:r>
        <w:rPr>
          <w:rFonts w:hint="eastAsia" w:asciiTheme="minorEastAsia" w:hAnsiTheme="minorEastAsia" w:eastAsiaTheme="minorEastAsia"/>
          <w:color w:val="auto"/>
          <w:sz w:val="24"/>
          <w:highlight w:val="none"/>
          <w:lang w:val="en-US" w:eastAsia="zh-CN"/>
        </w:rPr>
        <w:t>投标人、法定代表人及其项目经理(建造师)</w:t>
      </w:r>
      <w:bookmarkEnd w:id="247"/>
      <w:r>
        <w:rPr>
          <w:rFonts w:hint="eastAsia" w:asciiTheme="minorEastAsia" w:hAnsiTheme="minorEastAsia" w:eastAsiaTheme="minorEastAsia"/>
          <w:color w:val="auto"/>
          <w:sz w:val="24"/>
          <w:highlight w:val="none"/>
          <w:lang w:val="en-US" w:eastAsia="zh-CN"/>
        </w:rPr>
        <w:t>以下失信行为：</w:t>
      </w:r>
    </w:p>
    <w:p w14:paraId="26D077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bookmarkStart w:id="248" w:name="OLE_LINK119"/>
      <w:bookmarkEnd w:id="248"/>
      <w:bookmarkStart w:id="249" w:name="OLE_LINK86"/>
      <w:bookmarkEnd w:id="249"/>
      <w:bookmarkStart w:id="250" w:name="OLE_LINK94"/>
      <w:bookmarkEnd w:id="250"/>
      <w:bookmarkStart w:id="251" w:name="OLE_LINK3"/>
      <w:bookmarkEnd w:id="251"/>
      <w:bookmarkStart w:id="252" w:name="OLE_LINK87"/>
      <w:r>
        <w:rPr>
          <w:rFonts w:hint="eastAsia" w:asciiTheme="minorEastAsia" w:hAnsiTheme="minorEastAsia" w:eastAsiaTheme="minorEastAsia"/>
          <w:color w:val="auto"/>
          <w:sz w:val="24"/>
          <w:highlight w:val="none"/>
          <w:lang w:val="en-US" w:eastAsia="zh-CN"/>
        </w:rPr>
        <w:t>①被列入“失信被执行人”的;</w:t>
      </w:r>
      <w:bookmarkEnd w:id="252"/>
    </w:p>
    <w:p w14:paraId="434A3D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②被列入</w:t>
      </w:r>
      <w:bookmarkStart w:id="253" w:name="OLE_LINK117"/>
      <w:bookmarkEnd w:id="253"/>
      <w:bookmarkStart w:id="254" w:name="OLE_LINK116"/>
      <w:bookmarkEnd w:id="254"/>
      <w:bookmarkStart w:id="255" w:name="OLE_LINK115"/>
      <w:bookmarkEnd w:id="255"/>
      <w:bookmarkStart w:id="256" w:name="OLE_LINK118"/>
      <w:r>
        <w:rPr>
          <w:rFonts w:hint="eastAsia" w:asciiTheme="minorEastAsia" w:hAnsiTheme="minorEastAsia" w:eastAsiaTheme="minorEastAsia"/>
          <w:color w:val="auto"/>
          <w:sz w:val="24"/>
          <w:highlight w:val="none"/>
          <w:lang w:val="en-US" w:eastAsia="zh-CN"/>
        </w:rPr>
        <w:t>“重大税收违法失信主体”</w:t>
      </w:r>
      <w:bookmarkEnd w:id="256"/>
      <w:r>
        <w:rPr>
          <w:rFonts w:hint="eastAsia" w:asciiTheme="minorEastAsia" w:hAnsiTheme="minorEastAsia" w:eastAsiaTheme="minorEastAsia"/>
          <w:color w:val="auto"/>
          <w:sz w:val="24"/>
          <w:highlight w:val="none"/>
          <w:lang w:val="en-US" w:eastAsia="zh-CN"/>
        </w:rPr>
        <w:t>的；</w:t>
      </w:r>
    </w:p>
    <w:p w14:paraId="4A8C77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bookmarkStart w:id="257" w:name="OLE_LINK2"/>
      <w:bookmarkEnd w:id="257"/>
      <w:bookmarkStart w:id="258" w:name="OLE_LINK1"/>
      <w:r>
        <w:rPr>
          <w:rFonts w:hint="eastAsia" w:asciiTheme="minorEastAsia" w:hAnsiTheme="minorEastAsia" w:eastAsiaTheme="minorEastAsia"/>
          <w:color w:val="auto"/>
          <w:sz w:val="24"/>
          <w:highlight w:val="none"/>
          <w:lang w:val="en-US" w:eastAsia="zh-CN"/>
        </w:rPr>
        <w:t>③被列入“拖欠</w:t>
      </w:r>
      <w:bookmarkEnd w:id="258"/>
      <w:bookmarkStart w:id="259" w:name="OLE_LINK84"/>
      <w:bookmarkEnd w:id="259"/>
      <w:bookmarkStart w:id="260" w:name="OLE_LINK85"/>
      <w:r>
        <w:rPr>
          <w:rFonts w:hint="eastAsia" w:asciiTheme="minorEastAsia" w:hAnsiTheme="minorEastAsia" w:eastAsiaTheme="minorEastAsia"/>
          <w:color w:val="auto"/>
          <w:sz w:val="24"/>
          <w:highlight w:val="none"/>
          <w:lang w:val="en-US" w:eastAsia="zh-CN"/>
        </w:rPr>
        <w:t>农民工工资失信联合惩戒对象</w:t>
      </w:r>
      <w:bookmarkEnd w:id="260"/>
      <w:r>
        <w:rPr>
          <w:rFonts w:hint="eastAsia" w:asciiTheme="minorEastAsia" w:hAnsiTheme="minorEastAsia" w:eastAsiaTheme="minorEastAsia"/>
          <w:color w:val="auto"/>
          <w:sz w:val="24"/>
          <w:highlight w:val="none"/>
          <w:lang w:val="en-US" w:eastAsia="zh-CN"/>
        </w:rPr>
        <w:t>名单”的；</w:t>
      </w:r>
    </w:p>
    <w:p w14:paraId="05F5C9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④被列入“严重失信主体名单”的；</w:t>
      </w:r>
    </w:p>
    <w:p w14:paraId="51D134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⑤在“信用中国”网站上披露的仍在公示期的严重失信行为(具体行为类别及判定依据见附件2)的。</w:t>
      </w:r>
    </w:p>
    <w:p w14:paraId="672333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bookmarkStart w:id="261" w:name="OLE_LINK130"/>
      <w:r>
        <w:rPr>
          <w:rFonts w:hint="eastAsia" w:asciiTheme="minorEastAsia" w:hAnsiTheme="minorEastAsia" w:eastAsiaTheme="minorEastAsia"/>
          <w:color w:val="auto"/>
          <w:sz w:val="24"/>
          <w:highlight w:val="none"/>
          <w:lang w:val="en-US" w:eastAsia="zh-CN"/>
        </w:rPr>
        <w:t>国家企业信用信息公示系统网站</w:t>
      </w:r>
      <w:bookmarkEnd w:id="261"/>
      <w:r>
        <w:rPr>
          <w:rFonts w:hint="eastAsia" w:asciiTheme="minorEastAsia" w:hAnsiTheme="minorEastAsia" w:eastAsiaTheme="minorEastAsia"/>
          <w:color w:val="auto"/>
          <w:sz w:val="24"/>
          <w:highlight w:val="none"/>
          <w:lang w:val="en-US" w:eastAsia="zh-CN"/>
        </w:rPr>
        <w:t>（</w:t>
      </w:r>
      <w:bookmarkStart w:id="262" w:name="OLE_LINK90"/>
      <w:bookmarkEnd w:id="262"/>
      <w:bookmarkStart w:id="263" w:name="OLE_LINK89"/>
      <w:r>
        <w:rPr>
          <w:rFonts w:hint="eastAsia" w:asciiTheme="minorEastAsia" w:hAnsiTheme="minorEastAsia" w:eastAsiaTheme="minorEastAsia"/>
          <w:color w:val="auto"/>
          <w:sz w:val="24"/>
          <w:highlight w:val="none"/>
          <w:lang w:val="en-US" w:eastAsia="zh-CN"/>
        </w:rPr>
        <w:t>www.gsxt.gov.cn</w:t>
      </w:r>
      <w:bookmarkEnd w:id="263"/>
      <w:r>
        <w:rPr>
          <w:rFonts w:hint="eastAsia" w:asciiTheme="minorEastAsia" w:hAnsiTheme="minorEastAsia" w:eastAsiaTheme="minorEastAsia"/>
          <w:color w:val="auto"/>
          <w:sz w:val="24"/>
          <w:highlight w:val="none"/>
          <w:lang w:val="en-US" w:eastAsia="zh-CN"/>
        </w:rPr>
        <w:t>）查询投标人以下失信行为：</w:t>
      </w:r>
    </w:p>
    <w:p w14:paraId="4428E9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bookmarkStart w:id="264" w:name="OLE_LINK120"/>
      <w:bookmarkEnd w:id="264"/>
      <w:bookmarkStart w:id="265" w:name="OLE_LINK121"/>
      <w:bookmarkEnd w:id="265"/>
      <w:bookmarkStart w:id="266" w:name="OLE_LINK122"/>
      <w:r>
        <w:rPr>
          <w:rFonts w:hint="eastAsia" w:asciiTheme="minorEastAsia" w:hAnsiTheme="minorEastAsia" w:eastAsiaTheme="minorEastAsia"/>
          <w:color w:val="auto"/>
          <w:sz w:val="24"/>
          <w:highlight w:val="none"/>
          <w:lang w:val="en-US" w:eastAsia="zh-CN"/>
        </w:rPr>
        <w:t>①被列入“经营异常名录”或者“严重违法失信名单”的。</w:t>
      </w:r>
      <w:bookmarkEnd w:id="266"/>
    </w:p>
    <w:p w14:paraId="429DBC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3、由投标人、法定代表人及其项目经理(建造师)进行承诺，不进行现场网上信用查询的失信行为：</w:t>
      </w:r>
    </w:p>
    <w:p w14:paraId="1B5B40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bookmarkStart w:id="267" w:name="OLE_LINK123"/>
      <w:bookmarkEnd w:id="267"/>
      <w:bookmarkStart w:id="268" w:name="OLE_LINK124"/>
      <w:r>
        <w:rPr>
          <w:rFonts w:hint="eastAsia" w:asciiTheme="minorEastAsia" w:hAnsiTheme="minorEastAsia" w:eastAsiaTheme="minorEastAsia"/>
          <w:color w:val="auto"/>
          <w:sz w:val="24"/>
          <w:highlight w:val="none"/>
          <w:lang w:val="en-US" w:eastAsia="zh-CN"/>
        </w:rPr>
        <w:t>①前三年有行贿犯罪行为的单位和个人；</w:t>
      </w:r>
      <w:bookmarkEnd w:id="268"/>
    </w:p>
    <w:p w14:paraId="5C8419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②被滁州市县两级公管部门取消在一定期限内的投标资格且在取消期限内的；</w:t>
      </w:r>
    </w:p>
    <w:p w14:paraId="3B258A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③被滁州市县两级各行业主管部门取消在一定期限内的投标资格且在取消期限内的；</w:t>
      </w:r>
    </w:p>
    <w:p w14:paraId="010B80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④因拖欠农民工工资被</w:t>
      </w:r>
      <w:bookmarkStart w:id="269" w:name="OLE_LINK107"/>
      <w:bookmarkEnd w:id="269"/>
      <w:bookmarkStart w:id="270" w:name="OLE_LINK108"/>
      <w:r>
        <w:rPr>
          <w:rFonts w:hint="eastAsia" w:asciiTheme="minorEastAsia" w:hAnsiTheme="minorEastAsia" w:eastAsiaTheme="minorEastAsia"/>
          <w:color w:val="auto"/>
          <w:sz w:val="24"/>
          <w:highlight w:val="none"/>
          <w:lang w:val="en-US" w:eastAsia="zh-CN"/>
        </w:rPr>
        <w:t>县级及以上有关行政主管部门限制投标资格且在限制期限内的</w:t>
      </w:r>
      <w:bookmarkEnd w:id="270"/>
      <w:r>
        <w:rPr>
          <w:rFonts w:hint="eastAsia" w:asciiTheme="minorEastAsia" w:hAnsiTheme="minorEastAsia" w:eastAsiaTheme="minorEastAsia"/>
          <w:color w:val="auto"/>
          <w:sz w:val="24"/>
          <w:highlight w:val="none"/>
          <w:lang w:val="en-US" w:eastAsia="zh-CN"/>
        </w:rPr>
        <w:t>；</w:t>
      </w:r>
    </w:p>
    <w:p w14:paraId="41FF82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7F1A3B13">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（二）政府采购项目</w:t>
      </w:r>
    </w:p>
    <w:p w14:paraId="495F3E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1、“信用中国”网站（www.creditchina.gov.cn）查询供应商、法定代表人及其项目负责人以下失信行为：</w:t>
      </w:r>
    </w:p>
    <w:p w14:paraId="2D2326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①被列入“失信被执行人”的;</w:t>
      </w:r>
    </w:p>
    <w:p w14:paraId="1D5CB1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②被列入“重大税收违法失信主体”的；</w:t>
      </w:r>
    </w:p>
    <w:p w14:paraId="55C35D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③被列入“严重失信主体名单”的；</w:t>
      </w:r>
    </w:p>
    <w:p w14:paraId="11B264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④在“信用中国”网站上披露的仍在公示期的严重失信行为(具体行为类别及判定依据见附件2)的；</w:t>
      </w:r>
    </w:p>
    <w:p w14:paraId="12D007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2、国家企业信用信息公示系统网站（www.gsxt.gov.cn）查询供应商以下失信行为：</w:t>
      </w:r>
    </w:p>
    <w:p w14:paraId="3B11B7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①</w:t>
      </w:r>
      <w:bookmarkStart w:id="271" w:name="OLE_LINK101"/>
      <w:bookmarkEnd w:id="271"/>
      <w:bookmarkStart w:id="272" w:name="OLE_LINK100"/>
      <w:bookmarkEnd w:id="272"/>
      <w:bookmarkStart w:id="273" w:name="OLE_LINK102"/>
      <w:r>
        <w:rPr>
          <w:rFonts w:hint="eastAsia" w:asciiTheme="minorEastAsia" w:hAnsiTheme="minorEastAsia" w:eastAsiaTheme="minorEastAsia"/>
          <w:color w:val="auto"/>
          <w:sz w:val="24"/>
          <w:highlight w:val="none"/>
          <w:lang w:val="en-US" w:eastAsia="zh-CN"/>
        </w:rPr>
        <w:t>被列入“经营异常名录”或者“严重违法失信名单”的</w:t>
      </w:r>
      <w:bookmarkEnd w:id="273"/>
      <w:r>
        <w:rPr>
          <w:rFonts w:hint="eastAsia" w:asciiTheme="minorEastAsia" w:hAnsiTheme="minorEastAsia" w:eastAsiaTheme="minorEastAsia"/>
          <w:color w:val="auto"/>
          <w:sz w:val="24"/>
          <w:highlight w:val="none"/>
          <w:lang w:val="en-US" w:eastAsia="zh-CN"/>
        </w:rPr>
        <w:t>。</w:t>
      </w:r>
    </w:p>
    <w:p w14:paraId="3D6886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3、中国政府采购网站（</w:t>
      </w:r>
      <w:bookmarkStart w:id="274" w:name="OLE_LINK95"/>
      <w:bookmarkEnd w:id="274"/>
      <w:r>
        <w:rPr>
          <w:rFonts w:hint="eastAsia" w:asciiTheme="minorEastAsia" w:hAnsiTheme="minorEastAsia" w:eastAsiaTheme="minorEastAsia"/>
          <w:color w:val="auto"/>
          <w:sz w:val="24"/>
          <w:highlight w:val="none"/>
          <w:lang w:val="en-US" w:eastAsia="zh-CN"/>
        </w:rPr>
        <w:t>www.ccgp.gov.cn）查询以下失信行为：</w:t>
      </w:r>
    </w:p>
    <w:p w14:paraId="2FC3E9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①</w:t>
      </w:r>
      <w:bookmarkStart w:id="275" w:name="OLE_LINK106"/>
      <w:bookmarkEnd w:id="275"/>
      <w:bookmarkStart w:id="276" w:name="OLE_LINK105"/>
      <w:bookmarkEnd w:id="276"/>
      <w:bookmarkStart w:id="277" w:name="OLE_LINK104"/>
      <w:r>
        <w:rPr>
          <w:rFonts w:hint="eastAsia" w:asciiTheme="minorEastAsia" w:hAnsiTheme="minorEastAsia" w:eastAsiaTheme="minorEastAsia"/>
          <w:color w:val="auto"/>
          <w:sz w:val="24"/>
          <w:highlight w:val="none"/>
          <w:lang w:val="en-US" w:eastAsia="zh-CN"/>
        </w:rPr>
        <w:t>被列入“政府采购严重违法失信行为信息记录”的</w:t>
      </w:r>
      <w:bookmarkEnd w:id="277"/>
      <w:r>
        <w:rPr>
          <w:rFonts w:hint="eastAsia" w:asciiTheme="minorEastAsia" w:hAnsiTheme="minorEastAsia" w:eastAsiaTheme="minorEastAsia"/>
          <w:color w:val="auto"/>
          <w:sz w:val="24"/>
          <w:highlight w:val="none"/>
          <w:lang w:val="en-US" w:eastAsia="zh-CN"/>
        </w:rPr>
        <w:t>。</w:t>
      </w:r>
    </w:p>
    <w:p w14:paraId="057385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4、由竞争主体进行承诺，不进行现场网上信用查询的失信行为：</w:t>
      </w:r>
    </w:p>
    <w:p w14:paraId="355771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①前三年有行贿犯罪行为的单位和个人。</w:t>
      </w:r>
    </w:p>
    <w:p w14:paraId="3CB9924D">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kern w:val="2"/>
          <w:sz w:val="24"/>
          <w:szCs w:val="24"/>
          <w:highlight w:val="none"/>
          <w:lang w:val="en-US" w:eastAsia="zh-CN" w:bidi="ar"/>
        </w:rPr>
      </w:pPr>
      <w:r>
        <w:rPr>
          <w:rFonts w:hint="eastAsia" w:ascii="宋体" w:hAnsi="宋体" w:eastAsia="宋体" w:cs="宋体"/>
          <w:b/>
          <w:bCs w:val="0"/>
          <w:kern w:val="2"/>
          <w:sz w:val="24"/>
          <w:szCs w:val="24"/>
          <w:highlight w:val="none"/>
          <w:lang w:val="en-US" w:eastAsia="zh-CN" w:bidi="ar"/>
        </w:rPr>
        <w:t>二、在开评标活动中的查询程序</w:t>
      </w:r>
    </w:p>
    <w:p w14:paraId="53E593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0D2FC6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7F6260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3、项目单位及其委托的代理机构应当做好信用查询结果截图和记录留存。</w:t>
      </w:r>
    </w:p>
    <w:p w14:paraId="55DD07DD">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kern w:val="2"/>
          <w:sz w:val="24"/>
          <w:szCs w:val="24"/>
          <w:highlight w:val="none"/>
          <w:lang w:val="en-US" w:eastAsia="zh-CN" w:bidi="ar"/>
        </w:rPr>
      </w:pPr>
      <w:r>
        <w:rPr>
          <w:rFonts w:hint="eastAsia" w:ascii="宋体" w:hAnsi="宋体" w:eastAsia="宋体" w:cs="宋体"/>
          <w:b/>
          <w:bCs w:val="0"/>
          <w:kern w:val="2"/>
          <w:sz w:val="24"/>
          <w:szCs w:val="24"/>
          <w:highlight w:val="none"/>
          <w:lang w:val="en-US" w:eastAsia="zh-CN" w:bidi="ar"/>
        </w:rPr>
        <w:t>三、相关要求</w:t>
      </w:r>
    </w:p>
    <w:p w14:paraId="4D7EB3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1、参与公共资源交易活动的竞争主体根据上述范围查询的内容进行自查并承诺，出具《诚信投标承诺书》（诚信投标承诺书包括但不限于上述自查并承诺内容）并注明承诺日期（投标截止时间前5日内）。</w:t>
      </w:r>
    </w:p>
    <w:p w14:paraId="018D2C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528AC3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信用中国(安徽)”网站信用报告核验系统(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5E62FCD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2、“信用中国”查询的严重失信行为判定依据为各行业主管部门下发的联合惩戒文件中规定的行为（按附件2执行）。</w:t>
      </w:r>
    </w:p>
    <w:p w14:paraId="365AC5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3、资格预审的项目以递交资格预审申请文件截止时间查询为准；资格后审的项目以递交投标文件截止时间查询为准。</w:t>
      </w:r>
    </w:p>
    <w:p w14:paraId="1380EC48">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w:t>
      </w:r>
    </w:p>
    <w:p w14:paraId="48F994C1">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w:t>
      </w:r>
    </w:p>
    <w:p w14:paraId="137EFDAA">
      <w:pPr>
        <w:keepNext/>
        <w:keepLines/>
        <w:widowControl w:val="0"/>
        <w:suppressLineNumbers w:val="0"/>
        <w:spacing w:before="200" w:beforeAutospacing="0" w:after="200" w:afterAutospacing="0" w:line="600" w:lineRule="exact"/>
        <w:ind w:left="0" w:right="0"/>
        <w:jc w:val="both"/>
        <w:outlineLvl w:val="0"/>
        <w:rPr>
          <w:rFonts w:hint="eastAsia" w:ascii="宋体" w:hAnsi="宋体" w:eastAsia="宋体" w:cs="宋体"/>
          <w:b/>
          <w:bCs/>
          <w:kern w:val="44"/>
          <w:sz w:val="32"/>
          <w:szCs w:val="32"/>
          <w:highlight w:val="none"/>
        </w:rPr>
      </w:pPr>
      <w:bookmarkStart w:id="278" w:name="_Toc95223549"/>
      <w:bookmarkEnd w:id="278"/>
      <w:bookmarkStart w:id="279" w:name="OLE_LINK32"/>
      <w:bookmarkEnd w:id="279"/>
      <w:bookmarkStart w:id="280" w:name="OLE_LINK41"/>
      <w:bookmarkEnd w:id="280"/>
      <w:bookmarkStart w:id="281" w:name="OLE_LINK31"/>
      <w:r>
        <w:rPr>
          <w:rFonts w:hint="eastAsia" w:ascii="宋体" w:hAnsi="宋体" w:eastAsia="宋体" w:cs="宋体"/>
          <w:b/>
          <w:bCs/>
          <w:kern w:val="44"/>
          <w:sz w:val="36"/>
          <w:szCs w:val="36"/>
          <w:highlight w:val="none"/>
          <w:lang w:val="en-US" w:eastAsia="zh-CN" w:bidi="ar"/>
        </w:rPr>
        <w:br w:type="page"/>
      </w:r>
      <w:bookmarkEnd w:id="281"/>
      <w:bookmarkStart w:id="282" w:name="_Toc6266"/>
      <w:bookmarkEnd w:id="282"/>
      <w:bookmarkStart w:id="283" w:name="_Toc29061"/>
      <w:r>
        <w:rPr>
          <w:rFonts w:hint="eastAsia" w:ascii="宋体" w:hAnsi="宋体" w:eastAsia="宋体" w:cs="宋体"/>
          <w:b/>
          <w:bCs/>
          <w:kern w:val="44"/>
          <w:sz w:val="32"/>
          <w:szCs w:val="32"/>
          <w:highlight w:val="none"/>
          <w:lang w:val="en-US" w:eastAsia="zh-CN" w:bidi="ar"/>
        </w:rPr>
        <w:t>附件2</w:t>
      </w:r>
      <w:bookmarkStart w:id="284" w:name="OLE_LINK75"/>
      <w:bookmarkEnd w:id="284"/>
      <w:bookmarkStart w:id="285" w:name="OLE_LINK74"/>
      <w:r>
        <w:rPr>
          <w:rFonts w:hint="eastAsia" w:ascii="宋体" w:hAnsi="宋体" w:eastAsia="宋体" w:cs="宋体"/>
          <w:b/>
          <w:bCs/>
          <w:kern w:val="44"/>
          <w:sz w:val="32"/>
          <w:szCs w:val="32"/>
          <w:highlight w:val="none"/>
          <w:lang w:val="en-US" w:eastAsia="zh-CN" w:bidi="ar"/>
        </w:rPr>
        <w:t>“信用中国”查询的严重失信行为</w:t>
      </w:r>
      <w:bookmarkEnd w:id="285"/>
      <w:bookmarkStart w:id="286" w:name="OLE_LINK39"/>
      <w:bookmarkEnd w:id="286"/>
      <w:bookmarkStart w:id="287" w:name="OLE_LINK40"/>
      <w:bookmarkEnd w:id="287"/>
      <w:bookmarkStart w:id="288" w:name="OLE_LINK38"/>
      <w:bookmarkEnd w:id="288"/>
      <w:bookmarkStart w:id="289" w:name="OLE_LINK76"/>
      <w:r>
        <w:rPr>
          <w:rFonts w:hint="eastAsia" w:ascii="宋体" w:hAnsi="宋体" w:eastAsia="宋体" w:cs="宋体"/>
          <w:b/>
          <w:bCs/>
          <w:kern w:val="44"/>
          <w:sz w:val="32"/>
          <w:szCs w:val="32"/>
          <w:highlight w:val="none"/>
          <w:lang w:val="en-US" w:eastAsia="zh-CN" w:bidi="ar"/>
        </w:rPr>
        <w:t>类别及判定依据</w:t>
      </w:r>
      <w:bookmarkEnd w:id="283"/>
      <w:bookmarkEnd w:id="289"/>
    </w:p>
    <w:p w14:paraId="268B2B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“信用中国”查询的严重失信行为判定依据为各行业主管部门下发的联合惩戒文件中规定的行为。下面将部分类别的严重失信行为列举如下：</w:t>
      </w:r>
    </w:p>
    <w:p w14:paraId="4E5492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82" w:firstLineChars="200"/>
        <w:jc w:val="left"/>
        <w:textAlignment w:val="auto"/>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一、安全生产领域严重失信行为：</w:t>
      </w:r>
    </w:p>
    <w:p w14:paraId="7EFF49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（一）下列发生生产安全事故的生产经营单位及其有关人员应当列入严重失信主体名单：</w:t>
      </w:r>
    </w:p>
    <w:p w14:paraId="795289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1、发生特别重大、重大生产安全事故的生产经营单位及其主要负责人，以及经调查认定对该事故发生负有责任，应当列入名单的其他单位和人员；</w:t>
      </w:r>
    </w:p>
    <w:p w14:paraId="4D4D71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2、12个月内累计发生2起以上较大生产安全事故的生产经营单位及其主要负责人；</w:t>
      </w:r>
    </w:p>
    <w:p w14:paraId="14E35F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3、发生生产安全事故，情节特别严重、影响特别恶劣，依照《中华人民共和国安全生产法》第一百一十四条的规定被处以罚款数额2倍以上5倍以下罚款的生产经营单位及其主要负责人；</w:t>
      </w:r>
    </w:p>
    <w:p w14:paraId="767098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4、瞒报、谎报生产安全事故的生产经营单位及其有关责任人员；</w:t>
      </w:r>
    </w:p>
    <w:p w14:paraId="242C36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5、发生生产安全事故后，不立即组织抢救或者在事故调查处理期间擅离职守或者逃匿的生产经营单位主要负责人。</w:t>
      </w:r>
    </w:p>
    <w:p w14:paraId="2F04E8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（二）下列未发生生产安全事故，但因安全生产违法行为，受到行政处罚的生产经营单位或者机构及其有关人员，应当列入严重失信主体名单：</w:t>
      </w:r>
    </w:p>
    <w:p w14:paraId="2C9227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1、未依法取得安全生产相关许可或者许可被暂扣、吊销期间从事相关生产经营活动的生产经营单位及其主要负责人；</w:t>
      </w:r>
    </w:p>
    <w:p w14:paraId="29E765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2、承担安全评价、认证、检测、检验职责的机构及其直接责任人员租借资质、挂靠、出具虚假报告或者证书的；</w:t>
      </w:r>
    </w:p>
    <w:p w14:paraId="39603B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3、在应急管理部门作出行政处罚后，有执行能力拒不执行或者逃避执行的生产经营单位及其主要负责人；</w:t>
      </w:r>
    </w:p>
    <w:p w14:paraId="09DF49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4、其他违反安全生产法律法规受到行政处罚，且性质恶劣、情节严重的。</w:t>
      </w:r>
    </w:p>
    <w:p w14:paraId="2FF7DD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82" w:firstLineChars="200"/>
        <w:jc w:val="left"/>
        <w:textAlignment w:val="auto"/>
        <w:rPr>
          <w:rFonts w:hint="eastAsia" w:ascii="宋体" w:hAnsi="宋体" w:eastAsia="宋体" w:cs="宋体"/>
          <w:b/>
          <w:bCs w:val="0"/>
          <w:kern w:val="2"/>
          <w:sz w:val="24"/>
          <w:szCs w:val="24"/>
          <w:highlight w:val="none"/>
          <w:lang w:val="en-US" w:eastAsia="zh-CN" w:bidi="ar"/>
        </w:rPr>
      </w:pPr>
      <w:r>
        <w:rPr>
          <w:rFonts w:hint="eastAsia" w:ascii="宋体" w:hAnsi="宋体" w:eastAsia="宋体" w:cs="宋体"/>
          <w:b/>
          <w:bCs w:val="0"/>
          <w:kern w:val="2"/>
          <w:sz w:val="24"/>
          <w:szCs w:val="24"/>
          <w:highlight w:val="none"/>
          <w:lang w:val="en-US" w:eastAsia="zh-CN" w:bidi="ar"/>
        </w:rPr>
        <w:t>依据：《安全生产严重失信主体名单管理办法》（2023年8月8日应急管理部令第11号）</w:t>
      </w:r>
    </w:p>
    <w:p w14:paraId="5B2AEF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82" w:firstLineChars="200"/>
        <w:jc w:val="left"/>
        <w:textAlignment w:val="auto"/>
        <w:rPr>
          <w:rFonts w:hint="eastAsia" w:ascii="宋体" w:hAnsi="宋体" w:eastAsia="宋体" w:cs="宋体"/>
          <w:b/>
          <w:bCs w:val="0"/>
          <w:kern w:val="2"/>
          <w:sz w:val="24"/>
          <w:szCs w:val="24"/>
          <w:highlight w:val="none"/>
          <w:lang w:val="en-US" w:eastAsia="zh-CN" w:bidi="ar"/>
        </w:rPr>
      </w:pPr>
      <w:r>
        <w:rPr>
          <w:rFonts w:hint="eastAsia" w:ascii="宋体" w:hAnsi="宋体" w:eastAsia="宋体" w:cs="宋体"/>
          <w:b/>
          <w:bCs w:val="0"/>
          <w:kern w:val="2"/>
          <w:sz w:val="24"/>
          <w:szCs w:val="24"/>
          <w:highlight w:val="none"/>
          <w:lang w:val="en-US" w:eastAsia="zh-CN" w:bidi="ar"/>
        </w:rPr>
        <w:t xml:space="preserve"> </w:t>
      </w:r>
    </w:p>
    <w:p w14:paraId="450D31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82" w:firstLineChars="200"/>
        <w:jc w:val="left"/>
        <w:textAlignment w:val="auto"/>
        <w:rPr>
          <w:rFonts w:hint="eastAsia" w:ascii="宋体" w:hAnsi="宋体" w:eastAsia="宋体" w:cs="宋体"/>
          <w:b/>
          <w:bCs w:val="0"/>
          <w:kern w:val="2"/>
          <w:sz w:val="24"/>
          <w:szCs w:val="24"/>
          <w:highlight w:val="none"/>
          <w:lang w:val="en-US" w:eastAsia="zh-CN" w:bidi="ar"/>
        </w:rPr>
      </w:pPr>
      <w:r>
        <w:rPr>
          <w:rFonts w:hint="eastAsia" w:ascii="宋体" w:hAnsi="宋体" w:eastAsia="宋体" w:cs="宋体"/>
          <w:b/>
          <w:bCs w:val="0"/>
          <w:kern w:val="2"/>
          <w:sz w:val="24"/>
          <w:szCs w:val="24"/>
          <w:highlight w:val="none"/>
          <w:lang w:val="en-US" w:eastAsia="zh-CN" w:bidi="ar"/>
        </w:rPr>
        <w:t>二、环境保护领域严重失信行为：</w:t>
      </w:r>
    </w:p>
    <w:p w14:paraId="11E910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（一）因为环境违法构成环境犯罪的；</w:t>
      </w:r>
    </w:p>
    <w:p w14:paraId="173257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（二）建设项目环境影响评价文件未按规定通过审批，擅自开工建设的；</w:t>
      </w:r>
    </w:p>
    <w:p w14:paraId="1E921C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（三）建设项目环保设施未建成、环保措施未落实、未通过竣工环保验收或者验收不合格，主体工程正式投入生产或者使用的；</w:t>
      </w:r>
    </w:p>
    <w:p w14:paraId="588240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（四）建设项目性质、规模、地点、采用的生产工艺或者防治污染、防止生态破坏的措施发生重大变动，未重新报批环境影响评价文件，擅自投入生产或者使用的；</w:t>
      </w:r>
    </w:p>
    <w:p w14:paraId="57A8B4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（五）主要污染物排放总量超过控制指标的；</w:t>
      </w:r>
    </w:p>
    <w:p w14:paraId="40214C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（六）私设暗管或者利用渗井、渗坑、裂隙、溶洞等排放、倾倒、处置水污染物，或者通过私设旁路排放</w:t>
      </w:r>
      <w:r>
        <w:rPr>
          <w:rFonts w:hint="eastAsia" w:asciiTheme="minorEastAsia" w:hAnsiTheme="minorEastAsia" w:eastAsiaTheme="minorEastAsia"/>
          <w:color w:val="auto"/>
          <w:sz w:val="24"/>
          <w:highlight w:val="none"/>
          <w:lang w:val="en-US" w:eastAsia="zh-CN"/>
        </w:rPr>
        <w:fldChar w:fldCharType="begin"/>
      </w:r>
      <w:r>
        <w:rPr>
          <w:rFonts w:hint="eastAsia" w:asciiTheme="minorEastAsia" w:hAnsiTheme="minorEastAsia" w:eastAsiaTheme="minorEastAsia"/>
          <w:color w:val="auto"/>
          <w:sz w:val="24"/>
          <w:highlight w:val="none"/>
          <w:lang w:val="en-US" w:eastAsia="zh-CN"/>
        </w:rPr>
        <w:instrText xml:space="preserve"> HYPERLINK "https://baike.sogou.com/m/fullLemma?lid=7758328&amp;g_ut=3" </w:instrText>
      </w:r>
      <w:r>
        <w:rPr>
          <w:rFonts w:hint="eastAsia" w:asciiTheme="minorEastAsia" w:hAnsiTheme="minorEastAsia" w:eastAsiaTheme="minorEastAsia"/>
          <w:color w:val="auto"/>
          <w:sz w:val="24"/>
          <w:highlight w:val="none"/>
          <w:lang w:val="en-US" w:eastAsia="zh-CN"/>
        </w:rPr>
        <w:fldChar w:fldCharType="separate"/>
      </w:r>
      <w:r>
        <w:rPr>
          <w:rFonts w:hint="eastAsia" w:asciiTheme="minorEastAsia" w:hAnsiTheme="minorEastAsia" w:eastAsiaTheme="minorEastAsia"/>
          <w:color w:val="auto"/>
          <w:sz w:val="24"/>
          <w:highlight w:val="none"/>
          <w:lang w:val="en-US" w:eastAsia="zh-CN"/>
        </w:rPr>
        <w:t>大气污染物</w:t>
      </w:r>
      <w:r>
        <w:rPr>
          <w:rFonts w:hint="eastAsia" w:asciiTheme="minorEastAsia" w:hAnsiTheme="minorEastAsia" w:eastAsiaTheme="minorEastAsia"/>
          <w:color w:val="auto"/>
          <w:sz w:val="24"/>
          <w:highlight w:val="none"/>
          <w:lang w:val="en-US" w:eastAsia="zh-CN"/>
        </w:rPr>
        <w:fldChar w:fldCharType="end"/>
      </w:r>
      <w:r>
        <w:rPr>
          <w:rFonts w:hint="eastAsia" w:asciiTheme="minorEastAsia" w:hAnsiTheme="minorEastAsia" w:eastAsiaTheme="minorEastAsia"/>
          <w:color w:val="auto"/>
          <w:sz w:val="24"/>
          <w:highlight w:val="none"/>
          <w:lang w:val="en-US" w:eastAsia="zh-CN"/>
        </w:rPr>
        <w:t>的；</w:t>
      </w:r>
    </w:p>
    <w:p w14:paraId="08D80B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（七）非法排放、倾倒、处置危险废物，或者向无</w:t>
      </w:r>
      <w:r>
        <w:rPr>
          <w:rFonts w:hint="eastAsia" w:asciiTheme="minorEastAsia" w:hAnsiTheme="minorEastAsia" w:eastAsiaTheme="minorEastAsia"/>
          <w:color w:val="auto"/>
          <w:sz w:val="24"/>
          <w:highlight w:val="none"/>
          <w:lang w:val="en-US" w:eastAsia="zh-CN"/>
        </w:rPr>
        <w:fldChar w:fldCharType="begin"/>
      </w:r>
      <w:r>
        <w:rPr>
          <w:rFonts w:hint="eastAsia" w:asciiTheme="minorEastAsia" w:hAnsiTheme="minorEastAsia" w:eastAsiaTheme="minorEastAsia"/>
          <w:color w:val="auto"/>
          <w:sz w:val="24"/>
          <w:highlight w:val="none"/>
          <w:lang w:val="en-US" w:eastAsia="zh-CN"/>
        </w:rPr>
        <w:instrText xml:space="preserve"> HYPERLINK "https://baike.sogou.com/m/fullLemma?lid=5923292&amp;g_ut=3" </w:instrText>
      </w:r>
      <w:r>
        <w:rPr>
          <w:rFonts w:hint="eastAsia" w:asciiTheme="minorEastAsia" w:hAnsiTheme="minorEastAsia" w:eastAsiaTheme="minorEastAsia"/>
          <w:color w:val="auto"/>
          <w:sz w:val="24"/>
          <w:highlight w:val="none"/>
          <w:lang w:val="en-US" w:eastAsia="zh-CN"/>
        </w:rPr>
        <w:fldChar w:fldCharType="separate"/>
      </w:r>
      <w:r>
        <w:rPr>
          <w:rFonts w:hint="eastAsia" w:asciiTheme="minorEastAsia" w:hAnsiTheme="minorEastAsia" w:eastAsiaTheme="minorEastAsia"/>
          <w:color w:val="auto"/>
          <w:sz w:val="24"/>
          <w:highlight w:val="none"/>
          <w:lang w:val="en-US" w:eastAsia="zh-CN"/>
        </w:rPr>
        <w:t>经营许可证</w:t>
      </w:r>
      <w:r>
        <w:rPr>
          <w:rFonts w:hint="eastAsia" w:asciiTheme="minorEastAsia" w:hAnsiTheme="minorEastAsia" w:eastAsiaTheme="minorEastAsia"/>
          <w:color w:val="auto"/>
          <w:sz w:val="24"/>
          <w:highlight w:val="none"/>
          <w:lang w:val="en-US" w:eastAsia="zh-CN"/>
        </w:rPr>
        <w:fldChar w:fldCharType="end"/>
      </w:r>
      <w:r>
        <w:rPr>
          <w:rFonts w:hint="eastAsia" w:asciiTheme="minorEastAsia" w:hAnsiTheme="minorEastAsia" w:eastAsiaTheme="minorEastAsia"/>
          <w:color w:val="auto"/>
          <w:sz w:val="24"/>
          <w:highlight w:val="none"/>
          <w:lang w:val="en-US" w:eastAsia="zh-CN"/>
        </w:rPr>
        <w:t>或者超出经营许可范围的单位或个人提供或者委托其收集、贮存、利用、处置危险废物的；</w:t>
      </w:r>
    </w:p>
    <w:p w14:paraId="2BE072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（八）</w:t>
      </w:r>
      <w:r>
        <w:rPr>
          <w:rFonts w:hint="eastAsia" w:asciiTheme="minorEastAsia" w:hAnsiTheme="minorEastAsia" w:eastAsiaTheme="minorEastAsia"/>
          <w:color w:val="auto"/>
          <w:sz w:val="24"/>
          <w:highlight w:val="none"/>
          <w:lang w:val="en-US" w:eastAsia="zh-CN"/>
        </w:rPr>
        <w:fldChar w:fldCharType="begin"/>
      </w:r>
      <w:r>
        <w:rPr>
          <w:rFonts w:hint="eastAsia" w:asciiTheme="minorEastAsia" w:hAnsiTheme="minorEastAsia" w:eastAsiaTheme="minorEastAsia"/>
          <w:color w:val="auto"/>
          <w:sz w:val="24"/>
          <w:highlight w:val="none"/>
          <w:lang w:val="en-US" w:eastAsia="zh-CN"/>
        </w:rPr>
        <w:instrText xml:space="preserve"> HYPERLINK "https://baike.sogou.com/m/fullLemma?lid=167759803&amp;g_ut=3" </w:instrText>
      </w:r>
      <w:r>
        <w:rPr>
          <w:rFonts w:hint="eastAsia" w:asciiTheme="minorEastAsia" w:hAnsiTheme="minorEastAsia" w:eastAsiaTheme="minorEastAsia"/>
          <w:color w:val="auto"/>
          <w:sz w:val="24"/>
          <w:highlight w:val="none"/>
          <w:lang w:val="en-US" w:eastAsia="zh-CN"/>
        </w:rPr>
        <w:fldChar w:fldCharType="separate"/>
      </w:r>
      <w:r>
        <w:rPr>
          <w:rFonts w:hint="eastAsia" w:asciiTheme="minorEastAsia" w:hAnsiTheme="minorEastAsia" w:eastAsiaTheme="minorEastAsia"/>
          <w:color w:val="auto"/>
          <w:sz w:val="24"/>
          <w:highlight w:val="none"/>
          <w:lang w:val="en-US" w:eastAsia="zh-CN"/>
        </w:rPr>
        <w:t>环境违法行为</w:t>
      </w:r>
      <w:r>
        <w:rPr>
          <w:rFonts w:hint="eastAsia" w:asciiTheme="minorEastAsia" w:hAnsiTheme="minorEastAsia" w:eastAsiaTheme="minorEastAsia"/>
          <w:color w:val="auto"/>
          <w:sz w:val="24"/>
          <w:highlight w:val="none"/>
          <w:lang w:val="en-US" w:eastAsia="zh-CN"/>
        </w:rPr>
        <w:fldChar w:fldCharType="end"/>
      </w:r>
      <w:r>
        <w:rPr>
          <w:rFonts w:hint="eastAsia" w:asciiTheme="minorEastAsia" w:hAnsiTheme="minorEastAsia" w:eastAsiaTheme="minorEastAsia"/>
          <w:color w:val="auto"/>
          <w:sz w:val="24"/>
          <w:highlight w:val="none"/>
          <w:lang w:val="en-US" w:eastAsia="zh-CN"/>
        </w:rPr>
        <w:t>造成集中式生活饮用水水源取水中断的；</w:t>
      </w:r>
    </w:p>
    <w:p w14:paraId="62188E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（九）环境违法行为对生活饮用水水源保护区、自然保护区、</w:t>
      </w:r>
      <w:r>
        <w:rPr>
          <w:rFonts w:hint="eastAsia" w:asciiTheme="minorEastAsia" w:hAnsiTheme="minorEastAsia" w:eastAsiaTheme="minorEastAsia"/>
          <w:color w:val="auto"/>
          <w:sz w:val="24"/>
          <w:highlight w:val="none"/>
          <w:lang w:val="en-US" w:eastAsia="zh-CN"/>
        </w:rPr>
        <w:fldChar w:fldCharType="begin"/>
      </w:r>
      <w:r>
        <w:rPr>
          <w:rFonts w:hint="eastAsia" w:asciiTheme="minorEastAsia" w:hAnsiTheme="minorEastAsia" w:eastAsiaTheme="minorEastAsia"/>
          <w:color w:val="auto"/>
          <w:sz w:val="24"/>
          <w:highlight w:val="none"/>
          <w:lang w:val="en-US" w:eastAsia="zh-CN"/>
        </w:rPr>
        <w:instrText xml:space="preserve"> HYPERLINK "https://baike.sogou.com/m/fullLemma?lid=155199213&amp;g_ut=3" </w:instrText>
      </w:r>
      <w:r>
        <w:rPr>
          <w:rFonts w:hint="eastAsia" w:asciiTheme="minorEastAsia" w:hAnsiTheme="minorEastAsia" w:eastAsiaTheme="minorEastAsia"/>
          <w:color w:val="auto"/>
          <w:sz w:val="24"/>
          <w:highlight w:val="none"/>
          <w:lang w:val="en-US" w:eastAsia="zh-CN"/>
        </w:rPr>
        <w:fldChar w:fldCharType="separate"/>
      </w:r>
      <w:r>
        <w:rPr>
          <w:rFonts w:hint="eastAsia" w:asciiTheme="minorEastAsia" w:hAnsiTheme="minorEastAsia" w:eastAsiaTheme="minorEastAsia"/>
          <w:color w:val="auto"/>
          <w:sz w:val="24"/>
          <w:highlight w:val="none"/>
          <w:lang w:val="en-US" w:eastAsia="zh-CN"/>
        </w:rPr>
        <w:t>国家重点生态功能区</w:t>
      </w:r>
      <w:r>
        <w:rPr>
          <w:rFonts w:hint="eastAsia" w:asciiTheme="minorEastAsia" w:hAnsiTheme="minorEastAsia" w:eastAsiaTheme="minorEastAsia"/>
          <w:color w:val="auto"/>
          <w:sz w:val="24"/>
          <w:highlight w:val="none"/>
          <w:lang w:val="en-US" w:eastAsia="zh-CN"/>
        </w:rPr>
        <w:fldChar w:fldCharType="end"/>
      </w:r>
      <w:r>
        <w:rPr>
          <w:rFonts w:hint="eastAsia" w:asciiTheme="minorEastAsia" w:hAnsiTheme="minorEastAsia" w:eastAsiaTheme="minorEastAsia"/>
          <w:color w:val="auto"/>
          <w:sz w:val="24"/>
          <w:highlight w:val="none"/>
          <w:lang w:val="en-US" w:eastAsia="zh-CN"/>
        </w:rPr>
        <w:t>、风景名胜区、居住功能区、</w:t>
      </w:r>
      <w:r>
        <w:rPr>
          <w:rFonts w:hint="eastAsia" w:asciiTheme="minorEastAsia" w:hAnsiTheme="minorEastAsia" w:eastAsiaTheme="minorEastAsia"/>
          <w:color w:val="auto"/>
          <w:sz w:val="24"/>
          <w:highlight w:val="none"/>
          <w:lang w:val="en-US" w:eastAsia="zh-CN"/>
        </w:rPr>
        <w:fldChar w:fldCharType="begin"/>
      </w:r>
      <w:r>
        <w:rPr>
          <w:rFonts w:hint="eastAsia" w:asciiTheme="minorEastAsia" w:hAnsiTheme="minorEastAsia" w:eastAsiaTheme="minorEastAsia"/>
          <w:color w:val="auto"/>
          <w:sz w:val="24"/>
          <w:highlight w:val="none"/>
          <w:lang w:val="en-US" w:eastAsia="zh-CN"/>
        </w:rPr>
        <w:instrText xml:space="preserve"> HYPERLINK "https://baike.sogou.com/m/fullLemma?lid=7757164&amp;g_ut=3" </w:instrText>
      </w:r>
      <w:r>
        <w:rPr>
          <w:rFonts w:hint="eastAsia" w:asciiTheme="minorEastAsia" w:hAnsiTheme="minorEastAsia" w:eastAsiaTheme="minorEastAsia"/>
          <w:color w:val="auto"/>
          <w:sz w:val="24"/>
          <w:highlight w:val="none"/>
          <w:lang w:val="en-US" w:eastAsia="zh-CN"/>
        </w:rPr>
        <w:fldChar w:fldCharType="separate"/>
      </w:r>
      <w:r>
        <w:rPr>
          <w:rFonts w:hint="eastAsia" w:asciiTheme="minorEastAsia" w:hAnsiTheme="minorEastAsia" w:eastAsiaTheme="minorEastAsia"/>
          <w:color w:val="auto"/>
          <w:sz w:val="24"/>
          <w:highlight w:val="none"/>
          <w:lang w:val="en-US" w:eastAsia="zh-CN"/>
        </w:rPr>
        <w:t>基本农田保护区</w:t>
      </w:r>
      <w:r>
        <w:rPr>
          <w:rFonts w:hint="eastAsia" w:asciiTheme="minorEastAsia" w:hAnsiTheme="minorEastAsia" w:eastAsiaTheme="minorEastAsia"/>
          <w:color w:val="auto"/>
          <w:sz w:val="24"/>
          <w:highlight w:val="none"/>
          <w:lang w:val="en-US" w:eastAsia="zh-CN"/>
        </w:rPr>
        <w:fldChar w:fldCharType="end"/>
      </w:r>
      <w:r>
        <w:rPr>
          <w:rFonts w:hint="eastAsia" w:asciiTheme="minorEastAsia" w:hAnsiTheme="minorEastAsia" w:eastAsiaTheme="minorEastAsia"/>
          <w:color w:val="auto"/>
          <w:sz w:val="24"/>
          <w:highlight w:val="none"/>
          <w:lang w:val="en-US" w:eastAsia="zh-CN"/>
        </w:rPr>
        <w:t>等环境敏感区造成重大不利影响的；</w:t>
      </w:r>
    </w:p>
    <w:p w14:paraId="59F7FC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（十）违法从事自然资源开发、交通基础设施建设，以及其他开发建设活动，造成严重生态破坏的；</w:t>
      </w:r>
    </w:p>
    <w:p w14:paraId="429F2E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（十一）发生较大及以上突发环境事件的；</w:t>
      </w:r>
    </w:p>
    <w:p w14:paraId="2573B4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（十二）被环保部门挂牌督办，整改逾期未完成的；</w:t>
      </w:r>
    </w:p>
    <w:p w14:paraId="240605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（十三）以暴力、威胁等方式拒绝、阻挠环保部门工作人员现场检查的；</w:t>
      </w:r>
    </w:p>
    <w:p w14:paraId="39DBA5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（十四）违反重污染天气应急预案有关规定，对重污染天气响应不力的。</w:t>
      </w:r>
    </w:p>
    <w:p w14:paraId="285076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82" w:firstLineChars="200"/>
        <w:jc w:val="left"/>
        <w:textAlignment w:val="auto"/>
        <w:rPr>
          <w:rFonts w:hint="eastAsia" w:ascii="宋体" w:hAnsi="宋体" w:eastAsia="宋体" w:cs="宋体"/>
          <w:b/>
          <w:bCs w:val="0"/>
          <w:kern w:val="2"/>
          <w:sz w:val="24"/>
          <w:szCs w:val="24"/>
          <w:highlight w:val="none"/>
          <w:lang w:val="en-US" w:eastAsia="zh-CN" w:bidi="ar"/>
        </w:rPr>
      </w:pPr>
      <w:r>
        <w:rPr>
          <w:rFonts w:hint="eastAsia" w:ascii="宋体" w:hAnsi="宋体" w:eastAsia="宋体" w:cs="宋体"/>
          <w:b/>
          <w:bCs w:val="0"/>
          <w:kern w:val="2"/>
          <w:sz w:val="24"/>
          <w:szCs w:val="24"/>
          <w:highlight w:val="none"/>
          <w:lang w:val="en-US" w:eastAsia="zh-CN" w:bidi="ar"/>
        </w:rPr>
        <w:t>依据：《</w:t>
      </w:r>
      <w:bookmarkStart w:id="290" w:name="OLE_LINK9"/>
      <w:bookmarkEnd w:id="290"/>
      <w:bookmarkStart w:id="291" w:name="OLE_LINK10"/>
      <w:bookmarkEnd w:id="291"/>
      <w:bookmarkStart w:id="292" w:name="OLE_LINK8"/>
      <w:r>
        <w:rPr>
          <w:rFonts w:hint="eastAsia" w:ascii="宋体" w:hAnsi="宋体" w:eastAsia="宋体" w:cs="宋体"/>
          <w:b/>
          <w:bCs w:val="0"/>
          <w:kern w:val="2"/>
          <w:sz w:val="24"/>
          <w:szCs w:val="24"/>
          <w:highlight w:val="none"/>
          <w:lang w:val="en-US" w:eastAsia="zh-CN" w:bidi="ar"/>
        </w:rPr>
        <w:t>关于对环境保护领域失信生产经营单位及其有关人员开展联合惩戒的合作备忘录</w:t>
      </w:r>
      <w:bookmarkEnd w:id="292"/>
      <w:r>
        <w:rPr>
          <w:rFonts w:hint="eastAsia" w:ascii="宋体" w:hAnsi="宋体" w:eastAsia="宋体" w:cs="宋体"/>
          <w:b/>
          <w:bCs w:val="0"/>
          <w:kern w:val="2"/>
          <w:sz w:val="24"/>
          <w:szCs w:val="24"/>
          <w:highlight w:val="none"/>
          <w:lang w:val="en-US" w:eastAsia="zh-CN" w:bidi="ar"/>
        </w:rPr>
        <w:t>》、《</w:t>
      </w:r>
      <w:bookmarkStart w:id="293" w:name="OLE_LINK12"/>
      <w:bookmarkEnd w:id="293"/>
      <w:bookmarkStart w:id="294" w:name="OLE_LINK11"/>
      <w:r>
        <w:rPr>
          <w:rFonts w:hint="eastAsia" w:ascii="宋体" w:hAnsi="宋体" w:eastAsia="宋体" w:cs="宋体"/>
          <w:b/>
          <w:bCs w:val="0"/>
          <w:kern w:val="2"/>
          <w:sz w:val="24"/>
          <w:szCs w:val="24"/>
          <w:highlight w:val="none"/>
          <w:lang w:val="en-US" w:eastAsia="zh-CN" w:bidi="ar"/>
        </w:rPr>
        <w:t>企业环境信用评价办法（试行）</w:t>
      </w:r>
      <w:bookmarkEnd w:id="294"/>
      <w:r>
        <w:rPr>
          <w:rFonts w:hint="eastAsia" w:ascii="宋体" w:hAnsi="宋体" w:eastAsia="宋体" w:cs="宋体"/>
          <w:b/>
          <w:bCs w:val="0"/>
          <w:kern w:val="2"/>
          <w:sz w:val="24"/>
          <w:szCs w:val="24"/>
          <w:highlight w:val="none"/>
          <w:lang w:val="en-US" w:eastAsia="zh-CN" w:bidi="ar"/>
        </w:rPr>
        <w:t>》（环发〔2013〕150号）</w:t>
      </w:r>
    </w:p>
    <w:p w14:paraId="67AAA0E0">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宋体" w:hAnsi="宋体" w:eastAsia="宋体" w:cs="宋体"/>
          <w:b/>
          <w:bCs w:val="0"/>
          <w:kern w:val="2"/>
          <w:sz w:val="28"/>
          <w:szCs w:val="28"/>
          <w:highlight w:val="none"/>
        </w:rPr>
      </w:pPr>
      <w:r>
        <w:rPr>
          <w:rFonts w:hint="eastAsia" w:ascii="宋体" w:hAnsi="宋体" w:eastAsia="宋体" w:cs="宋体"/>
          <w:b/>
          <w:bCs w:val="0"/>
          <w:kern w:val="2"/>
          <w:sz w:val="28"/>
          <w:szCs w:val="28"/>
          <w:highlight w:val="none"/>
          <w:lang w:val="en-US" w:eastAsia="zh-CN" w:bidi="ar"/>
        </w:rPr>
        <w:t xml:space="preserve"> </w:t>
      </w:r>
    </w:p>
    <w:p w14:paraId="354319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82" w:firstLineChars="200"/>
        <w:jc w:val="left"/>
        <w:textAlignment w:val="auto"/>
        <w:rPr>
          <w:rFonts w:hint="eastAsia" w:ascii="宋体" w:hAnsi="宋体" w:eastAsia="宋体" w:cs="宋体"/>
          <w:b/>
          <w:bCs w:val="0"/>
          <w:kern w:val="2"/>
          <w:sz w:val="24"/>
          <w:szCs w:val="24"/>
          <w:highlight w:val="none"/>
          <w:lang w:val="en-US" w:eastAsia="zh-CN" w:bidi="ar"/>
        </w:rPr>
      </w:pPr>
      <w:r>
        <w:rPr>
          <w:rFonts w:hint="eastAsia" w:ascii="宋体" w:hAnsi="宋体" w:eastAsia="宋体" w:cs="宋体"/>
          <w:b/>
          <w:bCs w:val="0"/>
          <w:kern w:val="2"/>
          <w:sz w:val="24"/>
          <w:szCs w:val="24"/>
          <w:highlight w:val="none"/>
          <w:lang w:val="en-US" w:eastAsia="zh-CN" w:bidi="ar"/>
        </w:rPr>
        <w:t>三、公共资源交易领域严重失信行为</w:t>
      </w:r>
    </w:p>
    <w:p w14:paraId="03CD8E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（一）违反法律规定，必须进行招标的项目而不招标的，将必须进行招标的项目化整为零或者以其他任何方式规避招标的；</w:t>
      </w:r>
    </w:p>
    <w:p w14:paraId="5760A6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（二）招标代理机构违反法律规定，泄露应当保密的与招标投标活动有关的情况和资料的，或者与招标人、投标人串通损害国家利益、社会公共利益或者他人合法权益的；</w:t>
      </w:r>
    </w:p>
    <w:p w14:paraId="10F41C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（三）招标人以不合理的条件限制或者排斥潜在投标人的，对潜在投标人实行歧视待遇的，强制要求投标人组成联合体共同投标的，或者限制投标人之间竞争的；</w:t>
      </w:r>
    </w:p>
    <w:p w14:paraId="329EA2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（四）依法必须进行招标的项目的招标人向他人透露已获取招标文件的潜在投标人的名称、数量或者可能影响公平竞争的有关招标投标的其他情况的，或者泄露标底的；</w:t>
      </w:r>
    </w:p>
    <w:p w14:paraId="15AF26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（五）投标人相互串通投标或者与招标人串通投标的，投标人以向招标人或者评标委员会成员行贿的手段谋取中标的；</w:t>
      </w:r>
    </w:p>
    <w:p w14:paraId="0183FE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（六）投标人以他人名义投标或者以其他方式弄虚作假，骗取中标的；</w:t>
      </w:r>
    </w:p>
    <w:p w14:paraId="0C7AE0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（七）依法必须进行招标的项目，招标人违反法律规定，与投标人就投标价格、投标方案等实质性内容进行谈判的；</w:t>
      </w:r>
    </w:p>
    <w:p w14:paraId="0CB9F1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（八）评标委员会成员收受投标人的财物或者其他好处的，评标委员会成员或者参加评标的有关工作人员向他人透露对投标文件的评审和比较、中标候选人的推荐以及与评标有关的其他情况的；</w:t>
      </w:r>
    </w:p>
    <w:p w14:paraId="39AF89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（九）招标人在评标委员会依法推荐的中标候选人以外确定中标人的，依法必须进行招标的项目在所有投标被评标委员会否决后自行确定中标人的；</w:t>
      </w:r>
    </w:p>
    <w:p w14:paraId="4551B2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（十）中标人将中标项目转让给他人的，将中标项目肢解后分别转让给他人的，违反法律规定将中标项目的部分主体、关键性工作分包给他人的，或者分包人再次分包的；</w:t>
      </w:r>
    </w:p>
    <w:p w14:paraId="40B05D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（十一）招标人与中标人不按照招标文件和中标人的投标文件订立合同的，或者招标人、中标人订立背离合同实质性内容的协议的；</w:t>
      </w:r>
    </w:p>
    <w:p w14:paraId="5C93F3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（十二）中标人不按照与招标人订立的合同履行义务，情节严重的；</w:t>
      </w:r>
    </w:p>
    <w:p w14:paraId="4091EE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3CA01E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1B2C71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（十五）采购人对应当实行集中采购的政府采购项目，不委托集中采购机构实行集中采购的；</w:t>
      </w:r>
    </w:p>
    <w:p w14:paraId="380AD3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（十六）采购人、采购代理机构违反法律规定隐匿、销毁应当保存的采购文件或者伪造、变造采购文件的；</w:t>
      </w:r>
    </w:p>
    <w:p w14:paraId="0CBB73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w:t>
      </w:r>
    </w:p>
    <w:p w14:paraId="18AF5A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（十八）疫苗生产企业向县级疾病预防控制机构以外的单位或者个人销售第二类疫苗的；</w:t>
      </w:r>
    </w:p>
    <w:p w14:paraId="2DC816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（十九）存在其他违反公共资源交易法律法规行为的。</w:t>
      </w:r>
    </w:p>
    <w:p w14:paraId="3FD9BE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82" w:firstLineChars="200"/>
        <w:jc w:val="left"/>
        <w:textAlignment w:val="auto"/>
        <w:rPr>
          <w:rFonts w:hint="eastAsia" w:ascii="宋体" w:hAnsi="宋体" w:eastAsia="宋体" w:cs="宋体"/>
          <w:b/>
          <w:bCs w:val="0"/>
          <w:kern w:val="2"/>
          <w:sz w:val="24"/>
          <w:szCs w:val="24"/>
          <w:highlight w:val="none"/>
          <w:lang w:val="en-US" w:eastAsia="zh-CN" w:bidi="ar"/>
        </w:rPr>
      </w:pPr>
      <w:r>
        <w:rPr>
          <w:rFonts w:hint="eastAsia" w:ascii="宋体" w:hAnsi="宋体" w:eastAsia="宋体" w:cs="宋体"/>
          <w:b/>
          <w:bCs w:val="0"/>
          <w:kern w:val="2"/>
          <w:sz w:val="24"/>
          <w:szCs w:val="24"/>
          <w:highlight w:val="none"/>
          <w:lang w:val="en-US" w:eastAsia="zh-CN" w:bidi="ar"/>
        </w:rPr>
        <w:t>依据：《</w:t>
      </w:r>
      <w:bookmarkStart w:id="295" w:name="OLE_LINK13"/>
      <w:bookmarkEnd w:id="295"/>
      <w:bookmarkStart w:id="296" w:name="OLE_LINK14"/>
      <w:r>
        <w:rPr>
          <w:rFonts w:hint="eastAsia" w:ascii="宋体" w:hAnsi="宋体" w:eastAsia="宋体" w:cs="宋体"/>
          <w:b/>
          <w:bCs w:val="0"/>
          <w:kern w:val="2"/>
          <w:sz w:val="24"/>
          <w:szCs w:val="24"/>
          <w:highlight w:val="none"/>
          <w:lang w:val="en-US" w:eastAsia="zh-CN" w:bidi="ar"/>
        </w:rPr>
        <w:t>关于对公共资源交易领域严重失信主体开展联合惩戒的备忘录</w:t>
      </w:r>
      <w:bookmarkEnd w:id="296"/>
      <w:r>
        <w:rPr>
          <w:rFonts w:hint="eastAsia" w:ascii="宋体" w:hAnsi="宋体" w:eastAsia="宋体" w:cs="宋体"/>
          <w:b/>
          <w:bCs w:val="0"/>
          <w:kern w:val="2"/>
          <w:sz w:val="24"/>
          <w:szCs w:val="24"/>
          <w:highlight w:val="none"/>
          <w:lang w:val="en-US" w:eastAsia="zh-CN" w:bidi="ar"/>
        </w:rPr>
        <w:t>》（发改法规〔2018〕457号）</w:t>
      </w:r>
    </w:p>
    <w:p w14:paraId="2471E455">
      <w:pPr>
        <w:keepNext w:val="0"/>
        <w:keepLines w:val="0"/>
        <w:widowControl w:val="0"/>
        <w:suppressLineNumbers w:val="0"/>
        <w:adjustRightInd w:val="0"/>
        <w:snapToGrid w:val="0"/>
        <w:spacing w:before="0" w:beforeAutospacing="0" w:after="0" w:afterAutospacing="0" w:line="560" w:lineRule="exact"/>
        <w:ind w:left="0" w:right="0" w:firstLine="645"/>
        <w:jc w:val="left"/>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bidi="ar"/>
        </w:rPr>
        <w:t xml:space="preserve"> </w:t>
      </w:r>
    </w:p>
    <w:p w14:paraId="12EB54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82" w:firstLineChars="200"/>
        <w:jc w:val="left"/>
        <w:textAlignment w:val="auto"/>
        <w:rPr>
          <w:rFonts w:hint="eastAsia" w:ascii="宋体" w:hAnsi="宋体" w:eastAsia="宋体" w:cs="宋体"/>
          <w:b/>
          <w:bCs w:val="0"/>
          <w:kern w:val="2"/>
          <w:sz w:val="24"/>
          <w:szCs w:val="24"/>
          <w:highlight w:val="none"/>
          <w:lang w:val="en-US" w:eastAsia="zh-CN" w:bidi="ar"/>
        </w:rPr>
      </w:pPr>
      <w:r>
        <w:rPr>
          <w:rFonts w:hint="eastAsia" w:ascii="宋体" w:hAnsi="宋体" w:eastAsia="宋体" w:cs="宋体"/>
          <w:b/>
          <w:bCs w:val="0"/>
          <w:kern w:val="2"/>
          <w:sz w:val="24"/>
          <w:szCs w:val="24"/>
          <w:highlight w:val="none"/>
          <w:lang w:val="en-US" w:eastAsia="zh-CN" w:bidi="ar"/>
        </w:rPr>
        <w:t>四、社会保险领域严重失信行为</w:t>
      </w:r>
    </w:p>
    <w:p w14:paraId="412A3D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（一）用人单位未按相关规定参加社会保险且拒不整改的；</w:t>
      </w:r>
    </w:p>
    <w:p w14:paraId="6D499D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（二）用人单位未如实申报社会保险缴费基数且拒不整改的；</w:t>
      </w:r>
    </w:p>
    <w:p w14:paraId="2A3459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（三）应缴纳社会保险费却拒不缴纳的；</w:t>
      </w:r>
    </w:p>
    <w:p w14:paraId="264869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（四）隐匿、转移、侵占、挪用社会保险费款、基金或者违规投资运营的；</w:t>
      </w:r>
    </w:p>
    <w:p w14:paraId="5AA3B8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（五）以欺诈、伪造证明材料或者其他手段参加、申报社会保险和骗取社会保险基金支出或社会保险待遇的；</w:t>
      </w:r>
    </w:p>
    <w:p w14:paraId="60613B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（六）非法获取、出售或变相交易社会保险个人权益数据的；</w:t>
      </w:r>
    </w:p>
    <w:p w14:paraId="3CA057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（七）社会保险服务机构违反服务协议或相关规定的；</w:t>
      </w:r>
    </w:p>
    <w:p w14:paraId="7C8F22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（八）拒绝协助社会保险行政部门、经办机构对事故和问题进行调查核实的；拒绝接受或协助税务部门对社会保险实施监督检查，不如实提供与社会保险相关各项资料的；</w:t>
      </w:r>
    </w:p>
    <w:p w14:paraId="069C8E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（九）其他违反法律法规规定的。</w:t>
      </w:r>
    </w:p>
    <w:p w14:paraId="68B822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82" w:firstLineChars="200"/>
        <w:jc w:val="left"/>
        <w:textAlignment w:val="auto"/>
        <w:rPr>
          <w:rFonts w:hint="eastAsia" w:ascii="宋体" w:hAnsi="宋体" w:eastAsia="宋体" w:cs="宋体"/>
          <w:b/>
          <w:bCs w:val="0"/>
          <w:kern w:val="2"/>
          <w:sz w:val="24"/>
          <w:szCs w:val="24"/>
          <w:highlight w:val="none"/>
          <w:lang w:val="en-US" w:eastAsia="zh-CN" w:bidi="ar"/>
        </w:rPr>
      </w:pPr>
      <w:r>
        <w:rPr>
          <w:rFonts w:hint="eastAsia" w:ascii="宋体" w:hAnsi="宋体" w:eastAsia="宋体" w:cs="宋体"/>
          <w:b/>
          <w:bCs w:val="0"/>
          <w:kern w:val="2"/>
          <w:sz w:val="24"/>
          <w:szCs w:val="24"/>
          <w:highlight w:val="none"/>
          <w:lang w:val="en-US" w:eastAsia="zh-CN" w:bidi="ar"/>
        </w:rPr>
        <w:t>依据：《</w:t>
      </w:r>
      <w:bookmarkStart w:id="297" w:name="OLE_LINK16"/>
      <w:bookmarkEnd w:id="297"/>
      <w:bookmarkStart w:id="298" w:name="OLE_LINK15"/>
      <w:r>
        <w:rPr>
          <w:rFonts w:hint="eastAsia" w:ascii="宋体" w:hAnsi="宋体" w:eastAsia="宋体" w:cs="宋体"/>
          <w:b/>
          <w:bCs w:val="0"/>
          <w:kern w:val="2"/>
          <w:sz w:val="24"/>
          <w:szCs w:val="24"/>
          <w:highlight w:val="none"/>
          <w:lang w:val="en-US" w:eastAsia="zh-CN" w:bidi="ar"/>
        </w:rPr>
        <w:t>关于对社会保险领域严重失信企业及其有关人员实施联合惩戒的合作备忘录</w:t>
      </w:r>
      <w:bookmarkEnd w:id="298"/>
      <w:r>
        <w:rPr>
          <w:rFonts w:hint="eastAsia" w:ascii="宋体" w:hAnsi="宋体" w:eastAsia="宋体" w:cs="宋体"/>
          <w:b/>
          <w:bCs w:val="0"/>
          <w:kern w:val="2"/>
          <w:sz w:val="24"/>
          <w:szCs w:val="24"/>
          <w:highlight w:val="none"/>
          <w:lang w:val="en-US" w:eastAsia="zh-CN" w:bidi="ar"/>
        </w:rPr>
        <w:t>》（发改财金〔2018〕1704号）</w:t>
      </w:r>
    </w:p>
    <w:p w14:paraId="074921B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bidi="ar"/>
        </w:rPr>
        <w:t xml:space="preserve"> </w:t>
      </w:r>
    </w:p>
    <w:p w14:paraId="76409C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82" w:firstLineChars="200"/>
        <w:jc w:val="left"/>
        <w:textAlignment w:val="auto"/>
        <w:rPr>
          <w:rFonts w:hint="eastAsia" w:ascii="宋体" w:hAnsi="宋体" w:eastAsia="宋体" w:cs="宋体"/>
          <w:b/>
          <w:bCs w:val="0"/>
          <w:kern w:val="2"/>
          <w:sz w:val="24"/>
          <w:szCs w:val="24"/>
          <w:highlight w:val="none"/>
          <w:lang w:val="en-US" w:eastAsia="zh-CN" w:bidi="ar"/>
        </w:rPr>
      </w:pPr>
      <w:r>
        <w:rPr>
          <w:rFonts w:hint="eastAsia" w:ascii="宋体" w:hAnsi="宋体" w:eastAsia="宋体" w:cs="宋体"/>
          <w:b/>
          <w:bCs w:val="0"/>
          <w:kern w:val="2"/>
          <w:sz w:val="24"/>
          <w:szCs w:val="24"/>
          <w:highlight w:val="none"/>
          <w:lang w:val="en-US" w:eastAsia="zh-CN" w:bidi="ar"/>
        </w:rPr>
        <w:t>五、建筑市场领域严重失信行为</w:t>
      </w:r>
    </w:p>
    <w:p w14:paraId="13FDE0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（一）利用虚假材料、以欺骗手段取得企业资质的；</w:t>
      </w:r>
    </w:p>
    <w:p w14:paraId="28D6F7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（二）发生转包、出借资质，受到行政处罚的；</w:t>
      </w:r>
    </w:p>
    <w:p w14:paraId="573BD2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（三）发生重大及以上工程质量安全事故，或1年内累计发生2次及以上较大工程质量安全事故，或发生性质恶劣、危害性严重、社会影响大的较大工程质量安全事故，受到行政处罚的；</w:t>
      </w:r>
    </w:p>
    <w:p w14:paraId="3E6E73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（四）经法院判决或仲裁机构裁决，认定为拖欠工程款,且拒不履行生效法律文书确定的义务的。</w:t>
      </w:r>
    </w:p>
    <w:p w14:paraId="1DA64A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各级住房城乡建设主管部门应当参照建筑市场主体“黑名单”，对被人力资源社会保障行政部门列入拖欠农民工工资“黑名单”的建筑市场各方主体加强监管。</w:t>
      </w:r>
    </w:p>
    <w:p w14:paraId="55AF99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82" w:firstLineChars="200"/>
        <w:jc w:val="left"/>
        <w:textAlignment w:val="auto"/>
        <w:rPr>
          <w:rFonts w:hint="eastAsia" w:ascii="宋体" w:hAnsi="宋体" w:eastAsia="宋体" w:cs="宋体"/>
          <w:b/>
          <w:bCs w:val="0"/>
          <w:kern w:val="2"/>
          <w:sz w:val="24"/>
          <w:szCs w:val="24"/>
          <w:highlight w:val="none"/>
          <w:lang w:val="en-US" w:eastAsia="zh-CN" w:bidi="ar"/>
        </w:rPr>
      </w:pPr>
      <w:r>
        <w:rPr>
          <w:rFonts w:hint="eastAsia" w:ascii="宋体" w:hAnsi="宋体" w:eastAsia="宋体" w:cs="宋体"/>
          <w:b/>
          <w:bCs w:val="0"/>
          <w:kern w:val="2"/>
          <w:sz w:val="24"/>
          <w:szCs w:val="24"/>
          <w:highlight w:val="none"/>
          <w:lang w:val="en-US" w:eastAsia="zh-CN" w:bidi="ar"/>
        </w:rPr>
        <w:t>依据：《</w:t>
      </w:r>
      <w:bookmarkStart w:id="299" w:name="OLE_LINK18"/>
      <w:bookmarkEnd w:id="299"/>
      <w:bookmarkStart w:id="300" w:name="OLE_LINK17"/>
      <w:r>
        <w:rPr>
          <w:rFonts w:hint="eastAsia" w:ascii="宋体" w:hAnsi="宋体" w:eastAsia="宋体" w:cs="宋体"/>
          <w:b/>
          <w:bCs w:val="0"/>
          <w:kern w:val="2"/>
          <w:sz w:val="24"/>
          <w:szCs w:val="24"/>
          <w:highlight w:val="none"/>
          <w:lang w:val="en-US" w:eastAsia="zh-CN" w:bidi="ar"/>
        </w:rPr>
        <w:t>建筑市场信用管理暂行办法</w:t>
      </w:r>
      <w:bookmarkEnd w:id="300"/>
      <w:r>
        <w:rPr>
          <w:rFonts w:hint="eastAsia" w:ascii="宋体" w:hAnsi="宋体" w:eastAsia="宋体" w:cs="宋体"/>
          <w:b/>
          <w:bCs w:val="0"/>
          <w:kern w:val="2"/>
          <w:sz w:val="24"/>
          <w:szCs w:val="24"/>
          <w:highlight w:val="none"/>
          <w:lang w:val="en-US" w:eastAsia="zh-CN" w:bidi="ar"/>
        </w:rPr>
        <w:t>》（建市〔2017〕241号）</w:t>
      </w:r>
    </w:p>
    <w:p w14:paraId="4AC2D6A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b/>
          <w:bCs w:val="0"/>
          <w:kern w:val="2"/>
          <w:sz w:val="28"/>
          <w:szCs w:val="28"/>
          <w:highlight w:val="none"/>
        </w:rPr>
      </w:pPr>
      <w:r>
        <w:rPr>
          <w:rFonts w:hint="eastAsia" w:ascii="宋体" w:hAnsi="宋体" w:eastAsia="宋体" w:cs="宋体"/>
          <w:b/>
          <w:bCs w:val="0"/>
          <w:kern w:val="2"/>
          <w:sz w:val="28"/>
          <w:szCs w:val="28"/>
          <w:highlight w:val="none"/>
          <w:lang w:val="en-US" w:eastAsia="zh-CN" w:bidi="ar"/>
        </w:rPr>
        <w:t xml:space="preserve"> </w:t>
      </w:r>
    </w:p>
    <w:p w14:paraId="44A3AA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82" w:firstLineChars="200"/>
        <w:jc w:val="left"/>
        <w:textAlignment w:val="auto"/>
        <w:rPr>
          <w:rFonts w:hint="eastAsia" w:ascii="宋体" w:hAnsi="宋体" w:eastAsia="宋体" w:cs="宋体"/>
          <w:b/>
          <w:bCs w:val="0"/>
          <w:kern w:val="2"/>
          <w:sz w:val="24"/>
          <w:szCs w:val="24"/>
          <w:highlight w:val="none"/>
          <w:lang w:val="en-US" w:eastAsia="zh-CN" w:bidi="ar"/>
        </w:rPr>
      </w:pPr>
      <w:r>
        <w:rPr>
          <w:rFonts w:hint="eastAsia" w:ascii="宋体" w:hAnsi="宋体" w:eastAsia="宋体" w:cs="宋体"/>
          <w:b/>
          <w:bCs w:val="0"/>
          <w:kern w:val="2"/>
          <w:sz w:val="24"/>
          <w:szCs w:val="24"/>
          <w:highlight w:val="none"/>
          <w:lang w:val="en-US" w:eastAsia="zh-CN" w:bidi="ar"/>
        </w:rPr>
        <w:t>六、</w:t>
      </w:r>
      <w:bookmarkStart w:id="301" w:name="OLE_LINK20"/>
      <w:bookmarkEnd w:id="301"/>
      <w:bookmarkStart w:id="302" w:name="OLE_LINK19"/>
      <w:r>
        <w:rPr>
          <w:rFonts w:hint="eastAsia" w:ascii="宋体" w:hAnsi="宋体" w:eastAsia="宋体" w:cs="宋体"/>
          <w:b/>
          <w:bCs w:val="0"/>
          <w:kern w:val="2"/>
          <w:sz w:val="24"/>
          <w:szCs w:val="24"/>
          <w:highlight w:val="none"/>
          <w:lang w:val="en-US" w:eastAsia="zh-CN" w:bidi="ar"/>
        </w:rPr>
        <w:t>政府采购严重失信行为</w:t>
      </w:r>
      <w:bookmarkEnd w:id="302"/>
    </w:p>
    <w:p w14:paraId="1874EA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供应商、采购代理机构在三年内受到财政部门作出下列情形之一的行政处罚，列入政府采购严重违法失信行为记录名单。</w:t>
      </w:r>
    </w:p>
    <w:p w14:paraId="0131C3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（一）三万元以上罚款；</w:t>
      </w:r>
    </w:p>
    <w:p w14:paraId="02B304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（二）在一至三年内禁止参加政府采购活动（处罚期限届满的除外）；</w:t>
      </w:r>
    </w:p>
    <w:p w14:paraId="3A7072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（三）在一至三年内禁止代理政府采购业务（处罚期限届满的除外）；</w:t>
      </w:r>
    </w:p>
    <w:p w14:paraId="137EBF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（四）撤销政府采购代理机构资格（仅针对《政府采购法》第78条修改前作出的处罚决定）。</w:t>
      </w:r>
    </w:p>
    <w:p w14:paraId="39794F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82" w:firstLineChars="200"/>
        <w:jc w:val="left"/>
        <w:textAlignment w:val="auto"/>
        <w:rPr>
          <w:rFonts w:hint="eastAsia" w:ascii="宋体" w:hAnsi="宋体" w:eastAsia="宋体" w:cs="宋体"/>
          <w:b/>
          <w:bCs w:val="0"/>
          <w:kern w:val="2"/>
          <w:sz w:val="24"/>
          <w:szCs w:val="24"/>
          <w:highlight w:val="none"/>
          <w:lang w:val="en-US" w:eastAsia="zh-CN" w:bidi="ar"/>
        </w:rPr>
      </w:pPr>
      <w:r>
        <w:rPr>
          <w:rFonts w:hint="eastAsia" w:ascii="宋体" w:hAnsi="宋体" w:eastAsia="宋体" w:cs="宋体"/>
          <w:b/>
          <w:bCs w:val="0"/>
          <w:kern w:val="2"/>
          <w:sz w:val="24"/>
          <w:szCs w:val="24"/>
          <w:highlight w:val="none"/>
          <w:lang w:val="en-US" w:eastAsia="zh-CN" w:bidi="ar"/>
        </w:rPr>
        <w:t>依据：《关于报送政府采购严重违法失信行为信息记录的通知》（财办库〔2014〕526号）</w:t>
      </w:r>
    </w:p>
    <w:p w14:paraId="4231B35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b/>
          <w:bCs w:val="0"/>
          <w:kern w:val="2"/>
          <w:sz w:val="28"/>
          <w:szCs w:val="28"/>
          <w:highlight w:val="none"/>
        </w:rPr>
      </w:pPr>
      <w:r>
        <w:rPr>
          <w:rFonts w:hint="eastAsia" w:ascii="宋体" w:hAnsi="宋体" w:eastAsia="宋体" w:cs="宋体"/>
          <w:b/>
          <w:bCs w:val="0"/>
          <w:kern w:val="2"/>
          <w:sz w:val="28"/>
          <w:szCs w:val="28"/>
          <w:highlight w:val="none"/>
          <w:lang w:val="en-US" w:eastAsia="zh-CN" w:bidi="ar"/>
        </w:rPr>
        <w:t xml:space="preserve"> </w:t>
      </w:r>
    </w:p>
    <w:p w14:paraId="529747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82" w:firstLineChars="200"/>
        <w:jc w:val="left"/>
        <w:textAlignment w:val="auto"/>
        <w:rPr>
          <w:rFonts w:hint="eastAsia" w:ascii="宋体" w:hAnsi="宋体" w:eastAsia="宋体" w:cs="宋体"/>
          <w:b/>
          <w:bCs w:val="0"/>
          <w:kern w:val="2"/>
          <w:sz w:val="24"/>
          <w:szCs w:val="24"/>
          <w:highlight w:val="none"/>
          <w:lang w:val="en-US" w:eastAsia="zh-CN" w:bidi="ar"/>
        </w:rPr>
      </w:pPr>
      <w:r>
        <w:rPr>
          <w:rFonts w:hint="eastAsia" w:ascii="宋体" w:hAnsi="宋体" w:eastAsia="宋体" w:cs="宋体"/>
          <w:b/>
          <w:bCs w:val="0"/>
          <w:kern w:val="2"/>
          <w:sz w:val="24"/>
          <w:szCs w:val="24"/>
          <w:highlight w:val="none"/>
          <w:lang w:val="en-US" w:eastAsia="zh-CN" w:bidi="ar"/>
        </w:rPr>
        <w:t>未列出的其他类别严重失信行为，由招标人（代理机构）根据各类别行业主管部门下发的联合惩戒文件进行判断。</w:t>
      </w:r>
    </w:p>
    <w:p w14:paraId="6EC743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w:t>
      </w:r>
    </w:p>
    <w:p w14:paraId="6ED91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p>
    <w:sectPr>
      <w:headerReference r:id="rId5" w:type="default"/>
      <w:footerReference r:id="rId6" w:type="default"/>
      <w:pgSz w:w="11906" w:h="16838"/>
      <w:pgMar w:top="1440" w:right="1800" w:bottom="1440" w:left="1800" w:header="851" w:footer="992"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3BD58">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CD447">
    <w:pPr>
      <w:pStyle w:val="16"/>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6DC8D">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80</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06DC8D">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80</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6CE64">
    <w:pPr>
      <w:pStyle w:val="17"/>
      <w:jc w:val="left"/>
    </w:pPr>
    <w:r>
      <w:rPr>
        <w:rFonts w:hint="eastAsia" w:asciiTheme="minorEastAsia" w:hAnsiTheme="minorEastAsia" w:eastAsiaTheme="minorEastAsia"/>
      </w:rPr>
      <w:t>安徽省政府采购项目竞争性磋商文件示范文本（服务类）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3DB7F">
    <w:pPr>
      <w:pStyle w:val="17"/>
      <w:jc w:val="left"/>
    </w:pPr>
    <w:r>
      <w:rPr>
        <w:rFonts w:hint="eastAsia" w:asciiTheme="minorEastAsia" w:hAnsiTheme="minorEastAsia" w:eastAsiaTheme="minorEastAsia"/>
      </w:rPr>
      <w:t>安徽省政府采购项目竞争性磋商文件示范文本（服务类）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329C4"/>
    <w:multiLevelType w:val="singleLevel"/>
    <w:tmpl w:val="946329C4"/>
    <w:lvl w:ilvl="0" w:tentative="0">
      <w:start w:val="5"/>
      <w:numFmt w:val="chineseCounting"/>
      <w:suff w:val="space"/>
      <w:lvlText w:val="第%1章"/>
      <w:lvlJc w:val="left"/>
      <w:rPr>
        <w:rFonts w:hint="eastAsia"/>
      </w:rPr>
    </w:lvl>
  </w:abstractNum>
  <w:abstractNum w:abstractNumId="1">
    <w:nsid w:val="11B6455D"/>
    <w:multiLevelType w:val="multilevel"/>
    <w:tmpl w:val="11B6455D"/>
    <w:lvl w:ilvl="0" w:tentative="0">
      <w:start w:val="1"/>
      <w:numFmt w:val="bullet"/>
      <w:lvlText w:val=""/>
      <w:lvlJc w:val="left"/>
      <w:pPr>
        <w:ind w:left="420" w:hanging="420"/>
      </w:pPr>
      <w:rPr>
        <w:rFonts w:hint="default" w:ascii="Wingdings" w:hAnsi="Wingdings" w:cs="Wingdings"/>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23CB5ABC"/>
    <w:multiLevelType w:val="multilevel"/>
    <w:tmpl w:val="23CB5ABC"/>
    <w:lvl w:ilvl="0" w:tentative="0">
      <w:start w:val="1"/>
      <w:numFmt w:val="bullet"/>
      <w:lvlText w:val=""/>
      <w:lvlJc w:val="left"/>
      <w:pPr>
        <w:ind w:left="420" w:hanging="420"/>
      </w:pPr>
      <w:rPr>
        <w:rFonts w:hint="default" w:ascii="Wingdings" w:hAnsi="Wingdings" w:cs="Wingdings"/>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1MDdmYTBjM2ViZGYxM2E0NGE5ZWVlZjI5ZjI1ZTgifQ=="/>
  </w:docVars>
  <w:rsids>
    <w:rsidRoot w:val="00276BA1"/>
    <w:rsid w:val="0000043F"/>
    <w:rsid w:val="000037F9"/>
    <w:rsid w:val="000049DA"/>
    <w:rsid w:val="00005403"/>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2F95"/>
    <w:rsid w:val="00054AA3"/>
    <w:rsid w:val="00056ECB"/>
    <w:rsid w:val="00057B40"/>
    <w:rsid w:val="000648D2"/>
    <w:rsid w:val="00070E0E"/>
    <w:rsid w:val="0007146E"/>
    <w:rsid w:val="00076DB7"/>
    <w:rsid w:val="00080FEB"/>
    <w:rsid w:val="00094D41"/>
    <w:rsid w:val="00097CB9"/>
    <w:rsid w:val="000A0161"/>
    <w:rsid w:val="000A10A9"/>
    <w:rsid w:val="000A6693"/>
    <w:rsid w:val="000A7970"/>
    <w:rsid w:val="000A7D94"/>
    <w:rsid w:val="000B1511"/>
    <w:rsid w:val="000B6249"/>
    <w:rsid w:val="000C1CB8"/>
    <w:rsid w:val="000C1DB1"/>
    <w:rsid w:val="000D19EC"/>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6201"/>
    <w:rsid w:val="00130601"/>
    <w:rsid w:val="00132F4D"/>
    <w:rsid w:val="00133EA0"/>
    <w:rsid w:val="00137249"/>
    <w:rsid w:val="00140687"/>
    <w:rsid w:val="00146421"/>
    <w:rsid w:val="00153B20"/>
    <w:rsid w:val="00155F64"/>
    <w:rsid w:val="00157856"/>
    <w:rsid w:val="00160729"/>
    <w:rsid w:val="0016455F"/>
    <w:rsid w:val="00165398"/>
    <w:rsid w:val="00166794"/>
    <w:rsid w:val="00166ED8"/>
    <w:rsid w:val="001714C9"/>
    <w:rsid w:val="00171515"/>
    <w:rsid w:val="00172B93"/>
    <w:rsid w:val="001768BC"/>
    <w:rsid w:val="0018119B"/>
    <w:rsid w:val="001844AB"/>
    <w:rsid w:val="001853C7"/>
    <w:rsid w:val="00192879"/>
    <w:rsid w:val="001944B8"/>
    <w:rsid w:val="001967D2"/>
    <w:rsid w:val="00196DA3"/>
    <w:rsid w:val="001970C3"/>
    <w:rsid w:val="001971E5"/>
    <w:rsid w:val="001A0C0F"/>
    <w:rsid w:val="001A68E5"/>
    <w:rsid w:val="001B2A54"/>
    <w:rsid w:val="001B2BA4"/>
    <w:rsid w:val="001B5014"/>
    <w:rsid w:val="001B7327"/>
    <w:rsid w:val="001C2A15"/>
    <w:rsid w:val="001D22EA"/>
    <w:rsid w:val="001D53B4"/>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544A1"/>
    <w:rsid w:val="00257ECE"/>
    <w:rsid w:val="00260382"/>
    <w:rsid w:val="00260B94"/>
    <w:rsid w:val="00264F2E"/>
    <w:rsid w:val="00271245"/>
    <w:rsid w:val="00272BD6"/>
    <w:rsid w:val="00273F66"/>
    <w:rsid w:val="00274A9E"/>
    <w:rsid w:val="00276BA1"/>
    <w:rsid w:val="00280984"/>
    <w:rsid w:val="002832CF"/>
    <w:rsid w:val="00283599"/>
    <w:rsid w:val="002835E3"/>
    <w:rsid w:val="00284542"/>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10070"/>
    <w:rsid w:val="0031081B"/>
    <w:rsid w:val="003110EC"/>
    <w:rsid w:val="00314289"/>
    <w:rsid w:val="003206A6"/>
    <w:rsid w:val="0032560D"/>
    <w:rsid w:val="00327C92"/>
    <w:rsid w:val="00333292"/>
    <w:rsid w:val="003344E7"/>
    <w:rsid w:val="0033580B"/>
    <w:rsid w:val="003365E7"/>
    <w:rsid w:val="003378D5"/>
    <w:rsid w:val="003473D7"/>
    <w:rsid w:val="00351995"/>
    <w:rsid w:val="00351AC8"/>
    <w:rsid w:val="00353075"/>
    <w:rsid w:val="00363E02"/>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B25A5"/>
    <w:rsid w:val="003B4130"/>
    <w:rsid w:val="003B6FA1"/>
    <w:rsid w:val="003B715B"/>
    <w:rsid w:val="003C2C62"/>
    <w:rsid w:val="003C5566"/>
    <w:rsid w:val="003C577A"/>
    <w:rsid w:val="003C7C74"/>
    <w:rsid w:val="003D1D14"/>
    <w:rsid w:val="003D6C7C"/>
    <w:rsid w:val="003D6EFB"/>
    <w:rsid w:val="003D7E52"/>
    <w:rsid w:val="003E25C6"/>
    <w:rsid w:val="003F7528"/>
    <w:rsid w:val="004011AA"/>
    <w:rsid w:val="0040202C"/>
    <w:rsid w:val="00404A8F"/>
    <w:rsid w:val="00406508"/>
    <w:rsid w:val="00410867"/>
    <w:rsid w:val="004110F6"/>
    <w:rsid w:val="004134F8"/>
    <w:rsid w:val="0041456E"/>
    <w:rsid w:val="004148E3"/>
    <w:rsid w:val="00414F7E"/>
    <w:rsid w:val="004164F8"/>
    <w:rsid w:val="00422224"/>
    <w:rsid w:val="00426F05"/>
    <w:rsid w:val="004328E1"/>
    <w:rsid w:val="004427B7"/>
    <w:rsid w:val="0044349F"/>
    <w:rsid w:val="00445F1F"/>
    <w:rsid w:val="00447862"/>
    <w:rsid w:val="00451F60"/>
    <w:rsid w:val="00452BB2"/>
    <w:rsid w:val="00456054"/>
    <w:rsid w:val="0045656D"/>
    <w:rsid w:val="00462D98"/>
    <w:rsid w:val="00463E7D"/>
    <w:rsid w:val="00472A44"/>
    <w:rsid w:val="00473A89"/>
    <w:rsid w:val="00475899"/>
    <w:rsid w:val="00482C78"/>
    <w:rsid w:val="00483ABC"/>
    <w:rsid w:val="0048634A"/>
    <w:rsid w:val="004874AE"/>
    <w:rsid w:val="0049056F"/>
    <w:rsid w:val="00492217"/>
    <w:rsid w:val="00494D24"/>
    <w:rsid w:val="004951D1"/>
    <w:rsid w:val="004960BB"/>
    <w:rsid w:val="004A1BA3"/>
    <w:rsid w:val="004A27D0"/>
    <w:rsid w:val="004A4D67"/>
    <w:rsid w:val="004B7E79"/>
    <w:rsid w:val="004C13CB"/>
    <w:rsid w:val="004C1AAB"/>
    <w:rsid w:val="004C5B90"/>
    <w:rsid w:val="004D3D4B"/>
    <w:rsid w:val="004D5498"/>
    <w:rsid w:val="004D66A5"/>
    <w:rsid w:val="004D6B00"/>
    <w:rsid w:val="004E1D50"/>
    <w:rsid w:val="004E3266"/>
    <w:rsid w:val="004E38BA"/>
    <w:rsid w:val="004E50CA"/>
    <w:rsid w:val="004F27A0"/>
    <w:rsid w:val="0050027D"/>
    <w:rsid w:val="00501382"/>
    <w:rsid w:val="005048FB"/>
    <w:rsid w:val="00510563"/>
    <w:rsid w:val="00510798"/>
    <w:rsid w:val="005119B5"/>
    <w:rsid w:val="005125F1"/>
    <w:rsid w:val="00524A11"/>
    <w:rsid w:val="00527768"/>
    <w:rsid w:val="00530EA4"/>
    <w:rsid w:val="005327FB"/>
    <w:rsid w:val="00533251"/>
    <w:rsid w:val="00533FCA"/>
    <w:rsid w:val="005346EF"/>
    <w:rsid w:val="00542F0C"/>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571E"/>
    <w:rsid w:val="005C1D52"/>
    <w:rsid w:val="005C46AC"/>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389A"/>
    <w:rsid w:val="00645442"/>
    <w:rsid w:val="006525CD"/>
    <w:rsid w:val="00653F7F"/>
    <w:rsid w:val="00662DCD"/>
    <w:rsid w:val="00662EE8"/>
    <w:rsid w:val="00663813"/>
    <w:rsid w:val="00664AFD"/>
    <w:rsid w:val="00667567"/>
    <w:rsid w:val="0067391A"/>
    <w:rsid w:val="00674173"/>
    <w:rsid w:val="00674CCF"/>
    <w:rsid w:val="0067534F"/>
    <w:rsid w:val="00677D87"/>
    <w:rsid w:val="006834FA"/>
    <w:rsid w:val="00690DB1"/>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710804"/>
    <w:rsid w:val="00711FC6"/>
    <w:rsid w:val="00712952"/>
    <w:rsid w:val="007130B1"/>
    <w:rsid w:val="00713487"/>
    <w:rsid w:val="00715071"/>
    <w:rsid w:val="007231E9"/>
    <w:rsid w:val="00724F0E"/>
    <w:rsid w:val="007270A6"/>
    <w:rsid w:val="00727C59"/>
    <w:rsid w:val="00733730"/>
    <w:rsid w:val="00734E5D"/>
    <w:rsid w:val="0073600C"/>
    <w:rsid w:val="00736013"/>
    <w:rsid w:val="00737BF8"/>
    <w:rsid w:val="0074339B"/>
    <w:rsid w:val="0074478E"/>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A5A58"/>
    <w:rsid w:val="007B1C56"/>
    <w:rsid w:val="007B2EDC"/>
    <w:rsid w:val="007C1DD7"/>
    <w:rsid w:val="007C3CD5"/>
    <w:rsid w:val="007C4756"/>
    <w:rsid w:val="007C5E88"/>
    <w:rsid w:val="007C61EF"/>
    <w:rsid w:val="007C6783"/>
    <w:rsid w:val="007D03DE"/>
    <w:rsid w:val="007D1C0D"/>
    <w:rsid w:val="007D2D23"/>
    <w:rsid w:val="007E1AE9"/>
    <w:rsid w:val="007E27D6"/>
    <w:rsid w:val="007E3921"/>
    <w:rsid w:val="00801028"/>
    <w:rsid w:val="00803793"/>
    <w:rsid w:val="00804000"/>
    <w:rsid w:val="00810066"/>
    <w:rsid w:val="008101A2"/>
    <w:rsid w:val="00817A01"/>
    <w:rsid w:val="00820937"/>
    <w:rsid w:val="00825E35"/>
    <w:rsid w:val="00830A4E"/>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39C5"/>
    <w:rsid w:val="008B51AA"/>
    <w:rsid w:val="008C67F2"/>
    <w:rsid w:val="008D064A"/>
    <w:rsid w:val="008D2537"/>
    <w:rsid w:val="008D2B0F"/>
    <w:rsid w:val="008D633C"/>
    <w:rsid w:val="008E449E"/>
    <w:rsid w:val="008E4BDD"/>
    <w:rsid w:val="008E770C"/>
    <w:rsid w:val="008F187F"/>
    <w:rsid w:val="008F402F"/>
    <w:rsid w:val="008F76E8"/>
    <w:rsid w:val="00904508"/>
    <w:rsid w:val="009078A1"/>
    <w:rsid w:val="00911E9C"/>
    <w:rsid w:val="00917405"/>
    <w:rsid w:val="00920C1F"/>
    <w:rsid w:val="00920F7C"/>
    <w:rsid w:val="00922718"/>
    <w:rsid w:val="00924743"/>
    <w:rsid w:val="00932A87"/>
    <w:rsid w:val="00934CAE"/>
    <w:rsid w:val="0093560E"/>
    <w:rsid w:val="0094257D"/>
    <w:rsid w:val="009443B6"/>
    <w:rsid w:val="00946F68"/>
    <w:rsid w:val="0095467C"/>
    <w:rsid w:val="00954A61"/>
    <w:rsid w:val="00955C6F"/>
    <w:rsid w:val="00966C7B"/>
    <w:rsid w:val="009701DC"/>
    <w:rsid w:val="009715D8"/>
    <w:rsid w:val="009811A8"/>
    <w:rsid w:val="009862EB"/>
    <w:rsid w:val="00991460"/>
    <w:rsid w:val="00995BF9"/>
    <w:rsid w:val="009975CC"/>
    <w:rsid w:val="009A0CAF"/>
    <w:rsid w:val="009A2207"/>
    <w:rsid w:val="009A2D34"/>
    <w:rsid w:val="009A6565"/>
    <w:rsid w:val="009B0EDA"/>
    <w:rsid w:val="009B6C42"/>
    <w:rsid w:val="009D2998"/>
    <w:rsid w:val="009D31F7"/>
    <w:rsid w:val="009D32C2"/>
    <w:rsid w:val="009D50DB"/>
    <w:rsid w:val="009E2932"/>
    <w:rsid w:val="009E3A0A"/>
    <w:rsid w:val="009F1936"/>
    <w:rsid w:val="009F3E91"/>
    <w:rsid w:val="00A008DA"/>
    <w:rsid w:val="00A00C93"/>
    <w:rsid w:val="00A0571E"/>
    <w:rsid w:val="00A13A27"/>
    <w:rsid w:val="00A1499B"/>
    <w:rsid w:val="00A170D8"/>
    <w:rsid w:val="00A30A1B"/>
    <w:rsid w:val="00A311AD"/>
    <w:rsid w:val="00A314C2"/>
    <w:rsid w:val="00A34C55"/>
    <w:rsid w:val="00A375BF"/>
    <w:rsid w:val="00A501BF"/>
    <w:rsid w:val="00A519A0"/>
    <w:rsid w:val="00A5274A"/>
    <w:rsid w:val="00A62A2E"/>
    <w:rsid w:val="00A63A4D"/>
    <w:rsid w:val="00A63E86"/>
    <w:rsid w:val="00A67AF7"/>
    <w:rsid w:val="00A75185"/>
    <w:rsid w:val="00A754A0"/>
    <w:rsid w:val="00A757C3"/>
    <w:rsid w:val="00A75E5B"/>
    <w:rsid w:val="00A75F4B"/>
    <w:rsid w:val="00A7684A"/>
    <w:rsid w:val="00A83B69"/>
    <w:rsid w:val="00A86533"/>
    <w:rsid w:val="00A91CA2"/>
    <w:rsid w:val="00A92FB8"/>
    <w:rsid w:val="00A948F1"/>
    <w:rsid w:val="00A9773F"/>
    <w:rsid w:val="00AA0BE3"/>
    <w:rsid w:val="00AA18F9"/>
    <w:rsid w:val="00AA1D7D"/>
    <w:rsid w:val="00AA2790"/>
    <w:rsid w:val="00AA3806"/>
    <w:rsid w:val="00AA4EE3"/>
    <w:rsid w:val="00AB139D"/>
    <w:rsid w:val="00AB2A35"/>
    <w:rsid w:val="00AB2D05"/>
    <w:rsid w:val="00AB3EFB"/>
    <w:rsid w:val="00AC0B05"/>
    <w:rsid w:val="00AC1962"/>
    <w:rsid w:val="00AC7F9D"/>
    <w:rsid w:val="00AD079A"/>
    <w:rsid w:val="00AD1890"/>
    <w:rsid w:val="00AE2149"/>
    <w:rsid w:val="00AE2BF3"/>
    <w:rsid w:val="00AE33AE"/>
    <w:rsid w:val="00AE3986"/>
    <w:rsid w:val="00AE3F91"/>
    <w:rsid w:val="00AF5B63"/>
    <w:rsid w:val="00B0053D"/>
    <w:rsid w:val="00B01176"/>
    <w:rsid w:val="00B039E3"/>
    <w:rsid w:val="00B06D36"/>
    <w:rsid w:val="00B12BC4"/>
    <w:rsid w:val="00B22838"/>
    <w:rsid w:val="00B33E8F"/>
    <w:rsid w:val="00B33E95"/>
    <w:rsid w:val="00B3720B"/>
    <w:rsid w:val="00B4044F"/>
    <w:rsid w:val="00B45D0B"/>
    <w:rsid w:val="00B52FA0"/>
    <w:rsid w:val="00B5558A"/>
    <w:rsid w:val="00B56513"/>
    <w:rsid w:val="00B61B64"/>
    <w:rsid w:val="00B631E4"/>
    <w:rsid w:val="00B64376"/>
    <w:rsid w:val="00B6570C"/>
    <w:rsid w:val="00B6790B"/>
    <w:rsid w:val="00B7401F"/>
    <w:rsid w:val="00B769CF"/>
    <w:rsid w:val="00B76F2D"/>
    <w:rsid w:val="00B806C3"/>
    <w:rsid w:val="00B80D6F"/>
    <w:rsid w:val="00B84FCA"/>
    <w:rsid w:val="00B9089F"/>
    <w:rsid w:val="00B91826"/>
    <w:rsid w:val="00B91AEE"/>
    <w:rsid w:val="00B95F5A"/>
    <w:rsid w:val="00B96EAD"/>
    <w:rsid w:val="00BA4962"/>
    <w:rsid w:val="00BA4B7C"/>
    <w:rsid w:val="00BA79F5"/>
    <w:rsid w:val="00BA7EA7"/>
    <w:rsid w:val="00BB2E28"/>
    <w:rsid w:val="00BB3AB6"/>
    <w:rsid w:val="00BB766D"/>
    <w:rsid w:val="00BC007B"/>
    <w:rsid w:val="00BC1715"/>
    <w:rsid w:val="00BC26BA"/>
    <w:rsid w:val="00BC35F8"/>
    <w:rsid w:val="00BC481B"/>
    <w:rsid w:val="00BD08DF"/>
    <w:rsid w:val="00BD2D29"/>
    <w:rsid w:val="00BD617C"/>
    <w:rsid w:val="00BE782C"/>
    <w:rsid w:val="00BF376F"/>
    <w:rsid w:val="00BF46A6"/>
    <w:rsid w:val="00BF6CAD"/>
    <w:rsid w:val="00BF71FB"/>
    <w:rsid w:val="00C04DBF"/>
    <w:rsid w:val="00C05E4C"/>
    <w:rsid w:val="00C06545"/>
    <w:rsid w:val="00C134AF"/>
    <w:rsid w:val="00C20768"/>
    <w:rsid w:val="00C220FC"/>
    <w:rsid w:val="00C24DFA"/>
    <w:rsid w:val="00C24F9D"/>
    <w:rsid w:val="00C30182"/>
    <w:rsid w:val="00C31FC9"/>
    <w:rsid w:val="00C37A63"/>
    <w:rsid w:val="00C42248"/>
    <w:rsid w:val="00C46A36"/>
    <w:rsid w:val="00C47037"/>
    <w:rsid w:val="00C50235"/>
    <w:rsid w:val="00C509E3"/>
    <w:rsid w:val="00C53625"/>
    <w:rsid w:val="00C548BA"/>
    <w:rsid w:val="00C5679D"/>
    <w:rsid w:val="00C57784"/>
    <w:rsid w:val="00C602C1"/>
    <w:rsid w:val="00C63FC0"/>
    <w:rsid w:val="00C66392"/>
    <w:rsid w:val="00C7075D"/>
    <w:rsid w:val="00C73D09"/>
    <w:rsid w:val="00C74895"/>
    <w:rsid w:val="00C74C5E"/>
    <w:rsid w:val="00C82558"/>
    <w:rsid w:val="00C827A2"/>
    <w:rsid w:val="00C82B69"/>
    <w:rsid w:val="00C82C8E"/>
    <w:rsid w:val="00C82CB3"/>
    <w:rsid w:val="00C91B28"/>
    <w:rsid w:val="00C91F3A"/>
    <w:rsid w:val="00C93590"/>
    <w:rsid w:val="00CA31EA"/>
    <w:rsid w:val="00CA5446"/>
    <w:rsid w:val="00CB14E5"/>
    <w:rsid w:val="00CB218D"/>
    <w:rsid w:val="00CB5625"/>
    <w:rsid w:val="00CB5797"/>
    <w:rsid w:val="00CC1C17"/>
    <w:rsid w:val="00CC4F7F"/>
    <w:rsid w:val="00CC5D70"/>
    <w:rsid w:val="00CD09E1"/>
    <w:rsid w:val="00CE1780"/>
    <w:rsid w:val="00CE4913"/>
    <w:rsid w:val="00CE66BD"/>
    <w:rsid w:val="00CF0671"/>
    <w:rsid w:val="00CF247A"/>
    <w:rsid w:val="00CF44AD"/>
    <w:rsid w:val="00CF4D7C"/>
    <w:rsid w:val="00CF4FC0"/>
    <w:rsid w:val="00CF7486"/>
    <w:rsid w:val="00D00637"/>
    <w:rsid w:val="00D1072F"/>
    <w:rsid w:val="00D108A5"/>
    <w:rsid w:val="00D14585"/>
    <w:rsid w:val="00D153C8"/>
    <w:rsid w:val="00D17F98"/>
    <w:rsid w:val="00D20EFF"/>
    <w:rsid w:val="00D215B9"/>
    <w:rsid w:val="00D31324"/>
    <w:rsid w:val="00D4386E"/>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43F0"/>
    <w:rsid w:val="00DD44DE"/>
    <w:rsid w:val="00DE09AB"/>
    <w:rsid w:val="00DE1DCC"/>
    <w:rsid w:val="00DE352F"/>
    <w:rsid w:val="00DE4A3F"/>
    <w:rsid w:val="00DE5A99"/>
    <w:rsid w:val="00DF4367"/>
    <w:rsid w:val="00DF7291"/>
    <w:rsid w:val="00E0574A"/>
    <w:rsid w:val="00E1243D"/>
    <w:rsid w:val="00E12742"/>
    <w:rsid w:val="00E146D4"/>
    <w:rsid w:val="00E14815"/>
    <w:rsid w:val="00E21D37"/>
    <w:rsid w:val="00E220ED"/>
    <w:rsid w:val="00E22B44"/>
    <w:rsid w:val="00E30ACD"/>
    <w:rsid w:val="00E32735"/>
    <w:rsid w:val="00E34236"/>
    <w:rsid w:val="00E44B88"/>
    <w:rsid w:val="00E60DDB"/>
    <w:rsid w:val="00E65AD9"/>
    <w:rsid w:val="00E66E36"/>
    <w:rsid w:val="00E67F21"/>
    <w:rsid w:val="00E702ED"/>
    <w:rsid w:val="00E709A4"/>
    <w:rsid w:val="00E75917"/>
    <w:rsid w:val="00E772DB"/>
    <w:rsid w:val="00E86012"/>
    <w:rsid w:val="00E860CA"/>
    <w:rsid w:val="00E86BAB"/>
    <w:rsid w:val="00E92962"/>
    <w:rsid w:val="00E94E10"/>
    <w:rsid w:val="00E96743"/>
    <w:rsid w:val="00E96A42"/>
    <w:rsid w:val="00E97497"/>
    <w:rsid w:val="00EA16D5"/>
    <w:rsid w:val="00EA49C5"/>
    <w:rsid w:val="00EA6279"/>
    <w:rsid w:val="00EB5027"/>
    <w:rsid w:val="00EB6C87"/>
    <w:rsid w:val="00EC1836"/>
    <w:rsid w:val="00EC2F6E"/>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69DE"/>
    <w:rsid w:val="00F57205"/>
    <w:rsid w:val="00F634AD"/>
    <w:rsid w:val="00F63677"/>
    <w:rsid w:val="00F70658"/>
    <w:rsid w:val="00F7417E"/>
    <w:rsid w:val="00F75B81"/>
    <w:rsid w:val="00F761CA"/>
    <w:rsid w:val="00F804C4"/>
    <w:rsid w:val="00F80C7E"/>
    <w:rsid w:val="00F82F83"/>
    <w:rsid w:val="00F86097"/>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C1439"/>
    <w:rsid w:val="00FC3F65"/>
    <w:rsid w:val="00FC5007"/>
    <w:rsid w:val="00FC70AD"/>
    <w:rsid w:val="00FC724B"/>
    <w:rsid w:val="00FC7910"/>
    <w:rsid w:val="00FD01E0"/>
    <w:rsid w:val="00FD50FC"/>
    <w:rsid w:val="00FE1627"/>
    <w:rsid w:val="00FE2D4E"/>
    <w:rsid w:val="00FE3F22"/>
    <w:rsid w:val="00FF092F"/>
    <w:rsid w:val="00FF0DA7"/>
    <w:rsid w:val="00FF2B09"/>
    <w:rsid w:val="00FF44E0"/>
    <w:rsid w:val="00FF6C72"/>
    <w:rsid w:val="01722E9F"/>
    <w:rsid w:val="01915CC2"/>
    <w:rsid w:val="022B5117"/>
    <w:rsid w:val="02745D1F"/>
    <w:rsid w:val="02EB0203"/>
    <w:rsid w:val="0621750B"/>
    <w:rsid w:val="06516012"/>
    <w:rsid w:val="06653D4C"/>
    <w:rsid w:val="06AE129F"/>
    <w:rsid w:val="072D20A4"/>
    <w:rsid w:val="073B420D"/>
    <w:rsid w:val="07754A75"/>
    <w:rsid w:val="07972A1D"/>
    <w:rsid w:val="09A909AA"/>
    <w:rsid w:val="0A3D35AB"/>
    <w:rsid w:val="0A542106"/>
    <w:rsid w:val="0A6C4667"/>
    <w:rsid w:val="0AFA2E20"/>
    <w:rsid w:val="0BBE711B"/>
    <w:rsid w:val="0BD47173"/>
    <w:rsid w:val="0BDC2918"/>
    <w:rsid w:val="0BE10AC9"/>
    <w:rsid w:val="0C1B47F2"/>
    <w:rsid w:val="0C355B5B"/>
    <w:rsid w:val="0C4264AA"/>
    <w:rsid w:val="0C6157E5"/>
    <w:rsid w:val="0DB63633"/>
    <w:rsid w:val="0E873A37"/>
    <w:rsid w:val="0EB16245"/>
    <w:rsid w:val="0FC64A2E"/>
    <w:rsid w:val="10607C4F"/>
    <w:rsid w:val="106E6418"/>
    <w:rsid w:val="11323C4E"/>
    <w:rsid w:val="11365128"/>
    <w:rsid w:val="11E07AD1"/>
    <w:rsid w:val="12D71D5F"/>
    <w:rsid w:val="13297F3F"/>
    <w:rsid w:val="13862548"/>
    <w:rsid w:val="138E2FF9"/>
    <w:rsid w:val="151B7FB7"/>
    <w:rsid w:val="15D63E65"/>
    <w:rsid w:val="162A5E87"/>
    <w:rsid w:val="1679722C"/>
    <w:rsid w:val="167B6427"/>
    <w:rsid w:val="169940A6"/>
    <w:rsid w:val="16B27D38"/>
    <w:rsid w:val="17852965"/>
    <w:rsid w:val="17A1031E"/>
    <w:rsid w:val="1930691F"/>
    <w:rsid w:val="19F142E2"/>
    <w:rsid w:val="1A6528FE"/>
    <w:rsid w:val="1A835004"/>
    <w:rsid w:val="1A8609A3"/>
    <w:rsid w:val="1B4A02FA"/>
    <w:rsid w:val="1B7A7169"/>
    <w:rsid w:val="1BA61F6F"/>
    <w:rsid w:val="1C63029E"/>
    <w:rsid w:val="1C715A71"/>
    <w:rsid w:val="1CC921E7"/>
    <w:rsid w:val="1CD71AF0"/>
    <w:rsid w:val="1D1C4205"/>
    <w:rsid w:val="1D444EB6"/>
    <w:rsid w:val="1DA840EB"/>
    <w:rsid w:val="1DCE3BD5"/>
    <w:rsid w:val="1DCF0FA3"/>
    <w:rsid w:val="1E124827"/>
    <w:rsid w:val="1E1265D5"/>
    <w:rsid w:val="1ED8162C"/>
    <w:rsid w:val="1F884DA0"/>
    <w:rsid w:val="1FA41353"/>
    <w:rsid w:val="1FFD4988"/>
    <w:rsid w:val="2045317E"/>
    <w:rsid w:val="20C16461"/>
    <w:rsid w:val="20FF5536"/>
    <w:rsid w:val="21311468"/>
    <w:rsid w:val="2259527B"/>
    <w:rsid w:val="226F2197"/>
    <w:rsid w:val="23146520"/>
    <w:rsid w:val="231A05A2"/>
    <w:rsid w:val="23585502"/>
    <w:rsid w:val="23596C26"/>
    <w:rsid w:val="23805B40"/>
    <w:rsid w:val="23BF31D9"/>
    <w:rsid w:val="24577437"/>
    <w:rsid w:val="24A00DDE"/>
    <w:rsid w:val="262D78EB"/>
    <w:rsid w:val="262F5BC1"/>
    <w:rsid w:val="271144FC"/>
    <w:rsid w:val="27CA60F4"/>
    <w:rsid w:val="27E85AF1"/>
    <w:rsid w:val="27F460A8"/>
    <w:rsid w:val="286766E4"/>
    <w:rsid w:val="28C929C1"/>
    <w:rsid w:val="295220BC"/>
    <w:rsid w:val="29995DFC"/>
    <w:rsid w:val="29BB2216"/>
    <w:rsid w:val="29DA6B0B"/>
    <w:rsid w:val="2A093B18"/>
    <w:rsid w:val="2A8D7B4E"/>
    <w:rsid w:val="2ABD245A"/>
    <w:rsid w:val="2B412386"/>
    <w:rsid w:val="2BB34FD2"/>
    <w:rsid w:val="2C077995"/>
    <w:rsid w:val="2CAE32CD"/>
    <w:rsid w:val="2CEA687B"/>
    <w:rsid w:val="2D005F6D"/>
    <w:rsid w:val="2D1633EB"/>
    <w:rsid w:val="2DB043AE"/>
    <w:rsid w:val="2DE16C1F"/>
    <w:rsid w:val="2E1B2EA1"/>
    <w:rsid w:val="2E355F22"/>
    <w:rsid w:val="2E63511A"/>
    <w:rsid w:val="2EB35320"/>
    <w:rsid w:val="2F111D48"/>
    <w:rsid w:val="2F317872"/>
    <w:rsid w:val="2F3F0C54"/>
    <w:rsid w:val="2F4615DA"/>
    <w:rsid w:val="30633EF1"/>
    <w:rsid w:val="30ED2B9B"/>
    <w:rsid w:val="31197749"/>
    <w:rsid w:val="318F0210"/>
    <w:rsid w:val="32691053"/>
    <w:rsid w:val="32A538A5"/>
    <w:rsid w:val="32DC1960"/>
    <w:rsid w:val="330E360D"/>
    <w:rsid w:val="33B37D2E"/>
    <w:rsid w:val="34202E26"/>
    <w:rsid w:val="347B0F20"/>
    <w:rsid w:val="352620DC"/>
    <w:rsid w:val="352B46F4"/>
    <w:rsid w:val="355A315F"/>
    <w:rsid w:val="35E5310F"/>
    <w:rsid w:val="3661430F"/>
    <w:rsid w:val="369D587E"/>
    <w:rsid w:val="36CF1D5D"/>
    <w:rsid w:val="36F230C4"/>
    <w:rsid w:val="370F3BF6"/>
    <w:rsid w:val="37B7401D"/>
    <w:rsid w:val="38AD0855"/>
    <w:rsid w:val="38DD08FE"/>
    <w:rsid w:val="39293004"/>
    <w:rsid w:val="39882115"/>
    <w:rsid w:val="39E10D60"/>
    <w:rsid w:val="3A586EF8"/>
    <w:rsid w:val="3BFC5E74"/>
    <w:rsid w:val="3C0059BB"/>
    <w:rsid w:val="3C53008C"/>
    <w:rsid w:val="3C5F3E33"/>
    <w:rsid w:val="3CDB255C"/>
    <w:rsid w:val="3D294576"/>
    <w:rsid w:val="3E0B15B7"/>
    <w:rsid w:val="3F5E4365"/>
    <w:rsid w:val="3FC17179"/>
    <w:rsid w:val="4012536A"/>
    <w:rsid w:val="41134650"/>
    <w:rsid w:val="415470E2"/>
    <w:rsid w:val="41AF5742"/>
    <w:rsid w:val="41BB759E"/>
    <w:rsid w:val="41F83352"/>
    <w:rsid w:val="42B740A7"/>
    <w:rsid w:val="432767AD"/>
    <w:rsid w:val="433168CD"/>
    <w:rsid w:val="4353477A"/>
    <w:rsid w:val="43642916"/>
    <w:rsid w:val="43783307"/>
    <w:rsid w:val="43C05511"/>
    <w:rsid w:val="43FB5326"/>
    <w:rsid w:val="446B6021"/>
    <w:rsid w:val="44CE57BC"/>
    <w:rsid w:val="44FF52DD"/>
    <w:rsid w:val="45376011"/>
    <w:rsid w:val="45FC7108"/>
    <w:rsid w:val="46781287"/>
    <w:rsid w:val="473A7BED"/>
    <w:rsid w:val="47863A67"/>
    <w:rsid w:val="478F71C4"/>
    <w:rsid w:val="4821786A"/>
    <w:rsid w:val="4825146D"/>
    <w:rsid w:val="482B373E"/>
    <w:rsid w:val="48FD5F50"/>
    <w:rsid w:val="49C10C94"/>
    <w:rsid w:val="4A6169D0"/>
    <w:rsid w:val="4B014864"/>
    <w:rsid w:val="4B954E7C"/>
    <w:rsid w:val="4C520360"/>
    <w:rsid w:val="4D0478AD"/>
    <w:rsid w:val="4D256967"/>
    <w:rsid w:val="4DBD0F93"/>
    <w:rsid w:val="4E6B046C"/>
    <w:rsid w:val="4E707289"/>
    <w:rsid w:val="4E9E4717"/>
    <w:rsid w:val="4EEA3D40"/>
    <w:rsid w:val="4F00728A"/>
    <w:rsid w:val="4F033E58"/>
    <w:rsid w:val="4F3F6AB1"/>
    <w:rsid w:val="4F5D071B"/>
    <w:rsid w:val="4F9B688F"/>
    <w:rsid w:val="51301B01"/>
    <w:rsid w:val="51350283"/>
    <w:rsid w:val="51D75590"/>
    <w:rsid w:val="530E74B7"/>
    <w:rsid w:val="53811198"/>
    <w:rsid w:val="54087D99"/>
    <w:rsid w:val="54A72003"/>
    <w:rsid w:val="54DC4C6B"/>
    <w:rsid w:val="55831174"/>
    <w:rsid w:val="56023921"/>
    <w:rsid w:val="569752EE"/>
    <w:rsid w:val="56F24C1A"/>
    <w:rsid w:val="576F626A"/>
    <w:rsid w:val="5809250B"/>
    <w:rsid w:val="584A135A"/>
    <w:rsid w:val="59392054"/>
    <w:rsid w:val="5A2E085E"/>
    <w:rsid w:val="5A3617D9"/>
    <w:rsid w:val="5A43484D"/>
    <w:rsid w:val="5A7F6B6C"/>
    <w:rsid w:val="5AFB613D"/>
    <w:rsid w:val="5B2353A2"/>
    <w:rsid w:val="5B884B20"/>
    <w:rsid w:val="5BC0556E"/>
    <w:rsid w:val="5BC81C40"/>
    <w:rsid w:val="5C2F7D76"/>
    <w:rsid w:val="5CE60C2C"/>
    <w:rsid w:val="5D425FED"/>
    <w:rsid w:val="5DA327CA"/>
    <w:rsid w:val="5F942D12"/>
    <w:rsid w:val="5FD74633"/>
    <w:rsid w:val="6061107E"/>
    <w:rsid w:val="60E412C0"/>
    <w:rsid w:val="61030B5A"/>
    <w:rsid w:val="611E4310"/>
    <w:rsid w:val="615163DA"/>
    <w:rsid w:val="61A8353B"/>
    <w:rsid w:val="61E323AE"/>
    <w:rsid w:val="623331AC"/>
    <w:rsid w:val="625772C4"/>
    <w:rsid w:val="636F3034"/>
    <w:rsid w:val="63AC2982"/>
    <w:rsid w:val="650516A8"/>
    <w:rsid w:val="65330581"/>
    <w:rsid w:val="65830E72"/>
    <w:rsid w:val="65A219E5"/>
    <w:rsid w:val="66522FDF"/>
    <w:rsid w:val="66E81280"/>
    <w:rsid w:val="678B055D"/>
    <w:rsid w:val="678E6299"/>
    <w:rsid w:val="683B10D2"/>
    <w:rsid w:val="69110DD3"/>
    <w:rsid w:val="691D526F"/>
    <w:rsid w:val="69676D3F"/>
    <w:rsid w:val="6984475F"/>
    <w:rsid w:val="699532F4"/>
    <w:rsid w:val="6A2E3597"/>
    <w:rsid w:val="6AB54320"/>
    <w:rsid w:val="6AFC79BD"/>
    <w:rsid w:val="6C8D150C"/>
    <w:rsid w:val="6CE35249"/>
    <w:rsid w:val="6D812CE1"/>
    <w:rsid w:val="6E39711A"/>
    <w:rsid w:val="6E997D6C"/>
    <w:rsid w:val="6EF616F6"/>
    <w:rsid w:val="6F4D524D"/>
    <w:rsid w:val="6F5D575B"/>
    <w:rsid w:val="705619F8"/>
    <w:rsid w:val="71467526"/>
    <w:rsid w:val="72435ED2"/>
    <w:rsid w:val="73155AC0"/>
    <w:rsid w:val="73775968"/>
    <w:rsid w:val="74A66271"/>
    <w:rsid w:val="74FC2405"/>
    <w:rsid w:val="750B0F29"/>
    <w:rsid w:val="754058DD"/>
    <w:rsid w:val="759A1C61"/>
    <w:rsid w:val="764B4001"/>
    <w:rsid w:val="771A04F8"/>
    <w:rsid w:val="77D81D41"/>
    <w:rsid w:val="784A4B73"/>
    <w:rsid w:val="786924FD"/>
    <w:rsid w:val="789518CC"/>
    <w:rsid w:val="79027145"/>
    <w:rsid w:val="799B26EC"/>
    <w:rsid w:val="79B61CA1"/>
    <w:rsid w:val="7A5B3FA8"/>
    <w:rsid w:val="7AFD7566"/>
    <w:rsid w:val="7BA174E1"/>
    <w:rsid w:val="7BC04FC3"/>
    <w:rsid w:val="7CA72746"/>
    <w:rsid w:val="7D1103F8"/>
    <w:rsid w:val="7DC33C3F"/>
    <w:rsid w:val="7DE652B4"/>
    <w:rsid w:val="7E1F4FD8"/>
    <w:rsid w:val="7E6D055E"/>
    <w:rsid w:val="7EA81A90"/>
    <w:rsid w:val="7F2B14FE"/>
    <w:rsid w:val="7FD7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3">
    <w:name w:val="heading 2"/>
    <w:basedOn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1"/>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6"/>
    <w:autoRedefine/>
    <w:qFormat/>
    <w:uiPriority w:val="0"/>
    <w:pPr>
      <w:keepNext/>
      <w:keepLines/>
      <w:spacing w:before="280" w:after="290" w:line="376" w:lineRule="auto"/>
      <w:outlineLvl w:val="3"/>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8"/>
    <w:autoRedefine/>
    <w:qFormat/>
    <w:uiPriority w:val="0"/>
    <w:pPr>
      <w:jc w:val="left"/>
    </w:pPr>
    <w:rPr>
      <w:rFonts w:ascii="Arial" w:hAnsi="Arial" w:eastAsia="黑体" w:cs="Arial"/>
    </w:rPr>
  </w:style>
  <w:style w:type="paragraph" w:styleId="9">
    <w:name w:val="Body Text"/>
    <w:basedOn w:val="1"/>
    <w:link w:val="67"/>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qFormat/>
    <w:uiPriority w:val="0"/>
    <w:pPr>
      <w:spacing w:after="120"/>
      <w:ind w:left="420" w:leftChars="200"/>
    </w:pPr>
    <w:rPr>
      <w:rFonts w:ascii="Times New Roman" w:hAnsi="Times New Roman" w:eastAsia="宋体"/>
      <w:szCs w:val="24"/>
    </w:r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7"/>
    <w:autoRedefine/>
    <w:qFormat/>
    <w:uiPriority w:val="99"/>
    <w:rPr>
      <w:rFonts w:ascii="宋体" w:hAnsi="Courier New" w:eastAsiaTheme="minorEastAsia" w:cstheme="minorBidi"/>
      <w:szCs w:val="22"/>
    </w:rPr>
  </w:style>
  <w:style w:type="paragraph" w:styleId="14">
    <w:name w:val="Date"/>
    <w:basedOn w:val="1"/>
    <w:next w:val="1"/>
    <w:link w:val="54"/>
    <w:autoRedefine/>
    <w:qFormat/>
    <w:uiPriority w:val="0"/>
    <w:rPr>
      <w:rFonts w:ascii="Arial" w:hAnsi="Arial" w:eastAsia="宋体" w:cs="Arial"/>
      <w:b/>
      <w:sz w:val="28"/>
    </w:rPr>
  </w:style>
  <w:style w:type="paragraph" w:styleId="15">
    <w:name w:val="Balloon Text"/>
    <w:basedOn w:val="1"/>
    <w:link w:val="41"/>
    <w:autoRedefine/>
    <w:semiHidden/>
    <w:unhideWhenUsed/>
    <w:qFormat/>
    <w:uiPriority w:val="99"/>
    <w:rPr>
      <w:sz w:val="18"/>
      <w:szCs w:val="18"/>
    </w:rPr>
  </w:style>
  <w:style w:type="paragraph" w:styleId="16">
    <w:name w:val="footer"/>
    <w:basedOn w:val="1"/>
    <w:link w:val="46"/>
    <w:autoRedefine/>
    <w:unhideWhenUsed/>
    <w:qFormat/>
    <w:uiPriority w:val="99"/>
    <w:pPr>
      <w:tabs>
        <w:tab w:val="center" w:pos="4153"/>
        <w:tab w:val="right" w:pos="8306"/>
      </w:tabs>
      <w:snapToGrid w:val="0"/>
      <w:jc w:val="left"/>
    </w:pPr>
    <w:rPr>
      <w:sz w:val="18"/>
      <w:szCs w:val="18"/>
    </w:rPr>
  </w:style>
  <w:style w:type="paragraph" w:styleId="17">
    <w:name w:val="header"/>
    <w:basedOn w:val="1"/>
    <w:link w:val="4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autoRedefine/>
    <w:qFormat/>
    <w:uiPriority w:val="0"/>
    <w:pPr>
      <w:spacing w:before="100" w:beforeAutospacing="1" w:after="100" w:afterAutospacing="1"/>
      <w:jc w:val="left"/>
    </w:pPr>
    <w:rPr>
      <w:rFonts w:cs="Times New Roman"/>
      <w:kern w:val="0"/>
      <w:sz w:val="24"/>
    </w:rPr>
  </w:style>
  <w:style w:type="paragraph" w:styleId="21">
    <w:name w:val="index 1"/>
    <w:basedOn w:val="1"/>
    <w:next w:val="1"/>
    <w:autoRedefine/>
    <w:qFormat/>
    <w:uiPriority w:val="0"/>
    <w:pPr>
      <w:jc w:val="center"/>
    </w:pPr>
    <w:rPr>
      <w:rFonts w:ascii="Arial" w:hAnsi="Arial" w:eastAsia="Arial" w:cs="Arial"/>
      <w:b/>
      <w:bCs/>
      <w:sz w:val="28"/>
    </w:rPr>
  </w:style>
  <w:style w:type="paragraph" w:styleId="22">
    <w:name w:val="Body Text First Indent"/>
    <w:basedOn w:val="9"/>
    <w:autoRedefine/>
    <w:unhideWhenUsed/>
    <w:qFormat/>
    <w:uiPriority w:val="99"/>
    <w:pPr>
      <w:ind w:firstLine="420" w:firstLineChars="100"/>
    </w:pPr>
  </w:style>
  <w:style w:type="paragraph" w:styleId="23">
    <w:name w:val="Body Text First Indent 2"/>
    <w:basedOn w:val="10"/>
    <w:next w:val="1"/>
    <w:qFormat/>
    <w:uiPriority w:val="0"/>
    <w:pPr>
      <w:spacing w:line="360" w:lineRule="auto"/>
      <w:ind w:firstLine="200" w:firstLineChars="200"/>
    </w:pPr>
    <w:rPr>
      <w:rFonts w:ascii="宋体"/>
      <w:szCs w:val="20"/>
    </w:rPr>
  </w:style>
  <w:style w:type="table" w:styleId="25">
    <w:name w:val="Table Grid"/>
    <w:basedOn w:val="24"/>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autoRedefine/>
    <w:qFormat/>
    <w:uiPriority w:val="0"/>
    <w:rPr>
      <w:b/>
      <w:bCs/>
    </w:rPr>
  </w:style>
  <w:style w:type="character" w:styleId="28">
    <w:name w:val="FollowedHyperlink"/>
    <w:basedOn w:val="26"/>
    <w:autoRedefine/>
    <w:semiHidden/>
    <w:unhideWhenUsed/>
    <w:qFormat/>
    <w:uiPriority w:val="99"/>
    <w:rPr>
      <w:color w:val="800080"/>
      <w:u w:val="none"/>
    </w:rPr>
  </w:style>
  <w:style w:type="character" w:styleId="29">
    <w:name w:val="Emphasis"/>
    <w:basedOn w:val="26"/>
    <w:autoRedefine/>
    <w:qFormat/>
    <w:uiPriority w:val="20"/>
    <w:rPr>
      <w:b/>
      <w:bCs/>
    </w:rPr>
  </w:style>
  <w:style w:type="character" w:styleId="30">
    <w:name w:val="HTML Definition"/>
    <w:basedOn w:val="26"/>
    <w:autoRedefine/>
    <w:semiHidden/>
    <w:unhideWhenUsed/>
    <w:qFormat/>
    <w:uiPriority w:val="99"/>
  </w:style>
  <w:style w:type="character" w:styleId="31">
    <w:name w:val="HTML Typewriter"/>
    <w:basedOn w:val="26"/>
    <w:autoRedefine/>
    <w:semiHidden/>
    <w:unhideWhenUsed/>
    <w:qFormat/>
    <w:uiPriority w:val="99"/>
    <w:rPr>
      <w:rFonts w:hint="default" w:ascii="monospace" w:hAnsi="monospace" w:eastAsia="monospace" w:cs="monospace"/>
      <w:sz w:val="20"/>
    </w:rPr>
  </w:style>
  <w:style w:type="character" w:styleId="32">
    <w:name w:val="HTML Acronym"/>
    <w:basedOn w:val="26"/>
    <w:autoRedefine/>
    <w:semiHidden/>
    <w:unhideWhenUsed/>
    <w:qFormat/>
    <w:uiPriority w:val="99"/>
  </w:style>
  <w:style w:type="character" w:styleId="33">
    <w:name w:val="HTML Variable"/>
    <w:basedOn w:val="26"/>
    <w:autoRedefine/>
    <w:semiHidden/>
    <w:unhideWhenUsed/>
    <w:qFormat/>
    <w:uiPriority w:val="99"/>
  </w:style>
  <w:style w:type="character" w:styleId="34">
    <w:name w:val="Hyperlink"/>
    <w:basedOn w:val="26"/>
    <w:autoRedefine/>
    <w:unhideWhenUsed/>
    <w:qFormat/>
    <w:uiPriority w:val="99"/>
    <w:rPr>
      <w:color w:val="0000FF" w:themeColor="hyperlink"/>
      <w:u w:val="single"/>
      <w14:textFill>
        <w14:solidFill>
          <w14:schemeClr w14:val="hlink"/>
        </w14:solidFill>
      </w14:textFill>
    </w:rPr>
  </w:style>
  <w:style w:type="character" w:styleId="35">
    <w:name w:val="HTML Code"/>
    <w:basedOn w:val="26"/>
    <w:autoRedefine/>
    <w:semiHidden/>
    <w:unhideWhenUsed/>
    <w:qFormat/>
    <w:uiPriority w:val="99"/>
    <w:rPr>
      <w:rFonts w:ascii="monospace" w:hAnsi="monospace" w:eastAsia="monospace" w:cs="monospace"/>
      <w:sz w:val="20"/>
    </w:rPr>
  </w:style>
  <w:style w:type="character" w:styleId="36">
    <w:name w:val="HTML Cite"/>
    <w:basedOn w:val="26"/>
    <w:autoRedefine/>
    <w:semiHidden/>
    <w:unhideWhenUsed/>
    <w:qFormat/>
    <w:uiPriority w:val="99"/>
  </w:style>
  <w:style w:type="character" w:styleId="37">
    <w:name w:val="HTML Keyboard"/>
    <w:basedOn w:val="26"/>
    <w:autoRedefine/>
    <w:semiHidden/>
    <w:unhideWhenUsed/>
    <w:qFormat/>
    <w:uiPriority w:val="99"/>
    <w:rPr>
      <w:rFonts w:hint="default" w:ascii="monospace" w:hAnsi="monospace" w:eastAsia="monospace" w:cs="monospace"/>
      <w:sz w:val="20"/>
    </w:rPr>
  </w:style>
  <w:style w:type="character" w:styleId="38">
    <w:name w:val="HTML Sample"/>
    <w:basedOn w:val="26"/>
    <w:autoRedefine/>
    <w:semiHidden/>
    <w:unhideWhenUsed/>
    <w:qFormat/>
    <w:uiPriority w:val="99"/>
    <w:rPr>
      <w:rFonts w:hint="default" w:ascii="monospace" w:hAnsi="monospace" w:eastAsia="monospace" w:cs="monospace"/>
    </w:rPr>
  </w:style>
  <w:style w:type="paragraph" w:customStyle="1" w:styleId="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样式 ！正文 + 首行缩进:  2 字符"/>
    <w:basedOn w:val="1"/>
    <w:qFormat/>
    <w:uiPriority w:val="0"/>
    <w:pPr>
      <w:ind w:firstLine="480" w:firstLineChars="200"/>
    </w:pPr>
    <w:rPr>
      <w:rFonts w:hint="eastAsia" w:ascii="Arial" w:hAnsi="Arial" w:cs="宋体"/>
    </w:rPr>
  </w:style>
  <w:style w:type="character" w:customStyle="1" w:styleId="41">
    <w:name w:val="批注框文本 Char"/>
    <w:basedOn w:val="26"/>
    <w:link w:val="15"/>
    <w:autoRedefine/>
    <w:semiHidden/>
    <w:qFormat/>
    <w:uiPriority w:val="99"/>
    <w:rPr>
      <w:rFonts w:ascii="@仿宋_GB2312" w:hAnsi="@仿宋_GB2312" w:eastAsia="@仿宋_GB2312" w:cs="@仿宋_GB2312"/>
      <w:sz w:val="18"/>
      <w:szCs w:val="18"/>
    </w:rPr>
  </w:style>
  <w:style w:type="paragraph" w:customStyle="1" w:styleId="4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Char"/>
    <w:basedOn w:val="26"/>
    <w:link w:val="17"/>
    <w:autoRedefine/>
    <w:qFormat/>
    <w:uiPriority w:val="0"/>
    <w:rPr>
      <w:rFonts w:ascii="@仿宋_GB2312" w:hAnsi="@仿宋_GB2312" w:eastAsia="@仿宋_GB2312" w:cs="@仿宋_GB2312"/>
      <w:sz w:val="18"/>
      <w:szCs w:val="18"/>
    </w:rPr>
  </w:style>
  <w:style w:type="character" w:customStyle="1" w:styleId="46">
    <w:name w:val="页脚 Char"/>
    <w:basedOn w:val="26"/>
    <w:link w:val="16"/>
    <w:autoRedefine/>
    <w:qFormat/>
    <w:uiPriority w:val="99"/>
    <w:rPr>
      <w:rFonts w:ascii="@仿宋_GB2312" w:hAnsi="@仿宋_GB2312" w:eastAsia="@仿宋_GB2312" w:cs="@仿宋_GB2312"/>
      <w:sz w:val="18"/>
      <w:szCs w:val="18"/>
    </w:rPr>
  </w:style>
  <w:style w:type="character" w:customStyle="1" w:styleId="47">
    <w:name w:val="纯文本 Char"/>
    <w:link w:val="13"/>
    <w:autoRedefine/>
    <w:qFormat/>
    <w:uiPriority w:val="0"/>
    <w:rPr>
      <w:rFonts w:ascii="宋体" w:hAnsi="Courier New"/>
    </w:rPr>
  </w:style>
  <w:style w:type="character" w:customStyle="1" w:styleId="48">
    <w:name w:val="纯文本 字符1"/>
    <w:basedOn w:val="26"/>
    <w:autoRedefine/>
    <w:semiHidden/>
    <w:qFormat/>
    <w:uiPriority w:val="99"/>
    <w:rPr>
      <w:rFonts w:hAnsi="Courier New" w:cs="Courier New" w:asciiTheme="minorEastAsia"/>
      <w:szCs w:val="20"/>
    </w:rPr>
  </w:style>
  <w:style w:type="character" w:customStyle="1" w:styleId="49">
    <w:name w:val="未处理的提及1"/>
    <w:basedOn w:val="26"/>
    <w:autoRedefine/>
    <w:semiHidden/>
    <w:unhideWhenUsed/>
    <w:qFormat/>
    <w:uiPriority w:val="99"/>
    <w:rPr>
      <w:color w:val="605E5C"/>
      <w:shd w:val="clear" w:color="auto" w:fill="E1DFDD"/>
    </w:rPr>
  </w:style>
  <w:style w:type="paragraph" w:styleId="50">
    <w:name w:val="List Paragraph"/>
    <w:basedOn w:val="1"/>
    <w:autoRedefine/>
    <w:qFormat/>
    <w:uiPriority w:val="34"/>
    <w:pPr>
      <w:ind w:firstLine="420" w:firstLineChars="200"/>
    </w:pPr>
  </w:style>
  <w:style w:type="paragraph" w:customStyle="1" w:styleId="51">
    <w:name w:val="Char Char Char Char Char Char Char1 Char"/>
    <w:basedOn w:val="1"/>
    <w:autoRedefine/>
    <w:qFormat/>
    <w:uiPriority w:val="0"/>
    <w:rPr>
      <w:rFonts w:ascii="Arial" w:hAnsi="Arial" w:eastAsia="宋体" w:cs="Arial"/>
      <w:sz w:val="24"/>
    </w:rPr>
  </w:style>
  <w:style w:type="table" w:customStyle="1" w:styleId="52">
    <w:name w:val="网格表 1 浅色1"/>
    <w:basedOn w:val="24"/>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6"/>
    <w:autoRedefine/>
    <w:semiHidden/>
    <w:qFormat/>
    <w:uiPriority w:val="99"/>
    <w:rPr>
      <w:rFonts w:ascii="@仿宋_GB2312" w:hAnsi="@仿宋_GB2312" w:eastAsia="@仿宋_GB2312" w:cs="@仿宋_GB2312"/>
      <w:szCs w:val="20"/>
    </w:rPr>
  </w:style>
  <w:style w:type="character" w:customStyle="1" w:styleId="54">
    <w:name w:val="日期 Char"/>
    <w:link w:val="14"/>
    <w:autoRedefine/>
    <w:qFormat/>
    <w:uiPriority w:val="0"/>
    <w:rPr>
      <w:rFonts w:ascii="Arial" w:hAnsi="Arial" w:eastAsia="宋体" w:cs="Arial"/>
      <w:b/>
      <w:sz w:val="28"/>
      <w:szCs w:val="20"/>
    </w:rPr>
  </w:style>
  <w:style w:type="character" w:customStyle="1" w:styleId="55">
    <w:name w:val="纯文本 Char1"/>
    <w:link w:val="56"/>
    <w:autoRedefine/>
    <w:qFormat/>
    <w:locked/>
    <w:uiPriority w:val="0"/>
    <w:rPr>
      <w:rFonts w:ascii="Arial" w:hAnsi="Arial" w:eastAsia="Arial"/>
      <w:kern w:val="2"/>
      <w:sz w:val="21"/>
      <w:lang w:val="en-US" w:eastAsia="zh-CN" w:bidi="ar-SA"/>
    </w:rPr>
  </w:style>
  <w:style w:type="paragraph" w:customStyle="1" w:styleId="56">
    <w:name w:val="纯文本1"/>
    <w:basedOn w:val="1"/>
    <w:link w:val="55"/>
    <w:autoRedefine/>
    <w:qFormat/>
    <w:uiPriority w:val="0"/>
    <w:rPr>
      <w:rFonts w:ascii="Arial" w:hAnsi="Arial" w:eastAsia="Arial" w:cstheme="minorBidi"/>
    </w:rPr>
  </w:style>
  <w:style w:type="character" w:customStyle="1" w:styleId="57">
    <w:name w:val="批注文字 Char"/>
    <w:basedOn w:val="26"/>
    <w:autoRedefine/>
    <w:semiHidden/>
    <w:qFormat/>
    <w:uiPriority w:val="99"/>
    <w:rPr>
      <w:rFonts w:ascii="@仿宋_GB2312" w:hAnsi="@仿宋_GB2312" w:eastAsia="@仿宋_GB2312" w:cs="@仿宋_GB2312"/>
      <w:szCs w:val="20"/>
    </w:rPr>
  </w:style>
  <w:style w:type="character" w:customStyle="1" w:styleId="58">
    <w:name w:val="批注文字 Char1"/>
    <w:link w:val="8"/>
    <w:autoRedefine/>
    <w:qFormat/>
    <w:uiPriority w:val="0"/>
    <w:rPr>
      <w:rFonts w:ascii="Arial" w:hAnsi="Arial" w:eastAsia="黑体" w:cs="Arial"/>
      <w:szCs w:val="20"/>
    </w:rPr>
  </w:style>
  <w:style w:type="character" w:customStyle="1" w:styleId="59">
    <w:name w:val="标题 1 Char"/>
    <w:basedOn w:val="26"/>
    <w:link w:val="2"/>
    <w:autoRedefine/>
    <w:qFormat/>
    <w:uiPriority w:val="9"/>
    <w:rPr>
      <w:rFonts w:ascii="@仿宋_GB2312" w:hAnsi="@仿宋_GB2312" w:eastAsia="@仿宋_GB2312" w:cs="@仿宋_GB2312"/>
      <w:b/>
      <w:bCs/>
      <w:kern w:val="44"/>
      <w:sz w:val="44"/>
      <w:szCs w:val="44"/>
    </w:rPr>
  </w:style>
  <w:style w:type="paragraph" w:customStyle="1" w:styleId="60">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标题 3 Char"/>
    <w:basedOn w:val="26"/>
    <w:link w:val="4"/>
    <w:autoRedefine/>
    <w:semiHidden/>
    <w:qFormat/>
    <w:uiPriority w:val="9"/>
    <w:rPr>
      <w:rFonts w:ascii="@仿宋_GB2312" w:hAnsi="@仿宋_GB2312" w:eastAsia="@仿宋_GB2312" w:cs="@仿宋_GB2312"/>
      <w:b/>
      <w:bCs/>
      <w:sz w:val="32"/>
      <w:szCs w:val="32"/>
    </w:rPr>
  </w:style>
  <w:style w:type="character" w:customStyle="1" w:styleId="62">
    <w:name w:val="fontstyle01"/>
    <w:basedOn w:val="26"/>
    <w:autoRedefine/>
    <w:qFormat/>
    <w:uiPriority w:val="0"/>
    <w:rPr>
      <w:rFonts w:hint="eastAsia" w:ascii="宋体" w:hAnsi="宋体" w:eastAsia="宋体"/>
      <w:color w:val="000000"/>
      <w:sz w:val="22"/>
      <w:szCs w:val="22"/>
    </w:rPr>
  </w:style>
  <w:style w:type="character" w:customStyle="1" w:styleId="63">
    <w:name w:val="fontstyle21"/>
    <w:basedOn w:val="26"/>
    <w:autoRedefine/>
    <w:qFormat/>
    <w:uiPriority w:val="0"/>
    <w:rPr>
      <w:rFonts w:hint="default" w:ascii="TimesNewRomanPSMT" w:hAnsi="TimesNewRomanPSMT"/>
      <w:color w:val="000000"/>
      <w:sz w:val="22"/>
      <w:szCs w:val="22"/>
    </w:rPr>
  </w:style>
  <w:style w:type="character" w:customStyle="1" w:styleId="6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5">
    <w:name w:val="标题 4 字符"/>
    <w:basedOn w:val="26"/>
    <w:autoRedefine/>
    <w:semiHidden/>
    <w:qFormat/>
    <w:uiPriority w:val="9"/>
    <w:rPr>
      <w:rFonts w:asciiTheme="majorHAnsi" w:hAnsiTheme="majorHAnsi" w:eastAsiaTheme="majorEastAsia" w:cstheme="majorBidi"/>
      <w:b/>
      <w:bCs/>
      <w:sz w:val="28"/>
      <w:szCs w:val="28"/>
    </w:rPr>
  </w:style>
  <w:style w:type="character" w:customStyle="1" w:styleId="66">
    <w:name w:val="标题 4 Char"/>
    <w:link w:val="5"/>
    <w:autoRedefine/>
    <w:qFormat/>
    <w:uiPriority w:val="0"/>
    <w:rPr>
      <w:rFonts w:ascii="@仿宋_GB2312" w:hAnsi="@仿宋_GB2312" w:eastAsia="@仿宋_GB2312" w:cs="@仿宋_GB2312"/>
      <w:b/>
      <w:bCs/>
      <w:sz w:val="28"/>
      <w:szCs w:val="28"/>
    </w:rPr>
  </w:style>
  <w:style w:type="character" w:customStyle="1" w:styleId="67">
    <w:name w:val="正文文本 Char"/>
    <w:basedOn w:val="26"/>
    <w:link w:val="9"/>
    <w:autoRedefine/>
    <w:qFormat/>
    <w:uiPriority w:val="0"/>
    <w:rPr>
      <w:rFonts w:ascii="@微软简标宋" w:hAnsi="@微软简标宋" w:eastAsia="@微软简标宋" w:cs="@微软简标宋"/>
      <w:szCs w:val="24"/>
      <w:lang w:val="zh-CN" w:eastAsia="zh-CN"/>
    </w:rPr>
  </w:style>
  <w:style w:type="table" w:customStyle="1" w:styleId="68">
    <w:name w:val="网格型1"/>
    <w:basedOn w:val="24"/>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Cs w:val="21"/>
      <w:lang w:eastAsia="en-US"/>
    </w:rPr>
  </w:style>
  <w:style w:type="paragraph" w:customStyle="1" w:styleId="71">
    <w:name w:val="正文_2"/>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72">
    <w:name w:val="hover"/>
    <w:basedOn w:val="26"/>
    <w:qFormat/>
    <w:uiPriority w:val="0"/>
    <w:rPr>
      <w:color w:val="2590EB"/>
    </w:rPr>
  </w:style>
  <w:style w:type="character" w:customStyle="1" w:styleId="73">
    <w:name w:val="hover1"/>
    <w:basedOn w:val="26"/>
    <w:qFormat/>
    <w:uiPriority w:val="0"/>
    <w:rPr>
      <w:color w:val="2590EB"/>
    </w:rPr>
  </w:style>
  <w:style w:type="character" w:customStyle="1" w:styleId="74">
    <w:name w:val="hover2"/>
    <w:basedOn w:val="26"/>
    <w:qFormat/>
    <w:uiPriority w:val="0"/>
  </w:style>
  <w:style w:type="character" w:customStyle="1" w:styleId="75">
    <w:name w:val="hover3"/>
    <w:basedOn w:val="26"/>
    <w:qFormat/>
    <w:uiPriority w:val="0"/>
    <w:rPr>
      <w:color w:val="2590EB"/>
      <w:shd w:val="clear" w:fill="E9F4FD"/>
    </w:rPr>
  </w:style>
  <w:style w:type="character" w:customStyle="1" w:styleId="76">
    <w:name w:val="15"/>
    <w:basedOn w:val="26"/>
    <w:qFormat/>
    <w:uiPriority w:val="0"/>
    <w:rPr>
      <w:rFonts w:hint="eastAsia" w:ascii="仿宋" w:hAnsi="仿宋" w:eastAsia="仿宋" w:cs="仿宋"/>
      <w:color w:val="000000"/>
      <w:sz w:val="24"/>
      <w:szCs w:val="24"/>
    </w:rPr>
  </w:style>
  <w:style w:type="character" w:customStyle="1" w:styleId="77">
    <w:name w:val="17"/>
    <w:basedOn w:val="26"/>
    <w:qFormat/>
    <w:uiPriority w:val="0"/>
    <w:rPr>
      <w:rFonts w:hint="eastAsia" w:ascii="仿宋" w:hAnsi="仿宋" w:eastAsia="仿宋" w:cs="仿宋"/>
      <w:color w:val="000000"/>
      <w:sz w:val="22"/>
      <w:szCs w:val="22"/>
    </w:rPr>
  </w:style>
  <w:style w:type="character" w:customStyle="1" w:styleId="78">
    <w:name w:val="16"/>
    <w:basedOn w:val="26"/>
    <w:qFormat/>
    <w:uiPriority w:val="0"/>
    <w:rPr>
      <w:rFonts w:hint="eastAsia" w:ascii="仿宋" w:hAnsi="仿宋" w:eastAsia="仿宋" w:cs="仿宋"/>
      <w:color w:val="000000"/>
      <w:sz w:val="24"/>
      <w:szCs w:val="24"/>
    </w:rPr>
  </w:style>
  <w:style w:type="character" w:customStyle="1" w:styleId="79">
    <w:name w:val="10"/>
    <w:basedOn w:val="26"/>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88DD5-C983-4872-8775-8B5EA31FDFE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81</Pages>
  <Words>41850</Words>
  <Characters>44220</Characters>
  <Lines>1</Lines>
  <Paragraphs>1</Paragraphs>
  <TotalTime>12</TotalTime>
  <ScaleCrop>false</ScaleCrop>
  <LinksUpToDate>false</LinksUpToDate>
  <CharactersWithSpaces>46722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这不科学</cp:lastModifiedBy>
  <cp:lastPrinted>2026-03-19T13:18:00Z</cp:lastPrinted>
  <dcterms:modified xsi:type="dcterms:W3CDTF">2026-07-07T08:34:53Z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C4EBC83394044F5FBC37651CB02EE662_13</vt:lpwstr>
  </property>
  <property fmtid="{D5CDD505-2E9C-101B-9397-08002B2CF9AE}" pid="4" name="KSOTemplateDocerSaveRecord">
    <vt:lpwstr>eyJoZGlkIjoiZmI5ZDY5ZDNjMmE2ZDcxYTFkMDY0Zjg5Mjg3YTE0YTgiLCJ1c2VySWQiOiI1MDM3MjkwOTMifQ==</vt:lpwstr>
  </property>
</Properties>
</file>