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6DC9B">
      <w:pPr>
        <w:ind w:right="-315" w:rightChars="-150"/>
        <w:jc w:val="center"/>
        <w:rPr>
          <w:rFonts w:hint="eastAsia" w:ascii="宋体" w:hAnsi="宋体" w:eastAsia="宋体" w:cs="宋体"/>
          <w:b/>
          <w:bCs/>
          <w:color w:val="auto"/>
          <w:sz w:val="92"/>
          <w:szCs w:val="92"/>
          <w:highlight w:val="none"/>
          <w:u w:val="single"/>
          <w:vertAlign w:val="subscript"/>
        </w:rPr>
      </w:pPr>
    </w:p>
    <w:p w14:paraId="6B503F7B">
      <w:pPr>
        <w:spacing w:line="720" w:lineRule="auto"/>
        <w:jc w:val="center"/>
        <w:rPr>
          <w:rFonts w:hint="eastAsia" w:ascii="宋体" w:hAnsi="宋体" w:eastAsia="宋体" w:cs="宋体"/>
          <w:b/>
          <w:bCs/>
          <w:color w:val="auto"/>
          <w:spacing w:val="-10"/>
          <w:sz w:val="48"/>
          <w:szCs w:val="48"/>
          <w:highlight w:val="none"/>
          <w:lang w:val="en-US" w:eastAsia="zh-CN"/>
        </w:rPr>
      </w:pPr>
      <w:r>
        <w:rPr>
          <w:rFonts w:hint="eastAsia" w:ascii="宋体" w:hAnsi="宋体" w:cs="宋体"/>
          <w:b/>
          <w:bCs/>
          <w:color w:val="auto"/>
          <w:spacing w:val="-10"/>
          <w:sz w:val="48"/>
          <w:szCs w:val="48"/>
          <w:highlight w:val="none"/>
          <w:lang w:val="en-US" w:eastAsia="zh-CN"/>
        </w:rPr>
        <w:t>明湖公园园路应急工程跟踪审计项目</w:t>
      </w:r>
    </w:p>
    <w:p w14:paraId="559D772C">
      <w:pPr>
        <w:spacing w:line="400" w:lineRule="atLeast"/>
        <w:jc w:val="center"/>
        <w:rPr>
          <w:rFonts w:hint="eastAsia" w:ascii="宋体" w:hAnsi="宋体" w:eastAsia="宋体" w:cs="宋体"/>
          <w:b/>
          <w:bCs/>
          <w:color w:val="auto"/>
          <w:sz w:val="98"/>
          <w:szCs w:val="98"/>
          <w:highlight w:val="none"/>
        </w:rPr>
      </w:pPr>
    </w:p>
    <w:p w14:paraId="79172E65">
      <w:pPr>
        <w:pStyle w:val="2"/>
        <w:rPr>
          <w:rFonts w:hint="eastAsia"/>
          <w:color w:val="auto"/>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5E1922AA">
      <w:pPr>
        <w:spacing w:line="480" w:lineRule="exact"/>
        <w:jc w:val="center"/>
        <w:rPr>
          <w:rFonts w:hint="eastAsia" w:ascii="宋体" w:hAnsi="宋体" w:eastAsia="宋体" w:cs="宋体"/>
          <w:color w:val="auto"/>
          <w:sz w:val="32"/>
          <w:highlight w:val="none"/>
          <w:u w:val="none"/>
          <w:lang w:val="en-US" w:eastAsia="zh-CN"/>
        </w:rPr>
      </w:pPr>
    </w:p>
    <w:p w14:paraId="6228E25F">
      <w:pPr>
        <w:spacing w:line="480" w:lineRule="exact"/>
        <w:jc w:val="center"/>
        <w:rPr>
          <w:rFonts w:hint="default" w:ascii="宋体" w:hAnsi="宋体" w:eastAsia="宋体" w:cs="宋体"/>
          <w:color w:val="auto"/>
          <w:sz w:val="32"/>
          <w:highlight w:val="none"/>
          <w:u w:val="none"/>
          <w:lang w:val="en-US" w:eastAsia="zh-CN"/>
        </w:rPr>
      </w:pPr>
      <w:r>
        <w:rPr>
          <w:rFonts w:hint="eastAsia" w:ascii="宋体" w:hAnsi="宋体" w:eastAsia="宋体" w:cs="宋体"/>
          <w:color w:val="auto"/>
          <w:sz w:val="32"/>
          <w:highlight w:val="none"/>
          <w:u w:val="none"/>
          <w:lang w:val="en-US" w:eastAsia="zh-CN"/>
        </w:rPr>
        <w:t>项目编号：HXJY1110001054829001</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sz w:val="32"/>
          <w:highlight w:val="none"/>
        </w:rPr>
      </w:pPr>
    </w:p>
    <w:p w14:paraId="20B531C3">
      <w:pPr>
        <w:spacing w:line="800" w:lineRule="exact"/>
        <w:jc w:val="center"/>
        <w:rPr>
          <w:rFonts w:hint="eastAsia" w:ascii="宋体" w:hAnsi="宋体" w:eastAsia="宋体" w:cs="宋体"/>
          <w:color w:val="auto"/>
          <w:sz w:val="32"/>
          <w:highlight w:val="none"/>
          <w:lang w:val="en-US" w:eastAsia="zh-CN"/>
        </w:rPr>
      </w:pPr>
    </w:p>
    <w:p w14:paraId="44D60B52">
      <w:pPr>
        <w:spacing w:line="80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hAnsi="宋体" w:cs="宋体"/>
          <w:color w:val="auto"/>
          <w:sz w:val="32"/>
          <w:highlight w:val="none"/>
          <w:u w:val="single"/>
          <w:lang w:val="en-US" w:eastAsia="zh-CN"/>
        </w:rPr>
        <w:t>滁州市明湖建设管理服务中心</w:t>
      </w:r>
      <w:r>
        <w:rPr>
          <w:rFonts w:hint="eastAsia" w:ascii="宋体" w:hAnsi="宋体" w:eastAsia="宋体" w:cs="宋体"/>
          <w:color w:val="auto"/>
          <w:sz w:val="32"/>
          <w:highlight w:val="none"/>
          <w:u w:val="single"/>
          <w:lang w:val="en-US" w:eastAsia="zh-CN"/>
        </w:rPr>
        <w:t xml:space="preserve">   </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6435FF63">
      <w:pPr>
        <w:spacing w:line="800" w:lineRule="exact"/>
        <w:jc w:val="center"/>
        <w:rPr>
          <w:rFonts w:hint="default" w:ascii="宋体" w:hAnsi="宋体" w:eastAsia="宋体" w:cs="宋体"/>
          <w:color w:val="auto"/>
          <w:sz w:val="32"/>
          <w:highlight w:val="none"/>
          <w:lang w:val="en-US" w:eastAsia="zh-CN"/>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6</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4 </w:t>
      </w:r>
      <w:r>
        <w:rPr>
          <w:rFonts w:hint="eastAsia" w:ascii="宋体" w:hAnsi="宋体" w:eastAsia="宋体" w:cs="宋体"/>
          <w:color w:val="auto"/>
          <w:sz w:val="32"/>
          <w:highlight w:val="none"/>
        </w:rPr>
        <w:t>月</w:t>
      </w:r>
      <w:r>
        <w:rPr>
          <w:rFonts w:hint="eastAsia" w:ascii="宋体" w:hAnsi="宋体" w:cs="宋体"/>
          <w:color w:val="auto"/>
          <w:sz w:val="32"/>
          <w:highlight w:val="none"/>
          <w:u w:val="single"/>
          <w:lang w:val="en-US" w:eastAsia="zh-CN"/>
        </w:rPr>
        <w:t xml:space="preserve"> 20 </w:t>
      </w:r>
      <w:r>
        <w:rPr>
          <w:rFonts w:hint="eastAsia" w:ascii="宋体" w:hAnsi="宋体" w:cs="宋体"/>
          <w:color w:val="auto"/>
          <w:sz w:val="32"/>
          <w:highlight w:val="none"/>
          <w:lang w:val="en-US" w:eastAsia="zh-CN"/>
        </w:rPr>
        <w:t>日</w:t>
      </w:r>
    </w:p>
    <w:p w14:paraId="236D7D19">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2"/>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4CD5E4E4">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w:t>
      </w:r>
      <w:r>
        <w:rPr>
          <w:rFonts w:hint="eastAsia" w:hAnsi="宋体" w:eastAsia="宋体" w:cs="宋体"/>
          <w:color w:val="auto"/>
          <w:highlight w:val="none"/>
          <w:lang w:val="en-US" w:eastAsia="zh-CN"/>
        </w:rPr>
        <w:t>人</w:t>
      </w:r>
      <w:r>
        <w:rPr>
          <w:rFonts w:hint="eastAsia" w:ascii="宋体" w:hAnsi="宋体" w:eastAsia="宋体" w:cs="宋体"/>
          <w:color w:val="auto"/>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37667979">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5E06610">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2"/>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hAnsi="宋体" w:eastAsia="宋体" w:cs="宋体"/>
          <w:color w:val="auto"/>
          <w:highlight w:val="none"/>
          <w:lang w:val="en-US" w:eastAsia="zh-CN"/>
        </w:rPr>
        <w:t>2</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9</w:t>
      </w:r>
    </w:p>
    <w:p w14:paraId="703F52F3">
      <w:pPr>
        <w:pStyle w:val="32"/>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4</w:t>
      </w:r>
    </w:p>
    <w:p w14:paraId="2E1D2DC7">
      <w:pPr>
        <w:pStyle w:val="6"/>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6153588B">
      <w:pPr>
        <w:pStyle w:val="6"/>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华文中宋" w:hAnsi="华文中宋" w:eastAsia="华文中宋" w:cs="Times New Roman"/>
          <w:color w:val="auto"/>
          <w:highlight w:val="none"/>
          <w:lang w:eastAsia="zh-CN"/>
        </w:rPr>
      </w:pPr>
      <w:bookmarkStart w:id="0" w:name="_Toc14627"/>
      <w:bookmarkStart w:id="1" w:name="_Toc21262"/>
      <w:bookmarkStart w:id="2" w:name="_Toc16309"/>
      <w:r>
        <w:rPr>
          <w:rFonts w:hint="eastAsia" w:ascii="华文中宋" w:hAnsi="华文中宋" w:eastAsia="华文中宋" w:cs="Times New Roman"/>
          <w:color w:val="auto"/>
          <w:highlight w:val="none"/>
          <w:lang w:val="en-US" w:eastAsia="zh-CN"/>
        </w:rPr>
        <w:t>A、明湖公园园路应急工程跟踪审计项目</w:t>
      </w:r>
      <w:r>
        <w:rPr>
          <w:rFonts w:hint="eastAsia" w:ascii="华文中宋" w:hAnsi="华文中宋" w:eastAsia="华文中宋" w:cs="Times New Roman"/>
          <w:color w:val="auto"/>
          <w:highlight w:val="none"/>
          <w:lang w:eastAsia="zh-CN"/>
        </w:rPr>
        <w:t>招标公告</w:t>
      </w:r>
      <w:bookmarkEnd w:id="0"/>
      <w:bookmarkEnd w:id="1"/>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3" w:name="_Toc11704"/>
      <w:bookmarkStart w:id="4" w:name="_Toc31215"/>
      <w:bookmarkStart w:id="5" w:name="_Toc35393790"/>
      <w:bookmarkStart w:id="6" w:name="_Toc35393621"/>
      <w:bookmarkStart w:id="7" w:name="_Toc28359079"/>
      <w:bookmarkStart w:id="8" w:name="_Toc23993"/>
      <w:bookmarkStart w:id="9" w:name="_Toc28359002"/>
      <w:bookmarkStart w:id="10" w:name="_Hlk24379207"/>
      <w:r>
        <w:rPr>
          <w:rFonts w:hint="eastAsia" w:ascii="宋体" w:hAnsi="宋体" w:eastAsia="宋体" w:cs="宋体"/>
          <w:b/>
          <w:bCs/>
          <w:color w:val="auto"/>
          <w:sz w:val="21"/>
          <w:szCs w:val="21"/>
          <w:highlight w:val="none"/>
        </w:rPr>
        <w:t>一、项目基本情况</w:t>
      </w:r>
      <w:bookmarkEnd w:id="3"/>
      <w:bookmarkEnd w:id="4"/>
      <w:bookmarkEnd w:id="5"/>
      <w:bookmarkEnd w:id="6"/>
      <w:bookmarkEnd w:id="7"/>
      <w:bookmarkEnd w:id="8"/>
      <w:bookmarkEnd w:id="9"/>
    </w:p>
    <w:bookmarkEnd w:id="10"/>
    <w:p w14:paraId="660E9687">
      <w:pPr>
        <w:pageBreakBefore w:val="0"/>
        <w:kinsoku/>
        <w:overflowPunct/>
        <w:topLinePunct w:val="0"/>
        <w:autoSpaceDE/>
        <w:autoSpaceDN/>
        <w:bidi w:val="0"/>
        <w:spacing w:line="360" w:lineRule="auto"/>
        <w:ind w:firstLine="420" w:firstLineChars="200"/>
        <w:rPr>
          <w:rFonts w:hint="eastAsia" w:ascii="宋体" w:hAnsi="宋体" w:cs="宋体"/>
          <w:i w:val="0"/>
          <w:iCs w:val="0"/>
          <w:caps w:val="0"/>
          <w:color w:val="auto"/>
          <w:spacing w:val="0"/>
          <w:kern w:val="0"/>
          <w:sz w:val="21"/>
          <w:szCs w:val="21"/>
          <w:highlight w:val="none"/>
          <w:shd w:val="clear" w:fill="FFFFFF"/>
          <w:lang w:val="en-US" w:eastAsia="zh-CN" w:bidi="ar"/>
        </w:rPr>
      </w:pPr>
      <w:bookmarkStart w:id="11" w:name="_Toc28359080"/>
      <w:bookmarkStart w:id="12" w:name="_Toc35393791"/>
      <w:bookmarkStart w:id="13" w:name="_Toc35393622"/>
      <w:bookmarkStart w:id="14" w:name="_Toc4879"/>
      <w:bookmarkStart w:id="15" w:name="_Toc28359003"/>
      <w:bookmarkStart w:id="16" w:name="_Toc28004"/>
      <w:r>
        <w:rPr>
          <w:rFonts w:hint="eastAsia" w:ascii="宋体" w:hAnsi="宋体" w:cs="宋体"/>
          <w:i w:val="0"/>
          <w:iCs w:val="0"/>
          <w:caps w:val="0"/>
          <w:color w:val="auto"/>
          <w:spacing w:val="0"/>
          <w:kern w:val="0"/>
          <w:sz w:val="21"/>
          <w:szCs w:val="21"/>
          <w:highlight w:val="none"/>
          <w:shd w:val="clear" w:fill="FFFFFF"/>
          <w:lang w:val="en-US" w:eastAsia="zh-CN" w:bidi="ar"/>
        </w:rPr>
        <w:t>项目编号：HXJY1110001054829001</w:t>
      </w:r>
    </w:p>
    <w:p w14:paraId="1E27E1DB">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项目名称：</w:t>
      </w:r>
      <w:r>
        <w:rPr>
          <w:rFonts w:hint="eastAsia" w:ascii="宋体" w:hAnsi="宋体" w:cs="宋体"/>
          <w:i w:val="0"/>
          <w:iCs w:val="0"/>
          <w:caps w:val="0"/>
          <w:color w:val="auto"/>
          <w:spacing w:val="0"/>
          <w:kern w:val="0"/>
          <w:sz w:val="21"/>
          <w:szCs w:val="21"/>
          <w:highlight w:val="none"/>
          <w:shd w:val="clear" w:fill="FFFFFF"/>
          <w:lang w:val="en-US" w:eastAsia="zh-CN" w:bidi="ar"/>
        </w:rPr>
        <w:t>明湖公园园路应急工程跟踪审计项目</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1991BF28">
      <w:pPr>
        <w:pageBreakBefore w:val="0"/>
        <w:kinsoku/>
        <w:overflowPunct/>
        <w:topLinePunct w:val="0"/>
        <w:autoSpaceDE/>
        <w:autoSpaceDN/>
        <w:bidi w:val="0"/>
        <w:spacing w:line="360" w:lineRule="auto"/>
        <w:ind w:firstLine="420" w:firstLineChars="200"/>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预算金额：</w:t>
      </w:r>
      <w:r>
        <w:rPr>
          <w:rFonts w:hint="eastAsia" w:ascii="宋体" w:hAnsi="宋体" w:cs="宋体"/>
          <w:i w:val="0"/>
          <w:iCs w:val="0"/>
          <w:caps w:val="0"/>
          <w:color w:val="auto"/>
          <w:spacing w:val="0"/>
          <w:kern w:val="0"/>
          <w:sz w:val="21"/>
          <w:szCs w:val="21"/>
          <w:highlight w:val="none"/>
          <w:shd w:val="clear" w:fill="FFFFFF"/>
          <w:lang w:val="en-US" w:eastAsia="zh-CN" w:bidi="ar"/>
        </w:rPr>
        <w:t>约0.56万元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5705B9E1">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最高限价：本项目的最高限价为基本费率</w:t>
      </w:r>
      <w:r>
        <w:rPr>
          <w:rFonts w:hint="eastAsia" w:ascii="宋体" w:hAnsi="宋体" w:cs="宋体"/>
          <w:i w:val="0"/>
          <w:iCs w:val="0"/>
          <w:caps w:val="0"/>
          <w:color w:val="auto"/>
          <w:spacing w:val="0"/>
          <w:kern w:val="0"/>
          <w:sz w:val="21"/>
          <w:szCs w:val="21"/>
          <w:highlight w:val="none"/>
          <w:shd w:val="clear"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lang w:val="en-US" w:eastAsia="zh-CN" w:bidi="ar"/>
        </w:rPr>
        <w:t>‰、审核成果费率4%（审核成果费率为不可竞争费率，固定不变），基本费率由投标人自主报价，不得高于上述基本费率最高限价，否则按无效标处理。（投标报价费率要求精确到小数点后两位，投标费率不可以填报0或负数，否则按无效标处理）。</w:t>
      </w:r>
    </w:p>
    <w:p w14:paraId="45CFA020">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采购需求：</w:t>
      </w:r>
      <w:r>
        <w:rPr>
          <w:rFonts w:hint="eastAsia" w:ascii="宋体" w:hAnsi="宋体" w:cs="宋体"/>
          <w:i w:val="0"/>
          <w:iCs w:val="0"/>
          <w:caps w:val="0"/>
          <w:color w:val="auto"/>
          <w:spacing w:val="0"/>
          <w:kern w:val="0"/>
          <w:sz w:val="21"/>
          <w:szCs w:val="21"/>
          <w:highlight w:val="none"/>
          <w:shd w:val="clear" w:fill="FFFFFF"/>
          <w:lang w:val="en-US" w:eastAsia="zh-CN" w:bidi="ar"/>
        </w:rPr>
        <w:t>主要内容包括桥头搭板、部分桥台侧墙拆除重新浇筑和台背换填；约80米园路维修改造，对现状园路路基进行换填等;新建桥头防护等内容，总投资约132.8万元。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本次招标需求为上述工程的跟踪（结算）审计服务。</w:t>
      </w:r>
    </w:p>
    <w:p w14:paraId="1042DD81">
      <w:pPr>
        <w:pageBreakBefore w:val="0"/>
        <w:kinsoku/>
        <w:overflowPunct/>
        <w:topLinePunct w:val="0"/>
        <w:autoSpaceDE/>
        <w:autoSpaceDN/>
        <w:bidi w:val="0"/>
        <w:spacing w:line="360" w:lineRule="auto"/>
        <w:ind w:firstLine="420" w:firstLineChars="200"/>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标段（包别）划分：1个标段。</w:t>
      </w:r>
    </w:p>
    <w:p w14:paraId="20F129E5">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7" w:name="_Toc30013"/>
      <w:r>
        <w:rPr>
          <w:rFonts w:hint="eastAsia" w:ascii="宋体" w:hAnsi="宋体" w:eastAsia="宋体" w:cs="宋体"/>
          <w:b/>
          <w:bCs/>
          <w:color w:val="auto"/>
          <w:sz w:val="21"/>
          <w:szCs w:val="21"/>
          <w:highlight w:val="none"/>
        </w:rPr>
        <w:t>二、申请人的资格要求：</w:t>
      </w:r>
      <w:bookmarkEnd w:id="11"/>
      <w:bookmarkEnd w:id="12"/>
      <w:bookmarkEnd w:id="13"/>
      <w:bookmarkEnd w:id="14"/>
      <w:bookmarkEnd w:id="15"/>
      <w:bookmarkEnd w:id="16"/>
      <w:bookmarkEnd w:id="17"/>
    </w:p>
    <w:p w14:paraId="128C1AE7">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8" w:name="_Toc7189"/>
      <w:bookmarkStart w:id="19" w:name="_Toc28359081"/>
      <w:bookmarkStart w:id="20" w:name="_Toc35393623"/>
      <w:bookmarkStart w:id="21" w:name="_Toc28359004"/>
      <w:bookmarkStart w:id="22" w:name="_Toc28172"/>
      <w:bookmarkStart w:id="23" w:name="_Toc2689"/>
      <w:bookmarkStart w:id="24" w:name="_Toc35393792"/>
      <w:r>
        <w:rPr>
          <w:rFonts w:hint="eastAsia" w:ascii="宋体" w:hAnsi="宋体" w:eastAsia="宋体" w:cs="宋体"/>
          <w:i w:val="0"/>
          <w:iCs w:val="0"/>
          <w:caps w:val="0"/>
          <w:color w:val="auto"/>
          <w:spacing w:val="0"/>
          <w:kern w:val="0"/>
          <w:sz w:val="21"/>
          <w:szCs w:val="21"/>
          <w:highlight w:val="none"/>
          <w:shd w:val="clear" w:fill="FFFFFF"/>
          <w:lang w:val="en-US" w:eastAsia="zh-CN" w:bidi="ar"/>
        </w:rPr>
        <w:t>1、投标人资质要求：具备独立承担民事责任能力，具有有效的营业执照或事业单位法人证书；</w:t>
      </w:r>
    </w:p>
    <w:p w14:paraId="72BDBE31">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2、项目负责人资格要求：须具有注册在投标单位的土木建筑工程专业一级注册造价工程师（或原注册造价工程师）；</w:t>
      </w:r>
    </w:p>
    <w:p w14:paraId="6310DA90">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3、项目组其他成员（不含项目负责人）要求：</w:t>
      </w:r>
      <w:r>
        <w:rPr>
          <w:rFonts w:hint="eastAsia" w:ascii="宋体" w:hAnsi="宋体" w:cs="宋体"/>
          <w:i w:val="0"/>
          <w:iCs w:val="0"/>
          <w:caps w:val="0"/>
          <w:color w:val="auto"/>
          <w:spacing w:val="0"/>
          <w:kern w:val="0"/>
          <w:sz w:val="21"/>
          <w:szCs w:val="21"/>
          <w:highlight w:val="none"/>
          <w:shd w:val="clear" w:fill="FFFFFF"/>
          <w:lang w:val="en-US" w:eastAsia="zh-CN" w:bidi="ar"/>
        </w:rPr>
        <w:t>不少于2名且具有在本单位注册的二级及以上造价工程师（土木建筑工程专业至少1名）</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2AEC28B0">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三、获取</w:t>
      </w:r>
      <w:bookmarkEnd w:id="18"/>
      <w:bookmarkEnd w:id="19"/>
      <w:bookmarkEnd w:id="20"/>
      <w:bookmarkEnd w:id="21"/>
      <w:bookmarkEnd w:id="22"/>
      <w:bookmarkEnd w:id="23"/>
      <w:bookmarkEnd w:id="24"/>
      <w:r>
        <w:rPr>
          <w:rFonts w:hint="eastAsia" w:ascii="宋体" w:hAnsi="宋体" w:eastAsia="宋体" w:cs="宋体"/>
          <w:b/>
          <w:bCs/>
          <w:color w:val="auto"/>
          <w:sz w:val="21"/>
          <w:szCs w:val="21"/>
          <w:highlight w:val="none"/>
          <w:lang w:eastAsia="zh-CN"/>
        </w:rPr>
        <w:t>招标文件</w:t>
      </w:r>
    </w:p>
    <w:p w14:paraId="32031D63">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时间：</w:t>
      </w:r>
      <w:r>
        <w:rPr>
          <w:rFonts w:hint="eastAsia" w:ascii="宋体" w:hAnsi="宋体" w:cs="宋体"/>
          <w:i w:val="0"/>
          <w:iCs w:val="0"/>
          <w:caps w:val="0"/>
          <w:color w:val="auto"/>
          <w:spacing w:val="0"/>
          <w:kern w:val="0"/>
          <w:sz w:val="21"/>
          <w:szCs w:val="21"/>
          <w:highlight w:val="none"/>
          <w:shd w:val="clear" w:fill="FFFFFF"/>
          <w:lang w:val="en-US" w:eastAsia="zh-CN" w:bidi="ar"/>
        </w:rPr>
        <w:t>2026年4月20日</w:t>
      </w:r>
      <w:r>
        <w:rPr>
          <w:rFonts w:hint="eastAsia" w:ascii="宋体" w:hAnsi="宋体" w:eastAsia="宋体" w:cs="宋体"/>
          <w:i w:val="0"/>
          <w:iCs w:val="0"/>
          <w:caps w:val="0"/>
          <w:color w:val="auto"/>
          <w:spacing w:val="0"/>
          <w:kern w:val="0"/>
          <w:sz w:val="21"/>
          <w:szCs w:val="21"/>
          <w:highlight w:val="none"/>
          <w:shd w:val="clear" w:fill="FFFFFF"/>
          <w:lang w:val="en-US" w:eastAsia="zh-CN" w:bidi="ar"/>
        </w:rPr>
        <w:t>至</w:t>
      </w:r>
      <w:r>
        <w:rPr>
          <w:rFonts w:hint="eastAsia" w:ascii="宋体" w:hAnsi="宋体" w:cs="宋体"/>
          <w:i w:val="0"/>
          <w:iCs w:val="0"/>
          <w:caps w:val="0"/>
          <w:color w:val="auto"/>
          <w:spacing w:val="0"/>
          <w:kern w:val="0"/>
          <w:sz w:val="21"/>
          <w:szCs w:val="21"/>
          <w:highlight w:val="none"/>
          <w:shd w:val="clear" w:fill="FFFFFF"/>
          <w:lang w:val="en-US" w:eastAsia="zh-CN" w:bidi="ar"/>
        </w:rPr>
        <w:t>2026年4月23日15时</w:t>
      </w:r>
      <w:r>
        <w:rPr>
          <w:rFonts w:hint="eastAsia" w:ascii="宋体" w:hAnsi="宋体" w:eastAsia="宋体" w:cs="宋体"/>
          <w:i w:val="0"/>
          <w:iCs w:val="0"/>
          <w:caps w:val="0"/>
          <w:color w:val="auto"/>
          <w:spacing w:val="0"/>
          <w:kern w:val="0"/>
          <w:sz w:val="21"/>
          <w:szCs w:val="21"/>
          <w:highlight w:val="none"/>
          <w:shd w:val="clear" w:fill="FFFFFF"/>
          <w:lang w:val="en-US" w:eastAsia="zh-CN" w:bidi="ar"/>
        </w:rPr>
        <w:t>00分。</w:t>
      </w:r>
    </w:p>
    <w:p w14:paraId="68787255">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地点：请于公告发布之日起从</w:t>
      </w:r>
      <w:r>
        <w:rPr>
          <w:rFonts w:hint="eastAsia" w:ascii="宋体" w:hAnsi="宋体" w:cs="宋体"/>
          <w:i w:val="0"/>
          <w:iCs w:val="0"/>
          <w:caps w:val="0"/>
          <w:color w:val="auto"/>
          <w:spacing w:val="0"/>
          <w:kern w:val="0"/>
          <w:sz w:val="21"/>
          <w:szCs w:val="21"/>
          <w:highlight w:val="none"/>
          <w:shd w:val="clear" w:fill="FFFFFF"/>
          <w:lang w:val="en-US" w:eastAsia="zh-CN" w:bidi="ar"/>
        </w:rPr>
        <w:t>滁州市城投工程咨询管理有限公司（https://www.czctgczx.com/）</w:t>
      </w:r>
      <w:r>
        <w:rPr>
          <w:rFonts w:hint="eastAsia" w:ascii="宋体" w:hAnsi="宋体" w:eastAsia="宋体" w:cs="宋体"/>
          <w:i w:val="0"/>
          <w:iCs w:val="0"/>
          <w:caps w:val="0"/>
          <w:color w:val="auto"/>
          <w:spacing w:val="0"/>
          <w:kern w:val="0"/>
          <w:sz w:val="21"/>
          <w:szCs w:val="21"/>
          <w:highlight w:val="none"/>
          <w:shd w:val="clear" w:fill="FFFFFF"/>
          <w:lang w:val="en-US" w:eastAsia="zh-CN" w:bidi="ar"/>
        </w:rPr>
        <w:t>网站下载。</w:t>
      </w:r>
    </w:p>
    <w:p w14:paraId="2FCAD652">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方式：网上下载</w:t>
      </w:r>
    </w:p>
    <w:p w14:paraId="27A9C381">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售价：0元</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bookmarkStart w:id="25" w:name="_Toc28359082"/>
      <w:bookmarkStart w:id="26" w:name="_Toc28359005"/>
      <w:bookmarkStart w:id="27" w:name="_Toc19139"/>
      <w:bookmarkStart w:id="28" w:name="_Toc35393624"/>
      <w:bookmarkStart w:id="29" w:name="_Toc35393793"/>
      <w:bookmarkStart w:id="30" w:name="_Toc6135"/>
      <w:bookmarkStart w:id="31" w:name="_Toc23486"/>
      <w:r>
        <w:rPr>
          <w:rFonts w:hint="eastAsia" w:ascii="宋体" w:hAnsi="宋体" w:eastAsia="宋体" w:cs="宋体"/>
          <w:b/>
          <w:bCs/>
          <w:color w:val="auto"/>
          <w:sz w:val="21"/>
          <w:szCs w:val="21"/>
          <w:highlight w:val="none"/>
          <w:lang w:eastAsia="zh-CN"/>
        </w:rPr>
        <w:t>四、提交投标文件</w:t>
      </w:r>
      <w:bookmarkEnd w:id="25"/>
      <w:bookmarkEnd w:id="26"/>
      <w:r>
        <w:rPr>
          <w:rFonts w:hint="eastAsia" w:ascii="宋体" w:hAnsi="宋体" w:eastAsia="宋体" w:cs="宋体"/>
          <w:b/>
          <w:bCs/>
          <w:color w:val="auto"/>
          <w:sz w:val="21"/>
          <w:szCs w:val="21"/>
          <w:highlight w:val="none"/>
          <w:lang w:eastAsia="zh-CN"/>
        </w:rPr>
        <w:t>截止时间、开标时间和地点</w:t>
      </w:r>
      <w:bookmarkEnd w:id="27"/>
      <w:bookmarkEnd w:id="28"/>
      <w:bookmarkEnd w:id="29"/>
      <w:bookmarkEnd w:id="30"/>
      <w:bookmarkEnd w:id="31"/>
    </w:p>
    <w:p w14:paraId="78DDBB26">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32" w:name="_Toc19623"/>
      <w:bookmarkStart w:id="33" w:name="_Toc35393625"/>
      <w:bookmarkStart w:id="34" w:name="_Toc28359084"/>
      <w:bookmarkStart w:id="35" w:name="_Toc28359007"/>
      <w:bookmarkStart w:id="36" w:name="_Toc35393794"/>
      <w:bookmarkStart w:id="37" w:name="_Toc1913"/>
      <w:bookmarkStart w:id="38" w:name="_Toc5602"/>
      <w:r>
        <w:rPr>
          <w:rFonts w:hint="eastAsia" w:ascii="宋体" w:hAnsi="宋体" w:eastAsia="宋体" w:cs="宋体"/>
          <w:i w:val="0"/>
          <w:iCs w:val="0"/>
          <w:caps w:val="0"/>
          <w:color w:val="auto"/>
          <w:spacing w:val="0"/>
          <w:kern w:val="0"/>
          <w:sz w:val="21"/>
          <w:szCs w:val="21"/>
          <w:highlight w:val="none"/>
          <w:shd w:val="clear" w:fill="FFFFFF"/>
          <w:lang w:val="en-US" w:eastAsia="zh-CN" w:bidi="ar"/>
        </w:rPr>
        <w:t>1.投标文件递交的截止时间为</w:t>
      </w:r>
      <w:r>
        <w:rPr>
          <w:rFonts w:hint="eastAsia" w:ascii="宋体" w:hAnsi="宋体" w:cs="宋体"/>
          <w:i w:val="0"/>
          <w:iCs w:val="0"/>
          <w:caps w:val="0"/>
          <w:color w:val="auto"/>
          <w:spacing w:val="0"/>
          <w:kern w:val="0"/>
          <w:sz w:val="21"/>
          <w:szCs w:val="21"/>
          <w:highlight w:val="none"/>
          <w:shd w:val="clear" w:fill="FFFFFF"/>
          <w:lang w:val="en-US" w:eastAsia="zh-CN" w:bidi="ar"/>
        </w:rPr>
        <w:t>2026年4月23日15时</w:t>
      </w:r>
      <w:r>
        <w:rPr>
          <w:rFonts w:hint="eastAsia" w:ascii="宋体" w:hAnsi="宋体" w:eastAsia="宋体" w:cs="宋体"/>
          <w:i w:val="0"/>
          <w:iCs w:val="0"/>
          <w:caps w:val="0"/>
          <w:color w:val="auto"/>
          <w:spacing w:val="0"/>
          <w:kern w:val="0"/>
          <w:sz w:val="21"/>
          <w:szCs w:val="21"/>
          <w:highlight w:val="none"/>
          <w:shd w:val="clear" w:fill="FFFFFF"/>
          <w:lang w:val="en-US" w:eastAsia="zh-CN" w:bidi="ar"/>
        </w:rPr>
        <w:t>00分；</w:t>
      </w:r>
    </w:p>
    <w:p w14:paraId="5E1653DD">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2.网上开标，投标人登录滁州市城投工程咨询</w:t>
      </w:r>
      <w:r>
        <w:rPr>
          <w:rFonts w:hint="eastAsia" w:ascii="宋体" w:hAnsi="宋体" w:cs="宋体"/>
          <w:i w:val="0"/>
          <w:iCs w:val="0"/>
          <w:caps w:val="0"/>
          <w:color w:val="auto"/>
          <w:spacing w:val="0"/>
          <w:kern w:val="0"/>
          <w:sz w:val="21"/>
          <w:szCs w:val="21"/>
          <w:highlight w:val="none"/>
          <w:shd w:val="clear" w:fill="FFFFFF"/>
          <w:lang w:val="en-US" w:eastAsia="zh-CN" w:bidi="ar"/>
        </w:rPr>
        <w:t>管理</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有限公司不见面开标系统参与网上开标（网址：http://js.etrading.cn/EpointBidOpening/bidopeninghallaction/hall/login）。</w:t>
      </w:r>
    </w:p>
    <w:p w14:paraId="11B42555">
      <w:pPr>
        <w:pageBreakBefore w:val="0"/>
        <w:kinsoku/>
        <w:overflowPunct/>
        <w:topLinePunct w:val="0"/>
        <w:autoSpaceDE/>
        <w:autoSpaceDN/>
        <w:bidi w:val="0"/>
        <w:spacing w:line="360" w:lineRule="auto"/>
        <w:ind w:firstLine="420" w:firstLineChars="200"/>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3.投标人应在投标截止时间之前，登陆新点电子交易平台【滁州专区】上传投标文件。</w:t>
      </w:r>
    </w:p>
    <w:p w14:paraId="68E70389">
      <w:pPr>
        <w:pageBreakBefore w:val="0"/>
        <w:kinsoku/>
        <w:overflowPunct/>
        <w:topLinePunct w:val="0"/>
        <w:autoSpaceDE/>
        <w:autoSpaceDN/>
        <w:bidi w:val="0"/>
        <w:spacing w:line="360" w:lineRule="auto"/>
        <w:ind w:firstLine="420" w:firstLineChars="200"/>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4.投标人逾期上传投标文件的，电子系统不予受理。</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五、公告</w:t>
      </w:r>
      <w:bookmarkEnd w:id="32"/>
      <w:bookmarkEnd w:id="33"/>
      <w:bookmarkEnd w:id="34"/>
      <w:bookmarkEnd w:id="35"/>
      <w:bookmarkEnd w:id="36"/>
      <w:bookmarkEnd w:id="37"/>
      <w:bookmarkEnd w:id="38"/>
      <w:r>
        <w:rPr>
          <w:rFonts w:hint="eastAsia" w:ascii="宋体" w:hAnsi="宋体" w:eastAsia="宋体" w:cs="宋体"/>
          <w:b/>
          <w:bCs/>
          <w:color w:val="auto"/>
          <w:sz w:val="21"/>
          <w:szCs w:val="21"/>
          <w:highlight w:val="none"/>
          <w:lang w:val="en-US" w:eastAsia="zh-CN"/>
        </w:rPr>
        <w:t>发布期限及媒体</w:t>
      </w:r>
    </w:p>
    <w:p w14:paraId="70ADAEFA">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自本公告发布之日起至投标截止时间止。</w:t>
      </w:r>
    </w:p>
    <w:p w14:paraId="55C898ED">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本次招标公告同时在中国招标公共服务平台（http://www.cebpubservice.com/）、安徽省招标投标信息网（www.ahtba.org.cn）、</w:t>
      </w:r>
      <w:r>
        <w:rPr>
          <w:rFonts w:hint="eastAsia" w:ascii="宋体" w:hAnsi="宋体" w:cs="宋体"/>
          <w:i w:val="0"/>
          <w:iCs w:val="0"/>
          <w:caps w:val="0"/>
          <w:color w:val="auto"/>
          <w:spacing w:val="0"/>
          <w:kern w:val="0"/>
          <w:sz w:val="21"/>
          <w:szCs w:val="21"/>
          <w:highlight w:val="none"/>
          <w:shd w:val="clear" w:fill="FFFFFF"/>
          <w:lang w:val="en-US" w:eastAsia="zh-CN" w:bidi="ar"/>
        </w:rPr>
        <w:t>滁州市城投工程咨询管理有限公司（https://www.czctgczx.com/）</w:t>
      </w:r>
      <w:r>
        <w:rPr>
          <w:rFonts w:hint="eastAsia" w:ascii="宋体" w:hAnsi="宋体" w:eastAsia="宋体" w:cs="宋体"/>
          <w:i w:val="0"/>
          <w:iCs w:val="0"/>
          <w:caps w:val="0"/>
          <w:color w:val="auto"/>
          <w:spacing w:val="0"/>
          <w:kern w:val="0"/>
          <w:sz w:val="21"/>
          <w:szCs w:val="21"/>
          <w:highlight w:val="none"/>
          <w:shd w:val="clear" w:fill="FFFFFF"/>
          <w:lang w:val="en-US" w:eastAsia="zh-CN" w:bidi="ar"/>
        </w:rPr>
        <w:t>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六、投标保证金金额及缴纳账户</w:t>
      </w:r>
    </w:p>
    <w:p w14:paraId="1B54B949">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是否要求投标人提交投标保证金：不要求。</w:t>
      </w:r>
    </w:p>
    <w:p w14:paraId="464AC67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、重要提醒</w:t>
      </w:r>
    </w:p>
    <w:p w14:paraId="73ADC5F0">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438E66D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02598D4C">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fill="FFFFFF"/>
          <w:lang w:val="en-US" w:eastAsia="zh-CN" w:bidi="ar"/>
        </w:rPr>
        <w:t>（工作日）。</w:t>
      </w:r>
    </w:p>
    <w:p w14:paraId="2C7C5FFB">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fill="FFFFFF"/>
          <w:lang w:val="en-US" w:eastAsia="zh-CN" w:bidi="ar"/>
        </w:rPr>
        <w:t>或者网站首页在线客服。投标人自行承担因未按要求获取招标文件导致无法上传电子投标文件的风险。</w:t>
      </w:r>
    </w:p>
    <w:p w14:paraId="4CE71258">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5.本项目采用不见面开标，投标人登录滁州市城投工程咨询有限公司不见面开标系统参与网上开标（网址：http://js.etrading.cn/EpointBidOpening/bidopeninghallaction/hall/login）。</w:t>
      </w:r>
    </w:p>
    <w:p w14:paraId="01C1FB9E">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6.投标人应在投标截止时间之前，登录新点电子交易平台【滁州专区】上传投标文件。投标人逾期上传投标文件的，电子系统不予受理。</w:t>
      </w:r>
    </w:p>
    <w:p w14:paraId="1B85BE5F">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769CA16">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8.投标人的联系人电话(手机)、电子邮箱等通讯方式在开标过程中必须保持畅通，否则因上述原因造成的后果，责任自负。</w:t>
      </w:r>
    </w:p>
    <w:p w14:paraId="0369C8D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对本次招标提出询问，请按以下方式联系</w:t>
      </w:r>
    </w:p>
    <w:p w14:paraId="0C5B6E15">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1.招标人信息</w:t>
      </w:r>
    </w:p>
    <w:p w14:paraId="1E1DF206">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名    称：</w:t>
      </w:r>
      <w:r>
        <w:rPr>
          <w:rFonts w:hint="eastAsia" w:ascii="宋体" w:hAnsi="宋体" w:cs="宋体"/>
          <w:i w:val="0"/>
          <w:iCs w:val="0"/>
          <w:caps w:val="0"/>
          <w:color w:val="auto"/>
          <w:spacing w:val="0"/>
          <w:kern w:val="0"/>
          <w:sz w:val="21"/>
          <w:szCs w:val="21"/>
          <w:highlight w:val="none"/>
          <w:shd w:val="clear" w:fill="FFFFFF"/>
          <w:lang w:val="en-US" w:eastAsia="zh-CN" w:bidi="ar"/>
        </w:rPr>
        <w:t>滁州市明湖建设管理服务中心</w:t>
      </w:r>
      <w:r>
        <w:rPr>
          <w:rFonts w:hint="eastAsia" w:ascii="宋体" w:hAnsi="宋体" w:eastAsia="宋体" w:cs="宋体"/>
          <w:i w:val="0"/>
          <w:iCs w:val="0"/>
          <w:caps w:val="0"/>
          <w:color w:val="auto"/>
          <w:spacing w:val="0"/>
          <w:kern w:val="0"/>
          <w:sz w:val="21"/>
          <w:szCs w:val="21"/>
          <w:highlight w:val="none"/>
          <w:shd w:val="clear" w:fill="FFFFFF"/>
          <w:lang w:val="en-US" w:eastAsia="zh-CN" w:bidi="ar"/>
        </w:rPr>
        <w:t xml:space="preserve"> </w:t>
      </w:r>
    </w:p>
    <w:p w14:paraId="304CDFCF">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    址：</w:t>
      </w:r>
      <w:r>
        <w:rPr>
          <w:rFonts w:hint="eastAsia" w:ascii="宋体" w:hAnsi="宋体" w:cs="宋体"/>
          <w:i w:val="0"/>
          <w:iCs w:val="0"/>
          <w:caps w:val="0"/>
          <w:color w:val="auto"/>
          <w:spacing w:val="0"/>
          <w:kern w:val="0"/>
          <w:sz w:val="21"/>
          <w:szCs w:val="21"/>
          <w:highlight w:val="none"/>
          <w:shd w:val="clear" w:fill="FFFFFF"/>
          <w:lang w:val="en-US" w:eastAsia="zh-CN" w:bidi="ar"/>
        </w:rPr>
        <w:t>滁州市明湖公园内</w:t>
      </w:r>
    </w:p>
    <w:p w14:paraId="04EA343F">
      <w:pPr>
        <w:pageBreakBefore w:val="0"/>
        <w:kinsoku/>
        <w:overflowPunct/>
        <w:topLinePunct w:val="0"/>
        <w:autoSpaceDE/>
        <w:autoSpaceDN/>
        <w:bidi w:val="0"/>
        <w:spacing w:line="360" w:lineRule="auto"/>
        <w:ind w:firstLine="420" w:firstLineChars="200"/>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联 系 人：</w:t>
      </w:r>
      <w:r>
        <w:rPr>
          <w:rFonts w:hint="eastAsia" w:ascii="宋体" w:hAnsi="宋体" w:cs="宋体"/>
          <w:i w:val="0"/>
          <w:iCs w:val="0"/>
          <w:caps w:val="0"/>
          <w:color w:val="auto"/>
          <w:spacing w:val="0"/>
          <w:kern w:val="0"/>
          <w:sz w:val="21"/>
          <w:szCs w:val="21"/>
          <w:highlight w:val="none"/>
          <w:shd w:val="clear" w:fill="FFFFFF"/>
          <w:lang w:val="en-US" w:eastAsia="zh-CN" w:bidi="ar"/>
        </w:rPr>
        <w:t>钟兰翔</w:t>
      </w:r>
    </w:p>
    <w:p w14:paraId="6FA7F725">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联系方式：</w:t>
      </w:r>
      <w:r>
        <w:rPr>
          <w:rFonts w:hint="eastAsia" w:ascii="宋体" w:hAnsi="宋体" w:cs="宋体"/>
          <w:i w:val="0"/>
          <w:iCs w:val="0"/>
          <w:caps w:val="0"/>
          <w:color w:val="auto"/>
          <w:spacing w:val="0"/>
          <w:kern w:val="0"/>
          <w:sz w:val="21"/>
          <w:szCs w:val="21"/>
          <w:highlight w:val="none"/>
          <w:shd w:val="clear" w:fill="FFFFFF"/>
          <w:lang w:val="en-US" w:eastAsia="zh-CN" w:bidi="ar"/>
        </w:rPr>
        <w:t>15155005346</w:t>
      </w:r>
    </w:p>
    <w:p w14:paraId="0133B105">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2.代理机构信息</w:t>
      </w:r>
    </w:p>
    <w:p w14:paraId="594F2357">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名    称：滁州市城投工程咨询管理有限公司</w:t>
      </w:r>
    </w:p>
    <w:p w14:paraId="442918BA">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　　址：</w:t>
      </w:r>
      <w:r>
        <w:rPr>
          <w:rFonts w:hint="eastAsia" w:ascii="宋体" w:hAnsi="宋体" w:cs="宋体"/>
          <w:i w:val="0"/>
          <w:iCs w:val="0"/>
          <w:caps w:val="0"/>
          <w:color w:val="auto"/>
          <w:spacing w:val="0"/>
          <w:kern w:val="0"/>
          <w:sz w:val="21"/>
          <w:szCs w:val="21"/>
          <w:highlight w:val="none"/>
          <w:shd w:val="clear" w:fill="FFFFFF"/>
          <w:lang w:val="en-US" w:eastAsia="zh-CN" w:bidi="ar"/>
        </w:rPr>
        <w:t>滁州市龙蟠大道109号房产商务大厦6楼605室</w:t>
      </w:r>
    </w:p>
    <w:p w14:paraId="2904F47C">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联 系 人：</w:t>
      </w:r>
      <w:r>
        <w:rPr>
          <w:rFonts w:hint="eastAsia" w:ascii="宋体" w:hAnsi="宋体" w:cs="宋体"/>
          <w:i w:val="0"/>
          <w:iCs w:val="0"/>
          <w:caps w:val="0"/>
          <w:color w:val="auto"/>
          <w:spacing w:val="0"/>
          <w:kern w:val="0"/>
          <w:sz w:val="21"/>
          <w:szCs w:val="21"/>
          <w:highlight w:val="none"/>
          <w:shd w:val="clear" w:fill="FFFFFF"/>
          <w:lang w:val="en-US" w:eastAsia="zh-CN" w:bidi="ar"/>
        </w:rPr>
        <w:t>周晓培</w:t>
      </w:r>
    </w:p>
    <w:p w14:paraId="715B43AC">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联系方式：</w:t>
      </w:r>
      <w:r>
        <w:rPr>
          <w:rFonts w:hint="eastAsia" w:ascii="宋体" w:hAnsi="宋体" w:cs="宋体"/>
          <w:i w:val="0"/>
          <w:iCs w:val="0"/>
          <w:caps w:val="0"/>
          <w:color w:val="auto"/>
          <w:spacing w:val="0"/>
          <w:kern w:val="0"/>
          <w:sz w:val="21"/>
          <w:szCs w:val="21"/>
          <w:highlight w:val="none"/>
          <w:shd w:val="clear" w:fill="FFFFFF"/>
          <w:lang w:val="en-US" w:eastAsia="zh-CN" w:bidi="ar"/>
        </w:rPr>
        <w:t>0550-3519512</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r>
        <w:rPr>
          <w:rFonts w:hint="eastAsia" w:ascii="宋体" w:hAnsi="宋体" w:cs="宋体"/>
          <w:i w:val="0"/>
          <w:iCs w:val="0"/>
          <w:caps w:val="0"/>
          <w:color w:val="auto"/>
          <w:spacing w:val="0"/>
          <w:kern w:val="0"/>
          <w:sz w:val="21"/>
          <w:szCs w:val="21"/>
          <w:highlight w:val="none"/>
          <w:shd w:val="clear" w:fill="FFFFFF"/>
          <w:lang w:val="en-US" w:eastAsia="zh-CN" w:bidi="ar"/>
        </w:rPr>
        <w:t>18255055896</w:t>
      </w:r>
    </w:p>
    <w:p w14:paraId="2B50E2F9">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p>
    <w:p w14:paraId="0477B4B4">
      <w:pPr>
        <w:pStyle w:val="2"/>
        <w:rPr>
          <w:rFonts w:hint="eastAsia"/>
          <w:color w:val="auto"/>
          <w:highlight w:val="none"/>
          <w:lang w:val="en-US" w:eastAsia="zh-CN"/>
        </w:rPr>
      </w:pPr>
    </w:p>
    <w:p w14:paraId="0B7C01C1">
      <w:pPr>
        <w:pStyle w:val="6"/>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39"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39"/>
      <w:r>
        <w:rPr>
          <w:rFonts w:hint="eastAsia" w:ascii="宋体" w:hAnsi="宋体" w:eastAsia="宋体" w:cs="宋体"/>
          <w:color w:val="auto"/>
          <w:highlight w:val="none"/>
          <w:lang w:eastAsia="zh-CN"/>
        </w:rPr>
        <w:t>投标人须知</w:t>
      </w:r>
    </w:p>
    <w:p w14:paraId="11A55803">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2"/>
    </w:p>
    <w:tbl>
      <w:tblPr>
        <w:tblStyle w:val="45"/>
        <w:tblW w:w="9588" w:type="dxa"/>
        <w:tblInd w:w="2" w:type="dxa"/>
        <w:tblLayout w:type="fixed"/>
        <w:tblCellMar>
          <w:top w:w="0" w:type="dxa"/>
          <w:left w:w="0" w:type="dxa"/>
          <w:bottom w:w="0" w:type="dxa"/>
          <w:right w:w="0" w:type="dxa"/>
        </w:tblCellMar>
      </w:tblPr>
      <w:tblGrid>
        <w:gridCol w:w="731"/>
        <w:gridCol w:w="1654"/>
        <w:gridCol w:w="7203"/>
      </w:tblGrid>
      <w:tr w14:paraId="78EF493F">
        <w:tblPrEx>
          <w:tblCellMar>
            <w:top w:w="0" w:type="dxa"/>
            <w:left w:w="0" w:type="dxa"/>
            <w:bottom w:w="0" w:type="dxa"/>
            <w:right w:w="0" w:type="dxa"/>
          </w:tblCellMar>
        </w:tblPrEx>
        <w:trPr>
          <w:trHeight w:val="474" w:hRule="atLeast"/>
        </w:trPr>
        <w:tc>
          <w:tcPr>
            <w:tcW w:w="731"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654"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203"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986" w:hRule="atLeast"/>
        </w:trPr>
        <w:tc>
          <w:tcPr>
            <w:tcW w:w="731"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54"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203"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明湖公园园路应急工程跟踪审计项目</w:t>
            </w:r>
          </w:p>
          <w:p w14:paraId="3D870AD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70D97D96">
            <w:pPr>
              <w:keepNext w:val="0"/>
              <w:keepLines w:val="0"/>
              <w:pageBreakBefore w:val="0"/>
              <w:widowControl w:val="0"/>
              <w:kinsoku/>
              <w:wordWrap w:val="0"/>
              <w:overflowPunct/>
              <w:topLinePunct w:val="0"/>
              <w:autoSpaceDE/>
              <w:autoSpaceDN/>
              <w:bidi w:val="0"/>
              <w:adjustRightInd/>
              <w:snapToGrid/>
              <w:spacing w:line="336" w:lineRule="auto"/>
              <w:textAlignment w:val="auto"/>
              <w:outlineLvl w:val="2"/>
              <w:rPr>
                <w:rFonts w:hint="eastAsia" w:ascii="宋体" w:hAnsi="宋体" w:eastAsia="宋体" w:cs="宋体"/>
                <w:color w:val="auto"/>
                <w:kern w:val="0"/>
                <w:sz w:val="21"/>
                <w:szCs w:val="21"/>
                <w:highlight w:val="none"/>
                <w:u w:val="single"/>
              </w:rPr>
            </w:pPr>
            <w:r>
              <w:rPr>
                <w:rFonts w:hint="eastAsia" w:ascii="宋体" w:hAnsi="宋体" w:cs="宋体"/>
                <w:color w:val="auto"/>
                <w:kern w:val="0"/>
                <w:sz w:val="21"/>
                <w:szCs w:val="21"/>
                <w:highlight w:val="none"/>
                <w:lang w:val="en-US" w:eastAsia="zh-CN"/>
              </w:rPr>
              <w:t>建设规模：要内容包括桥头搭板、部分桥台侧墙拆除重新浇筑和台背换填；约80米园路维修改造，对现状园路路基进行换填等;新建桥头防护等内容。总投资约132.8万元。</w:t>
            </w:r>
          </w:p>
        </w:tc>
      </w:tr>
      <w:tr w14:paraId="4047B0BA">
        <w:tblPrEx>
          <w:tblCellMar>
            <w:top w:w="0" w:type="dxa"/>
            <w:left w:w="0" w:type="dxa"/>
            <w:bottom w:w="0" w:type="dxa"/>
            <w:right w:w="0" w:type="dxa"/>
          </w:tblCellMar>
        </w:tblPrEx>
        <w:trPr>
          <w:trHeight w:val="255" w:hRule="atLeast"/>
        </w:trPr>
        <w:tc>
          <w:tcPr>
            <w:tcW w:w="731"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54"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203" w:type="dxa"/>
            <w:tcBorders>
              <w:top w:val="single" w:color="auto" w:sz="8" w:space="0"/>
              <w:left w:val="single" w:color="auto" w:sz="4" w:space="0"/>
              <w:bottom w:val="single" w:color="auto" w:sz="8" w:space="0"/>
              <w:right w:val="single" w:color="auto" w:sz="8" w:space="0"/>
            </w:tcBorders>
            <w:vAlign w:val="center"/>
          </w:tcPr>
          <w:p w14:paraId="642998A3">
            <w:pPr>
              <w:keepNext w:val="0"/>
              <w:keepLines w:val="0"/>
              <w:pageBreakBefore w:val="0"/>
              <w:widowControl w:val="0"/>
              <w:kinsoku/>
              <w:wordWrap w:val="0"/>
              <w:overflowPunct/>
              <w:topLinePunct w:val="0"/>
              <w:autoSpaceDE/>
              <w:autoSpaceDN/>
              <w:bidi w:val="0"/>
              <w:adjustRightInd/>
              <w:snapToGrid/>
              <w:spacing w:line="336" w:lineRule="auto"/>
              <w:textAlignment w:val="auto"/>
              <w:outlineLvl w:val="2"/>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要内容包括桥头搭板、部分桥台侧墙拆除重新浇筑和台背换填；约80米园路维修改造，对现状园路路基进行换填等;新建桥头防护等内容。总投资约132.8万元。本次招标需求为上述工程的跟踪（结算）审计服务（包含审核工程量清单及招标控制价）。</w:t>
            </w:r>
          </w:p>
        </w:tc>
      </w:tr>
      <w:tr w14:paraId="597FACB0">
        <w:tblPrEx>
          <w:tblCellMar>
            <w:top w:w="0" w:type="dxa"/>
            <w:left w:w="0" w:type="dxa"/>
            <w:bottom w:w="0" w:type="dxa"/>
            <w:right w:w="0" w:type="dxa"/>
          </w:tblCellMar>
        </w:tblPrEx>
        <w:trPr>
          <w:trHeight w:val="315" w:hRule="atLeast"/>
        </w:trPr>
        <w:tc>
          <w:tcPr>
            <w:tcW w:w="731"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54"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203" w:type="dxa"/>
            <w:tcBorders>
              <w:top w:val="single" w:color="auto" w:sz="8" w:space="0"/>
              <w:left w:val="single" w:color="auto" w:sz="4" w:space="0"/>
              <w:bottom w:val="single" w:color="auto" w:sz="8" w:space="0"/>
              <w:right w:val="single" w:color="auto" w:sz="8" w:space="0"/>
            </w:tcBorders>
            <w:vAlign w:val="center"/>
          </w:tcPr>
          <w:p w14:paraId="5DB7864B">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自签订合同之日起至整体竣工验收合格并出具经审核的审核成果文件止（审核单位应在</w:t>
            </w:r>
            <w:r>
              <w:rPr>
                <w:rFonts w:hint="default" w:ascii="宋体" w:hAnsi="宋体" w:cs="宋体"/>
                <w:color w:val="auto"/>
                <w:sz w:val="21"/>
                <w:szCs w:val="21"/>
                <w:highlight w:val="none"/>
                <w:lang w:val="en-US" w:eastAsia="zh-CN"/>
              </w:rPr>
              <w:t>施工单位报送</w:t>
            </w:r>
            <w:r>
              <w:rPr>
                <w:rFonts w:hint="eastAsia" w:ascii="宋体" w:hAnsi="宋体" w:cs="宋体"/>
                <w:color w:val="auto"/>
                <w:sz w:val="21"/>
                <w:szCs w:val="21"/>
                <w:highlight w:val="none"/>
                <w:lang w:val="en-US" w:eastAsia="zh-CN"/>
              </w:rPr>
              <w:t>项目结算资料完整后的7日内</w:t>
            </w:r>
            <w:r>
              <w:rPr>
                <w:rFonts w:hint="default" w:ascii="宋体" w:hAnsi="宋体" w:cs="宋体"/>
                <w:color w:val="auto"/>
                <w:sz w:val="21"/>
                <w:szCs w:val="21"/>
                <w:highlight w:val="none"/>
                <w:lang w:val="en-US" w:eastAsia="zh-CN"/>
              </w:rPr>
              <w:t>完成，并出具审核报告</w:t>
            </w:r>
            <w:r>
              <w:rPr>
                <w:rFonts w:hint="eastAsia" w:ascii="宋体" w:hAnsi="宋体" w:cs="宋体"/>
                <w:color w:val="auto"/>
                <w:sz w:val="21"/>
                <w:szCs w:val="21"/>
                <w:highlight w:val="none"/>
                <w:lang w:val="en-US" w:eastAsia="zh-CN"/>
              </w:rPr>
              <w:t>）</w:t>
            </w:r>
          </w:p>
          <w:p w14:paraId="36D5D80A">
            <w:pPr>
              <w:pStyle w:val="2"/>
              <w:ind w:left="0" w:leftChars="0" w:firstLine="0" w:firstLineChars="0"/>
              <w:rPr>
                <w:rFonts w:hint="eastAsia"/>
                <w:color w:val="auto"/>
                <w:highlight w:val="none"/>
                <w:lang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lang w:eastAsia="zh-CN"/>
              </w:rPr>
              <w:t>系统生成投标文件时，工期默认单位为日历天，投标人可填写</w:t>
            </w:r>
            <w:r>
              <w:rPr>
                <w:rFonts w:hint="eastAsia" w:ascii="宋体" w:hAns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lang w:eastAsia="zh-CN"/>
              </w:rPr>
              <w:t>日历天。此工期不作为评审标准，仅用于投标文件上传时填写。</w:t>
            </w:r>
          </w:p>
        </w:tc>
      </w:tr>
      <w:tr w14:paraId="24784F21">
        <w:tblPrEx>
          <w:tblCellMar>
            <w:top w:w="0" w:type="dxa"/>
            <w:left w:w="0" w:type="dxa"/>
            <w:bottom w:w="0" w:type="dxa"/>
            <w:right w:w="0" w:type="dxa"/>
          </w:tblCellMar>
        </w:tblPrEx>
        <w:trPr>
          <w:trHeight w:val="425" w:hRule="atLeast"/>
        </w:trPr>
        <w:tc>
          <w:tcPr>
            <w:tcW w:w="731"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54"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203"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57"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投标人出具的工程造价咨询成果文件质量应符合现行国家或行业工程计价有关规定、标准、规范的要求</w:t>
            </w:r>
            <w:r>
              <w:rPr>
                <w:rFonts w:hint="eastAsia" w:ascii="宋体" w:hAnsi="宋体" w:eastAsia="宋体" w:cs="宋体"/>
                <w:color w:val="auto"/>
                <w:kern w:val="0"/>
                <w:sz w:val="21"/>
                <w:szCs w:val="21"/>
                <w:highlight w:val="none"/>
                <w:lang w:eastAsia="zh-CN"/>
              </w:rPr>
              <w:t>；</w:t>
            </w:r>
          </w:p>
        </w:tc>
      </w:tr>
      <w:tr w14:paraId="21D1049F">
        <w:tblPrEx>
          <w:tblCellMar>
            <w:top w:w="0" w:type="dxa"/>
            <w:left w:w="0" w:type="dxa"/>
            <w:bottom w:w="0" w:type="dxa"/>
            <w:right w:w="0" w:type="dxa"/>
          </w:tblCellMar>
        </w:tblPrEx>
        <w:trPr>
          <w:trHeight w:val="286" w:hRule="atLeast"/>
        </w:trPr>
        <w:tc>
          <w:tcPr>
            <w:tcW w:w="731"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54"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203"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w:t>
            </w:r>
            <w:r>
              <w:rPr>
                <w:rFonts w:hint="eastAsia" w:ascii="宋体" w:hAnsi="宋体" w:eastAsia="宋体" w:cs="宋体"/>
                <w:color w:val="auto"/>
                <w:kern w:val="0"/>
                <w:sz w:val="21"/>
                <w:szCs w:val="21"/>
                <w:highlight w:val="none"/>
                <w:lang w:val="en-US" w:eastAsia="zh-CN"/>
              </w:rPr>
              <w:t>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656" w:hRule="atLeast"/>
        </w:trPr>
        <w:tc>
          <w:tcPr>
            <w:tcW w:w="731"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54"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203"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731"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54" w:type="dxa"/>
            <w:tcBorders>
              <w:top w:val="single" w:color="auto" w:sz="8" w:space="0"/>
              <w:left w:val="single" w:color="auto" w:sz="4" w:space="0"/>
              <w:bottom w:val="single" w:color="auto" w:sz="8" w:space="0"/>
              <w:right w:val="single" w:color="auto" w:sz="4" w:space="0"/>
            </w:tcBorders>
            <w:vAlign w:val="center"/>
          </w:tcPr>
          <w:p w14:paraId="396C664A">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203" w:type="dxa"/>
            <w:tcBorders>
              <w:top w:val="single" w:color="auto" w:sz="8" w:space="0"/>
              <w:left w:val="single" w:color="auto" w:sz="4" w:space="0"/>
              <w:bottom w:val="single" w:color="auto" w:sz="8" w:space="0"/>
              <w:right w:val="single" w:color="auto" w:sz="8" w:space="0"/>
            </w:tcBorders>
            <w:vAlign w:val="center"/>
          </w:tcPr>
          <w:p w14:paraId="59739CC9">
            <w:pPr>
              <w:pStyle w:val="25"/>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654"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203" w:type="dxa"/>
            <w:tcBorders>
              <w:top w:val="single" w:color="auto" w:sz="8" w:space="0"/>
              <w:left w:val="single" w:color="auto" w:sz="4" w:space="0"/>
              <w:bottom w:val="single" w:color="auto" w:sz="8" w:space="0"/>
              <w:right w:val="single" w:color="auto" w:sz="8" w:space="0"/>
            </w:tcBorders>
            <w:vAlign w:val="center"/>
          </w:tcPr>
          <w:p w14:paraId="455EC4D9">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本项目的</w:t>
            </w:r>
            <w:r>
              <w:rPr>
                <w:rFonts w:hint="eastAsia" w:ascii="宋体" w:hAnsi="宋体" w:eastAsia="宋体" w:cs="宋体"/>
                <w:color w:val="auto"/>
                <w:sz w:val="21"/>
                <w:szCs w:val="21"/>
                <w:highlight w:val="none"/>
                <w:lang w:val="en-US" w:eastAsia="zh-CN"/>
              </w:rPr>
              <w:t>最高限价</w:t>
            </w:r>
            <w:r>
              <w:rPr>
                <w:rFonts w:hint="eastAsia" w:ascii="宋体" w:hAnsi="宋体" w:eastAsia="宋体" w:cs="宋体"/>
                <w:color w:val="auto"/>
                <w:sz w:val="21"/>
                <w:szCs w:val="21"/>
                <w:highlight w:val="none"/>
              </w:rPr>
              <w:t>为基本费率</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审核成果费率</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%（审核成果费率</w:t>
            </w:r>
            <w:r>
              <w:rPr>
                <w:rFonts w:hint="eastAsia" w:ascii="宋体" w:hAnsi="宋体" w:eastAsia="宋体" w:cs="宋体"/>
                <w:color w:val="auto"/>
                <w:sz w:val="21"/>
                <w:szCs w:val="21"/>
                <w:highlight w:val="none"/>
                <w:lang w:val="en-US" w:eastAsia="zh-CN"/>
              </w:rPr>
              <w:t>为不可竞争费率，</w:t>
            </w:r>
            <w:r>
              <w:rPr>
                <w:rFonts w:hint="eastAsia" w:ascii="宋体" w:hAnsi="宋体" w:eastAsia="宋体" w:cs="宋体"/>
                <w:color w:val="auto"/>
                <w:sz w:val="21"/>
                <w:szCs w:val="21"/>
                <w:highlight w:val="none"/>
              </w:rPr>
              <w:t>固定不变）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基本费率由投标人自主报价，</w:t>
            </w:r>
            <w:r>
              <w:rPr>
                <w:rFonts w:hint="eastAsia" w:ascii="宋体" w:hAnsi="宋体" w:eastAsia="宋体" w:cs="宋体"/>
                <w:color w:val="auto"/>
                <w:sz w:val="21"/>
                <w:szCs w:val="21"/>
                <w:highlight w:val="none"/>
              </w:rPr>
              <w:t>不得高于上述基本</w:t>
            </w:r>
            <w:r>
              <w:rPr>
                <w:rFonts w:hint="eastAsia" w:ascii="宋体" w:hAnsi="宋体" w:eastAsia="宋体" w:cs="宋体"/>
                <w:color w:val="auto"/>
                <w:sz w:val="21"/>
                <w:szCs w:val="21"/>
                <w:highlight w:val="none"/>
                <w:lang w:eastAsia="zh-CN"/>
              </w:rPr>
              <w:t>费率</w:t>
            </w:r>
            <w:r>
              <w:rPr>
                <w:rFonts w:hint="eastAsia" w:ascii="宋体" w:hAnsi="宋体" w:eastAsia="宋体" w:cs="宋体"/>
                <w:color w:val="auto"/>
                <w:sz w:val="21"/>
                <w:szCs w:val="21"/>
                <w:highlight w:val="none"/>
              </w:rPr>
              <w:t>最高限价，否则按无效标处理。</w:t>
            </w:r>
            <w:r>
              <w:rPr>
                <w:rFonts w:hint="eastAsia" w:ascii="宋体" w:hAnsi="宋体" w:eastAsia="宋体" w:cs="宋体"/>
                <w:color w:val="auto"/>
                <w:sz w:val="21"/>
                <w:szCs w:val="21"/>
                <w:highlight w:val="none"/>
                <w:lang w:eastAsia="zh-CN"/>
              </w:rPr>
              <w:t>（投标报价费率要求精确到小数点后</w:t>
            </w:r>
            <w:r>
              <w:rPr>
                <w:rFonts w:hint="eastAsia" w:ascii="宋体" w:hAnsi="宋体" w:eastAsia="宋体" w:cs="宋体"/>
                <w:color w:val="auto"/>
                <w:sz w:val="21"/>
                <w:szCs w:val="21"/>
                <w:highlight w:val="none"/>
                <w:lang w:val="en-US" w:eastAsia="zh-CN"/>
              </w:rPr>
              <w:t>两位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投标费率不可以填报0或负数，否则按无效标处理</w:t>
            </w:r>
            <w:r>
              <w:rPr>
                <w:rFonts w:hint="eastAsia" w:ascii="宋体" w:hAnsi="宋体" w:eastAsia="宋体" w:cs="宋体"/>
                <w:color w:val="auto"/>
                <w:sz w:val="21"/>
                <w:szCs w:val="21"/>
                <w:highlight w:val="none"/>
                <w:lang w:eastAsia="zh-CN"/>
              </w:rPr>
              <w:t>）</w:t>
            </w:r>
          </w:p>
          <w:p w14:paraId="3F53467E">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5704048A">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无论任何原因（包含但不限于设计图纸变更等）导致的项目期限延长，委托人均不再增加</w:t>
            </w:r>
            <w:r>
              <w:rPr>
                <w:rFonts w:hint="eastAsia" w:ascii="宋体" w:hAnsi="宋体" w:eastAsia="宋体" w:cs="宋体"/>
                <w:color w:val="auto"/>
                <w:sz w:val="21"/>
                <w:szCs w:val="21"/>
                <w:highlight w:val="none"/>
                <w:lang w:val="en-US" w:eastAsia="zh-CN"/>
              </w:rPr>
              <w:t>审计服务</w:t>
            </w:r>
            <w:r>
              <w:rPr>
                <w:rFonts w:hint="eastAsia" w:ascii="宋体" w:hAnsi="宋体" w:eastAsia="宋体" w:cs="宋体"/>
                <w:color w:val="auto"/>
                <w:sz w:val="21"/>
                <w:szCs w:val="21"/>
                <w:highlight w:val="none"/>
              </w:rPr>
              <w:t>费用</w:t>
            </w:r>
            <w:r>
              <w:rPr>
                <w:rFonts w:hint="eastAsia" w:ascii="宋体" w:hAnsi="宋体" w:cs="宋体"/>
                <w:color w:val="auto"/>
                <w:sz w:val="21"/>
                <w:szCs w:val="21"/>
                <w:highlight w:val="none"/>
                <w:lang w:eastAsia="zh-CN"/>
              </w:rPr>
              <w:t>。</w:t>
            </w:r>
          </w:p>
          <w:p w14:paraId="77F81A8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投标人须认真研究项目的招标文件，并仔细踏勘现场，若对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有异议，应在投标答疑时向招标人提出</w:t>
            </w:r>
            <w:r>
              <w:rPr>
                <w:rFonts w:hint="eastAsia" w:ascii="宋体" w:hAnsi="宋体" w:eastAsia="宋体" w:cs="宋体"/>
                <w:color w:val="auto"/>
                <w:sz w:val="21"/>
                <w:szCs w:val="21"/>
                <w:highlight w:val="none"/>
                <w:lang w:eastAsia="zh-CN"/>
              </w:rPr>
              <w:t>。</w:t>
            </w:r>
          </w:p>
          <w:p w14:paraId="688F025F">
            <w:pPr>
              <w:keepNext w:val="0"/>
              <w:keepLines w:val="0"/>
              <w:pageBreakBefore w:val="0"/>
              <w:kinsoku/>
              <w:wordWrap/>
              <w:overflowPunct/>
              <w:topLinePunct w:val="0"/>
              <w:autoSpaceDE/>
              <w:autoSpaceDN/>
              <w:bidi w:val="0"/>
              <w:adjustRightInd/>
              <w:snapToGrid/>
              <w:spacing w:line="440" w:lineRule="exact"/>
              <w:ind w:left="57"/>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3、系统生成投标文件时系统默认费率单位为%，投标人可直接填写</w:t>
            </w:r>
            <w:r>
              <w:rPr>
                <w:rFonts w:hint="eastAsia" w:ascii="宋体" w:hAnsi="宋体" w:cs="宋体"/>
                <w:b/>
                <w:bCs/>
                <w:color w:val="auto"/>
                <w:sz w:val="21"/>
                <w:szCs w:val="21"/>
                <w:highlight w:val="none"/>
                <w:lang w:val="en-US" w:eastAsia="zh-CN"/>
              </w:rPr>
              <w:t>所报</w:t>
            </w:r>
            <w:r>
              <w:rPr>
                <w:rFonts w:hint="eastAsia" w:ascii="宋体" w:hAnsi="宋体" w:eastAsia="宋体" w:cs="宋体"/>
                <w:b/>
                <w:bCs/>
                <w:color w:val="auto"/>
                <w:sz w:val="21"/>
                <w:szCs w:val="21"/>
                <w:highlight w:val="none"/>
                <w:lang w:val="en-US" w:eastAsia="zh-CN"/>
              </w:rPr>
              <w:t>投标费率</w:t>
            </w:r>
            <w:r>
              <w:rPr>
                <w:rFonts w:hint="eastAsia" w:ascii="宋体" w:hAnsi="宋体" w:cs="宋体"/>
                <w:b/>
                <w:bCs/>
                <w:color w:val="auto"/>
                <w:sz w:val="21"/>
                <w:szCs w:val="21"/>
                <w:highlight w:val="none"/>
                <w:lang w:val="en-US" w:eastAsia="zh-CN"/>
              </w:rPr>
              <w:t>即可</w:t>
            </w:r>
            <w:r>
              <w:rPr>
                <w:rFonts w:hint="eastAsia" w:ascii="宋体" w:hAnsi="宋体" w:eastAsia="宋体" w:cs="宋体"/>
                <w:b/>
                <w:bCs/>
                <w:color w:val="auto"/>
                <w:sz w:val="21"/>
                <w:szCs w:val="21"/>
                <w:highlight w:val="none"/>
                <w:lang w:val="en-US" w:eastAsia="zh-CN"/>
              </w:rPr>
              <w:t>，无需考虑</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转</w:t>
            </w:r>
            <w:r>
              <w:rPr>
                <w:rFonts w:hint="eastAsia" w:ascii="宋体" w:hAnsi="宋体" w:cs="宋体"/>
                <w:b/>
                <w:bCs/>
                <w:color w:val="auto"/>
                <w:sz w:val="21"/>
                <w:szCs w:val="21"/>
                <w:highlight w:val="none"/>
                <w:lang w:val="en-US" w:eastAsia="zh-CN"/>
              </w:rPr>
              <w:t>化</w:t>
            </w:r>
            <w:r>
              <w:rPr>
                <w:rFonts w:hint="eastAsia" w:ascii="宋体" w:hAnsi="宋体" w:eastAsia="宋体" w:cs="宋体"/>
                <w:b/>
                <w:bCs/>
                <w:color w:val="auto"/>
                <w:sz w:val="21"/>
                <w:szCs w:val="21"/>
                <w:highlight w:val="none"/>
                <w:lang w:val="en-US" w:eastAsia="zh-CN"/>
              </w:rPr>
              <w:t>为%问题。</w:t>
            </w:r>
          </w:p>
        </w:tc>
      </w:tr>
      <w:tr w14:paraId="689F356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54"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203"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w:t>
            </w:r>
            <w:r>
              <w:rPr>
                <w:rFonts w:hint="eastAsia" w:ascii="宋体" w:hAnsi="宋体" w:cs="宋体"/>
                <w:color w:val="auto"/>
                <w:spacing w:val="-4"/>
                <w:kern w:val="0"/>
                <w:sz w:val="21"/>
                <w:szCs w:val="21"/>
                <w:highlight w:val="none"/>
                <w:lang w:eastAsia="zh-CN"/>
              </w:rPr>
              <w:t>2026年4月</w:t>
            </w:r>
            <w:r>
              <w:rPr>
                <w:rFonts w:hint="eastAsia" w:ascii="宋体" w:hAnsi="宋体" w:cs="宋体"/>
                <w:color w:val="auto"/>
                <w:spacing w:val="-4"/>
                <w:kern w:val="0"/>
                <w:sz w:val="21"/>
                <w:szCs w:val="21"/>
                <w:highlight w:val="none"/>
                <w:lang w:val="en-US" w:eastAsia="zh-CN"/>
              </w:rPr>
              <w:t>21</w:t>
            </w:r>
            <w:r>
              <w:rPr>
                <w:rFonts w:hint="eastAsia" w:ascii="宋体" w:hAnsi="宋体" w:eastAsia="宋体" w:cs="宋体"/>
                <w:color w:val="auto"/>
                <w:spacing w:val="-4"/>
                <w:kern w:val="0"/>
                <w:sz w:val="21"/>
                <w:szCs w:val="21"/>
                <w:highlight w:val="none"/>
                <w:u w:val="none"/>
              </w:rPr>
              <w:t>日</w:t>
            </w:r>
            <w:r>
              <w:rPr>
                <w:rFonts w:hint="eastAsia" w:ascii="宋体" w:hAnsi="宋体" w:cs="宋体"/>
                <w:color w:val="auto"/>
                <w:spacing w:val="-4"/>
                <w:kern w:val="0"/>
                <w:sz w:val="21"/>
                <w:szCs w:val="21"/>
                <w:highlight w:val="none"/>
                <w:u w:val="none"/>
                <w:lang w:val="en-US" w:eastAsia="zh-CN"/>
              </w:rPr>
              <w:t>17</w:t>
            </w:r>
            <w:r>
              <w:rPr>
                <w:rFonts w:hint="eastAsia" w:ascii="宋体" w:hAnsi="宋体" w:eastAsia="宋体" w:cs="宋体"/>
                <w:color w:val="auto"/>
                <w:spacing w:val="-4"/>
                <w:kern w:val="0"/>
                <w:sz w:val="21"/>
                <w:szCs w:val="21"/>
                <w:highlight w:val="none"/>
                <w:u w:val="none"/>
              </w:rPr>
              <w:t>时前</w:t>
            </w:r>
            <w:r>
              <w:rPr>
                <w:rFonts w:hint="eastAsia" w:ascii="宋体" w:hAnsi="宋体" w:eastAsia="宋体" w:cs="宋体"/>
                <w:color w:val="auto"/>
                <w:kern w:val="0"/>
                <w:sz w:val="21"/>
                <w:szCs w:val="21"/>
                <w:highlight w:val="none"/>
                <w:u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u w:val="none"/>
              </w:rPr>
              <w:t>，招标人将在</w:t>
            </w:r>
            <w:r>
              <w:rPr>
                <w:rFonts w:hint="eastAsia" w:ascii="宋体" w:hAnsi="宋体" w:cs="宋体"/>
                <w:color w:val="auto"/>
                <w:spacing w:val="-4"/>
                <w:kern w:val="0"/>
                <w:sz w:val="21"/>
                <w:szCs w:val="21"/>
                <w:highlight w:val="none"/>
                <w:u w:val="none"/>
                <w:lang w:eastAsia="zh-CN"/>
              </w:rPr>
              <w:t>2026年4月</w:t>
            </w:r>
            <w:r>
              <w:rPr>
                <w:rFonts w:hint="eastAsia" w:ascii="宋体" w:hAnsi="宋体" w:cs="宋体"/>
                <w:color w:val="auto"/>
                <w:spacing w:val="-4"/>
                <w:kern w:val="0"/>
                <w:sz w:val="21"/>
                <w:szCs w:val="21"/>
                <w:highlight w:val="none"/>
                <w:u w:val="none"/>
                <w:lang w:val="en-US" w:eastAsia="zh-CN"/>
              </w:rPr>
              <w:t>22</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54" w:type="dxa"/>
            <w:tcBorders>
              <w:top w:val="single" w:color="auto" w:sz="8" w:space="0"/>
              <w:left w:val="single" w:color="auto" w:sz="4" w:space="0"/>
              <w:bottom w:val="single" w:color="auto" w:sz="8" w:space="0"/>
              <w:right w:val="single" w:color="auto" w:sz="4" w:space="0"/>
            </w:tcBorders>
            <w:vAlign w:val="center"/>
          </w:tcPr>
          <w:p w14:paraId="0B644D17">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203" w:type="dxa"/>
            <w:tcBorders>
              <w:top w:val="single" w:color="auto" w:sz="8" w:space="0"/>
              <w:left w:val="single" w:color="auto" w:sz="4" w:space="0"/>
              <w:bottom w:val="single" w:color="auto" w:sz="8" w:space="0"/>
              <w:right w:val="single" w:color="auto" w:sz="8" w:space="0"/>
            </w:tcBorders>
            <w:vAlign w:val="center"/>
          </w:tcPr>
          <w:p w14:paraId="0CB8330D">
            <w:pPr>
              <w:pStyle w:val="25"/>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54" w:type="dxa"/>
            <w:tcBorders>
              <w:top w:val="single" w:color="auto" w:sz="8" w:space="0"/>
              <w:left w:val="single" w:color="auto" w:sz="4" w:space="0"/>
              <w:bottom w:val="single" w:color="auto" w:sz="8" w:space="0"/>
              <w:right w:val="single" w:color="auto" w:sz="4" w:space="0"/>
            </w:tcBorders>
            <w:vAlign w:val="center"/>
          </w:tcPr>
          <w:p w14:paraId="32269176">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203"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val="0"/>
              <w:snapToGrid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spacing w:line="440" w:lineRule="exact"/>
              <w:ind w:left="57"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654"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203" w:type="dxa"/>
            <w:tcBorders>
              <w:top w:val="single" w:color="auto" w:sz="8" w:space="0"/>
              <w:left w:val="single" w:color="auto" w:sz="4" w:space="0"/>
              <w:bottom w:val="single" w:color="auto" w:sz="8" w:space="0"/>
              <w:right w:val="single" w:color="auto" w:sz="8" w:space="0"/>
            </w:tcBorders>
            <w:vAlign w:val="center"/>
          </w:tcPr>
          <w:p w14:paraId="4FCD2EB5">
            <w:pPr>
              <w:pStyle w:val="2"/>
              <w:keepNext w:val="0"/>
              <w:keepLines w:val="0"/>
              <w:pageBreakBefore w:val="0"/>
              <w:kinsoku/>
              <w:overflowPunct/>
              <w:topLinePunct w:val="0"/>
              <w:autoSpaceDE/>
              <w:autoSpaceDN/>
              <w:bidi w:val="0"/>
              <w:spacing w:line="440" w:lineRule="exact"/>
              <w:ind w:left="57" w:leftChars="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spacing w:line="440" w:lineRule="exact"/>
              <w:ind w:left="57"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573" w:hRule="atLeast"/>
        </w:trPr>
        <w:tc>
          <w:tcPr>
            <w:tcW w:w="731"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654"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203"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cs="宋体"/>
                <w:b/>
                <w:bCs/>
                <w:color w:val="auto"/>
                <w:sz w:val="21"/>
                <w:szCs w:val="21"/>
                <w:highlight w:val="none"/>
                <w:lang w:val="en-US" w:eastAsia="zh-CN"/>
              </w:rPr>
              <w:t>2026年4月23日15时</w:t>
            </w:r>
            <w:r>
              <w:rPr>
                <w:rFonts w:hint="eastAsia" w:ascii="宋体" w:hAnsi="宋体" w:eastAsia="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6FF010F2">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2D17B673">
            <w:pPr>
              <w:keepNext w:val="0"/>
              <w:keepLines w:val="0"/>
              <w:pageBreakBefore w:val="0"/>
              <w:kinsoku/>
              <w:wordWrap w:val="0"/>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1.解密程序开始后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0分钟内（以本项目网上招投标系统解密倒计时为准）。</w:t>
            </w:r>
          </w:p>
        </w:tc>
      </w:tr>
      <w:tr w14:paraId="39CAD765">
        <w:tblPrEx>
          <w:tblCellMar>
            <w:top w:w="0" w:type="dxa"/>
            <w:left w:w="0" w:type="dxa"/>
            <w:bottom w:w="0" w:type="dxa"/>
            <w:right w:w="0" w:type="dxa"/>
          </w:tblCellMar>
        </w:tblPrEx>
        <w:trPr>
          <w:trHeight w:val="688" w:hRule="atLeast"/>
        </w:trPr>
        <w:tc>
          <w:tcPr>
            <w:tcW w:w="731"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54"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203"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544" w:hRule="atLeast"/>
        </w:trPr>
        <w:tc>
          <w:tcPr>
            <w:tcW w:w="731"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654"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203" w:type="dxa"/>
            <w:tcBorders>
              <w:top w:val="single" w:color="auto" w:sz="8" w:space="0"/>
              <w:left w:val="single" w:color="auto" w:sz="4" w:space="0"/>
              <w:bottom w:val="single" w:color="auto" w:sz="8" w:space="0"/>
              <w:right w:val="single" w:color="auto" w:sz="8" w:space="0"/>
            </w:tcBorders>
            <w:vAlign w:val="center"/>
          </w:tcPr>
          <w:p w14:paraId="18B45F6F">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14:paraId="076992A3">
        <w:tblPrEx>
          <w:tblCellMar>
            <w:top w:w="0" w:type="dxa"/>
            <w:left w:w="0" w:type="dxa"/>
            <w:bottom w:w="0" w:type="dxa"/>
            <w:right w:w="0" w:type="dxa"/>
          </w:tblCellMar>
        </w:tblPrEx>
        <w:trPr>
          <w:trHeight w:val="445" w:hRule="atLeast"/>
        </w:trPr>
        <w:tc>
          <w:tcPr>
            <w:tcW w:w="731"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654"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203"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654" w:type="dxa"/>
            <w:tcBorders>
              <w:top w:val="single" w:color="auto" w:sz="8" w:space="0"/>
              <w:left w:val="single" w:color="auto" w:sz="4" w:space="0"/>
              <w:bottom w:val="single" w:color="auto" w:sz="8" w:space="0"/>
              <w:right w:val="single" w:color="auto" w:sz="4" w:space="0"/>
            </w:tcBorders>
            <w:vAlign w:val="center"/>
          </w:tcPr>
          <w:p w14:paraId="5CB513ED">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203" w:type="dxa"/>
            <w:tcBorders>
              <w:top w:val="single" w:color="auto" w:sz="8" w:space="0"/>
              <w:left w:val="single" w:color="auto" w:sz="4" w:space="0"/>
              <w:bottom w:val="single" w:color="auto" w:sz="8" w:space="0"/>
              <w:right w:val="single" w:color="auto" w:sz="8" w:space="0"/>
            </w:tcBorders>
            <w:vAlign w:val="top"/>
          </w:tcPr>
          <w:p w14:paraId="6B4E98E9">
            <w:pPr>
              <w:pStyle w:val="25"/>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hAnsi="宋体" w:cs="宋体"/>
                <w:color w:val="auto"/>
                <w:sz w:val="21"/>
                <w:szCs w:val="21"/>
                <w:highlight w:val="none"/>
                <w:lang w:val="en-US" w:eastAsia="zh-CN"/>
              </w:rPr>
              <w:t>。</w:t>
            </w:r>
          </w:p>
        </w:tc>
      </w:tr>
      <w:tr w14:paraId="02D6C8AD">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654" w:type="dxa"/>
            <w:tcBorders>
              <w:top w:val="single" w:color="auto" w:sz="8" w:space="0"/>
              <w:left w:val="single" w:color="auto" w:sz="4" w:space="0"/>
              <w:bottom w:val="single" w:color="auto" w:sz="8" w:space="0"/>
              <w:right w:val="single" w:color="auto" w:sz="4" w:space="0"/>
            </w:tcBorders>
            <w:vAlign w:val="center"/>
          </w:tcPr>
          <w:p w14:paraId="289798AF">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203" w:type="dxa"/>
            <w:tcBorders>
              <w:top w:val="single" w:color="auto" w:sz="8" w:space="0"/>
              <w:left w:val="single" w:color="auto" w:sz="4" w:space="0"/>
              <w:bottom w:val="single" w:color="auto" w:sz="8" w:space="0"/>
              <w:right w:val="single" w:color="auto" w:sz="8" w:space="0"/>
            </w:tcBorders>
            <w:vAlign w:val="center"/>
          </w:tcPr>
          <w:p w14:paraId="50C3E122">
            <w:pPr>
              <w:pStyle w:val="25"/>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654" w:type="dxa"/>
            <w:tcBorders>
              <w:top w:val="single" w:color="auto" w:sz="8" w:space="0"/>
              <w:left w:val="single" w:color="auto" w:sz="4" w:space="0"/>
              <w:bottom w:val="single" w:color="auto" w:sz="8" w:space="0"/>
              <w:right w:val="single" w:color="auto" w:sz="4" w:space="0"/>
            </w:tcBorders>
            <w:vAlign w:val="center"/>
          </w:tcPr>
          <w:p w14:paraId="77F75070">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203" w:type="dxa"/>
            <w:tcBorders>
              <w:top w:val="single" w:color="auto" w:sz="8" w:space="0"/>
              <w:left w:val="single" w:color="auto" w:sz="4" w:space="0"/>
              <w:bottom w:val="single" w:color="auto" w:sz="8" w:space="0"/>
              <w:right w:val="single" w:color="auto" w:sz="8" w:space="0"/>
            </w:tcBorders>
            <w:vAlign w:val="top"/>
          </w:tcPr>
          <w:p w14:paraId="2F0DB711">
            <w:pPr>
              <w:pStyle w:val="25"/>
              <w:keepNext w:val="0"/>
              <w:keepLines w:val="0"/>
              <w:pageBreakBefore w:val="0"/>
              <w:kinsoku/>
              <w:wordWrap w:val="0"/>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滁州市城投工程咨询管理有限公司（https://www.czctgczx.com/）</w:t>
            </w:r>
            <w:r>
              <w:rPr>
                <w:rFonts w:hint="eastAsia" w:ascii="宋体" w:hAnsi="宋体" w:eastAsia="宋体" w:cs="宋体"/>
                <w:color w:val="auto"/>
                <w:spacing w:val="-4"/>
                <w:sz w:val="21"/>
                <w:szCs w:val="21"/>
                <w:highlight w:val="none"/>
              </w:rPr>
              <w:t>等网站</w:t>
            </w:r>
          </w:p>
        </w:tc>
      </w:tr>
      <w:tr w14:paraId="6EA640C0">
        <w:tblPrEx>
          <w:tblCellMar>
            <w:top w:w="0" w:type="dxa"/>
            <w:left w:w="0" w:type="dxa"/>
            <w:bottom w:w="0" w:type="dxa"/>
            <w:right w:w="0" w:type="dxa"/>
          </w:tblCellMar>
        </w:tblPrEx>
        <w:trPr>
          <w:trHeight w:val="478" w:hRule="atLeast"/>
        </w:trPr>
        <w:tc>
          <w:tcPr>
            <w:tcW w:w="731"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654"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03"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spacing w:line="440" w:lineRule="exact"/>
              <w:ind w:left="5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478" w:hRule="atLeast"/>
        </w:trPr>
        <w:tc>
          <w:tcPr>
            <w:tcW w:w="958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40" w:lineRule="exact"/>
              <w:ind w:left="57"/>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478"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203"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overflowPunct/>
              <w:topLinePunct w:val="0"/>
              <w:autoSpaceDE/>
              <w:autoSpaceDN/>
              <w:bidi w:val="0"/>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140AE85">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lang w:val="en-US" w:eastAsia="zh-CN"/>
              </w:rPr>
              <w:t>重要说明</w:t>
            </w:r>
          </w:p>
        </w:tc>
        <w:tc>
          <w:tcPr>
            <w:tcW w:w="7203" w:type="dxa"/>
            <w:tcBorders>
              <w:top w:val="single" w:color="auto" w:sz="8" w:space="0"/>
              <w:left w:val="single" w:color="auto" w:sz="4" w:space="0"/>
              <w:bottom w:val="single" w:color="auto" w:sz="8" w:space="0"/>
              <w:right w:val="single" w:color="auto" w:sz="8" w:space="0"/>
            </w:tcBorders>
            <w:vAlign w:val="center"/>
          </w:tcPr>
          <w:p w14:paraId="5F2A2E5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本项目招标代理单位、清单控制价编制单位及监理单位不得参加投标。</w:t>
            </w:r>
          </w:p>
        </w:tc>
      </w:tr>
      <w:tr w14:paraId="234C8D6C">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203"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w:t>
            </w:r>
            <w:r>
              <w:rPr>
                <w:rFonts w:hint="eastAsia" w:ascii="宋体" w:hAnsi="宋体" w:cs="宋体"/>
                <w:color w:val="auto"/>
                <w:kern w:val="0"/>
                <w:sz w:val="21"/>
                <w:szCs w:val="21"/>
                <w:highlight w:val="none"/>
                <w:lang w:val="en-US" w:eastAsia="zh-CN"/>
              </w:rPr>
              <w:t>我单位</w:t>
            </w:r>
            <w:r>
              <w:rPr>
                <w:rFonts w:hint="eastAsia" w:ascii="宋体" w:hAnsi="宋体" w:eastAsia="宋体" w:cs="宋体"/>
                <w:color w:val="auto"/>
                <w:kern w:val="0"/>
                <w:sz w:val="21"/>
                <w:szCs w:val="21"/>
                <w:highlight w:val="none"/>
                <w:lang w:val="en-US" w:eastAsia="zh-CN"/>
              </w:rPr>
              <w:t>将按照约定给予相应的处罚。</w:t>
            </w:r>
          </w:p>
          <w:p w14:paraId="6D70A519">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2、我单位将严格执行《工程造价咨询服务管理办法》。</w:t>
            </w:r>
          </w:p>
          <w:p w14:paraId="1470349C">
            <w:pPr>
              <w:pStyle w:val="2"/>
              <w:keepNext w:val="0"/>
              <w:keepLines w:val="0"/>
              <w:pageBreakBefore w:val="0"/>
              <w:kinsoku/>
              <w:overflowPunct/>
              <w:topLinePunct w:val="0"/>
              <w:autoSpaceDE/>
              <w:autoSpaceDN/>
              <w:bidi w:val="0"/>
              <w:spacing w:line="440" w:lineRule="exact"/>
              <w:ind w:left="57" w:leftChars="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3、本项目工程款结算仅支付给中标单位，不支持支付给授权的分公司、子公司等分支机构。（请款所提供的发票名称须与中标单位名称保持一致）。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业主单位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203" w:type="dxa"/>
            <w:tcBorders>
              <w:top w:val="single" w:color="auto" w:sz="8" w:space="0"/>
              <w:left w:val="single" w:color="auto" w:sz="4" w:space="0"/>
              <w:bottom w:val="single" w:color="auto" w:sz="8" w:space="0"/>
              <w:right w:val="single" w:color="auto" w:sz="8" w:space="0"/>
            </w:tcBorders>
            <w:vAlign w:val="center"/>
          </w:tcPr>
          <w:p w14:paraId="09996EB4">
            <w:pPr>
              <w:spacing w:line="520" w:lineRule="exact"/>
              <w:rPr>
                <w:rFonts w:hint="eastAsia" w:ascii="宋体" w:hAnsi="宋体" w:eastAsia="宋体" w:cs="宋体"/>
                <w:b/>
                <w:bCs/>
                <w:color w:val="auto"/>
                <w:kern w:val="0"/>
                <w:sz w:val="21"/>
                <w:szCs w:val="21"/>
                <w:highlight w:val="none"/>
                <w:lang w:val="en-US" w:eastAsia="zh-CN"/>
              </w:rPr>
            </w:pPr>
            <w:r>
              <w:rPr>
                <w:rFonts w:hint="eastAsia" w:ascii="宋体" w:hAnsi="宋体" w:eastAsia="宋体" w:cs="Times New Roman"/>
                <w:b/>
                <w:bCs/>
                <w:color w:val="auto"/>
                <w:kern w:val="2"/>
                <w:sz w:val="21"/>
                <w:szCs w:val="21"/>
                <w:highlight w:val="none"/>
                <w:lang w:val="en-US" w:eastAsia="zh-CN" w:bidi="ar-SA"/>
              </w:rPr>
              <w:t xml:space="preserve">出具审核报告，交付招标人初审确认，出具审核报告后，交付招标人审核确认后支付审计服务费用。 </w:t>
            </w:r>
          </w:p>
        </w:tc>
      </w:tr>
      <w:tr w14:paraId="25B900FF">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203"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元，专家评审费另计（最终以实际发生为准），中标单位在领取中标通知书前一次性支付给代理公司</w:t>
            </w:r>
            <w:r>
              <w:rPr>
                <w:rFonts w:hint="eastAsia" w:ascii="宋体" w:hAnsi="宋体" w:eastAsia="宋体" w:cs="宋体"/>
                <w:b/>
                <w:bCs/>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203"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2410C0F2">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705F4D2">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bookmarkStart w:id="40" w:name="_Toc13663"/>
            <w:bookmarkStart w:id="41" w:name="_Toc515"/>
            <w:r>
              <w:rPr>
                <w:rFonts w:hint="eastAsia" w:ascii="宋体" w:hAnsi="宋体" w:eastAsia="宋体" w:cs="宋体"/>
                <w:color w:val="auto"/>
                <w:sz w:val="21"/>
                <w:szCs w:val="21"/>
                <w:highlight w:val="none"/>
              </w:rPr>
              <w:t>解释权</w:t>
            </w:r>
          </w:p>
        </w:tc>
        <w:tc>
          <w:tcPr>
            <w:tcW w:w="7203" w:type="dxa"/>
            <w:tcBorders>
              <w:top w:val="single" w:color="auto" w:sz="8" w:space="0"/>
              <w:left w:val="single" w:color="auto" w:sz="4" w:space="0"/>
              <w:bottom w:val="single" w:color="auto" w:sz="8" w:space="0"/>
              <w:right w:val="single" w:color="auto" w:sz="8" w:space="0"/>
            </w:tcBorders>
            <w:vAlign w:val="center"/>
          </w:tcPr>
          <w:p w14:paraId="742D0067">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1、构成本招标文件的各个组成文件应互为解释，互为说明；</w:t>
            </w:r>
          </w:p>
          <w:p w14:paraId="7558CB5B">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2、同一组成文件中就同一事项的规定或约定不一致的，以编排顺序在后者为准；</w:t>
            </w:r>
          </w:p>
          <w:p w14:paraId="12A1C4B2">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3、如有不明确或不一致，构成合同文件组成内容的，以合同文件约定内容为准，且以专用合同条款约定的合同文件优先顺序解释；</w:t>
            </w:r>
          </w:p>
          <w:p w14:paraId="166A876D">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4、系统中提供的表格（或格式文件）与招标文件中不一致时，以招标文件中提供的为准；</w:t>
            </w:r>
          </w:p>
          <w:p w14:paraId="4FAE2F1B">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5、按本款前述规定仍不能形成结论的，由招标人负责解释。</w:t>
            </w:r>
          </w:p>
        </w:tc>
      </w:tr>
    </w:tbl>
    <w:p w14:paraId="768D0C63">
      <w:pPr>
        <w:pStyle w:val="2"/>
        <w:rPr>
          <w:rFonts w:hint="eastAsia"/>
          <w:color w:val="auto"/>
          <w:highlight w:val="none"/>
        </w:rPr>
      </w:pPr>
    </w:p>
    <w:p w14:paraId="5115A68F">
      <w:pPr>
        <w:pStyle w:val="2"/>
        <w:rPr>
          <w:rFonts w:hint="eastAsia"/>
          <w:color w:val="auto"/>
          <w:highlight w:val="none"/>
        </w:rPr>
      </w:pPr>
    </w:p>
    <w:p w14:paraId="4F1B10CE">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727A26BE">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0"/>
      <w:bookmarkEnd w:id="41"/>
    </w:p>
    <w:p w14:paraId="5FB33392">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明湖公园园路应急工程跟踪审计项目</w:t>
      </w:r>
    </w:p>
    <w:p w14:paraId="26F9FD9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eastAsia="zh-CN"/>
        </w:rPr>
        <w:t>滁州市明湖建设管理服务中心</w:t>
      </w:r>
    </w:p>
    <w:p w14:paraId="19E13A7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cs="宋体"/>
          <w:color w:val="auto"/>
          <w:sz w:val="21"/>
          <w:szCs w:val="21"/>
          <w:highlight w:val="none"/>
          <w:u w:val="none"/>
          <w:lang w:val="en-US" w:eastAsia="zh-CN"/>
        </w:rPr>
        <w:t>主要内容包括桥头搭板、部分桥台侧墙拆除重新浇筑和台背换填；约80米园路维修改造，对现状园路路基进行换填等;新建桥头防护等内容。总投资约132.8万元</w:t>
      </w:r>
      <w:r>
        <w:rPr>
          <w:rFonts w:hint="eastAsia" w:ascii="宋体" w:hAnsi="宋体" w:eastAsia="宋体" w:cs="宋体"/>
          <w:color w:val="auto"/>
          <w:sz w:val="21"/>
          <w:szCs w:val="21"/>
          <w:highlight w:val="none"/>
          <w:u w:val="none"/>
          <w:lang w:val="en-US" w:eastAsia="zh-CN"/>
        </w:rPr>
        <w:t>。</w:t>
      </w:r>
    </w:p>
    <w:p w14:paraId="67586197">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w:t>
      </w:r>
      <w:r>
        <w:rPr>
          <w:rFonts w:hint="eastAsia" w:ascii="宋体" w:hAnsi="宋体" w:cs="宋体"/>
          <w:color w:val="auto"/>
          <w:sz w:val="21"/>
          <w:szCs w:val="21"/>
          <w:highlight w:val="none"/>
          <w:lang w:val="en-US" w:eastAsia="zh-CN"/>
        </w:rPr>
        <w:t>费率</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综合评估法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2" w:name="_Toc29988"/>
      <w:bookmarkStart w:id="43" w:name="_Toc17301"/>
      <w:r>
        <w:rPr>
          <w:rFonts w:hint="eastAsia" w:ascii="宋体" w:hAnsi="宋体" w:eastAsia="宋体" w:cs="宋体"/>
          <w:b/>
          <w:bCs/>
          <w:color w:val="auto"/>
          <w:sz w:val="28"/>
          <w:highlight w:val="none"/>
        </w:rPr>
        <w:t>二、招标文件</w:t>
      </w:r>
      <w:bookmarkEnd w:id="42"/>
      <w:bookmarkEnd w:id="43"/>
    </w:p>
    <w:p w14:paraId="62AC36E5">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480" w:lineRule="exact"/>
        <w:ind w:firstLine="840" w:firstLineChars="4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spacing w:line="480" w:lineRule="exact"/>
        <w:ind w:left="0" w:leftChars="0" w:firstLine="422" w:firstLineChars="20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cs="宋体"/>
          <w:color w:val="auto"/>
          <w:sz w:val="21"/>
          <w:szCs w:val="21"/>
          <w:highlight w:val="none"/>
          <w:lang w:eastAsia="zh-CN"/>
        </w:rPr>
        <w:t>滁州市城投工程咨询管理有限公司（https://www.czctgczx.com/）</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32E39163">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rPr>
        <w:t>本项目的</w:t>
      </w:r>
      <w:r>
        <w:rPr>
          <w:rFonts w:hint="eastAsia" w:ascii="宋体" w:hAnsi="宋体" w:eastAsia="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rPr>
        <w:t>为基本费率</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审核成果费率</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%（审核成果费率</w:t>
      </w:r>
      <w:r>
        <w:rPr>
          <w:rFonts w:hint="eastAsia" w:ascii="宋体" w:hAnsi="宋体" w:cs="宋体"/>
          <w:b/>
          <w:bCs/>
          <w:color w:val="auto"/>
          <w:sz w:val="21"/>
          <w:szCs w:val="21"/>
          <w:highlight w:val="none"/>
          <w:lang w:val="en-US" w:eastAsia="zh-CN"/>
        </w:rPr>
        <w:t>为不可竞争费率，</w:t>
      </w:r>
      <w:r>
        <w:rPr>
          <w:rFonts w:hint="eastAsia" w:ascii="宋体" w:hAnsi="宋体" w:eastAsia="宋体" w:cs="宋体"/>
          <w:b/>
          <w:bCs/>
          <w:color w:val="auto"/>
          <w:sz w:val="21"/>
          <w:szCs w:val="21"/>
          <w:highlight w:val="none"/>
        </w:rPr>
        <w:t>固定不变）</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基本费率由投标人自主报价，</w:t>
      </w:r>
      <w:r>
        <w:rPr>
          <w:rFonts w:hint="eastAsia" w:ascii="宋体" w:hAnsi="宋体" w:eastAsia="宋体" w:cs="宋体"/>
          <w:b/>
          <w:bCs/>
          <w:color w:val="auto"/>
          <w:sz w:val="21"/>
          <w:szCs w:val="21"/>
          <w:highlight w:val="none"/>
        </w:rPr>
        <w:t>不得高于上述基本</w:t>
      </w:r>
      <w:r>
        <w:rPr>
          <w:rFonts w:hint="eastAsia" w:ascii="宋体" w:hAnsi="宋体" w:eastAsia="宋体" w:cs="宋体"/>
          <w:b/>
          <w:bCs/>
          <w:color w:val="auto"/>
          <w:sz w:val="21"/>
          <w:szCs w:val="21"/>
          <w:highlight w:val="none"/>
          <w:lang w:eastAsia="zh-CN"/>
        </w:rPr>
        <w:t>费率</w:t>
      </w:r>
      <w:r>
        <w:rPr>
          <w:rFonts w:hint="eastAsia" w:ascii="宋体" w:hAnsi="宋体" w:eastAsia="宋体" w:cs="宋体"/>
          <w:b/>
          <w:bCs/>
          <w:color w:val="auto"/>
          <w:sz w:val="21"/>
          <w:szCs w:val="21"/>
          <w:highlight w:val="none"/>
        </w:rPr>
        <w:t>最高限价，否则按无效标处理。</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4" w:name="_Toc6831"/>
      <w:bookmarkStart w:id="45" w:name="_Toc24852"/>
      <w:r>
        <w:rPr>
          <w:rFonts w:hint="eastAsia" w:ascii="宋体" w:hAnsi="宋体" w:eastAsia="宋体" w:cs="宋体"/>
          <w:b/>
          <w:bCs/>
          <w:color w:val="auto"/>
          <w:sz w:val="28"/>
          <w:highlight w:val="none"/>
        </w:rPr>
        <w:t>三、投标文件的编制</w:t>
      </w:r>
      <w:bookmarkEnd w:id="44"/>
      <w:bookmarkEnd w:id="45"/>
    </w:p>
    <w:p w14:paraId="64695F4A">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57A6517E">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2342D3FE">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 xml:space="preserve"> </w:t>
      </w:r>
    </w:p>
    <w:p w14:paraId="14CE763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项目人员配备表；（格式见附件）</w:t>
      </w:r>
    </w:p>
    <w:p w14:paraId="65209427">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01A2C048">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i w:val="0"/>
          <w:iCs w:val="0"/>
          <w:caps w:val="0"/>
          <w:color w:val="auto"/>
          <w:spacing w:val="0"/>
          <w:kern w:val="0"/>
          <w:sz w:val="21"/>
          <w:szCs w:val="21"/>
          <w:highlight w:val="none"/>
          <w:shd w:val="clear" w:fill="FFFFFF"/>
          <w:lang w:val="en-US" w:eastAsia="zh-CN" w:bidi="ar"/>
        </w:rPr>
        <w:t>不少于2名且具有在本单位注册的二级及以上造价工程师（土木建筑工程专业至少1名）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70AD6D8C">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承诺书：投标人对所提供的上述材料作出承诺，若投标人存在弄虚作假，提供虚假资料的，若中标，则取消中标资格。（承诺书格式自拟并注明开标日期，加盖投标单位公章）</w:t>
      </w:r>
    </w:p>
    <w:p w14:paraId="3F0F7B4A">
      <w:pPr>
        <w:keepNext w:val="0"/>
        <w:keepLines w:val="0"/>
        <w:pageBreakBefore w:val="0"/>
        <w:widowControl w:val="0"/>
        <w:numPr>
          <w:ilvl w:val="0"/>
          <w:numId w:val="0"/>
        </w:numPr>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须持有社保部门出具的本单位为其缴纳的投标前近三个月内任意一月的养老保险证明（含官网在线打印件，证明文件两个月内有效），或投标人提供承诺已为上述人员缴纳养老保险证明的承诺书（格式自拟）。</w:t>
      </w:r>
    </w:p>
    <w:p w14:paraId="1D000F8A">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3DC867D5">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）投标人认为需要提供的其他材料。</w:t>
      </w:r>
    </w:p>
    <w:p w14:paraId="6CFB64B6">
      <w:pPr>
        <w:keepNext w:val="0"/>
        <w:keepLines w:val="0"/>
        <w:pageBreakBefore w:val="0"/>
        <w:widowControl w:val="0"/>
        <w:numPr>
          <w:ilvl w:val="0"/>
          <w:numId w:val="0"/>
        </w:numPr>
        <w:kinsoku/>
        <w:wordWrap/>
        <w:overflowPunct/>
        <w:topLinePunct w:val="0"/>
        <w:autoSpaceDE/>
        <w:autoSpaceDN/>
        <w:bidi w:val="0"/>
        <w:spacing w:line="480" w:lineRule="exact"/>
        <w:ind w:firstLine="422" w:firstLineChars="200"/>
        <w:jc w:val="both"/>
        <w:textAlignment w:val="auto"/>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2"/>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46" w:name="_Toc27519"/>
      <w:bookmarkStart w:id="47" w:name="_Toc13407"/>
      <w:r>
        <w:rPr>
          <w:rFonts w:hint="eastAsia" w:ascii="宋体" w:hAnsi="宋体" w:eastAsia="宋体" w:cs="宋体"/>
          <w:b/>
          <w:bCs/>
          <w:color w:val="auto"/>
          <w:sz w:val="28"/>
          <w:highlight w:val="none"/>
        </w:rPr>
        <w:t>四、投标文件的递交</w:t>
      </w:r>
      <w:bookmarkEnd w:id="46"/>
      <w:bookmarkEnd w:id="47"/>
    </w:p>
    <w:p w14:paraId="354540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2" w:firstLineChars="200"/>
        <w:jc w:val="both"/>
        <w:textAlignment w:val="auto"/>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48" w:name="_Toc18173"/>
      <w:bookmarkStart w:id="49" w:name="_Toc24005"/>
      <w:r>
        <w:rPr>
          <w:rFonts w:hint="eastAsia" w:ascii="宋体" w:hAnsi="宋体" w:eastAsia="宋体" w:cs="宋体"/>
          <w:b/>
          <w:bCs/>
          <w:color w:val="auto"/>
          <w:sz w:val="28"/>
          <w:highlight w:val="none"/>
        </w:rPr>
        <w:t>五、开标、评标和定标</w:t>
      </w:r>
      <w:bookmarkEnd w:id="48"/>
      <w:bookmarkEnd w:id="49"/>
    </w:p>
    <w:p w14:paraId="066918F9">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2"/>
        <w:keepNext w:val="0"/>
        <w:keepLines w:val="0"/>
        <w:pageBreakBefore w:val="0"/>
        <w:widowControl w:val="0"/>
        <w:kinsoku/>
        <w:overflowPunct/>
        <w:topLinePunct w:val="0"/>
        <w:autoSpaceDE/>
        <w:autoSpaceDN/>
        <w:bidi w:val="0"/>
        <w:spacing w:line="480" w:lineRule="exact"/>
        <w:ind w:right="0" w:rightChars="0" w:firstLine="420" w:firstLineChars="200"/>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keepNext w:val="0"/>
        <w:keepLines w:val="0"/>
        <w:pageBreakBefore w:val="0"/>
        <w:widowControl w:val="0"/>
        <w:kinsoku/>
        <w:overflowPunct/>
        <w:topLinePunct w:val="0"/>
        <w:autoSpaceDE/>
        <w:autoSpaceDN/>
        <w:bidi w:val="0"/>
        <w:spacing w:line="480" w:lineRule="exact"/>
        <w:ind w:right="0" w:rightChars="0" w:firstLine="422" w:firstLineChars="200"/>
        <w:jc w:val="left"/>
        <w:textAlignment w:val="auto"/>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keepNext w:val="0"/>
        <w:keepLines w:val="0"/>
        <w:pageBreakBefore w:val="0"/>
        <w:widowControl w:val="0"/>
        <w:kinsoku/>
        <w:overflowPunct/>
        <w:topLinePunct w:val="0"/>
        <w:autoSpaceDE/>
        <w:autoSpaceDN/>
        <w:bidi w:val="0"/>
        <w:spacing w:line="480" w:lineRule="exact"/>
        <w:ind w:right="0" w:rightChars="0" w:firstLine="422"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w:t>
      </w:r>
      <w:r>
        <w:rPr>
          <w:rFonts w:hint="eastAsia" w:ascii="宋体" w:hAnsi="宋体" w:cs="宋体"/>
          <w:b/>
          <w:bCs/>
          <w:color w:val="auto"/>
          <w:szCs w:val="21"/>
          <w:highlight w:val="none"/>
          <w:lang w:val="en-US" w:eastAsia="zh-CN"/>
        </w:rPr>
        <w:t>滁州市城投工程咨询管理有限公司（https://www.czctgczx.com/）</w:t>
      </w:r>
      <w:r>
        <w:rPr>
          <w:rFonts w:hint="eastAsia" w:ascii="宋体" w:hAnsi="宋体" w:eastAsia="宋体" w:cs="宋体"/>
          <w:b/>
          <w:bCs/>
          <w:color w:val="auto"/>
          <w:szCs w:val="21"/>
          <w:highlight w:val="none"/>
          <w:lang w:val="en-US" w:eastAsia="zh-CN"/>
        </w:rPr>
        <w:t>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8"/>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8"/>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8"/>
        <w:keepNext w:val="0"/>
        <w:keepLines w:val="0"/>
        <w:pageBreakBefore w:val="0"/>
        <w:widowControl w:val="0"/>
        <w:kinsoku/>
        <w:wordWrap w:val="0"/>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cs="宋体"/>
          <w:color w:val="auto"/>
          <w:szCs w:val="21"/>
          <w:highlight w:val="none"/>
          <w:lang w:val="en-US" w:eastAsia="zh-CN"/>
        </w:rPr>
        <w:t>滁州市城投工程咨询管理有限公司（https://www.czctgczx.com/）</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网站上公告。</w:t>
      </w:r>
    </w:p>
    <w:p w14:paraId="5604CD8A">
      <w:pPr>
        <w:pStyle w:val="18"/>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8"/>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8"/>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7295FCC4">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0" w:name="_Toc21491"/>
      <w:bookmarkStart w:id="51" w:name="_Toc22926"/>
      <w:r>
        <w:rPr>
          <w:rFonts w:hint="eastAsia" w:ascii="宋体" w:hAnsi="宋体" w:eastAsia="宋体" w:cs="宋体"/>
          <w:b/>
          <w:bCs/>
          <w:color w:val="auto"/>
          <w:sz w:val="28"/>
          <w:highlight w:val="none"/>
        </w:rPr>
        <w:t>六、合同的授予</w:t>
      </w:r>
      <w:bookmarkEnd w:id="50"/>
      <w:bookmarkEnd w:id="51"/>
    </w:p>
    <w:p w14:paraId="2EDC141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2" w:name="_Toc31589_WPSOffice_Level1"/>
      <w:bookmarkStart w:id="53" w:name="_Toc3222"/>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4"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4"/>
    </w:p>
    <w:p w14:paraId="1CD4C1C5">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6"/>
        <w:spacing w:before="0" w:after="0"/>
        <w:rPr>
          <w:rFonts w:hint="eastAsia" w:ascii="宋体" w:hAnsi="宋体" w:eastAsia="宋体" w:cs="宋体"/>
          <w:color w:val="auto"/>
          <w:highlight w:val="none"/>
          <w:lang w:val="en-US" w:eastAsia="zh-CN"/>
        </w:rPr>
      </w:pPr>
    </w:p>
    <w:p w14:paraId="32EDDA19">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5" w:name="_Toc13234"/>
      <w:r>
        <w:rPr>
          <w:rFonts w:hint="eastAsia" w:ascii="宋体" w:hAnsi="宋体" w:eastAsia="宋体" w:cs="宋体"/>
          <w:color w:val="auto"/>
          <w:highlight w:val="none"/>
          <w:lang w:val="en-US" w:eastAsia="zh-CN"/>
        </w:rPr>
        <w:t>第二章 评标办法</w:t>
      </w:r>
      <w:bookmarkEnd w:id="55"/>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56" w:name="_Toc14912"/>
      <w:r>
        <w:rPr>
          <w:rFonts w:hint="eastAsia" w:ascii="宋体" w:hAnsi="宋体" w:eastAsia="宋体" w:cs="宋体"/>
          <w:b/>
          <w:bCs/>
          <w:color w:val="auto"/>
          <w:sz w:val="24"/>
          <w:szCs w:val="24"/>
          <w:highlight w:val="none"/>
          <w:lang w:val="en-US" w:eastAsia="zh-CN"/>
        </w:rPr>
        <w:t>一、总则</w:t>
      </w:r>
      <w:bookmarkEnd w:id="56"/>
    </w:p>
    <w:p w14:paraId="068C5033">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本次评标采用综合评估法</w:t>
      </w:r>
    </w:p>
    <w:p w14:paraId="64AB08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1.1综合评</w:t>
      </w:r>
      <w:r>
        <w:rPr>
          <w:rFonts w:hint="eastAsia" w:ascii="宋体" w:hAnsi="宋体" w:cs="宋体"/>
          <w:color w:val="auto"/>
          <w:sz w:val="21"/>
          <w:szCs w:val="21"/>
          <w:highlight w:val="none"/>
          <w:lang w:val="en-US" w:eastAsia="zh-CN"/>
        </w:rPr>
        <w:t>估</w:t>
      </w:r>
      <w:r>
        <w:rPr>
          <w:rFonts w:hint="eastAsia" w:ascii="宋体" w:hAnsi="宋体" w:eastAsia="宋体" w:cs="宋体"/>
          <w:color w:val="auto"/>
          <w:sz w:val="21"/>
          <w:szCs w:val="21"/>
          <w:highlight w:val="none"/>
          <w:lang w:val="en-US" w:eastAsia="zh-CN"/>
        </w:rPr>
        <w:t>法，评标委员会按照本章规定的评分标准进行打分，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cs="宋体"/>
          <w:b/>
          <w:bCs/>
          <w:color w:val="auto"/>
          <w:szCs w:val="21"/>
          <w:highlight w:val="none"/>
          <w:lang w:eastAsia="zh-CN"/>
        </w:rPr>
        <w:t>，但投标报价低于其成本的除外</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57" w:name="_Toc58430318"/>
      <w:bookmarkStart w:id="58" w:name="_Toc449028878"/>
      <w:bookmarkStart w:id="59" w:name="_Toc29779"/>
      <w:r>
        <w:rPr>
          <w:rFonts w:hint="eastAsia" w:ascii="宋体"/>
          <w:b/>
          <w:color w:val="auto"/>
          <w:sz w:val="28"/>
          <w:szCs w:val="28"/>
          <w:highlight w:val="none"/>
        </w:rPr>
        <w:t>二、投标文件初审</w:t>
      </w:r>
      <w:bookmarkEnd w:id="57"/>
      <w:bookmarkEnd w:id="58"/>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spacing w:line="320" w:lineRule="exact"/>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757" w:type="dxa"/>
            <w:noWrap w:val="0"/>
            <w:vAlign w:val="center"/>
          </w:tcPr>
          <w:p w14:paraId="27142348">
            <w:pPr>
              <w:spacing w:line="320" w:lineRule="exact"/>
              <w:jc w:val="left"/>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spacing w:line="320" w:lineRule="exac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）具有为本项目提供相应服务的能力</w:t>
            </w:r>
          </w:p>
        </w:tc>
        <w:tc>
          <w:tcPr>
            <w:tcW w:w="2757" w:type="dxa"/>
            <w:noWrap w:val="0"/>
            <w:vAlign w:val="center"/>
          </w:tcPr>
          <w:p w14:paraId="607FD99B">
            <w:pPr>
              <w:spacing w:line="320" w:lineRule="exac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spacing w:line="320" w:lineRule="exact"/>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spacing w:line="360" w:lineRule="exact"/>
              <w:jc w:val="both"/>
              <w:rPr>
                <w:rFonts w:hint="eastAsia" w:ascii="宋体" w:hAnsi="宋体" w:cs="宋体"/>
                <w:b/>
                <w:color w:val="auto"/>
                <w:szCs w:val="21"/>
                <w:highlight w:val="none"/>
              </w:rPr>
            </w:pPr>
            <w:r>
              <w:rPr>
                <w:rFonts w:hint="eastAsia"/>
                <w:color w:val="auto"/>
                <w:highlight w:val="none"/>
              </w:rPr>
              <w:t>（3）</w:t>
            </w:r>
            <w:r>
              <w:rPr>
                <w:rFonts w:hint="eastAsia" w:ascii="宋体" w:hAnsi="宋体" w:cs="宋体"/>
                <w:color w:val="auto"/>
                <w:sz w:val="21"/>
                <w:szCs w:val="21"/>
                <w:highlight w:val="none"/>
                <w:lang w:val="en-US" w:eastAsia="zh-CN"/>
              </w:rPr>
              <w:t>项目人员配备表</w:t>
            </w:r>
          </w:p>
        </w:tc>
        <w:tc>
          <w:tcPr>
            <w:tcW w:w="2757" w:type="dxa"/>
            <w:noWrap w:val="0"/>
            <w:vAlign w:val="center"/>
          </w:tcPr>
          <w:p w14:paraId="2E0E8AE1">
            <w:pPr>
              <w:spacing w:line="360" w:lineRule="exact"/>
              <w:jc w:val="both"/>
              <w:rPr>
                <w:rFonts w:hint="eastAsia" w:ascii="宋体"/>
                <w:b/>
                <w:color w:val="auto"/>
                <w:szCs w:val="21"/>
                <w:highlight w:val="none"/>
              </w:rPr>
            </w:pPr>
            <w:r>
              <w:rPr>
                <w:rFonts w:hint="eastAsia"/>
                <w:color w:val="auto"/>
                <w:highlight w:val="none"/>
              </w:rPr>
              <w:t>格式见附件，检验电子标书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spacing w:line="360" w:lineRule="exact"/>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p>
        </w:tc>
        <w:tc>
          <w:tcPr>
            <w:tcW w:w="2757" w:type="dxa"/>
            <w:noWrap w:val="0"/>
            <w:vAlign w:val="center"/>
          </w:tcPr>
          <w:p w14:paraId="68DD7B74">
            <w:pPr>
              <w:spacing w:line="360" w:lineRule="exact"/>
              <w:jc w:val="both"/>
              <w:rPr>
                <w:rFonts w:hint="eastAsia"/>
                <w:color w:val="auto"/>
                <w:highlight w:val="none"/>
              </w:rPr>
            </w:pPr>
            <w:r>
              <w:rPr>
                <w:rFonts w:hint="eastAsia"/>
                <w:color w:val="auto"/>
                <w:highlight w:val="none"/>
              </w:rPr>
              <w:t>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6F4CA723">
            <w:pPr>
              <w:spacing w:line="360" w:lineRule="exact"/>
              <w:jc w:val="both"/>
              <w:rPr>
                <w:rFonts w:hint="eastAsia"/>
                <w:color w:val="auto"/>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color w:val="auto"/>
                <w:kern w:val="0"/>
                <w:sz w:val="21"/>
                <w:szCs w:val="21"/>
                <w:highlight w:val="none"/>
                <w:lang w:val="en-US" w:eastAsia="zh-CN"/>
              </w:rPr>
              <w:t>不少于2名且具有在本单位注册的二级及以上造价工程师（土木建筑工程专业至少1名）</w:t>
            </w:r>
          </w:p>
        </w:tc>
        <w:tc>
          <w:tcPr>
            <w:tcW w:w="2757" w:type="dxa"/>
            <w:noWrap w:val="0"/>
            <w:vAlign w:val="center"/>
          </w:tcPr>
          <w:p w14:paraId="551EAE52">
            <w:pPr>
              <w:spacing w:line="360" w:lineRule="exact"/>
              <w:jc w:val="both"/>
              <w:rPr>
                <w:rFonts w:hint="eastAsia"/>
                <w:color w:val="auto"/>
                <w:highlight w:val="none"/>
              </w:rPr>
            </w:pPr>
            <w:r>
              <w:rPr>
                <w:rFonts w:hint="eastAsia"/>
                <w:color w:val="auto"/>
                <w:highlight w:val="none"/>
              </w:rPr>
              <w:t>检验电子标书</w:t>
            </w:r>
          </w:p>
        </w:tc>
      </w:tr>
      <w:tr w14:paraId="386B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25" w:type="dxa"/>
            <w:vMerge w:val="continue"/>
            <w:noWrap w:val="0"/>
            <w:vAlign w:val="center"/>
          </w:tcPr>
          <w:p w14:paraId="62FBCB7F">
            <w:pPr>
              <w:spacing w:line="320" w:lineRule="exact"/>
              <w:jc w:val="center"/>
              <w:rPr>
                <w:rFonts w:hint="eastAsia" w:ascii="宋体" w:hAnsi="宋体"/>
                <w:color w:val="auto"/>
                <w:szCs w:val="21"/>
                <w:highlight w:val="none"/>
              </w:rPr>
            </w:pPr>
          </w:p>
        </w:tc>
        <w:tc>
          <w:tcPr>
            <w:tcW w:w="1235" w:type="dxa"/>
            <w:vMerge w:val="continue"/>
            <w:noWrap w:val="0"/>
            <w:vAlign w:val="center"/>
          </w:tcPr>
          <w:p w14:paraId="1B267B9A">
            <w:pPr>
              <w:spacing w:line="320" w:lineRule="exact"/>
              <w:rPr>
                <w:rFonts w:hint="eastAsia" w:ascii="宋体" w:hAnsi="宋体"/>
                <w:color w:val="auto"/>
                <w:szCs w:val="21"/>
                <w:highlight w:val="none"/>
              </w:rPr>
            </w:pPr>
          </w:p>
        </w:tc>
        <w:tc>
          <w:tcPr>
            <w:tcW w:w="5296" w:type="dxa"/>
            <w:noWrap w:val="0"/>
            <w:vAlign w:val="center"/>
          </w:tcPr>
          <w:p w14:paraId="05277027">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（6）承诺书：投标人对所提供的上述材料作出承诺，若投标人存在弄虚作假，提供虚假资料的，若中标，则取消中标资格</w:t>
            </w:r>
          </w:p>
        </w:tc>
        <w:tc>
          <w:tcPr>
            <w:tcW w:w="2757" w:type="dxa"/>
            <w:noWrap w:val="0"/>
            <w:vAlign w:val="center"/>
          </w:tcPr>
          <w:p w14:paraId="7662CE20">
            <w:pPr>
              <w:spacing w:line="360" w:lineRule="exact"/>
              <w:jc w:val="both"/>
              <w:rPr>
                <w:rFonts w:hint="eastAsia"/>
                <w:color w:val="auto"/>
                <w:highlight w:val="none"/>
              </w:rPr>
            </w:pPr>
            <w:r>
              <w:rPr>
                <w:rFonts w:hint="eastAsia"/>
                <w:color w:val="auto"/>
                <w:highlight w:val="none"/>
              </w:rPr>
              <w:t>检验电子标书</w:t>
            </w:r>
          </w:p>
        </w:tc>
      </w:tr>
      <w:tr w14:paraId="708A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05D7143">
            <w:pPr>
              <w:spacing w:line="320" w:lineRule="exact"/>
              <w:jc w:val="center"/>
              <w:rPr>
                <w:rFonts w:hint="eastAsia" w:ascii="宋体" w:hAnsi="宋体"/>
                <w:color w:val="auto"/>
                <w:szCs w:val="21"/>
                <w:highlight w:val="none"/>
              </w:rPr>
            </w:pPr>
          </w:p>
        </w:tc>
        <w:tc>
          <w:tcPr>
            <w:tcW w:w="1235" w:type="dxa"/>
            <w:vMerge w:val="continue"/>
            <w:noWrap w:val="0"/>
            <w:vAlign w:val="center"/>
          </w:tcPr>
          <w:p w14:paraId="28996A16">
            <w:pPr>
              <w:spacing w:line="320" w:lineRule="exact"/>
              <w:rPr>
                <w:rFonts w:hint="eastAsia" w:ascii="宋体" w:hAnsi="宋体"/>
                <w:color w:val="auto"/>
                <w:szCs w:val="21"/>
                <w:highlight w:val="none"/>
              </w:rPr>
            </w:pPr>
          </w:p>
        </w:tc>
        <w:tc>
          <w:tcPr>
            <w:tcW w:w="5296" w:type="dxa"/>
            <w:noWrap w:val="0"/>
            <w:vAlign w:val="center"/>
          </w:tcPr>
          <w:p w14:paraId="2BA92C2C">
            <w:pPr>
              <w:spacing w:line="360" w:lineRule="exact"/>
              <w:jc w:val="both"/>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须持有社保部门出具的本单位为其缴纳的投标前近三个月内任意一月的养老保险证明，或投标人提供承诺已为上述人员缴纳养老保险证明的承诺书（格式自拟）</w:t>
            </w:r>
          </w:p>
        </w:tc>
        <w:tc>
          <w:tcPr>
            <w:tcW w:w="2757" w:type="dxa"/>
            <w:noWrap w:val="0"/>
            <w:vAlign w:val="center"/>
          </w:tcPr>
          <w:p w14:paraId="4606370E">
            <w:pPr>
              <w:spacing w:line="360" w:lineRule="exact"/>
              <w:jc w:val="both"/>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）投标函</w:t>
            </w:r>
          </w:p>
        </w:tc>
        <w:tc>
          <w:tcPr>
            <w:tcW w:w="2757" w:type="dxa"/>
            <w:noWrap w:val="0"/>
            <w:vAlign w:val="center"/>
          </w:tcPr>
          <w:p w14:paraId="3BC905C0">
            <w:pPr>
              <w:spacing w:line="360" w:lineRule="exact"/>
              <w:jc w:val="both"/>
              <w:rPr>
                <w:rFonts w:hint="eastAsia"/>
                <w:color w:val="auto"/>
                <w:highlight w:val="none"/>
              </w:rPr>
            </w:pPr>
            <w:r>
              <w:rPr>
                <w:rFonts w:hint="eastAsia"/>
                <w:color w:val="auto"/>
                <w:highlight w:val="none"/>
              </w:rPr>
              <w:t>格式见附件，检验电子标书</w:t>
            </w:r>
          </w:p>
        </w:tc>
      </w:tr>
    </w:tbl>
    <w:p w14:paraId="609AB6C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4.符合性审查</w:t>
      </w:r>
    </w:p>
    <w:p w14:paraId="52B4741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spacing w:line="320" w:lineRule="atLeast"/>
              <w:rPr>
                <w:color w:val="auto"/>
                <w:highlight w:val="none"/>
              </w:rPr>
            </w:pPr>
          </w:p>
        </w:tc>
        <w:tc>
          <w:tcPr>
            <w:tcW w:w="1204" w:type="dxa"/>
            <w:vMerge w:val="continue"/>
            <w:noWrap w:val="0"/>
            <w:vAlign w:val="center"/>
          </w:tcPr>
          <w:p w14:paraId="0C50280C">
            <w:pPr>
              <w:spacing w:line="320" w:lineRule="atLeast"/>
              <w:rPr>
                <w:color w:val="auto"/>
                <w:highlight w:val="none"/>
              </w:rPr>
            </w:pPr>
          </w:p>
        </w:tc>
        <w:tc>
          <w:tcPr>
            <w:tcW w:w="2931" w:type="dxa"/>
            <w:noWrap w:val="0"/>
            <w:vAlign w:val="center"/>
          </w:tcPr>
          <w:p w14:paraId="3A2D0D4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spacing w:line="320" w:lineRule="atLeast"/>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spacing w:line="320" w:lineRule="atLeast"/>
              <w:rPr>
                <w:color w:val="auto"/>
                <w:highlight w:val="none"/>
              </w:rPr>
            </w:pPr>
          </w:p>
        </w:tc>
        <w:tc>
          <w:tcPr>
            <w:tcW w:w="1204" w:type="dxa"/>
            <w:vMerge w:val="continue"/>
            <w:noWrap w:val="0"/>
            <w:vAlign w:val="center"/>
          </w:tcPr>
          <w:p w14:paraId="58AA67A8">
            <w:pPr>
              <w:spacing w:line="320" w:lineRule="atLeast"/>
              <w:rPr>
                <w:color w:val="auto"/>
                <w:highlight w:val="none"/>
              </w:rPr>
            </w:pPr>
          </w:p>
        </w:tc>
        <w:tc>
          <w:tcPr>
            <w:tcW w:w="2931" w:type="dxa"/>
            <w:noWrap w:val="0"/>
            <w:vAlign w:val="center"/>
          </w:tcPr>
          <w:p w14:paraId="16A8D7B3">
            <w:pPr>
              <w:spacing w:line="320" w:lineRule="atLeast"/>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spacing w:line="320" w:lineRule="atLeast"/>
              <w:rPr>
                <w:color w:val="auto"/>
                <w:highlight w:val="none"/>
              </w:rPr>
            </w:pPr>
          </w:p>
        </w:tc>
        <w:tc>
          <w:tcPr>
            <w:tcW w:w="1204" w:type="dxa"/>
            <w:vMerge w:val="continue"/>
            <w:noWrap w:val="0"/>
            <w:vAlign w:val="center"/>
          </w:tcPr>
          <w:p w14:paraId="3D464BDC">
            <w:pPr>
              <w:spacing w:line="320" w:lineRule="atLeast"/>
              <w:rPr>
                <w:color w:val="auto"/>
                <w:highlight w:val="none"/>
              </w:rPr>
            </w:pPr>
          </w:p>
        </w:tc>
        <w:tc>
          <w:tcPr>
            <w:tcW w:w="2931" w:type="dxa"/>
            <w:noWrap w:val="0"/>
            <w:vAlign w:val="center"/>
          </w:tcPr>
          <w:p w14:paraId="1570C2C0">
            <w:pPr>
              <w:spacing w:line="320" w:lineRule="atLeast"/>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spacing w:line="320" w:lineRule="atLeast"/>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spacing w:line="320" w:lineRule="atLeast"/>
              <w:rPr>
                <w:color w:val="auto"/>
                <w:highlight w:val="none"/>
              </w:rPr>
            </w:pPr>
          </w:p>
        </w:tc>
        <w:tc>
          <w:tcPr>
            <w:tcW w:w="1204" w:type="dxa"/>
            <w:vMerge w:val="continue"/>
            <w:noWrap w:val="0"/>
            <w:vAlign w:val="center"/>
          </w:tcPr>
          <w:p w14:paraId="068F4ED8">
            <w:pPr>
              <w:spacing w:line="320" w:lineRule="atLeast"/>
              <w:rPr>
                <w:color w:val="auto"/>
                <w:highlight w:val="none"/>
              </w:rPr>
            </w:pPr>
          </w:p>
        </w:tc>
        <w:tc>
          <w:tcPr>
            <w:tcW w:w="2931" w:type="dxa"/>
            <w:noWrap w:val="0"/>
            <w:vAlign w:val="center"/>
          </w:tcPr>
          <w:p w14:paraId="5F71AFEB">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r w14:paraId="713D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1" w:type="dxa"/>
            <w:vMerge w:val="restart"/>
            <w:noWrap w:val="0"/>
            <w:vAlign w:val="center"/>
          </w:tcPr>
          <w:p w14:paraId="390BF16A">
            <w:pPr>
              <w:spacing w:line="320" w:lineRule="atLeast"/>
              <w:jc w:val="center"/>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14:paraId="7CDB2375">
            <w:pPr>
              <w:spacing w:line="320" w:lineRule="atLeast"/>
              <w:jc w:val="center"/>
              <w:rPr>
                <w:rFonts w:hint="eastAsia" w:ascii="宋体" w:cs="仿宋_GB2312"/>
                <w:color w:val="auto"/>
                <w:szCs w:val="21"/>
                <w:highlight w:val="none"/>
                <w:lang w:val="zh-CN"/>
              </w:rPr>
            </w:pPr>
            <w:r>
              <w:rPr>
                <w:rFonts w:hint="eastAsia" w:ascii="宋体" w:cs="仿宋_GB2312"/>
                <w:color w:val="auto"/>
                <w:szCs w:val="21"/>
                <w:highlight w:val="none"/>
                <w:lang w:val="zh-CN"/>
              </w:rPr>
              <w:t>投标文件的响应程度</w:t>
            </w:r>
          </w:p>
        </w:tc>
        <w:tc>
          <w:tcPr>
            <w:tcW w:w="2931" w:type="dxa"/>
            <w:noWrap w:val="0"/>
            <w:vAlign w:val="center"/>
          </w:tcPr>
          <w:p w14:paraId="76621B39">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（7）采购需求响应程度</w:t>
            </w:r>
          </w:p>
        </w:tc>
        <w:tc>
          <w:tcPr>
            <w:tcW w:w="5101" w:type="dxa"/>
            <w:noWrap w:val="0"/>
            <w:vAlign w:val="center"/>
          </w:tcPr>
          <w:p w14:paraId="3CC7D23C">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最大限度地满足招标文件要求。</w:t>
            </w:r>
          </w:p>
        </w:tc>
      </w:tr>
      <w:tr w14:paraId="7B4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E2F7823">
            <w:pPr>
              <w:spacing w:line="320" w:lineRule="atLeast"/>
              <w:rPr>
                <w:color w:val="auto"/>
                <w:highlight w:val="none"/>
              </w:rPr>
            </w:pPr>
          </w:p>
        </w:tc>
        <w:tc>
          <w:tcPr>
            <w:tcW w:w="1204" w:type="dxa"/>
            <w:vMerge w:val="continue"/>
            <w:noWrap w:val="0"/>
            <w:vAlign w:val="center"/>
          </w:tcPr>
          <w:p w14:paraId="3B6CA584">
            <w:pPr>
              <w:spacing w:line="320" w:lineRule="atLeast"/>
              <w:rPr>
                <w:color w:val="auto"/>
                <w:highlight w:val="none"/>
              </w:rPr>
            </w:pPr>
          </w:p>
        </w:tc>
        <w:tc>
          <w:tcPr>
            <w:tcW w:w="2931" w:type="dxa"/>
            <w:noWrap w:val="0"/>
            <w:vAlign w:val="center"/>
          </w:tcPr>
          <w:p w14:paraId="0D9E24C6">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（8）商务条款响应程度（包括不限于业绩、服务期、售后服务、技术培训等）</w:t>
            </w:r>
          </w:p>
        </w:tc>
        <w:tc>
          <w:tcPr>
            <w:tcW w:w="5101" w:type="dxa"/>
            <w:noWrap w:val="0"/>
            <w:vAlign w:val="center"/>
          </w:tcPr>
          <w:p w14:paraId="1DE6E434">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bl>
    <w:p w14:paraId="63A99023">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spacing w:line="400" w:lineRule="exact"/>
        <w:ind w:firstLine="506" w:firstLineChars="241"/>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59"/>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05EF3AE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p>
    <w:p w14:paraId="49A6CEA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0" w:name="_Toc30419"/>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、投标报价评分细则</w:t>
      </w:r>
      <w:bookmarkEnd w:id="60"/>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评审项</w:t>
            </w:r>
          </w:p>
        </w:tc>
        <w:tc>
          <w:tcPr>
            <w:tcW w:w="1842" w:type="dxa"/>
            <w:vAlign w:val="center"/>
          </w:tcPr>
          <w:p w14:paraId="2E66EDB0">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评审因素</w:t>
            </w:r>
          </w:p>
        </w:tc>
        <w:tc>
          <w:tcPr>
            <w:tcW w:w="6067" w:type="dxa"/>
            <w:vAlign w:val="center"/>
          </w:tcPr>
          <w:p w14:paraId="22D39B9C">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4B9CB1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auto"/>
                <w:sz w:val="21"/>
                <w:szCs w:val="21"/>
                <w:highlight w:val="none"/>
                <w:lang w:eastAsia="zh-CN"/>
              </w:rPr>
            </w:pPr>
            <w:r>
              <w:rPr>
                <w:rFonts w:ascii="宋体" w:hAnsi="宋体" w:cs="宋体"/>
                <w:color w:val="auto"/>
                <w:sz w:val="21"/>
                <w:szCs w:val="21"/>
                <w:highlight w:val="none"/>
              </w:rPr>
              <w:t>1</w:t>
            </w:r>
            <w:r>
              <w:rPr>
                <w:rFonts w:hint="eastAsia" w:ascii="宋体" w:hAnsi="宋体" w:cs="宋体"/>
                <w:color w:val="auto"/>
                <w:sz w:val="21"/>
                <w:szCs w:val="21"/>
                <w:highlight w:val="none"/>
              </w:rPr>
              <w:t>、招标人设置投标报价最高限价，各投标人有效报价不得高于最高限价，否则，其投标文件按无效标处理。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以基本费率作为评审价格</w:t>
            </w:r>
            <w:r>
              <w:rPr>
                <w:rFonts w:hint="eastAsia" w:ascii="宋体" w:hAnsi="宋体" w:eastAsia="宋体" w:cs="宋体"/>
                <w:b/>
                <w:bCs/>
                <w:color w:val="auto"/>
                <w:sz w:val="21"/>
                <w:szCs w:val="21"/>
                <w:highlight w:val="none"/>
                <w:lang w:eastAsia="zh-CN"/>
              </w:rPr>
              <w:t>）</w:t>
            </w:r>
          </w:p>
          <w:p w14:paraId="4CF931AD">
            <w:pPr>
              <w:keepNext w:val="0"/>
              <w:keepLines w:val="0"/>
              <w:pageBreakBefore w:val="0"/>
              <w:widowControl w:val="0"/>
              <w:tabs>
                <w:tab w:val="left" w:pos="1080"/>
              </w:tabs>
              <w:kinsoku/>
              <w:wordWrap/>
              <w:overflowPunct/>
              <w:topLinePunct w:val="0"/>
              <w:autoSpaceDE/>
              <w:autoSpaceDN/>
              <w:bidi w:val="0"/>
              <w:adjustRightInd/>
              <w:snapToGrid/>
              <w:spacing w:line="360" w:lineRule="exact"/>
              <w:ind w:right="105"/>
              <w:textAlignment w:val="auto"/>
              <w:rPr>
                <w:rFonts w:hint="eastAsia" w:ascii="宋体" w:hAnsi="宋体" w:eastAsia="宋体" w:cs="宋体"/>
                <w:color w:val="auto"/>
                <w:sz w:val="21"/>
                <w:szCs w:val="21"/>
                <w:highlight w:val="none"/>
                <w:lang w:eastAsia="zh-CN"/>
              </w:rPr>
            </w:pPr>
            <w:r>
              <w:rPr>
                <w:rFonts w:ascii="宋体" w:hAnsi="宋体" w:cs="宋体"/>
                <w:color w:val="auto"/>
                <w:sz w:val="21"/>
                <w:szCs w:val="21"/>
                <w:highlight w:val="none"/>
              </w:rPr>
              <w:t>2</w:t>
            </w:r>
            <w:r>
              <w:rPr>
                <w:rFonts w:hint="eastAsia" w:ascii="宋体" w:hAnsi="宋体" w:cs="宋体"/>
                <w:color w:val="auto"/>
                <w:sz w:val="21"/>
                <w:szCs w:val="21"/>
                <w:highlight w:val="none"/>
              </w:rPr>
              <w:t>、评标基准值为所有投标人投标报价的算术平均值</w:t>
            </w:r>
            <w:r>
              <w:rPr>
                <w:rFonts w:hint="eastAsia" w:ascii="宋体" w:hAnsi="宋体" w:cs="宋体"/>
                <w:color w:val="auto"/>
                <w:sz w:val="21"/>
                <w:szCs w:val="21"/>
                <w:highlight w:val="none"/>
                <w:lang w:eastAsia="zh-CN"/>
              </w:rPr>
              <w:t>。</w:t>
            </w:r>
          </w:p>
          <w:p w14:paraId="72384CD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、各投标人的投标总报价与评标基准值相比，相同的得100分，每高1个点扣1.0分，每低1个点扣0.5分；不足1个点的按插入法计算。</w:t>
            </w:r>
          </w:p>
          <w:p w14:paraId="6741A1B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、本项分值由招标代理机构计算，评标委员会复核。</w:t>
            </w:r>
          </w:p>
          <w:p w14:paraId="4561AEB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、评分计算示例：假设评标基准值为</w:t>
            </w:r>
            <w:r>
              <w:rPr>
                <w:rFonts w:hint="eastAsia" w:ascii="宋体" w:hAnsi="宋体" w:cs="宋体"/>
                <w:color w:val="auto"/>
                <w:sz w:val="21"/>
                <w:szCs w:val="21"/>
                <w:highlight w:val="none"/>
                <w:lang w:val="en-US" w:eastAsia="zh-CN"/>
              </w:rPr>
              <w:t>1.12‰</w:t>
            </w:r>
            <w:r>
              <w:rPr>
                <w:rFonts w:hint="eastAsia" w:ascii="宋体" w:hAnsi="宋体" w:cs="宋体"/>
                <w:color w:val="auto"/>
                <w:sz w:val="21"/>
                <w:szCs w:val="21"/>
                <w:highlight w:val="none"/>
              </w:rPr>
              <w:t>，投标人甲的报价为</w:t>
            </w:r>
            <w:r>
              <w:rPr>
                <w:rFonts w:hint="eastAsia" w:ascii="宋体" w:hAnsi="宋体" w:cs="宋体"/>
                <w:color w:val="auto"/>
                <w:sz w:val="21"/>
                <w:szCs w:val="21"/>
                <w:highlight w:val="none"/>
                <w:lang w:val="en-US" w:eastAsia="zh-CN"/>
              </w:rPr>
              <w:t>1.28‰</w:t>
            </w:r>
            <w:r>
              <w:rPr>
                <w:rFonts w:hint="eastAsia" w:ascii="宋体" w:hAnsi="宋体" w:cs="宋体"/>
                <w:color w:val="auto"/>
                <w:sz w:val="21"/>
                <w:szCs w:val="21"/>
                <w:highlight w:val="none"/>
              </w:rPr>
              <w:t>、投标人乙的报价为</w:t>
            </w:r>
            <w:r>
              <w:rPr>
                <w:rFonts w:hint="eastAsia" w:ascii="宋体" w:hAnsi="宋体" w:cs="宋体"/>
                <w:color w:val="auto"/>
                <w:sz w:val="21"/>
                <w:szCs w:val="21"/>
                <w:highlight w:val="none"/>
                <w:lang w:val="en-US" w:eastAsia="zh-CN"/>
              </w:rPr>
              <w:t>0.98‰</w:t>
            </w:r>
            <w:r>
              <w:rPr>
                <w:rFonts w:hint="eastAsia" w:ascii="宋体" w:hAnsi="宋体" w:cs="宋体"/>
                <w:color w:val="auto"/>
                <w:sz w:val="21"/>
                <w:szCs w:val="21"/>
                <w:highlight w:val="none"/>
              </w:rPr>
              <w:t>、投标人丙的报价为</w:t>
            </w:r>
            <w:r>
              <w:rPr>
                <w:rFonts w:hint="eastAsia" w:ascii="宋体" w:hAnsi="宋体" w:cs="宋体"/>
                <w:color w:val="auto"/>
                <w:sz w:val="21"/>
                <w:szCs w:val="21"/>
                <w:highlight w:val="none"/>
                <w:lang w:val="en-US" w:eastAsia="zh-CN"/>
              </w:rPr>
              <w:t>1.12‰</w:t>
            </w:r>
            <w:r>
              <w:rPr>
                <w:rFonts w:hint="eastAsia" w:ascii="宋体" w:hAnsi="宋体" w:cs="宋体"/>
                <w:color w:val="auto"/>
                <w:sz w:val="21"/>
                <w:szCs w:val="21"/>
                <w:highlight w:val="none"/>
              </w:rPr>
              <w:t>，计算各投标人得分如下：</w:t>
            </w:r>
          </w:p>
          <w:p w14:paraId="010D053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hint="eastAsia" w:ascii="宋体" w:hAnsi="宋体" w:cs="宋体"/>
                <w:color w:val="auto"/>
                <w:sz w:val="21"/>
                <w:szCs w:val="21"/>
                <w:highlight w:val="none"/>
              </w:rPr>
              <w:t>投标人甲：</w:t>
            </w:r>
            <w:r>
              <w:rPr>
                <w:rFonts w:hint="eastAsia" w:ascii="宋体" w:hAnsi="宋体" w:cs="宋体"/>
                <w:color w:val="auto"/>
                <w:sz w:val="21"/>
                <w:szCs w:val="21"/>
                <w:highlight w:val="none"/>
                <w:lang w:val="en-US" w:eastAsia="zh-CN"/>
              </w:rPr>
              <w:t>1.28</w:t>
            </w:r>
            <w:r>
              <w:rPr>
                <w:rFonts w:ascii="宋体" w:cs="宋体"/>
                <w:color w:val="auto"/>
                <w:sz w:val="21"/>
                <w:szCs w:val="21"/>
                <w:highlight w:val="none"/>
              </w:rPr>
              <w:t>-</w:t>
            </w:r>
            <w:r>
              <w:rPr>
                <w:rFonts w:hint="eastAsia" w:ascii="宋体" w:hAnsi="宋体" w:cs="宋体"/>
                <w:color w:val="auto"/>
                <w:sz w:val="21"/>
                <w:szCs w:val="21"/>
                <w:highlight w:val="none"/>
                <w:lang w:val="en-US" w:eastAsia="zh-CN"/>
              </w:rPr>
              <w:t>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0.16</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0.16*1.0</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99.84</w:t>
            </w:r>
            <w:r>
              <w:rPr>
                <w:rFonts w:hint="eastAsia" w:ascii="宋体" w:hAnsi="宋体" w:cs="宋体"/>
                <w:color w:val="auto"/>
                <w:sz w:val="21"/>
                <w:szCs w:val="21"/>
                <w:highlight w:val="none"/>
              </w:rPr>
              <w:t>；</w:t>
            </w:r>
          </w:p>
          <w:p w14:paraId="560EF8E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hint="eastAsia" w:ascii="宋体" w:hAnsi="宋体" w:cs="宋体"/>
                <w:color w:val="auto"/>
                <w:sz w:val="21"/>
                <w:szCs w:val="21"/>
                <w:highlight w:val="none"/>
              </w:rPr>
              <w:t>投标人乙：</w:t>
            </w:r>
            <w:r>
              <w:rPr>
                <w:rFonts w:hint="eastAsia" w:ascii="宋体" w:hAnsi="宋体" w:cs="宋体"/>
                <w:color w:val="auto"/>
                <w:sz w:val="21"/>
                <w:szCs w:val="21"/>
                <w:highlight w:val="none"/>
                <w:lang w:val="en-US" w:eastAsia="zh-CN"/>
              </w:rPr>
              <w:t>0.98-1.12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-0.14</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100-0.14*0.5=99.93</w:t>
            </w:r>
            <w:r>
              <w:rPr>
                <w:rFonts w:hint="eastAsia" w:ascii="宋体" w:hAnsi="宋体" w:cs="宋体"/>
                <w:color w:val="auto"/>
                <w:sz w:val="21"/>
                <w:szCs w:val="21"/>
                <w:highlight w:val="none"/>
              </w:rPr>
              <w:t>；</w:t>
            </w:r>
          </w:p>
          <w:p w14:paraId="25EEC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投标人丙：</w:t>
            </w:r>
            <w:r>
              <w:rPr>
                <w:rFonts w:hint="eastAsia" w:ascii="宋体" w:hAnsi="宋体" w:cs="宋体"/>
                <w:color w:val="auto"/>
                <w:sz w:val="21"/>
                <w:szCs w:val="21"/>
                <w:highlight w:val="none"/>
                <w:lang w:val="en-US" w:eastAsia="zh-CN"/>
              </w:rPr>
              <w:t>1.12-1.12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p>
          <w:p w14:paraId="4482D6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hAnsi="宋体" w:eastAsia="宋体" w:cs="宋体"/>
                <w:b/>
                <w:bCs/>
                <w:color w:val="auto"/>
                <w:kern w:val="2"/>
                <w:sz w:val="21"/>
                <w:szCs w:val="21"/>
                <w:highlight w:val="none"/>
                <w:lang w:val="en-US" w:eastAsia="zh-CN" w:bidi="ar-SA"/>
              </w:rPr>
              <w:t>注：计算过程中，评标基准值、偏差率、报价得分均保留两位小数，小数点后第三位四舍五入。</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1"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1"/>
    </w:p>
    <w:p w14:paraId="1BD855F9">
      <w:pPr>
        <w:pStyle w:val="2"/>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cs="宋体"/>
          <w:color w:val="auto"/>
          <w:sz w:val="21"/>
          <w:szCs w:val="21"/>
          <w:highlight w:val="none"/>
          <w:lang w:val="en-US" w:eastAsia="zh-CN"/>
        </w:rPr>
        <w:t>按标段</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w:t>
      </w:r>
      <w:r>
        <w:rPr>
          <w:rFonts w:hint="eastAsia" w:ascii="宋体" w:hAnsi="宋体" w:cs="宋体"/>
          <w:color w:val="auto"/>
          <w:sz w:val="21"/>
          <w:szCs w:val="21"/>
          <w:highlight w:val="none"/>
          <w:lang w:eastAsia="zh-CN"/>
        </w:rPr>
        <w:t>，但投标报价低于其成本的除外</w:t>
      </w:r>
      <w:r>
        <w:rPr>
          <w:rFonts w:hint="eastAsia" w:ascii="宋体" w:hAnsi="宋体" w:eastAsia="宋体" w:cs="宋体"/>
          <w:color w:val="auto"/>
          <w:sz w:val="21"/>
          <w:szCs w:val="21"/>
          <w:highlight w:val="none"/>
        </w:rPr>
        <w:t>（如总得分相等，以投标报价低的优先，投标报价仍相等，由招标人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4C4B7412">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27A02168">
      <w:pPr>
        <w:snapToGrid w:val="0"/>
        <w:spacing w:line="400" w:lineRule="exact"/>
        <w:ind w:firstLine="420"/>
        <w:rPr>
          <w:rFonts w:hint="eastAsia" w:ascii="宋体" w:hAnsi="宋体" w:cs="宋体"/>
          <w:b/>
          <w:bCs/>
          <w:color w:val="auto"/>
          <w:szCs w:val="21"/>
          <w:highlight w:val="none"/>
        </w:rPr>
      </w:pPr>
      <w:r>
        <w:rPr>
          <w:rFonts w:hint="eastAsia" w:ascii="宋体" w:cs="宋体"/>
          <w:color w:val="auto"/>
          <w:szCs w:val="21"/>
          <w:highlight w:val="none"/>
        </w:rPr>
        <w:t xml:space="preserve"> </w:t>
      </w:r>
      <w:r>
        <w:rPr>
          <w:rFonts w:hint="eastAsia" w:ascii="宋体" w:hAnsi="宋体" w:cs="宋体"/>
          <w:b/>
          <w:bCs/>
          <w:color w:val="auto"/>
          <w:szCs w:val="21"/>
          <w:highlight w:val="none"/>
        </w:rPr>
        <w:t>(1) 未在</w:t>
      </w:r>
      <w:r>
        <w:rPr>
          <w:rFonts w:hint="eastAsia" w:ascii="宋体" w:hAnsi="宋体" w:cs="宋体"/>
          <w:b/>
          <w:bCs/>
          <w:color w:val="auto"/>
          <w:szCs w:val="21"/>
          <w:highlight w:val="none"/>
          <w:lang w:val="en-US" w:eastAsia="zh-CN"/>
        </w:rPr>
        <w:t>投</w:t>
      </w:r>
      <w:r>
        <w:rPr>
          <w:rFonts w:hint="eastAsia" w:ascii="宋体" w:hAnsi="宋体" w:cs="宋体"/>
          <w:b/>
          <w:bCs/>
          <w:color w:val="auto"/>
          <w:szCs w:val="21"/>
          <w:highlight w:val="none"/>
        </w:rPr>
        <w:t>标截止时间前通过网上招标投标系统递交有效电子投标文件的，开标系统不予接收，投标将被拒绝。</w:t>
      </w:r>
    </w:p>
    <w:p w14:paraId="257D62F8">
      <w:pPr>
        <w:snapToGrid w:val="0"/>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0分钟，否则投标文件将被拒绝。</w:t>
      </w:r>
    </w:p>
    <w:p w14:paraId="60948C9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.2投标人有下列情形之一的,资格审查后其投标作无效投标处理：</w:t>
      </w:r>
    </w:p>
    <w:p w14:paraId="5560F39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）投标人为本项目提供招标代理服务的；</w:t>
      </w:r>
    </w:p>
    <w:p w14:paraId="439C100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）投标人与在本项目代理机构存在相互任职或工作的；</w:t>
      </w:r>
    </w:p>
    <w:p w14:paraId="09E3046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）评标专家无法查看并检验电子投标文件中相关资料的；</w:t>
      </w:r>
    </w:p>
    <w:p w14:paraId="3C99BAF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）联合体投标未提交联合体协议的；</w:t>
      </w:r>
    </w:p>
    <w:p w14:paraId="16A15BB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）被暂停营业的；</w:t>
      </w:r>
    </w:p>
    <w:p w14:paraId="348F643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）被暂停或取消投标资格的；</w:t>
      </w:r>
    </w:p>
    <w:p w14:paraId="6F19C305">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）财产被接管或冻结的；</w:t>
      </w:r>
    </w:p>
    <w:p w14:paraId="6F3BA6B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）投标人单位负责人为同一人或者存在控股、管理关系的不同单位的；</w:t>
      </w:r>
    </w:p>
    <w:p w14:paraId="2B286FD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）保证金不按第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章“投标人须知”及其前附表要求提交投标保证金的；</w:t>
      </w:r>
    </w:p>
    <w:p w14:paraId="31DF76D0">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）投标人未办理省主体库登记入库手续的；</w:t>
      </w:r>
    </w:p>
    <w:p w14:paraId="27D6A744">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）投标人申请开具电子保函 MAC 地址一致的；</w:t>
      </w:r>
    </w:p>
    <w:p w14:paraId="430169F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）投标人基本资格条件和特定资格条件中有一项及以上不符合要求的；</w:t>
      </w:r>
    </w:p>
    <w:p w14:paraId="1C6FAF8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7FA932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）其它情形，经评标委员会委提出按无效投标处理；</w:t>
      </w:r>
    </w:p>
    <w:p w14:paraId="1D9C701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）投标人投标MAC地址或投标人联系人或联系电话相同的，由评标委员会否决其投标，并进一步调查；</w:t>
      </w:r>
    </w:p>
    <w:p w14:paraId="4416314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）投标人单方面出现其他投标人材料的；</w:t>
      </w:r>
    </w:p>
    <w:p w14:paraId="45E4C8BD">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）招标文件规定的其它无效投标情形。</w:t>
      </w:r>
    </w:p>
    <w:p w14:paraId="56DF612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 投标人有下列情形之一的,符合性审查后其投标按无效投标处理：</w:t>
      </w:r>
    </w:p>
    <w:p w14:paraId="79D7196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）投标文件签字、盖章不全，经评标委员会一致认定对开评标内容有实质性影响的；</w:t>
      </w:r>
    </w:p>
    <w:p w14:paraId="71D14C6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w:t>
      </w:r>
      <w:r>
        <w:rPr>
          <w:rFonts w:hint="eastAsia" w:ascii="宋体" w:hAnsi="宋体" w:cs="宋体"/>
          <w:color w:val="auto"/>
          <w:szCs w:val="21"/>
          <w:highlight w:val="none"/>
          <w:lang w:val="en-US" w:eastAsia="zh-CN"/>
        </w:rPr>
        <w:t>导致</w:t>
      </w:r>
      <w:r>
        <w:rPr>
          <w:rFonts w:hint="eastAsia" w:ascii="宋体" w:hAnsi="宋体" w:cs="宋体"/>
          <w:color w:val="auto"/>
          <w:szCs w:val="21"/>
          <w:highlight w:val="none"/>
        </w:rPr>
        <w:t>实质性内容不全</w:t>
      </w:r>
      <w:r>
        <w:rPr>
          <w:rFonts w:hint="eastAsia" w:ascii="宋体" w:hAnsi="宋体" w:cs="宋体"/>
          <w:color w:val="auto"/>
          <w:szCs w:val="21"/>
          <w:highlight w:val="none"/>
          <w:lang w:val="en-US" w:eastAsia="zh-CN"/>
        </w:rPr>
        <w:t>以及实质上不响应，</w:t>
      </w:r>
      <w:r>
        <w:rPr>
          <w:rFonts w:hint="eastAsia" w:ascii="宋体" w:hAnsi="宋体" w:cs="宋体"/>
          <w:color w:val="auto"/>
          <w:szCs w:val="21"/>
          <w:highlight w:val="none"/>
        </w:rPr>
        <w:t>或</w:t>
      </w:r>
      <w:r>
        <w:rPr>
          <w:rFonts w:hint="eastAsia" w:ascii="宋体" w:hAnsi="宋体" w:cs="宋体"/>
          <w:color w:val="auto"/>
          <w:szCs w:val="21"/>
          <w:highlight w:val="none"/>
          <w:lang w:val="en-US" w:eastAsia="zh-CN"/>
        </w:rPr>
        <w:t>者</w:t>
      </w:r>
      <w:r>
        <w:rPr>
          <w:rFonts w:hint="eastAsia" w:ascii="宋体" w:hAnsi="宋体" w:cs="宋体"/>
          <w:color w:val="auto"/>
          <w:szCs w:val="21"/>
          <w:highlight w:val="none"/>
        </w:rPr>
        <w:t>关键字迹模糊、无法辨认；</w:t>
      </w:r>
    </w:p>
    <w:p w14:paraId="66318CA2">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7CC4909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0C4016D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651ECF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55085D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46FF0A7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280CABC2">
      <w:pPr>
        <w:keepNext w:val="0"/>
        <w:keepLines w:val="0"/>
        <w:pageBreakBefore w:val="0"/>
        <w:widowControl w:val="0"/>
        <w:tabs>
          <w:tab w:val="left" w:pos="1123"/>
        </w:tabs>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5C1812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.4 投标人有下列情形之一的, 详细评审后其投标按无效投标处理：</w:t>
      </w:r>
    </w:p>
    <w:p w14:paraId="33F201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089679DE">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67F9813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154B802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65F25D2A">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76381DE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）其它情形，经评标委员会委提出按无效投标处理，并经公共资源交易监督部门核准的；</w:t>
      </w:r>
    </w:p>
    <w:p w14:paraId="095585C1">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p w14:paraId="1825D070">
      <w:pPr>
        <w:rPr>
          <w:rFonts w:hint="eastAsia"/>
          <w:color w:val="auto"/>
          <w:highlight w:val="none"/>
        </w:rPr>
      </w:pPr>
    </w:p>
    <w:p w14:paraId="79D4181F">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2" w:name="_Toc3848"/>
      <w:r>
        <w:rPr>
          <w:rFonts w:hint="eastAsia" w:ascii="宋体" w:hAnsi="宋体" w:eastAsia="宋体" w:cs="宋体"/>
          <w:color w:val="auto"/>
          <w:sz w:val="44"/>
          <w:szCs w:val="44"/>
          <w:highlight w:val="none"/>
          <w:lang w:val="en-US" w:eastAsia="zh-CN"/>
        </w:rPr>
        <w:t>第三章 合同条款</w:t>
      </w:r>
      <w:bookmarkEnd w:id="52"/>
      <w:bookmarkEnd w:id="53"/>
      <w:bookmarkEnd w:id="62"/>
    </w:p>
    <w:p w14:paraId="209DF1AC">
      <w:pPr>
        <w:rPr>
          <w:rFonts w:hint="eastAsia" w:ascii="宋体" w:hAnsi="宋体" w:eastAsia="宋体" w:cs="宋体"/>
          <w:color w:val="auto"/>
          <w:highlight w:val="none"/>
        </w:rPr>
      </w:pPr>
    </w:p>
    <w:p w14:paraId="20AE09FF">
      <w:pPr>
        <w:spacing w:line="360" w:lineRule="auto"/>
        <w:jc w:val="center"/>
        <w:rPr>
          <w:rFonts w:hint="eastAsia" w:ascii="宋体"/>
          <w:b/>
          <w:color w:val="auto"/>
          <w:sz w:val="52"/>
          <w:szCs w:val="24"/>
          <w:highlight w:val="none"/>
        </w:rPr>
      </w:pPr>
      <w:r>
        <w:rPr>
          <w:rFonts w:hint="eastAsia"/>
          <w:color w:val="auto"/>
          <w:highlight w:val="none"/>
          <w:lang w:val="en-US" w:eastAsia="zh-CN"/>
        </w:rPr>
        <w:t>(合同格式仅供参考，具体内容合同签订时协商）</w:t>
      </w:r>
    </w:p>
    <w:p w14:paraId="76816DEE">
      <w:pPr>
        <w:spacing w:line="360" w:lineRule="auto"/>
        <w:jc w:val="center"/>
        <w:rPr>
          <w:rFonts w:hint="eastAsia" w:ascii="宋体"/>
          <w:b/>
          <w:color w:val="auto"/>
          <w:sz w:val="52"/>
          <w:szCs w:val="24"/>
          <w:highlight w:val="none"/>
        </w:rPr>
      </w:pPr>
    </w:p>
    <w:p w14:paraId="133AA17D">
      <w:pPr>
        <w:spacing w:line="360" w:lineRule="auto"/>
        <w:jc w:val="center"/>
        <w:rPr>
          <w:rFonts w:hint="eastAsia" w:ascii="宋体"/>
          <w:b/>
          <w:color w:val="auto"/>
          <w:sz w:val="52"/>
          <w:szCs w:val="24"/>
          <w:highlight w:val="none"/>
        </w:rPr>
      </w:pPr>
    </w:p>
    <w:p w14:paraId="7ADF00C0">
      <w:pPr>
        <w:spacing w:line="360" w:lineRule="auto"/>
        <w:jc w:val="center"/>
        <w:rPr>
          <w:rFonts w:hint="eastAsia" w:ascii="宋体"/>
          <w:b/>
          <w:color w:val="auto"/>
          <w:sz w:val="52"/>
          <w:szCs w:val="24"/>
          <w:highlight w:val="none"/>
        </w:rPr>
      </w:pPr>
      <w:r>
        <w:rPr>
          <w:rFonts w:hint="eastAsia" w:ascii="宋体"/>
          <w:b/>
          <w:color w:val="auto"/>
          <w:sz w:val="52"/>
          <w:szCs w:val="24"/>
          <w:highlight w:val="none"/>
        </w:rPr>
        <w:t>委</w:t>
      </w:r>
    </w:p>
    <w:p w14:paraId="34EBF081">
      <w:pPr>
        <w:spacing w:line="360" w:lineRule="auto"/>
        <w:jc w:val="center"/>
        <w:rPr>
          <w:rFonts w:hint="eastAsia" w:ascii="宋体"/>
          <w:b/>
          <w:color w:val="auto"/>
          <w:sz w:val="52"/>
          <w:szCs w:val="24"/>
          <w:highlight w:val="none"/>
        </w:rPr>
      </w:pPr>
      <w:r>
        <w:rPr>
          <w:rFonts w:hint="eastAsia" w:ascii="宋体"/>
          <w:b/>
          <w:color w:val="auto"/>
          <w:sz w:val="52"/>
          <w:szCs w:val="24"/>
          <w:highlight w:val="none"/>
        </w:rPr>
        <w:t>托</w:t>
      </w:r>
    </w:p>
    <w:p w14:paraId="38D336A5">
      <w:pPr>
        <w:spacing w:line="360" w:lineRule="auto"/>
        <w:jc w:val="center"/>
        <w:rPr>
          <w:rFonts w:hint="eastAsia" w:ascii="宋体"/>
          <w:b/>
          <w:color w:val="auto"/>
          <w:sz w:val="52"/>
          <w:szCs w:val="24"/>
          <w:highlight w:val="none"/>
        </w:rPr>
      </w:pPr>
      <w:r>
        <w:rPr>
          <w:rFonts w:hint="eastAsia" w:ascii="宋体"/>
          <w:b/>
          <w:color w:val="auto"/>
          <w:sz w:val="52"/>
          <w:szCs w:val="24"/>
          <w:highlight w:val="none"/>
        </w:rPr>
        <w:t>协</w:t>
      </w:r>
    </w:p>
    <w:p w14:paraId="13559191">
      <w:pPr>
        <w:spacing w:line="360" w:lineRule="auto"/>
        <w:jc w:val="center"/>
        <w:rPr>
          <w:rFonts w:hint="eastAsia" w:ascii="宋体"/>
          <w:b/>
          <w:color w:val="auto"/>
          <w:sz w:val="52"/>
          <w:szCs w:val="24"/>
          <w:highlight w:val="none"/>
        </w:rPr>
      </w:pPr>
      <w:r>
        <w:rPr>
          <w:rFonts w:hint="eastAsia" w:ascii="宋体"/>
          <w:b/>
          <w:color w:val="auto"/>
          <w:sz w:val="52"/>
          <w:szCs w:val="24"/>
          <w:highlight w:val="none"/>
        </w:rPr>
        <w:t>议</w:t>
      </w:r>
    </w:p>
    <w:p w14:paraId="3355515F">
      <w:pPr>
        <w:jc w:val="center"/>
        <w:rPr>
          <w:rFonts w:hint="default" w:ascii="Times New Roman" w:hAnsi="Times New Roman" w:eastAsia="华文中宋"/>
          <w:b/>
          <w:color w:val="auto"/>
          <w:sz w:val="52"/>
          <w:szCs w:val="24"/>
          <w:highlight w:val="none"/>
        </w:rPr>
      </w:pPr>
    </w:p>
    <w:p w14:paraId="1E4A1E6C">
      <w:pPr>
        <w:spacing w:line="240" w:lineRule="exact"/>
        <w:rPr>
          <w:rFonts w:hint="default" w:ascii="Times New Roman" w:hAnsi="Times New Roman" w:eastAsia="楷体_GB2312"/>
          <w:b/>
          <w:color w:val="auto"/>
          <w:sz w:val="72"/>
          <w:szCs w:val="24"/>
          <w:highlight w:val="none"/>
        </w:rPr>
      </w:pPr>
    </w:p>
    <w:p w14:paraId="59121782">
      <w:pPr>
        <w:spacing w:line="240" w:lineRule="exact"/>
        <w:jc w:val="center"/>
        <w:rPr>
          <w:rFonts w:hint="default" w:ascii="Times New Roman" w:hAnsi="Times New Roman" w:eastAsia="楷体_GB2312"/>
          <w:b/>
          <w:color w:val="auto"/>
          <w:sz w:val="72"/>
          <w:szCs w:val="24"/>
          <w:highlight w:val="none"/>
        </w:rPr>
      </w:pPr>
    </w:p>
    <w:p w14:paraId="1F8B0DA3">
      <w:pPr>
        <w:spacing w:line="240" w:lineRule="exact"/>
        <w:jc w:val="center"/>
        <w:rPr>
          <w:rFonts w:hint="default" w:ascii="Times New Roman" w:hAnsi="Times New Roman" w:eastAsia="楷体_GB2312"/>
          <w:b/>
          <w:color w:val="auto"/>
          <w:sz w:val="72"/>
          <w:szCs w:val="24"/>
          <w:highlight w:val="none"/>
        </w:rPr>
      </w:pPr>
    </w:p>
    <w:p w14:paraId="497509AE">
      <w:pPr>
        <w:spacing w:line="800" w:lineRule="exact"/>
        <w:ind w:firstLine="944" w:firstLineChars="295"/>
        <w:rPr>
          <w:rFonts w:hint="eastAsia" w:ascii="宋体"/>
          <w:color w:val="auto"/>
          <w:sz w:val="32"/>
          <w:szCs w:val="24"/>
          <w:highlight w:val="none"/>
          <w:u w:val="single"/>
        </w:rPr>
      </w:pPr>
      <w:r>
        <w:rPr>
          <w:rFonts w:hint="eastAsia" w:ascii="宋体" w:hAnsi="宋体" w:eastAsia="仿宋_GB2312" w:cs="Times New Roman"/>
          <w:color w:val="auto"/>
          <w:kern w:val="2"/>
          <w:sz w:val="32"/>
          <w:szCs w:val="24"/>
          <w:highlight w:val="none"/>
          <w:lang w:val="en-US" w:eastAsia="zh-CN" w:bidi="ar-SA"/>
        </w:rPr>
        <w:t>合同编号：</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p>
    <w:p w14:paraId="01288131">
      <w:pPr>
        <w:pStyle w:val="27"/>
        <w:spacing w:line="800" w:lineRule="exact"/>
        <w:ind w:left="0" w:leftChars="0" w:firstLine="960" w:firstLineChars="300"/>
        <w:jc w:val="left"/>
        <w:rPr>
          <w:rFonts w:hint="eastAsia" w:ascii="宋体" w:hAnsi="宋体"/>
          <w:color w:val="auto"/>
          <w:spacing w:val="-20"/>
          <w:sz w:val="32"/>
          <w:szCs w:val="24"/>
          <w:highlight w:val="none"/>
          <w:u w:val="single"/>
        </w:rPr>
      </w:pPr>
      <w:r>
        <w:rPr>
          <w:rFonts w:hint="eastAsia" w:ascii="宋体" w:hAnsi="宋体" w:cs="Times New Roman"/>
          <w:color w:val="auto"/>
          <w:sz w:val="32"/>
          <w:szCs w:val="24"/>
          <w:highlight w:val="none"/>
        </w:rPr>
        <w:t>工程名称：</w:t>
      </w:r>
      <w:r>
        <w:rPr>
          <w:rFonts w:hint="eastAsia" w:ascii="宋体" w:hAnsi="宋体" w:cs="Times New Roman"/>
          <w:color w:val="auto"/>
          <w:sz w:val="32"/>
          <w:szCs w:val="24"/>
          <w:highlight w:val="none"/>
          <w:u w:val="single"/>
          <w:lang w:val="en-US" w:eastAsia="zh-CN"/>
        </w:rPr>
        <w:t xml:space="preserve"> </w:t>
      </w:r>
      <w:r>
        <w:rPr>
          <w:rFonts w:hint="eastAsia" w:ascii="宋体" w:hAnsi="宋体" w:cs="Times New Roman"/>
          <w:color w:val="auto"/>
          <w:sz w:val="32"/>
          <w:szCs w:val="24"/>
          <w:highlight w:val="none"/>
          <w:u w:val="single"/>
        </w:rPr>
        <w:t xml:space="preserve">   </w:t>
      </w:r>
      <w:r>
        <w:rPr>
          <w:rFonts w:hint="eastAsia" w:ascii="宋体" w:hAnsi="宋体" w:cs="Times New Roman"/>
          <w:color w:val="auto"/>
          <w:spacing w:val="-20"/>
          <w:sz w:val="32"/>
          <w:szCs w:val="24"/>
          <w:highlight w:val="none"/>
          <w:u w:val="single"/>
        </w:rPr>
        <w:t xml:space="preserve"> </w:t>
      </w:r>
      <w:r>
        <w:rPr>
          <w:rFonts w:hint="eastAsia" w:ascii="宋体" w:hAnsi="宋体"/>
          <w:color w:val="auto"/>
          <w:spacing w:val="-20"/>
          <w:sz w:val="32"/>
          <w:szCs w:val="24"/>
          <w:highlight w:val="none"/>
          <w:u w:val="single"/>
        </w:rPr>
        <w:t xml:space="preserve">        </w:t>
      </w:r>
    </w:p>
    <w:p w14:paraId="7BADD5C4">
      <w:pPr>
        <w:pStyle w:val="27"/>
        <w:spacing w:line="800" w:lineRule="exact"/>
        <w:ind w:left="0" w:leftChars="0" w:firstLine="944" w:firstLineChars="295"/>
        <w:rPr>
          <w:rFonts w:hint="eastAsia" w:ascii="宋体"/>
          <w:color w:val="auto"/>
          <w:sz w:val="32"/>
          <w:szCs w:val="24"/>
          <w:highlight w:val="none"/>
        </w:rPr>
      </w:pPr>
      <w:r>
        <w:rPr>
          <w:rFonts w:hint="eastAsia" w:ascii="宋体" w:hAnsi="宋体"/>
          <w:color w:val="auto"/>
          <w:sz w:val="32"/>
          <w:szCs w:val="24"/>
          <w:highlight w:val="none"/>
          <w:lang w:val="en-US" w:eastAsia="zh-CN"/>
        </w:rPr>
        <w:t>项目</w:t>
      </w:r>
      <w:r>
        <w:rPr>
          <w:rFonts w:hint="eastAsia" w:ascii="宋体" w:hAnsi="宋体"/>
          <w:color w:val="auto"/>
          <w:sz w:val="32"/>
          <w:szCs w:val="24"/>
          <w:highlight w:val="none"/>
        </w:rPr>
        <w:t>地点：</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none"/>
        </w:rPr>
        <w:t xml:space="preserve">               </w:t>
      </w:r>
      <w:r>
        <w:rPr>
          <w:rFonts w:hint="eastAsia" w:ascii="宋体" w:hAnsi="宋体"/>
          <w:color w:val="auto"/>
          <w:sz w:val="32"/>
          <w:szCs w:val="24"/>
          <w:highlight w:val="none"/>
          <w:u w:val="single"/>
        </w:rPr>
        <w:t xml:space="preserve">        </w:t>
      </w:r>
    </w:p>
    <w:p w14:paraId="2229D5A7">
      <w:pPr>
        <w:pStyle w:val="27"/>
        <w:spacing w:line="800" w:lineRule="exact"/>
        <w:ind w:left="0" w:leftChars="0" w:firstLine="944" w:firstLineChars="295"/>
        <w:rPr>
          <w:rFonts w:hint="eastAsia" w:ascii="宋体"/>
          <w:color w:val="auto"/>
          <w:sz w:val="32"/>
          <w:szCs w:val="24"/>
          <w:highlight w:val="none"/>
        </w:rPr>
      </w:pPr>
      <w:r>
        <w:rPr>
          <w:rFonts w:hint="eastAsia" w:ascii="宋体" w:hAnsi="宋体"/>
          <w:color w:val="auto"/>
          <w:sz w:val="32"/>
          <w:szCs w:val="24"/>
          <w:highlight w:val="none"/>
        </w:rPr>
        <w:t>签订时间：</w:t>
      </w:r>
      <w:r>
        <w:rPr>
          <w:rFonts w:hint="eastAsia" w:ascii="宋体" w:hAnsi="宋体"/>
          <w:color w:val="auto"/>
          <w:sz w:val="32"/>
          <w:szCs w:val="24"/>
          <w:highlight w:val="none"/>
          <w:u w:val="single"/>
        </w:rPr>
        <w:t xml:space="preserve"> 20</w:t>
      </w:r>
      <w:r>
        <w:rPr>
          <w:rFonts w:hint="eastAsia" w:ascii="宋体" w:hAnsi="宋体"/>
          <w:color w:val="auto"/>
          <w:sz w:val="32"/>
          <w:szCs w:val="24"/>
          <w:highlight w:val="none"/>
          <w:u w:val="single"/>
          <w:lang w:val="en-US" w:eastAsia="zh-CN"/>
        </w:rPr>
        <w:t>26</w:t>
      </w:r>
      <w:r>
        <w:rPr>
          <w:rFonts w:hint="eastAsia" w:ascii="宋体" w:hAnsi="宋体"/>
          <w:color w:val="auto"/>
          <w:sz w:val="32"/>
          <w:szCs w:val="24"/>
          <w:highlight w:val="none"/>
        </w:rPr>
        <w:t>年</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rPr>
        <w:t>月</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rPr>
        <w:t>日</w:t>
      </w:r>
    </w:p>
    <w:p w14:paraId="25971BA6">
      <w:pPr>
        <w:jc w:val="center"/>
        <w:rPr>
          <w:rFonts w:hint="default" w:ascii="Times New Roman" w:hAnsi="Times New Roman" w:eastAsia="黑体"/>
          <w:color w:val="auto"/>
          <w:sz w:val="52"/>
          <w:szCs w:val="24"/>
          <w:highlight w:val="none"/>
        </w:rPr>
      </w:pPr>
    </w:p>
    <w:p w14:paraId="0ABE6042">
      <w:pPr>
        <w:spacing w:line="240" w:lineRule="exact"/>
        <w:jc w:val="center"/>
        <w:rPr>
          <w:rFonts w:hint="default" w:ascii="Times New Roman" w:hAnsi="Times New Roman" w:eastAsia="黑体"/>
          <w:color w:val="auto"/>
          <w:sz w:val="52"/>
          <w:szCs w:val="24"/>
          <w:highlight w:val="none"/>
        </w:rPr>
      </w:pPr>
    </w:p>
    <w:p w14:paraId="068F415F">
      <w:pPr>
        <w:spacing w:line="360" w:lineRule="auto"/>
        <w:ind w:firstLine="2100" w:firstLineChars="1000"/>
        <w:rPr>
          <w:rFonts w:hint="eastAsia" w:ascii="华文中宋" w:hAnsi="华文中宋" w:eastAsia="华文中宋"/>
          <w:color w:val="auto"/>
          <w:spacing w:val="20"/>
          <w:sz w:val="32"/>
          <w:szCs w:val="24"/>
          <w:highlight w:val="none"/>
        </w:rPr>
        <w:sectPr>
          <w:footerReference r:id="rId6" w:type="default"/>
          <w:pgSz w:w="11906" w:h="16838"/>
          <w:pgMar w:top="1418" w:right="1028" w:bottom="1418" w:left="998" w:header="851" w:footer="907" w:gutter="0"/>
          <w:lnNumType w:countBy="0" w:distance="360"/>
          <w:pgNumType w:fmt="decimal" w:start="1"/>
          <w:cols w:space="720" w:num="1"/>
          <w:docGrid w:type="lines" w:linePitch="312" w:charSpace="0"/>
        </w:sectPr>
      </w:pPr>
      <w:r>
        <w:rPr>
          <w:rFonts w:hint="default"/>
          <w:color w:val="auto"/>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3429635</wp:posOffset>
                </wp:positionH>
                <wp:positionV relativeFrom="paragraph">
                  <wp:posOffset>339725</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a:noFill/>
                        </a:ln>
                      </wps:spPr>
                      <wps:txbx>
                        <w:txbxContent>
                          <w:p w14:paraId="443750C3">
                            <w:pPr>
                              <w:spacing w:line="360" w:lineRule="auto"/>
                              <w:jc w:val="center"/>
                              <w:rPr>
                                <w:rFonts w:hint="eastAsia" w:ascii="宋体"/>
                                <w:b/>
                                <w:sz w:val="34"/>
                                <w:szCs w:val="24"/>
                              </w:rPr>
                            </w:pPr>
                          </w:p>
                        </w:txbxContent>
                      </wps:txbx>
                      <wps:bodyPr upright="1"/>
                    </wps:wsp>
                  </a:graphicData>
                </a:graphic>
              </wp:anchor>
            </w:drawing>
          </mc:Choice>
          <mc:Fallback>
            <w:pict>
              <v:shape id="_x0000_s1026" o:spid="_x0000_s1026" o:spt="202" type="#_x0000_t202" style="position:absolute;left:0pt;margin-left:270.05pt;margin-top:26.75pt;height:36pt;width:57pt;z-index:251661312;mso-width-relative:page;mso-height-relative:page;" filled="f" stroked="f" coordsize="21600,21600" o:gfxdata="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ZBHB9YAAAAK&#10;AQAADwAAAAAAAAABACAAAAAiAAAAZHJzL2Rvd25yZXYueG1sUEsBAhQAFAAAAAgAh07iQGZLq8is&#10;AQAATQMAAA4AAAAAAAAAAQAgAAAAJQEAAGRycy9lMm9Eb2MueG1sUEsFBgAAAAAGAAYAWQEAAEMF&#10;AAAAAA==&#10;">
                <v:fill on="f" focussize="0,0"/>
                <v:stroke on="f"/>
                <v:imagedata o:title=""/>
                <o:lock v:ext="edit" aspectratio="f"/>
                <v:textbox>
                  <w:txbxContent>
                    <w:p w14:paraId="443750C3">
                      <w:pPr>
                        <w:spacing w:line="360" w:lineRule="auto"/>
                        <w:jc w:val="center"/>
                        <w:rPr>
                          <w:rFonts w:hint="eastAsia" w:ascii="宋体"/>
                          <w:b/>
                          <w:sz w:val="34"/>
                          <w:szCs w:val="24"/>
                        </w:rPr>
                      </w:pPr>
                    </w:p>
                  </w:txbxContent>
                </v:textbox>
              </v:shape>
            </w:pict>
          </mc:Fallback>
        </mc:AlternateContent>
      </w:r>
    </w:p>
    <w:p w14:paraId="12D65945">
      <w:pPr>
        <w:adjustRightInd w:val="0"/>
        <w:snapToGrid w:val="0"/>
        <w:spacing w:line="440" w:lineRule="exact"/>
        <w:jc w:val="center"/>
        <w:rPr>
          <w:rFonts w:hint="eastAsia" w:ascii="宋体" w:cs="宋体"/>
          <w:b/>
          <w:color w:val="auto"/>
          <w:kern w:val="0"/>
          <w:sz w:val="28"/>
          <w:szCs w:val="28"/>
          <w:highlight w:val="none"/>
        </w:rPr>
      </w:pPr>
      <w:r>
        <w:rPr>
          <w:rFonts w:hint="eastAsia" w:ascii="宋体" w:cs="宋体"/>
          <w:b/>
          <w:color w:val="auto"/>
          <w:kern w:val="0"/>
          <w:sz w:val="28"/>
          <w:szCs w:val="28"/>
          <w:highlight w:val="none"/>
          <w:lang w:val="en-US" w:eastAsia="zh-CN"/>
        </w:rPr>
        <w:t>明湖公园园路应急工程跟踪审计项目</w:t>
      </w:r>
      <w:r>
        <w:rPr>
          <w:rFonts w:hint="eastAsia" w:ascii="宋体" w:cs="宋体"/>
          <w:b/>
          <w:color w:val="auto"/>
          <w:kern w:val="0"/>
          <w:sz w:val="28"/>
          <w:szCs w:val="28"/>
          <w:highlight w:val="none"/>
        </w:rPr>
        <w:t>委托协议</w:t>
      </w:r>
    </w:p>
    <w:p w14:paraId="1F2F7CED">
      <w:pPr>
        <w:keepNext w:val="0"/>
        <w:keepLines w:val="0"/>
        <w:pageBreakBefore w:val="0"/>
        <w:kinsoku/>
        <w:overflowPunct/>
        <w:topLinePunct w:val="0"/>
        <w:autoSpaceDE/>
        <w:autoSpaceDN/>
        <w:bidi w:val="0"/>
        <w:adjustRightInd w:val="0"/>
        <w:snapToGrid w:val="0"/>
        <w:spacing w:line="312" w:lineRule="auto"/>
        <w:textAlignment w:val="auto"/>
        <w:rPr>
          <w:rFonts w:hint="eastAsia" w:ascii="宋体" w:cs="宋体"/>
          <w:color w:val="auto"/>
          <w:kern w:val="0"/>
          <w:sz w:val="24"/>
          <w:szCs w:val="24"/>
          <w:highlight w:val="none"/>
        </w:rPr>
      </w:pPr>
    </w:p>
    <w:p w14:paraId="0A914C52">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rPr>
        <w:t>委托方（甲方）：</w:t>
      </w:r>
      <w:r>
        <w:rPr>
          <w:rFonts w:hint="eastAsia" w:ascii="宋体" w:cs="宋体"/>
          <w:color w:val="auto"/>
          <w:kern w:val="0"/>
          <w:sz w:val="21"/>
          <w:szCs w:val="21"/>
          <w:highlight w:val="none"/>
          <w:u w:val="single"/>
          <w:lang w:val="en-US" w:eastAsia="zh-CN"/>
        </w:rPr>
        <w:t xml:space="preserve">                      </w:t>
      </w:r>
    </w:p>
    <w:p w14:paraId="6A23C706">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rPr>
        <w:t>受托方（乙方）：</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u w:val="single"/>
          <w:lang w:val="en-US" w:eastAsia="zh-CN"/>
        </w:rPr>
        <w:t xml:space="preserve">                  </w:t>
      </w:r>
    </w:p>
    <w:p w14:paraId="3CBECA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为保证滁州市政府投资项目审计工作质量和效率，依据《中华人民共和国审计法》、《中华人民共和国</w:t>
      </w:r>
      <w:r>
        <w:rPr>
          <w:rFonts w:hint="eastAsia" w:ascii="宋体" w:cs="宋体"/>
          <w:color w:val="auto"/>
          <w:kern w:val="0"/>
          <w:sz w:val="21"/>
          <w:szCs w:val="21"/>
          <w:highlight w:val="none"/>
          <w:lang w:val="en-US" w:eastAsia="zh-CN"/>
        </w:rPr>
        <w:t>民法典</w:t>
      </w:r>
      <w:r>
        <w:rPr>
          <w:rFonts w:hint="eastAsia" w:ascii="宋体" w:cs="宋体"/>
          <w:color w:val="auto"/>
          <w:kern w:val="0"/>
          <w:sz w:val="21"/>
          <w:szCs w:val="21"/>
          <w:highlight w:val="none"/>
        </w:rPr>
        <w:t>》、《滁州市政府投资项目管理暂行办法》、《滁州市政府投资建设项目审计监督办法》等有关法律法规，甲、乙双方经协商一致，自愿签订本协议。</w:t>
      </w:r>
    </w:p>
    <w:p w14:paraId="09986841">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s="宋体"/>
          <w:b/>
          <w:bCs/>
          <w:color w:val="auto"/>
          <w:kern w:val="0"/>
          <w:sz w:val="24"/>
          <w:szCs w:val="24"/>
          <w:highlight w:val="none"/>
        </w:rPr>
      </w:pPr>
      <w:r>
        <w:rPr>
          <w:rFonts w:hint="eastAsia" w:ascii="宋体" w:cs="宋体"/>
          <w:b/>
          <w:bCs/>
          <w:color w:val="auto"/>
          <w:kern w:val="0"/>
          <w:sz w:val="24"/>
          <w:szCs w:val="24"/>
          <w:highlight w:val="none"/>
        </w:rPr>
        <w:t>一、跟踪（结算）审计项目</w:t>
      </w:r>
    </w:p>
    <w:p w14:paraId="33EFA5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eastAsia="宋体" w:cs="宋体"/>
          <w:color w:val="auto"/>
          <w:kern w:val="0"/>
          <w:sz w:val="21"/>
          <w:szCs w:val="21"/>
          <w:highlight w:val="none"/>
          <w:lang w:eastAsia="zh-CN"/>
        </w:rPr>
      </w:pPr>
      <w:r>
        <w:rPr>
          <w:rFonts w:hint="eastAsia" w:ascii="宋体" w:cs="宋体"/>
          <w:color w:val="auto"/>
          <w:kern w:val="0"/>
          <w:sz w:val="21"/>
          <w:szCs w:val="21"/>
          <w:highlight w:val="none"/>
        </w:rPr>
        <w:t>1.项目名称：</w:t>
      </w:r>
      <w:r>
        <w:rPr>
          <w:rFonts w:hint="eastAsia" w:ascii="宋体" w:cs="宋体"/>
          <w:color w:val="auto"/>
          <w:kern w:val="0"/>
          <w:sz w:val="21"/>
          <w:szCs w:val="21"/>
          <w:highlight w:val="none"/>
          <w:lang w:val="en-US" w:eastAsia="zh-CN"/>
        </w:rPr>
        <w:t>明湖公园园路应急工程跟踪审计项目</w:t>
      </w:r>
    </w:p>
    <w:p w14:paraId="3F7A1B18">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Times New Roman" w:cs="宋体"/>
          <w:color w:val="auto"/>
          <w:kern w:val="0"/>
          <w:sz w:val="21"/>
          <w:szCs w:val="21"/>
          <w:highlight w:val="none"/>
          <w:lang w:val="en-US" w:eastAsia="zh-CN"/>
        </w:rPr>
      </w:pPr>
      <w:r>
        <w:rPr>
          <w:rFonts w:hint="eastAsia" w:ascii="宋体" w:cs="宋体"/>
          <w:color w:val="auto"/>
          <w:kern w:val="0"/>
          <w:sz w:val="21"/>
          <w:szCs w:val="21"/>
          <w:highlight w:val="none"/>
        </w:rPr>
        <w:t>2.项目投资额：</w:t>
      </w:r>
      <w:r>
        <w:rPr>
          <w:rFonts w:hint="eastAsia" w:ascii="宋体" w:hAnsi="宋体" w:cs="宋体"/>
          <w:i w:val="0"/>
          <w:iCs w:val="0"/>
          <w:caps w:val="0"/>
          <w:color w:val="auto"/>
          <w:spacing w:val="0"/>
          <w:kern w:val="0"/>
          <w:sz w:val="21"/>
          <w:szCs w:val="21"/>
          <w:highlight w:val="none"/>
          <w:shd w:val="clear" w:fill="FFFFFF"/>
          <w:lang w:val="en-US" w:eastAsia="zh-CN" w:bidi="ar"/>
        </w:rPr>
        <w:t>主要内容包括桥头搭板、部分桥台侧墙拆除重新浇筑和台背换填；约80米园路维修改造，对现状园路路基进行换填等;新建桥头防护等内容。</w:t>
      </w:r>
      <w:r>
        <w:rPr>
          <w:rFonts w:hint="eastAsia" w:ascii="宋体" w:hAnsi="Times New Roman" w:cs="宋体"/>
          <w:color w:val="auto"/>
          <w:kern w:val="0"/>
          <w:sz w:val="21"/>
          <w:szCs w:val="21"/>
          <w:highlight w:val="none"/>
          <w:lang w:val="en-US" w:eastAsia="zh-CN"/>
        </w:rPr>
        <w:t>（具体以施工实际发生为准）。</w:t>
      </w:r>
    </w:p>
    <w:p w14:paraId="3CD0A40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3.委托内容：跟踪审计</w:t>
      </w:r>
    </w:p>
    <w:p w14:paraId="7568D35D">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1</w:t>
      </w:r>
      <w:r>
        <w:rPr>
          <w:rFonts w:hint="eastAsia" w:ascii="宋体"/>
          <w:color w:val="auto"/>
          <w:sz w:val="21"/>
          <w:szCs w:val="21"/>
          <w:highlight w:val="none"/>
          <w:lang w:eastAsia="zh-CN"/>
        </w:rPr>
        <w:t>）</w:t>
      </w:r>
      <w:r>
        <w:rPr>
          <w:rFonts w:hint="eastAsia" w:ascii="宋体"/>
          <w:color w:val="auto"/>
          <w:sz w:val="21"/>
          <w:szCs w:val="21"/>
          <w:highlight w:val="none"/>
        </w:rPr>
        <w:t xml:space="preserve">成立项目跟踪（结算）审计组，编制跟踪（结算）审计实施方案，确定投资控制目标、重点环节及应对措施； </w:t>
      </w:r>
    </w:p>
    <w:p w14:paraId="5167918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2</w:t>
      </w:r>
      <w:r>
        <w:rPr>
          <w:rFonts w:hint="eastAsia" w:ascii="宋体"/>
          <w:color w:val="auto"/>
          <w:sz w:val="21"/>
          <w:szCs w:val="21"/>
          <w:highlight w:val="none"/>
          <w:lang w:eastAsia="zh-CN"/>
        </w:rPr>
        <w:t>）</w:t>
      </w:r>
      <w:r>
        <w:rPr>
          <w:rFonts w:hint="eastAsia" w:ascii="宋体"/>
          <w:color w:val="auto"/>
          <w:sz w:val="21"/>
          <w:szCs w:val="21"/>
          <w:highlight w:val="none"/>
        </w:rPr>
        <w:t>审核项目前期资料（图纸、工程量清单及控制价、招标投标文件、施工合同等），向甲方提交审核结果；</w:t>
      </w:r>
    </w:p>
    <w:p w14:paraId="225E02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3</w:t>
      </w:r>
      <w:r>
        <w:rPr>
          <w:rFonts w:hint="eastAsia" w:ascii="宋体"/>
          <w:color w:val="auto"/>
          <w:sz w:val="21"/>
          <w:szCs w:val="21"/>
          <w:highlight w:val="none"/>
          <w:lang w:eastAsia="zh-CN"/>
        </w:rPr>
        <w:t>）</w:t>
      </w:r>
      <w:r>
        <w:rPr>
          <w:rFonts w:hint="eastAsia" w:ascii="宋体"/>
          <w:color w:val="auto"/>
          <w:sz w:val="21"/>
          <w:szCs w:val="21"/>
          <w:highlight w:val="none"/>
        </w:rPr>
        <w:t>对承包方上报的请款期已完成合格工程量的计量、计价进行审核，并提供按工程形象进度付款的意见、建议；</w:t>
      </w:r>
    </w:p>
    <w:p w14:paraId="4A9E963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4</w:t>
      </w:r>
      <w:r>
        <w:rPr>
          <w:rFonts w:hint="eastAsia" w:ascii="宋体"/>
          <w:color w:val="auto"/>
          <w:sz w:val="21"/>
          <w:szCs w:val="21"/>
          <w:highlight w:val="none"/>
          <w:lang w:eastAsia="zh-CN"/>
        </w:rPr>
        <w:t>）</w:t>
      </w:r>
      <w:r>
        <w:rPr>
          <w:rFonts w:hint="eastAsia" w:ascii="宋体"/>
          <w:color w:val="auto"/>
          <w:sz w:val="21"/>
          <w:szCs w:val="21"/>
          <w:highlight w:val="none"/>
        </w:rPr>
        <w:t>及时核定分阶段完工的项目分部、分项工程价款结算，项目竣工后，及时提交完整的竣工结算审核报告；</w:t>
      </w:r>
    </w:p>
    <w:p w14:paraId="2B3DEBC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5</w:t>
      </w:r>
      <w:r>
        <w:rPr>
          <w:rFonts w:hint="eastAsia" w:ascii="宋体"/>
          <w:color w:val="auto"/>
          <w:sz w:val="21"/>
          <w:szCs w:val="21"/>
          <w:highlight w:val="none"/>
          <w:lang w:eastAsia="zh-CN"/>
        </w:rPr>
        <w:t>）</w:t>
      </w:r>
      <w:r>
        <w:rPr>
          <w:rFonts w:hint="eastAsia" w:ascii="宋体"/>
          <w:color w:val="auto"/>
          <w:sz w:val="21"/>
          <w:szCs w:val="21"/>
          <w:highlight w:val="none"/>
        </w:rPr>
        <w:t>协助甲方及时审核设计变更、经济签证等发生的费用，超过一定限额的，提请甲方履行报批程序；</w:t>
      </w:r>
    </w:p>
    <w:p w14:paraId="5680E1A0">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6</w:t>
      </w:r>
      <w:r>
        <w:rPr>
          <w:rFonts w:hint="eastAsia" w:ascii="宋体"/>
          <w:color w:val="auto"/>
          <w:sz w:val="21"/>
          <w:szCs w:val="21"/>
          <w:highlight w:val="none"/>
          <w:lang w:eastAsia="zh-CN"/>
        </w:rPr>
        <w:t>）</w:t>
      </w:r>
      <w:r>
        <w:rPr>
          <w:rFonts w:hint="eastAsia" w:ascii="宋体"/>
          <w:color w:val="auto"/>
          <w:sz w:val="21"/>
          <w:szCs w:val="21"/>
          <w:highlight w:val="none"/>
        </w:rPr>
        <w:t>项目承、发包方发生工程价款结算争议时，为甲方提供咨询意见；</w:t>
      </w:r>
    </w:p>
    <w:p w14:paraId="63F761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7</w:t>
      </w:r>
      <w:r>
        <w:rPr>
          <w:rFonts w:hint="eastAsia" w:ascii="宋体"/>
          <w:color w:val="auto"/>
          <w:sz w:val="21"/>
          <w:szCs w:val="21"/>
          <w:highlight w:val="none"/>
          <w:lang w:eastAsia="zh-CN"/>
        </w:rPr>
        <w:t>）</w:t>
      </w:r>
      <w:r>
        <w:rPr>
          <w:rFonts w:hint="eastAsia" w:ascii="宋体"/>
          <w:color w:val="auto"/>
          <w:sz w:val="21"/>
          <w:szCs w:val="21"/>
          <w:highlight w:val="none"/>
        </w:rPr>
        <w:t xml:space="preserve">参与项目建设管理的有关会议，对项目投资控制的有关事项发表独立审计意见； </w:t>
      </w:r>
    </w:p>
    <w:p w14:paraId="78096D1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8</w:t>
      </w:r>
      <w:r>
        <w:rPr>
          <w:rFonts w:hint="eastAsia" w:ascii="宋体"/>
          <w:color w:val="auto"/>
          <w:sz w:val="21"/>
          <w:szCs w:val="21"/>
          <w:highlight w:val="none"/>
          <w:lang w:eastAsia="zh-CN"/>
        </w:rPr>
        <w:t>）</w:t>
      </w:r>
      <w:r>
        <w:rPr>
          <w:rFonts w:hint="eastAsia" w:ascii="宋体"/>
          <w:color w:val="auto"/>
          <w:sz w:val="21"/>
          <w:szCs w:val="21"/>
          <w:highlight w:val="none"/>
        </w:rPr>
        <w:t>其他与项目投资控制相关的工作。</w:t>
      </w:r>
    </w:p>
    <w:p w14:paraId="3B4A51D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二</w:t>
      </w:r>
      <w:r>
        <w:rPr>
          <w:rFonts w:hint="eastAsia" w:ascii="宋体" w:cs="宋体"/>
          <w:b/>
          <w:bCs/>
          <w:color w:val="auto"/>
          <w:kern w:val="0"/>
          <w:sz w:val="24"/>
          <w:szCs w:val="24"/>
          <w:highlight w:val="none"/>
        </w:rPr>
        <w:t>、项目跟踪（结算）审计制度及相关要求</w:t>
      </w:r>
    </w:p>
    <w:p w14:paraId="50104B6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1.滁州市政府投资项目审计“八不准制度”；</w:t>
      </w:r>
    </w:p>
    <w:p w14:paraId="44C87A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2.滁州市政府投资项目竣工结算审计结果备案制度；</w:t>
      </w:r>
    </w:p>
    <w:p w14:paraId="5E2CA5E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3.滁州市建设项目施工阶段全过程造价控制管理暂行办法；</w:t>
      </w:r>
    </w:p>
    <w:p w14:paraId="123FE01F">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4.实行定期、分段报告制度。乙方应及时提交项目前期资料审核结果、跟踪（结算）审计月报、竣工结算审核报告；</w:t>
      </w:r>
    </w:p>
    <w:p w14:paraId="7AC238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5.加强对项目变更事项的合理性、经济性审核。对涉及工程造价的重大事项须及时书面报告甲方，否则项目竣工结算不予审核备案，由此造成的后果由乙方承担；</w:t>
      </w:r>
    </w:p>
    <w:p w14:paraId="350FFCA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6.协助甲方完成项目投资控制的各项工作，接受甲方的项目现场管理。</w:t>
      </w:r>
    </w:p>
    <w:p w14:paraId="6FF92F1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三、项目跟踪（结算）审计组及人员配备要求</w:t>
      </w:r>
    </w:p>
    <w:p w14:paraId="6C0C649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1.乙方须成立项目跟踪（结算）审计组，配备相应数量具有相关专业执业资质的审计人员（须为备选库入库人员）。本项目审计组负责人为</w:t>
      </w:r>
      <w:r>
        <w:rPr>
          <w:rFonts w:hint="eastAsia" w:ascii="宋体"/>
          <w:color w:val="auto"/>
          <w:sz w:val="21"/>
          <w:szCs w:val="21"/>
          <w:highlight w:val="none"/>
          <w:u w:val="single"/>
        </w:rPr>
        <w:t>姓名、注册造价师证书号、联系电话</w:t>
      </w:r>
      <w:r>
        <w:rPr>
          <w:rFonts w:hint="eastAsia" w:ascii="宋体"/>
          <w:color w:val="auto"/>
          <w:sz w:val="21"/>
          <w:szCs w:val="21"/>
          <w:highlight w:val="none"/>
        </w:rPr>
        <w:t>，成员为</w:t>
      </w:r>
      <w:r>
        <w:rPr>
          <w:rFonts w:hint="eastAsia" w:ascii="宋体"/>
          <w:color w:val="auto"/>
          <w:sz w:val="21"/>
          <w:szCs w:val="21"/>
          <w:highlight w:val="none"/>
          <w:u w:val="single"/>
        </w:rPr>
        <w:t>姓名、</w:t>
      </w:r>
      <w:r>
        <w:rPr>
          <w:rFonts w:hint="eastAsia" w:ascii="宋体"/>
          <w:color w:val="auto"/>
          <w:sz w:val="21"/>
          <w:szCs w:val="21"/>
          <w:highlight w:val="none"/>
          <w:u w:val="single"/>
          <w:lang w:val="en-US" w:eastAsia="zh-CN"/>
        </w:rPr>
        <w:t>造价师</w:t>
      </w:r>
      <w:r>
        <w:rPr>
          <w:rFonts w:hint="eastAsia" w:ascii="宋体"/>
          <w:color w:val="auto"/>
          <w:sz w:val="21"/>
          <w:szCs w:val="21"/>
          <w:highlight w:val="none"/>
          <w:u w:val="single"/>
        </w:rPr>
        <w:t>证书号、联系电话（现场负责人）</w:t>
      </w:r>
      <w:r>
        <w:rPr>
          <w:rFonts w:hint="eastAsia" w:ascii="宋体"/>
          <w:color w:val="auto"/>
          <w:sz w:val="21"/>
          <w:szCs w:val="21"/>
          <w:highlight w:val="none"/>
        </w:rPr>
        <w:t>；</w:t>
      </w:r>
    </w:p>
    <w:p w14:paraId="78211BD2">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2.项目审计人员须服从甲方的工作安排，未经甲方许可，乙方不得随意更换、调整审计组人员。</w:t>
      </w:r>
    </w:p>
    <w:p w14:paraId="20235ED6">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hAnsi="Times New Roman" w:eastAsia="宋体" w:cs="宋体"/>
          <w:b/>
          <w:bCs/>
          <w:color w:val="auto"/>
          <w:kern w:val="0"/>
          <w:sz w:val="24"/>
          <w:szCs w:val="24"/>
          <w:highlight w:val="none"/>
          <w:lang w:val="en-US" w:eastAsia="zh-CN" w:bidi="ar-SA"/>
        </w:rPr>
        <w:t>四</w:t>
      </w:r>
      <w:r>
        <w:rPr>
          <w:rFonts w:hint="eastAsia" w:ascii="宋体" w:hAnsi="Times New Roman" w:eastAsia="宋体" w:cs="宋体"/>
          <w:b/>
          <w:bCs/>
          <w:color w:val="auto"/>
          <w:kern w:val="0"/>
          <w:sz w:val="24"/>
          <w:szCs w:val="24"/>
          <w:highlight w:val="none"/>
          <w:lang w:val="en-US" w:eastAsia="zh-CN" w:bidi="ar-SA"/>
        </w:rPr>
        <w:t>、项目跟踪（结算）审计质量要求</w:t>
      </w:r>
    </w:p>
    <w:p w14:paraId="44F5B9E4">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项目跟踪审计、结算审核服务费的误差违约金处罚根据第三方复审、</w:t>
      </w:r>
      <w:r>
        <w:rPr>
          <w:rFonts w:hint="eastAsia" w:cs="Times New Roman"/>
          <w:color w:val="auto"/>
          <w:kern w:val="2"/>
          <w:sz w:val="21"/>
          <w:szCs w:val="21"/>
          <w:highlight w:val="none"/>
          <w:lang w:val="en-US" w:eastAsia="zh-CN"/>
        </w:rPr>
        <w:t>发包人</w:t>
      </w:r>
      <w:r>
        <w:rPr>
          <w:rFonts w:hint="eastAsia" w:eastAsia="宋体" w:cs="Times New Roman"/>
          <w:color w:val="auto"/>
          <w:kern w:val="2"/>
          <w:sz w:val="21"/>
          <w:szCs w:val="21"/>
          <w:highlight w:val="none"/>
        </w:rPr>
        <w:t>复核或市财政工程造价审核中心的审核结果确定：</w:t>
      </w:r>
    </w:p>
    <w:p w14:paraId="29DA9FA9">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（一）审核结果误差在1%-2%（含）之间，以服务费的25%作为违约金；</w:t>
      </w:r>
    </w:p>
    <w:p w14:paraId="307F83FE">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（二）审核结果误差在2%-3%（含）之间，以服务费的50%作为违约金；</w:t>
      </w:r>
    </w:p>
    <w:p w14:paraId="268C8DAC">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（三）审核结果误差在3%-4%（含）之间，以服务费的75%作为违约金；</w:t>
      </w:r>
    </w:p>
    <w:p w14:paraId="6F776228">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（四）审核结果误差超过4%的, 以全额服务费作为违约金。同时，工程造价 1000-5000 万元项目，暂停业务6个月；工程造价 5000 万元以上项目，暂停业务12个月。</w:t>
      </w:r>
    </w:p>
    <w:p w14:paraId="4A3427E2">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五、项目跟踪（结算）审计服务费用标准及结算方式</w:t>
      </w:r>
    </w:p>
    <w:p w14:paraId="7CADC871">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 项目跟踪审计服务费标准</w:t>
      </w:r>
    </w:p>
    <w:tbl>
      <w:tblPr>
        <w:tblStyle w:val="45"/>
        <w:tblW w:w="8247" w:type="dxa"/>
        <w:jc w:val="center"/>
        <w:tblLayout w:type="fixed"/>
        <w:tblCellMar>
          <w:top w:w="0" w:type="dxa"/>
          <w:left w:w="108" w:type="dxa"/>
          <w:bottom w:w="0" w:type="dxa"/>
          <w:right w:w="108" w:type="dxa"/>
        </w:tblCellMar>
      </w:tblPr>
      <w:tblGrid>
        <w:gridCol w:w="3685"/>
        <w:gridCol w:w="2262"/>
        <w:gridCol w:w="2300"/>
      </w:tblGrid>
      <w:tr w14:paraId="0A7874F0">
        <w:tblPrEx>
          <w:tblCellMar>
            <w:top w:w="0" w:type="dxa"/>
            <w:left w:w="108" w:type="dxa"/>
            <w:bottom w:w="0" w:type="dxa"/>
            <w:right w:w="108" w:type="dxa"/>
          </w:tblCellMar>
        </w:tblPrEx>
        <w:trPr>
          <w:trHeight w:val="70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43743AE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工程造价金额（万元）</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0AB931F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基本费</w:t>
            </w:r>
          </w:p>
        </w:tc>
        <w:tc>
          <w:tcPr>
            <w:tcW w:w="2300" w:type="dxa"/>
            <w:tcBorders>
              <w:top w:val="single" w:color="auto" w:sz="4" w:space="0"/>
              <w:left w:val="nil"/>
              <w:bottom w:val="single" w:color="auto" w:sz="4" w:space="0"/>
              <w:right w:val="single" w:color="auto" w:sz="4" w:space="0"/>
            </w:tcBorders>
            <w:noWrap w:val="0"/>
            <w:vAlign w:val="center"/>
          </w:tcPr>
          <w:p w14:paraId="24C79E4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firstLine="210" w:firstLineChars="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审核成果费</w:t>
            </w:r>
          </w:p>
        </w:tc>
      </w:tr>
      <w:tr w14:paraId="52C93ED8">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2F2D615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1000</w:t>
            </w:r>
            <w:r>
              <w:rPr>
                <w:rFonts w:hint="eastAsia" w:ascii="宋体" w:hAnsi="宋体" w:eastAsia="宋体" w:cs="宋体"/>
                <w:color w:val="auto"/>
                <w:kern w:val="0"/>
                <w:sz w:val="21"/>
                <w:szCs w:val="21"/>
                <w:highlight w:val="none"/>
              </w:rPr>
              <w:t>以内（含）</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0B9C7F9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3</w:t>
            </w:r>
            <w:r>
              <w:rPr>
                <w:rFonts w:hint="eastAsia" w:ascii="宋体" w:hAnsi="宋体" w:eastAsia="宋体" w:cs="宋体"/>
                <w:color w:val="auto"/>
                <w:kern w:val="0"/>
                <w:sz w:val="21"/>
                <w:szCs w:val="21"/>
                <w:highlight w:val="none"/>
              </w:rPr>
              <w:t>‰</w:t>
            </w:r>
          </w:p>
        </w:tc>
        <w:tc>
          <w:tcPr>
            <w:tcW w:w="2300" w:type="dxa"/>
            <w:tcBorders>
              <w:top w:val="nil"/>
              <w:left w:val="nil"/>
              <w:bottom w:val="single" w:color="auto" w:sz="4" w:space="0"/>
              <w:right w:val="single" w:color="auto" w:sz="4" w:space="0"/>
            </w:tcBorders>
            <w:noWrap w:val="0"/>
            <w:vAlign w:val="center"/>
          </w:tcPr>
          <w:p w14:paraId="7E8C1E5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w:t>
            </w:r>
          </w:p>
        </w:tc>
      </w:tr>
      <w:tr w14:paraId="71AAC484">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13B377D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1000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5000</w:t>
            </w:r>
            <w:r>
              <w:rPr>
                <w:rFonts w:hint="eastAsia" w:ascii="宋体" w:hAnsi="宋体" w:eastAsia="宋体" w:cs="宋体"/>
                <w:color w:val="auto"/>
                <w:kern w:val="0"/>
                <w:sz w:val="21"/>
                <w:szCs w:val="21"/>
                <w:highlight w:val="none"/>
              </w:rPr>
              <w:t>以内（含）</w:t>
            </w:r>
          </w:p>
        </w:tc>
        <w:tc>
          <w:tcPr>
            <w:tcW w:w="2262" w:type="dxa"/>
            <w:tcBorders>
              <w:top w:val="single" w:color="auto" w:sz="4" w:space="0"/>
              <w:left w:val="nil"/>
              <w:bottom w:val="single" w:color="auto" w:sz="4" w:space="0"/>
              <w:right w:val="single" w:color="auto" w:sz="4" w:space="0"/>
            </w:tcBorders>
            <w:noWrap w:val="0"/>
            <w:vAlign w:val="center"/>
          </w:tcPr>
          <w:p w14:paraId="0621269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2</w:t>
            </w:r>
            <w:r>
              <w:rPr>
                <w:rFonts w:hint="eastAsia" w:ascii="宋体" w:hAnsi="宋体" w:eastAsia="宋体" w:cs="宋体"/>
                <w:color w:val="auto"/>
                <w:kern w:val="0"/>
                <w:sz w:val="21"/>
                <w:szCs w:val="21"/>
                <w:highlight w:val="none"/>
              </w:rPr>
              <w:t>‰</w:t>
            </w:r>
          </w:p>
        </w:tc>
        <w:tc>
          <w:tcPr>
            <w:tcW w:w="2300" w:type="dxa"/>
            <w:tcBorders>
              <w:top w:val="nil"/>
              <w:left w:val="nil"/>
              <w:bottom w:val="single" w:color="auto" w:sz="4" w:space="0"/>
              <w:right w:val="single" w:color="auto" w:sz="4" w:space="0"/>
            </w:tcBorders>
            <w:noWrap w:val="0"/>
            <w:vAlign w:val="center"/>
          </w:tcPr>
          <w:p w14:paraId="114B733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w:t>
            </w:r>
          </w:p>
        </w:tc>
      </w:tr>
      <w:tr w14:paraId="5EE55B88">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4A4B837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5000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10000</w:t>
            </w:r>
            <w:r>
              <w:rPr>
                <w:rFonts w:hint="eastAsia" w:ascii="宋体" w:hAnsi="宋体" w:eastAsia="宋体" w:cs="宋体"/>
                <w:color w:val="auto"/>
                <w:kern w:val="0"/>
                <w:sz w:val="21"/>
                <w:szCs w:val="21"/>
                <w:highlight w:val="none"/>
              </w:rPr>
              <w:t>以内（含）</w:t>
            </w:r>
          </w:p>
        </w:tc>
        <w:tc>
          <w:tcPr>
            <w:tcW w:w="2262" w:type="dxa"/>
            <w:tcBorders>
              <w:top w:val="nil"/>
              <w:left w:val="nil"/>
              <w:bottom w:val="single" w:color="auto" w:sz="4" w:space="0"/>
              <w:right w:val="single" w:color="auto" w:sz="4" w:space="0"/>
            </w:tcBorders>
            <w:noWrap w:val="0"/>
            <w:vAlign w:val="center"/>
          </w:tcPr>
          <w:p w14:paraId="164A353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w:t>
            </w:r>
          </w:p>
        </w:tc>
        <w:tc>
          <w:tcPr>
            <w:tcW w:w="2300" w:type="dxa"/>
            <w:tcBorders>
              <w:top w:val="nil"/>
              <w:left w:val="nil"/>
              <w:bottom w:val="single" w:color="auto" w:sz="4" w:space="0"/>
              <w:right w:val="single" w:color="auto" w:sz="4" w:space="0"/>
            </w:tcBorders>
            <w:noWrap w:val="0"/>
            <w:vAlign w:val="center"/>
          </w:tcPr>
          <w:p w14:paraId="78A2A77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w:t>
            </w:r>
          </w:p>
        </w:tc>
      </w:tr>
      <w:tr w14:paraId="0AEA36D9">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32A8CF4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10000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0000</w:t>
            </w:r>
            <w:r>
              <w:rPr>
                <w:rFonts w:hint="eastAsia" w:ascii="宋体" w:hAnsi="宋体" w:eastAsia="宋体" w:cs="宋体"/>
                <w:color w:val="auto"/>
                <w:kern w:val="0"/>
                <w:sz w:val="21"/>
                <w:szCs w:val="21"/>
                <w:highlight w:val="none"/>
              </w:rPr>
              <w:t>以内（含）</w:t>
            </w:r>
          </w:p>
        </w:tc>
        <w:tc>
          <w:tcPr>
            <w:tcW w:w="2262" w:type="dxa"/>
            <w:tcBorders>
              <w:top w:val="nil"/>
              <w:left w:val="nil"/>
              <w:bottom w:val="single" w:color="auto" w:sz="4" w:space="0"/>
              <w:right w:val="single" w:color="auto" w:sz="4" w:space="0"/>
            </w:tcBorders>
            <w:noWrap w:val="0"/>
            <w:vAlign w:val="center"/>
          </w:tcPr>
          <w:p w14:paraId="2D4BE6C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3</w:t>
            </w:r>
            <w:r>
              <w:rPr>
                <w:rFonts w:hint="eastAsia" w:ascii="宋体" w:hAnsi="宋体" w:eastAsia="宋体" w:cs="宋体"/>
                <w:color w:val="auto"/>
                <w:kern w:val="0"/>
                <w:sz w:val="21"/>
                <w:szCs w:val="21"/>
                <w:highlight w:val="none"/>
              </w:rPr>
              <w:t>‰</w:t>
            </w:r>
          </w:p>
        </w:tc>
        <w:tc>
          <w:tcPr>
            <w:tcW w:w="2300" w:type="dxa"/>
            <w:tcBorders>
              <w:top w:val="nil"/>
              <w:left w:val="nil"/>
              <w:bottom w:val="single" w:color="auto" w:sz="4" w:space="0"/>
              <w:right w:val="single" w:color="auto" w:sz="4" w:space="0"/>
            </w:tcBorders>
            <w:noWrap w:val="0"/>
            <w:vAlign w:val="center"/>
          </w:tcPr>
          <w:p w14:paraId="3A7F6D2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w:t>
            </w:r>
          </w:p>
        </w:tc>
      </w:tr>
      <w:tr w14:paraId="0C84FBE1">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21E7C3E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50000</w:t>
            </w:r>
            <w:r>
              <w:rPr>
                <w:rFonts w:hint="eastAsia" w:ascii="宋体" w:hAnsi="宋体" w:eastAsia="宋体" w:cs="宋体"/>
                <w:color w:val="auto"/>
                <w:kern w:val="0"/>
                <w:sz w:val="21"/>
                <w:szCs w:val="21"/>
                <w:highlight w:val="none"/>
              </w:rPr>
              <w:t>以上</w:t>
            </w:r>
          </w:p>
        </w:tc>
        <w:tc>
          <w:tcPr>
            <w:tcW w:w="2262" w:type="dxa"/>
            <w:tcBorders>
              <w:top w:val="single" w:color="auto" w:sz="4" w:space="0"/>
              <w:left w:val="nil"/>
              <w:bottom w:val="single" w:color="auto" w:sz="4" w:space="0"/>
              <w:right w:val="single" w:color="auto" w:sz="4" w:space="0"/>
            </w:tcBorders>
            <w:noWrap w:val="0"/>
            <w:vAlign w:val="center"/>
          </w:tcPr>
          <w:p w14:paraId="494D873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8</w:t>
            </w:r>
            <w:r>
              <w:rPr>
                <w:rFonts w:hint="eastAsia" w:ascii="宋体" w:hAnsi="宋体" w:eastAsia="宋体" w:cs="宋体"/>
                <w:color w:val="auto"/>
                <w:kern w:val="0"/>
                <w:sz w:val="21"/>
                <w:szCs w:val="21"/>
                <w:highlight w:val="none"/>
              </w:rPr>
              <w:t>‰</w:t>
            </w:r>
          </w:p>
        </w:tc>
        <w:tc>
          <w:tcPr>
            <w:tcW w:w="2300" w:type="dxa"/>
            <w:tcBorders>
              <w:top w:val="single" w:color="auto" w:sz="4" w:space="0"/>
              <w:left w:val="nil"/>
              <w:bottom w:val="single" w:color="auto" w:sz="4" w:space="0"/>
              <w:right w:val="single" w:color="auto" w:sz="4" w:space="0"/>
            </w:tcBorders>
            <w:noWrap w:val="0"/>
            <w:vAlign w:val="center"/>
          </w:tcPr>
          <w:p w14:paraId="5EB10D0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w:t>
            </w:r>
          </w:p>
        </w:tc>
      </w:tr>
    </w:tbl>
    <w:p w14:paraId="334EB0EB">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rPr>
        <w:t>（</w:t>
      </w:r>
      <w:r>
        <w:rPr>
          <w:rFonts w:hint="eastAsia" w:ascii="宋体" w:hAnsi="宋体" w:eastAsia="宋体" w:cs="Times New Roman"/>
          <w:color w:val="auto"/>
          <w:kern w:val="2"/>
          <w:sz w:val="21"/>
          <w:szCs w:val="21"/>
          <w:highlight w:val="none"/>
          <w:lang w:val="en-US" w:eastAsia="zh-CN"/>
        </w:rPr>
        <w:t>二</w:t>
      </w:r>
      <w:r>
        <w:rPr>
          <w:rFonts w:hint="eastAsia" w:ascii="宋体" w:hAnsi="宋体" w:eastAsia="宋体" w:cs="Times New Roman"/>
          <w:color w:val="auto"/>
          <w:kern w:val="2"/>
          <w:sz w:val="21"/>
          <w:szCs w:val="21"/>
          <w:highlight w:val="none"/>
        </w:rPr>
        <w:t>）项目跟踪（结算</w:t>
      </w:r>
      <w:r>
        <w:rPr>
          <w:rFonts w:hint="eastAsia" w:eastAsia="宋体" w:cs="Times New Roman"/>
          <w:color w:val="auto"/>
          <w:kern w:val="2"/>
          <w:sz w:val="21"/>
          <w:szCs w:val="21"/>
          <w:highlight w:val="none"/>
        </w:rPr>
        <w:t>）审计服务费用</w:t>
      </w:r>
      <w:r>
        <w:rPr>
          <w:rFonts w:hint="eastAsia" w:cs="Times New Roman"/>
          <w:color w:val="auto"/>
          <w:kern w:val="2"/>
          <w:sz w:val="21"/>
          <w:szCs w:val="21"/>
          <w:highlight w:val="none"/>
          <w:lang w:eastAsia="zh-CN"/>
        </w:rPr>
        <w:t>：为基本费率</w:t>
      </w:r>
      <w:r>
        <w:rPr>
          <w:rFonts w:hint="eastAsia" w:cs="Times New Roman"/>
          <w:color w:val="auto"/>
          <w:kern w:val="2"/>
          <w:sz w:val="21"/>
          <w:szCs w:val="21"/>
          <w:highlight w:val="none"/>
          <w:u w:val="single"/>
          <w:lang w:val="en-US" w:eastAsia="zh-CN"/>
        </w:rPr>
        <w:t xml:space="preserve">   </w:t>
      </w:r>
      <w:r>
        <w:rPr>
          <w:rFonts w:hint="eastAsia" w:cs="Times New Roman"/>
          <w:color w:val="auto"/>
          <w:kern w:val="2"/>
          <w:sz w:val="21"/>
          <w:szCs w:val="21"/>
          <w:highlight w:val="none"/>
          <w:lang w:eastAsia="zh-CN"/>
        </w:rPr>
        <w:t>‰、审核成果费率</w:t>
      </w:r>
      <w:r>
        <w:rPr>
          <w:rFonts w:hint="eastAsia" w:cs="Times New Roman"/>
          <w:color w:val="auto"/>
          <w:kern w:val="2"/>
          <w:sz w:val="21"/>
          <w:szCs w:val="21"/>
          <w:highlight w:val="none"/>
          <w:u w:val="single"/>
          <w:lang w:eastAsia="zh-CN"/>
        </w:rPr>
        <w:t>4</w:t>
      </w:r>
      <w:r>
        <w:rPr>
          <w:rFonts w:hint="eastAsia" w:cs="Times New Roman"/>
          <w:color w:val="auto"/>
          <w:kern w:val="2"/>
          <w:sz w:val="21"/>
          <w:szCs w:val="21"/>
          <w:highlight w:val="none"/>
          <w:lang w:eastAsia="zh-CN"/>
        </w:rPr>
        <w:t>%。</w:t>
      </w:r>
    </w:p>
    <w:p w14:paraId="1D3B6FE7">
      <w:pPr>
        <w:keepNext w:val="0"/>
        <w:keepLines w:val="0"/>
        <w:pageBreakBefore w:val="0"/>
        <w:kinsoku/>
        <w:wordWrap/>
        <w:overflowPunct/>
        <w:topLinePunct w:val="0"/>
        <w:autoSpaceDE/>
        <w:autoSpaceDN/>
        <w:bidi w:val="0"/>
        <w:adjustRightInd/>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费计算方式为：基本费+审核成果费。其中，跟踪审计服务基本费计算基数为审定金额；审核成果费计算基数为</w:t>
      </w:r>
      <w:r>
        <w:rPr>
          <w:rFonts w:hint="eastAsia" w:ascii="宋体" w:hAnsi="宋体" w:eastAsia="宋体" w:cs="宋体"/>
          <w:color w:val="auto"/>
          <w:sz w:val="21"/>
          <w:szCs w:val="21"/>
          <w:highlight w:val="none"/>
          <w:lang w:eastAsia="zh-CN"/>
        </w:rPr>
        <w:t>独立</w:t>
      </w:r>
      <w:r>
        <w:rPr>
          <w:rFonts w:hint="eastAsia" w:ascii="宋体" w:hAnsi="宋体" w:eastAsia="宋体" w:cs="宋体"/>
          <w:color w:val="auto"/>
          <w:sz w:val="21"/>
          <w:szCs w:val="21"/>
          <w:highlight w:val="none"/>
        </w:rPr>
        <w:t>核减金额。</w:t>
      </w:r>
    </w:p>
    <w:p w14:paraId="2C08F6CB">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cs="Times New Roman"/>
          <w:color w:val="auto"/>
          <w:kern w:val="2"/>
          <w:sz w:val="21"/>
          <w:szCs w:val="21"/>
          <w:highlight w:val="none"/>
          <w:lang w:val="en-US" w:eastAsia="zh-CN"/>
        </w:rPr>
        <w:t>三</w:t>
      </w:r>
      <w:r>
        <w:rPr>
          <w:rFonts w:hint="eastAsia" w:eastAsia="宋体" w:cs="Times New Roman"/>
          <w:color w:val="auto"/>
          <w:kern w:val="2"/>
          <w:sz w:val="21"/>
          <w:szCs w:val="21"/>
          <w:highlight w:val="none"/>
        </w:rPr>
        <w:t>）项目跟踪（结算）审计费用结算方式</w:t>
      </w:r>
    </w:p>
    <w:p w14:paraId="358E7696">
      <w:pPr>
        <w:spacing w:line="520" w:lineRule="exact"/>
        <w:ind w:firstLine="645"/>
        <w:rPr>
          <w:rFonts w:hint="eastAsia" w:ascii="宋体" w:hAnsi="宋体" w:eastAsia="宋体" w:cs="Times New Roman"/>
          <w:b/>
          <w:bCs/>
          <w:color w:val="auto"/>
          <w:kern w:val="2"/>
          <w:sz w:val="21"/>
          <w:szCs w:val="21"/>
          <w:highlight w:val="none"/>
          <w:lang w:val="en-US" w:eastAsia="zh-CN" w:bidi="ar-SA"/>
        </w:rPr>
      </w:pPr>
      <w:r>
        <w:rPr>
          <w:rFonts w:hint="eastAsia" w:eastAsia="宋体" w:cs="Times New Roman"/>
          <w:b/>
          <w:bCs/>
          <w:color w:val="auto"/>
          <w:kern w:val="2"/>
          <w:sz w:val="21"/>
          <w:szCs w:val="21"/>
          <w:highlight w:val="none"/>
        </w:rPr>
        <w:t>（1）</w:t>
      </w:r>
      <w:r>
        <w:rPr>
          <w:rFonts w:hint="eastAsia" w:cs="Times New Roman"/>
          <w:b/>
          <w:bCs/>
          <w:color w:val="auto"/>
          <w:kern w:val="2"/>
          <w:sz w:val="21"/>
          <w:szCs w:val="21"/>
          <w:highlight w:val="none"/>
          <w:lang w:val="en-US" w:eastAsia="zh-CN"/>
        </w:rPr>
        <w:t>付款方式：</w:t>
      </w:r>
      <w:r>
        <w:rPr>
          <w:rFonts w:hint="eastAsia" w:ascii="宋体" w:hAnsi="宋体" w:eastAsia="宋体" w:cs="Times New Roman"/>
          <w:b/>
          <w:bCs/>
          <w:color w:val="auto"/>
          <w:kern w:val="2"/>
          <w:sz w:val="21"/>
          <w:szCs w:val="21"/>
          <w:highlight w:val="none"/>
          <w:lang w:val="en-US" w:eastAsia="zh-CN" w:bidi="ar-SA"/>
        </w:rPr>
        <w:t xml:space="preserve">出具审核报告，交付招标人初审确认，出具审核报告后，交付招标人审核确认后支付审计服务费用。 </w:t>
      </w:r>
    </w:p>
    <w:p w14:paraId="3855DD4C">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2" w:firstLineChars="200"/>
        <w:textAlignment w:val="auto"/>
        <w:rPr>
          <w:rFonts w:hint="eastAsia" w:eastAsia="宋体" w:cs="Times New Roman"/>
          <w:b/>
          <w:bCs/>
          <w:color w:val="auto"/>
          <w:kern w:val="2"/>
          <w:sz w:val="21"/>
          <w:szCs w:val="21"/>
          <w:highlight w:val="none"/>
          <w:lang w:eastAsia="zh-CN"/>
        </w:rPr>
      </w:pPr>
      <w:r>
        <w:rPr>
          <w:rFonts w:hint="eastAsia" w:eastAsia="宋体" w:cs="Times New Roman"/>
          <w:b/>
          <w:bCs/>
          <w:color w:val="auto"/>
          <w:kern w:val="2"/>
          <w:sz w:val="21"/>
          <w:szCs w:val="21"/>
          <w:highlight w:val="none"/>
        </w:rPr>
        <w:t>（2）项目</w:t>
      </w:r>
      <w:r>
        <w:rPr>
          <w:rFonts w:hint="eastAsia" w:eastAsia="宋体" w:cs="Times New Roman"/>
          <w:b/>
          <w:bCs/>
          <w:color w:val="auto"/>
          <w:kern w:val="2"/>
          <w:sz w:val="21"/>
          <w:szCs w:val="21"/>
          <w:highlight w:val="none"/>
          <w:lang w:eastAsia="zh-CN"/>
        </w:rPr>
        <w:t>跟踪审计机构</w:t>
      </w:r>
      <w:r>
        <w:rPr>
          <w:rFonts w:hint="eastAsia" w:eastAsia="宋体" w:cs="Times New Roman"/>
          <w:b/>
          <w:bCs/>
          <w:color w:val="auto"/>
          <w:kern w:val="2"/>
          <w:sz w:val="21"/>
          <w:szCs w:val="21"/>
          <w:highlight w:val="none"/>
        </w:rPr>
        <w:t>未按要求完成协审工作并移交相关资料，招标人有权拒付审计服务费用，并按照《工程造价咨询服务管理办法》的有关规定追究该项目</w:t>
      </w:r>
      <w:r>
        <w:rPr>
          <w:rFonts w:hint="eastAsia" w:eastAsia="宋体" w:cs="Times New Roman"/>
          <w:b/>
          <w:bCs/>
          <w:color w:val="auto"/>
          <w:kern w:val="2"/>
          <w:sz w:val="21"/>
          <w:szCs w:val="21"/>
          <w:highlight w:val="none"/>
          <w:lang w:eastAsia="zh-CN"/>
        </w:rPr>
        <w:t>跟踪审计机构相关责任。</w:t>
      </w:r>
    </w:p>
    <w:p w14:paraId="655744F8">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六、审计质量、时限及过程管理要求</w:t>
      </w:r>
    </w:p>
    <w:p w14:paraId="3582F073">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机构应及时认真地分析阅读工程量清单及控制价、招投标文件、合同（协议）、施工图纸、设计变更、技术签证等相关文件资料，在施工现场勘察测量和了解实际情况并做好记录。</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应根据建设单位、监理单位、施工单位提供的有关资料在《工程造价咨询服务管理办法》文件规定的工作日内完成审核工作，不得无故拖延时间。</w:t>
      </w:r>
    </w:p>
    <w:p w14:paraId="0319EC1B">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机构在</w:t>
      </w: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过程须遵守</w:t>
      </w:r>
      <w:r>
        <w:rPr>
          <w:rFonts w:hint="eastAsia" w:ascii="宋体" w:hAnsi="宋体" w:eastAsia="宋体" w:cs="宋体"/>
          <w:color w:val="auto"/>
          <w:kern w:val="0"/>
          <w:sz w:val="21"/>
          <w:szCs w:val="21"/>
          <w:highlight w:val="none"/>
        </w:rPr>
        <w:t>现行国家或行业工程计价有关规定、标准、规范的要求</w:t>
      </w:r>
      <w:r>
        <w:rPr>
          <w:rFonts w:hint="eastAsia" w:eastAsia="宋体" w:cs="Times New Roman"/>
          <w:color w:val="auto"/>
          <w:kern w:val="2"/>
          <w:sz w:val="21"/>
          <w:szCs w:val="21"/>
          <w:highlight w:val="none"/>
        </w:rPr>
        <w:t>以及为提升审计质量和效率、控制廉政风险等方面制定的各项规定。</w:t>
      </w:r>
    </w:p>
    <w:p w14:paraId="36487EBF">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七</w:t>
      </w:r>
      <w:r>
        <w:rPr>
          <w:rFonts w:hint="eastAsia" w:eastAsia="宋体" w:cs="Times New Roman"/>
          <w:b/>
          <w:bCs/>
          <w:color w:val="auto"/>
          <w:kern w:val="2"/>
          <w:sz w:val="24"/>
          <w:szCs w:val="24"/>
          <w:highlight w:val="none"/>
        </w:rPr>
        <w:t>、项目跟踪（结算）审计工作考核奖惩</w:t>
      </w:r>
    </w:p>
    <w:p w14:paraId="19858E5C">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造价企业有下列情形之一的，可扣减审计服务费用，终止审计委托协议，提请行政主管部门给予警告、通报，有限期或无限期禁止从事</w:t>
      </w:r>
      <w:r>
        <w:rPr>
          <w:rFonts w:hint="eastAsia" w:cs="Times New Roman"/>
          <w:color w:val="auto"/>
          <w:kern w:val="2"/>
          <w:sz w:val="21"/>
          <w:szCs w:val="21"/>
          <w:highlight w:val="none"/>
          <w:lang w:eastAsia="zh-CN"/>
        </w:rPr>
        <w:t>我单位</w:t>
      </w:r>
      <w:r>
        <w:rPr>
          <w:rFonts w:hint="eastAsia" w:eastAsia="宋体" w:cs="Times New Roman"/>
          <w:color w:val="auto"/>
          <w:kern w:val="2"/>
          <w:sz w:val="21"/>
          <w:szCs w:val="21"/>
          <w:highlight w:val="none"/>
        </w:rPr>
        <w:t>项目等处罚，构成犯罪的，依法追究刑事责任：</w:t>
      </w:r>
    </w:p>
    <w:p w14:paraId="65ED82B6">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1</w:t>
      </w:r>
      <w:r>
        <w:rPr>
          <w:rFonts w:hint="eastAsia" w:eastAsia="宋体" w:cs="Times New Roman"/>
          <w:color w:val="auto"/>
          <w:kern w:val="2"/>
          <w:sz w:val="21"/>
          <w:szCs w:val="21"/>
          <w:highlight w:val="none"/>
        </w:rPr>
        <w:t>）工程结算审核报告存在重大失误或质量低劣；</w:t>
      </w:r>
    </w:p>
    <w:p w14:paraId="7DC53350">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2</w:t>
      </w:r>
      <w:r>
        <w:rPr>
          <w:rFonts w:hint="eastAsia" w:eastAsia="宋体" w:cs="Times New Roman"/>
          <w:color w:val="auto"/>
          <w:kern w:val="2"/>
          <w:sz w:val="21"/>
          <w:szCs w:val="21"/>
          <w:highlight w:val="none"/>
        </w:rPr>
        <w:t>）因自身工作错误或过失造成重大损失；</w:t>
      </w:r>
    </w:p>
    <w:p w14:paraId="671B960A">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3</w:t>
      </w:r>
      <w:r>
        <w:rPr>
          <w:rFonts w:hint="eastAsia" w:eastAsia="宋体" w:cs="Times New Roman"/>
          <w:color w:val="auto"/>
          <w:kern w:val="2"/>
          <w:sz w:val="21"/>
          <w:szCs w:val="21"/>
          <w:highlight w:val="none"/>
        </w:rPr>
        <w:t>）未经允许私自向施工单位透露审核情况或信息；</w:t>
      </w:r>
    </w:p>
    <w:p w14:paraId="751EB501">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4</w:t>
      </w:r>
      <w:r>
        <w:rPr>
          <w:rFonts w:hint="eastAsia" w:eastAsia="宋体" w:cs="Times New Roman"/>
          <w:color w:val="auto"/>
          <w:kern w:val="2"/>
          <w:sz w:val="21"/>
          <w:szCs w:val="21"/>
          <w:highlight w:val="none"/>
        </w:rPr>
        <w:t>）向相关单位或个人索要财物等谋取不正当利益；</w:t>
      </w:r>
    </w:p>
    <w:p w14:paraId="3F030942">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5</w:t>
      </w:r>
      <w:r>
        <w:rPr>
          <w:rFonts w:hint="eastAsia" w:eastAsia="宋体" w:cs="Times New Roman"/>
          <w:color w:val="auto"/>
          <w:kern w:val="2"/>
          <w:sz w:val="21"/>
          <w:szCs w:val="21"/>
          <w:highlight w:val="none"/>
        </w:rPr>
        <w:t>）单独或与其他各方串通舞弊、弄虚作假；</w:t>
      </w:r>
    </w:p>
    <w:p w14:paraId="16802531">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6</w:t>
      </w:r>
      <w:r>
        <w:rPr>
          <w:rFonts w:hint="eastAsia" w:eastAsia="宋体" w:cs="Times New Roman"/>
          <w:color w:val="auto"/>
          <w:kern w:val="2"/>
          <w:sz w:val="21"/>
          <w:szCs w:val="21"/>
          <w:highlight w:val="none"/>
        </w:rPr>
        <w:t>）其他违反法律法规和规定的行为。</w:t>
      </w:r>
    </w:p>
    <w:p w14:paraId="626627EC">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eastAsia="宋体" w:cs="Times New Roman"/>
          <w:b/>
          <w:bCs/>
          <w:color w:val="auto"/>
          <w:kern w:val="2"/>
          <w:sz w:val="24"/>
          <w:szCs w:val="24"/>
          <w:highlight w:val="none"/>
          <w:lang w:val="en-US" w:eastAsia="zh-CN"/>
        </w:rPr>
        <w:t>八</w:t>
      </w:r>
      <w:r>
        <w:rPr>
          <w:rFonts w:hint="eastAsia" w:eastAsia="宋体" w:cs="Times New Roman"/>
          <w:b/>
          <w:bCs/>
          <w:color w:val="auto"/>
          <w:kern w:val="2"/>
          <w:sz w:val="24"/>
          <w:szCs w:val="24"/>
          <w:highlight w:val="none"/>
        </w:rPr>
        <w:t>、甲乙双方的权利和义务</w:t>
      </w:r>
      <w:r>
        <w:rPr>
          <w:rFonts w:hint="eastAsia" w:eastAsia="宋体" w:cs="Times New Roman"/>
          <w:color w:val="auto"/>
          <w:kern w:val="2"/>
          <w:sz w:val="24"/>
          <w:szCs w:val="24"/>
          <w:highlight w:val="none"/>
        </w:rPr>
        <w:t xml:space="preserve"> </w:t>
      </w:r>
    </w:p>
    <w:p w14:paraId="0F763974">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1.甲方权利和义务 </w:t>
      </w:r>
    </w:p>
    <w:p w14:paraId="654C321B">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（1）甲方有权对乙方的跟踪（结算）审计项目实施监督，配合市跟审办对乙方审计工作程序、质量和效率等进行检查考核，考核结果作为奖惩和参与政府投资项目跟踪（结算）审计的重要依据；</w:t>
      </w:r>
    </w:p>
    <w:p w14:paraId="39A4D2B7">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（2）项目跟踪（结算）审计过程中，甲方如发现乙方所派审计人员不符合要求或不能胜任岗位工作职责的，甲方有权要求乙方及时调换，或视情况给予相应的处理、处罚；</w:t>
      </w:r>
    </w:p>
    <w:p w14:paraId="6FCD3CCB">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（3）甲方保证乙方审计服务费用的按时到位。</w:t>
      </w:r>
    </w:p>
    <w:p w14:paraId="07322FFD">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2.乙方权利和义务</w:t>
      </w:r>
    </w:p>
    <w:p w14:paraId="33AA2842">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（1）乙方在完成审计任务后，有权及时取得审计服务费用；</w:t>
      </w:r>
    </w:p>
    <w:p w14:paraId="3CB820EA">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（2）乙方须依照甲方工作要求及行业准则、规范，按时、保质、保量完成所承担的审计任务；</w:t>
      </w:r>
    </w:p>
    <w:p w14:paraId="221FB8C8">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乙方必须对审计人员进行廉政教育，如发现有违反廉洁自律规定的行为，应立即更换人员，并对其严肃处理。同时，甲方可根据性质及情节，扣减相应审计服务费用，并可提请市跟审办没收相应的质量及廉政保证金。</w:t>
      </w:r>
    </w:p>
    <w:p w14:paraId="7EA0C46A">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3、双方权力和责任</w:t>
      </w:r>
    </w:p>
    <w:p w14:paraId="261D9675">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3.1 招标人有权进行现场调查和监督，随时调阅有关资料，参与审计的查证、对账和答疑等有关活动。若</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未按委托协议完成业务或审计工作中出现严重差错，招标人有权追究</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法律和经济责任，并视情节扣减部分或全部审计服务费用，直至终止委托关系。</w:t>
      </w:r>
    </w:p>
    <w:p w14:paraId="0243ECD8">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3.2 招标人监督协议的执行，协调和处理履约过程中的问题，对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审计工作开展情况进行考核，主要内容包括审计程序、现场履职、审计质量和效率、廉政纪律等方面，考核结果作为经济奖惩和以后参与政府投资项目审计服务的重要依据。</w:t>
      </w:r>
    </w:p>
    <w:p w14:paraId="1FE6A7C1">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3.3 </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应本着客观、公正、公平的原则，正确履行审计职责，同时承担相应的法律责任。对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滥用职权、与施工单位串通、徇私舞弊、玩忽职守的，视情节，按有关规定对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及其当事人进行处理处罚；情节严重，涉嫌违法违纪的，依法移送纪检、司法机关查处。</w:t>
      </w:r>
    </w:p>
    <w:p w14:paraId="5545759E">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九</w:t>
      </w:r>
      <w:r>
        <w:rPr>
          <w:rFonts w:hint="eastAsia" w:eastAsia="宋体" w:cs="Times New Roman"/>
          <w:b/>
          <w:bCs/>
          <w:color w:val="auto"/>
          <w:kern w:val="2"/>
          <w:sz w:val="24"/>
          <w:szCs w:val="24"/>
          <w:highlight w:val="none"/>
        </w:rPr>
        <w:t>、附则</w:t>
      </w:r>
    </w:p>
    <w:p w14:paraId="219F5A99">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1.本协议一式肆份，具有同等法律效力，甲方、乙方各执贰份。</w:t>
      </w:r>
    </w:p>
    <w:p w14:paraId="51E0F887">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2.本协议未尽事宜，由甲乙双方协商解决。协商不成，提请滁州仲裁委员会裁决。 　</w:t>
      </w:r>
    </w:p>
    <w:p w14:paraId="25F4F5D3">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3.本合同自双方签章后生效。</w:t>
      </w:r>
    </w:p>
    <w:p w14:paraId="5A387F13">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p>
    <w:p w14:paraId="7D2E1392">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p>
    <w:p w14:paraId="56CD9580">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甲方（签章）                              乙方（签章）           </w:t>
      </w:r>
    </w:p>
    <w:p w14:paraId="0DCB36CB">
      <w:pPr>
        <w:ind w:firstLine="1470" w:firstLineChars="700"/>
        <w:rPr>
          <w:rFonts w:hint="eastAsia" w:ascii="宋体" w:hAnsi="宋体" w:eastAsia="宋体" w:cs="宋体"/>
          <w:color w:val="auto"/>
          <w:sz w:val="21"/>
          <w:szCs w:val="21"/>
          <w:highlight w:val="none"/>
        </w:rPr>
      </w:pPr>
      <w:r>
        <w:rPr>
          <w:rFonts w:hint="eastAsia" w:eastAsia="宋体" w:cs="Times New Roman"/>
          <w:color w:val="auto"/>
          <w:kern w:val="2"/>
          <w:sz w:val="21"/>
          <w:szCs w:val="21"/>
          <w:highlight w:val="none"/>
        </w:rPr>
        <w:t>年   月   日                             年  月  日</w:t>
      </w:r>
    </w:p>
    <w:p w14:paraId="6BCD3E8E">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63" w:name="_Toc30675"/>
      <w:r>
        <w:rPr>
          <w:rFonts w:hint="eastAsia" w:ascii="宋体" w:hAnsi="宋体" w:eastAsia="宋体" w:cs="宋体"/>
          <w:color w:val="auto"/>
          <w:highlight w:val="none"/>
          <w:lang w:val="en-US" w:eastAsia="zh-CN"/>
        </w:rPr>
        <w:t>第四章 投标文件格式</w:t>
      </w:r>
      <w:bookmarkEnd w:id="63"/>
    </w:p>
    <w:p w14:paraId="2AC451A3">
      <w:pPr>
        <w:jc w:val="center"/>
        <w:rPr>
          <w:rFonts w:hint="eastAsia" w:ascii="宋体" w:hAnsi="宋体" w:eastAsia="宋体" w:cs="宋体"/>
          <w:color w:val="auto"/>
          <w:sz w:val="28"/>
          <w:szCs w:val="28"/>
          <w:highlight w:val="none"/>
          <w:u w:val="single"/>
        </w:rPr>
      </w:pPr>
    </w:p>
    <w:p w14:paraId="2BF899C5">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目录</w:t>
      </w:r>
    </w:p>
    <w:p w14:paraId="4FDABD1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w:t>
      </w:r>
      <w:bookmarkStart w:id="66" w:name="_GoBack"/>
      <w:r>
        <w:rPr>
          <w:rFonts w:hint="eastAsia" w:ascii="宋体" w:hAnsi="宋体" w:eastAsia="宋体" w:cs="宋体"/>
          <w:color w:val="auto"/>
          <w:sz w:val="21"/>
          <w:szCs w:val="21"/>
          <w:highlight w:val="none"/>
        </w:rPr>
        <w:t>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0187A6D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 xml:space="preserve"> </w:t>
      </w:r>
    </w:p>
    <w:p w14:paraId="197A11D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项目人员配备表；（格式见附件）</w:t>
      </w:r>
    </w:p>
    <w:p w14:paraId="6B8FA70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4A58C64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color w:val="auto"/>
          <w:kern w:val="0"/>
          <w:sz w:val="21"/>
          <w:szCs w:val="21"/>
          <w:highlight w:val="none"/>
          <w:lang w:val="en-US" w:eastAsia="zh-CN"/>
        </w:rPr>
        <w:t>不少于2名且具有在本单位注册的二级及以上造价工程师（土木建筑工程专业至少1名）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432C691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承诺书：投标人对所提供的上述材料作出承诺，若投标人存在弄虚作假，提供虚假资料的，若中标，则取消中标资格。（</w:t>
      </w:r>
      <w:r>
        <w:rPr>
          <w:rFonts w:hint="eastAsia" w:ascii="宋体" w:hAnsi="宋体" w:cs="宋体"/>
          <w:b/>
          <w:bCs/>
          <w:color w:val="auto"/>
          <w:sz w:val="21"/>
          <w:szCs w:val="21"/>
          <w:highlight w:val="none"/>
          <w:lang w:val="en-US" w:eastAsia="zh-CN"/>
        </w:rPr>
        <w:t>承诺书格式自拟</w:t>
      </w:r>
      <w:r>
        <w:rPr>
          <w:rFonts w:hint="eastAsia" w:ascii="宋体" w:hAnsi="宋体" w:cs="宋体"/>
          <w:color w:val="auto"/>
          <w:sz w:val="21"/>
          <w:szCs w:val="21"/>
          <w:highlight w:val="none"/>
          <w:lang w:val="en-US" w:eastAsia="zh-CN"/>
        </w:rPr>
        <w:t>并注明开标日期，加盖投标单位公章）</w:t>
      </w:r>
    </w:p>
    <w:p w14:paraId="1966D4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须持有社保部门出具的本单位为其缴纳的投标前近三个月内任意一月的养老保险证明（含官网在线打印件，证明文件两个月内有效），或投标人提供承诺已为上述人员缴纳养老保险证明的承诺书（格式自拟）。</w:t>
      </w:r>
    </w:p>
    <w:p w14:paraId="25725BF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7AE780D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）投标人认为需要提供的其他材</w:t>
      </w:r>
      <w:bookmarkEnd w:id="66"/>
      <w:r>
        <w:rPr>
          <w:rFonts w:hint="eastAsia" w:ascii="宋体" w:hAnsi="宋体" w:eastAsia="宋体" w:cs="宋体"/>
          <w:color w:val="auto"/>
          <w:sz w:val="21"/>
          <w:szCs w:val="21"/>
          <w:highlight w:val="none"/>
          <w:lang w:val="en-US" w:eastAsia="zh-CN"/>
        </w:rPr>
        <w:t>料。</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keepNext w:val="0"/>
        <w:keepLines w:val="0"/>
        <w:pageBreakBefore w:val="0"/>
        <w:kinsoku/>
        <w:wordWrap/>
        <w:overflowPunct/>
        <w:topLinePunct w:val="0"/>
        <w:autoSpaceDE/>
        <w:autoSpaceDN/>
        <w:bidi w:val="0"/>
        <w:adjustRightInd/>
        <w:snapToGrid/>
        <w:spacing w:beforeLines="100" w:afterLines="100" w:line="500" w:lineRule="exact"/>
        <w:ind w:firstLine="180" w:firstLineChars="75"/>
        <w:rPr>
          <w:rFonts w:hint="eastAsia" w:ascii="宋体" w:hAnsi="宋体" w:eastAsia="宋体" w:cs="宋体"/>
          <w:b/>
          <w:color w:val="auto"/>
          <w:sz w:val="24"/>
          <w:szCs w:val="24"/>
          <w:highlight w:val="none"/>
        </w:rPr>
      </w:pPr>
      <w:bookmarkStart w:id="64" w:name="OLE_LINK13"/>
      <w:r>
        <w:rPr>
          <w:rFonts w:hint="eastAsia" w:ascii="宋体" w:hAnsi="宋体" w:eastAsia="宋体" w:cs="宋体"/>
          <w:color w:val="auto"/>
          <w:sz w:val="24"/>
          <w:szCs w:val="24"/>
          <w:highlight w:val="none"/>
        </w:rPr>
        <w:t>1、法定代表人身份证明</w:t>
      </w:r>
    </w:p>
    <w:p w14:paraId="41F8C1B0">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keepNext w:val="0"/>
        <w:keepLines w:val="0"/>
        <w:pageBreakBefore w:val="0"/>
        <w:kinsoku/>
        <w:wordWrap/>
        <w:overflowPunct/>
        <w:topLinePunct w:val="0"/>
        <w:autoSpaceDE/>
        <w:autoSpaceDN/>
        <w:bidi w:val="0"/>
        <w:adjustRightInd/>
        <w:snapToGrid/>
        <w:spacing w:line="50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keepNext w:val="0"/>
        <w:keepLines w:val="0"/>
        <w:pageBreakBefore w:val="0"/>
        <w:kinsoku/>
        <w:wordWrap/>
        <w:overflowPunct/>
        <w:topLinePunct w:val="0"/>
        <w:autoSpaceDE/>
        <w:autoSpaceDN/>
        <w:bidi w:val="0"/>
        <w:adjustRightInd/>
        <w:snapToGrid/>
        <w:spacing w:line="5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keepNext w:val="0"/>
        <w:keepLines w:val="0"/>
        <w:pageBreakBefore w:val="0"/>
        <w:kinsoku/>
        <w:wordWrap/>
        <w:overflowPunct/>
        <w:topLinePunct w:val="0"/>
        <w:autoSpaceDE/>
        <w:autoSpaceDN/>
        <w:bidi w:val="0"/>
        <w:adjustRightInd/>
        <w:snapToGrid/>
        <w:spacing w:line="500" w:lineRule="exact"/>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64"/>
    <w:p w14:paraId="1102F2A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keepNext w:val="0"/>
        <w:keepLines w:val="0"/>
        <w:pageBreakBefore w:val="0"/>
        <w:kinsoku/>
        <w:wordWrap/>
        <w:overflowPunct/>
        <w:topLinePunct w:val="0"/>
        <w:autoSpaceDE/>
        <w:autoSpaceDN/>
        <w:bidi w:val="0"/>
        <w:adjustRightInd/>
        <w:snapToGrid/>
        <w:spacing w:line="500" w:lineRule="exact"/>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keepNext w:val="0"/>
        <w:keepLines w:val="0"/>
        <w:pageBreakBefore w:val="0"/>
        <w:kinsoku/>
        <w:wordWrap/>
        <w:overflowPunct/>
        <w:topLinePunct w:val="0"/>
        <w:autoSpaceDE/>
        <w:autoSpaceDN/>
        <w:bidi w:val="0"/>
        <w:adjustRightInd/>
        <w:snapToGrid/>
        <w:spacing w:line="50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keepNext w:val="0"/>
        <w:keepLines w:val="0"/>
        <w:pageBreakBefore w:val="0"/>
        <w:kinsoku/>
        <w:wordWrap/>
        <w:overflowPunct/>
        <w:topLinePunct w:val="0"/>
        <w:autoSpaceDE/>
        <w:autoSpaceDN/>
        <w:bidi w:val="0"/>
        <w:adjustRightInd/>
        <w:snapToGrid/>
        <w:spacing w:line="50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33159AC">
      <w:pPr>
        <w:keepNext w:val="0"/>
        <w:keepLines w:val="0"/>
        <w:pageBreakBefore w:val="0"/>
        <w:kinsoku/>
        <w:wordWrap/>
        <w:overflowPunct/>
        <w:topLinePunct w:val="0"/>
        <w:autoSpaceDE/>
        <w:autoSpaceDN/>
        <w:bidi w:val="0"/>
        <w:adjustRightInd/>
        <w:snapToGrid/>
        <w:spacing w:line="50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120AF3BB">
      <w:pPr>
        <w:pStyle w:val="2"/>
        <w:rPr>
          <w:rFonts w:hint="eastAsia" w:ascii="宋体" w:hAnsi="宋体" w:eastAsia="宋体" w:cs="宋体"/>
          <w:b/>
          <w:bCs/>
          <w:color w:val="auto"/>
          <w:kern w:val="0"/>
          <w:sz w:val="24"/>
          <w:szCs w:val="24"/>
          <w:highlight w:val="none"/>
        </w:rPr>
      </w:pPr>
    </w:p>
    <w:p w14:paraId="211E7ADA">
      <w:pPr>
        <w:rPr>
          <w:rFonts w:hint="eastAsia" w:ascii="宋体" w:hAnsi="宋体" w:eastAsia="宋体" w:cs="宋体"/>
          <w:b/>
          <w:bCs/>
          <w:color w:val="auto"/>
          <w:kern w:val="0"/>
          <w:sz w:val="24"/>
          <w:szCs w:val="24"/>
          <w:highlight w:val="none"/>
        </w:rPr>
      </w:pPr>
    </w:p>
    <w:p w14:paraId="092A8BF1">
      <w:pPr>
        <w:pStyle w:val="2"/>
        <w:rPr>
          <w:rFonts w:hint="eastAsia" w:ascii="宋体" w:hAnsi="宋体" w:eastAsia="宋体" w:cs="宋体"/>
          <w:b/>
          <w:bCs/>
          <w:color w:val="auto"/>
          <w:kern w:val="0"/>
          <w:sz w:val="24"/>
          <w:szCs w:val="24"/>
          <w:highlight w:val="none"/>
        </w:rPr>
      </w:pPr>
    </w:p>
    <w:p w14:paraId="659E2F7C">
      <w:pPr>
        <w:rPr>
          <w:rFonts w:hint="eastAsia" w:ascii="宋体" w:hAnsi="宋体" w:eastAsia="宋体" w:cs="宋体"/>
          <w:b/>
          <w:bCs/>
          <w:color w:val="auto"/>
          <w:kern w:val="0"/>
          <w:sz w:val="24"/>
          <w:szCs w:val="24"/>
          <w:highlight w:val="none"/>
        </w:rPr>
      </w:pPr>
    </w:p>
    <w:p w14:paraId="3391986C">
      <w:pPr>
        <w:pStyle w:val="2"/>
        <w:rPr>
          <w:rFonts w:hint="eastAsia"/>
          <w:color w:val="auto"/>
          <w:highlight w:val="none"/>
        </w:rPr>
      </w:pPr>
    </w:p>
    <w:p w14:paraId="21FDDC94">
      <w:pPr>
        <w:pStyle w:val="42"/>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2"/>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60ABF83A">
      <w:pPr>
        <w:pStyle w:val="2"/>
        <w:rPr>
          <w:rFonts w:hint="eastAsia" w:ascii="宋体" w:hAnsi="宋体" w:eastAsia="宋体" w:cs="宋体"/>
          <w:b/>
          <w:bCs/>
          <w:color w:val="auto"/>
          <w:sz w:val="28"/>
          <w:szCs w:val="28"/>
          <w:highlight w:val="none"/>
        </w:rPr>
      </w:pPr>
    </w:p>
    <w:p w14:paraId="6845B6C8">
      <w:pPr>
        <w:rPr>
          <w:rFonts w:hint="eastAsia" w:ascii="宋体" w:hAnsi="宋体" w:eastAsia="宋体" w:cs="宋体"/>
          <w:b/>
          <w:bCs/>
          <w:color w:val="auto"/>
          <w:sz w:val="28"/>
          <w:szCs w:val="28"/>
          <w:highlight w:val="none"/>
        </w:rPr>
      </w:pPr>
    </w:p>
    <w:p w14:paraId="76B03207">
      <w:pPr>
        <w:pStyle w:val="2"/>
        <w:rPr>
          <w:rFonts w:hint="eastAsia"/>
          <w:color w:val="auto"/>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（项目名称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73B4654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2.我方愿意按照招标文件规定的各项要求，</w:t>
      </w:r>
      <w:r>
        <w:rPr>
          <w:rFonts w:hint="eastAsia" w:ascii="宋体"/>
          <w:color w:val="auto"/>
          <w:szCs w:val="21"/>
          <w:highlight w:val="none"/>
        </w:rPr>
        <w:t>向</w:t>
      </w:r>
      <w:r>
        <w:rPr>
          <w:rFonts w:hint="eastAsia" w:ascii="宋体"/>
          <w:color w:val="auto"/>
          <w:szCs w:val="21"/>
          <w:highlight w:val="none"/>
          <w:lang w:val="en-US" w:eastAsia="zh-CN"/>
        </w:rPr>
        <w:t>招标</w:t>
      </w:r>
      <w:r>
        <w:rPr>
          <w:rFonts w:hint="eastAsia" w:ascii="宋体"/>
          <w:color w:val="auto"/>
          <w:szCs w:val="21"/>
          <w:highlight w:val="none"/>
        </w:rPr>
        <w:t>人提供</w:t>
      </w:r>
      <w:r>
        <w:rPr>
          <w:rFonts w:hint="eastAsia" w:ascii="宋体"/>
          <w:color w:val="auto"/>
          <w:szCs w:val="21"/>
          <w:highlight w:val="none"/>
          <w:lang w:val="en-US" w:eastAsia="zh-CN"/>
        </w:rPr>
        <w:t>本</w:t>
      </w:r>
      <w:r>
        <w:rPr>
          <w:rFonts w:hint="eastAsia" w:ascii="宋体"/>
          <w:color w:val="auto"/>
          <w:szCs w:val="21"/>
          <w:highlight w:val="none"/>
        </w:rPr>
        <w:t>项目的服务，我方报价为</w:t>
      </w:r>
      <w:r>
        <w:rPr>
          <w:rFonts w:hint="eastAsia" w:ascii="宋体"/>
          <w:b/>
          <w:bCs/>
          <w:color w:val="auto"/>
          <w:szCs w:val="21"/>
          <w:highlight w:val="none"/>
        </w:rPr>
        <w:t>基本费率</w:t>
      </w:r>
      <w:r>
        <w:rPr>
          <w:rFonts w:hint="eastAsia" w:ascii="宋体"/>
          <w:b/>
          <w:bCs/>
          <w:color w:val="auto"/>
          <w:szCs w:val="21"/>
          <w:highlight w:val="none"/>
          <w:u w:val="single"/>
        </w:rPr>
        <w:t xml:space="preserve">      </w:t>
      </w:r>
      <w:r>
        <w:rPr>
          <w:rFonts w:hint="eastAsia" w:ascii="宋体"/>
          <w:b/>
          <w:bCs/>
          <w:color w:val="auto"/>
          <w:szCs w:val="21"/>
          <w:highlight w:val="none"/>
        </w:rPr>
        <w:t>‰</w:t>
      </w:r>
      <w:r>
        <w:rPr>
          <w:rFonts w:hint="eastAsia" w:ascii="宋体"/>
          <w:b/>
          <w:bCs/>
          <w:color w:val="auto"/>
          <w:szCs w:val="21"/>
          <w:highlight w:val="none"/>
          <w:lang w:eastAsia="zh-CN"/>
        </w:rPr>
        <w:t>、</w:t>
      </w:r>
      <w:r>
        <w:rPr>
          <w:rFonts w:hint="eastAsia" w:ascii="宋体" w:hAnsi="Times New Roman" w:eastAsia="宋体" w:cs="Times New Roman"/>
          <w:b/>
          <w:bCs/>
          <w:color w:val="auto"/>
          <w:szCs w:val="21"/>
          <w:highlight w:val="none"/>
        </w:rPr>
        <w:t>审核成果费率</w:t>
      </w:r>
      <w:r>
        <w:rPr>
          <w:rFonts w:hint="eastAsia" w:ascii="宋体" w:hAnsi="Times New Roman" w:eastAsia="宋体" w:cs="Times New Roman"/>
          <w:b/>
          <w:bCs/>
          <w:color w:val="auto"/>
          <w:szCs w:val="21"/>
          <w:highlight w:val="none"/>
          <w:lang w:val="en-US" w:eastAsia="zh-CN"/>
        </w:rPr>
        <w:t>4</w:t>
      </w:r>
      <w:r>
        <w:rPr>
          <w:rFonts w:hint="eastAsia" w:ascii="宋体" w:hAnsi="Times New Roman" w:eastAsia="宋体" w:cs="Times New Roman"/>
          <w:b/>
          <w:bCs/>
          <w:color w:val="auto"/>
          <w:szCs w:val="21"/>
          <w:highlight w:val="none"/>
        </w:rPr>
        <w:t>%</w:t>
      </w:r>
      <w:r>
        <w:rPr>
          <w:rFonts w:hint="eastAsia" w:ascii="宋体"/>
          <w:b/>
          <w:bCs/>
          <w:color w:val="auto"/>
          <w:szCs w:val="21"/>
          <w:highlight w:val="none"/>
        </w:rPr>
        <w:t>。</w:t>
      </w:r>
      <w:r>
        <w:rPr>
          <w:rFonts w:hint="eastAsia" w:ascii="宋体"/>
          <w:color w:val="auto"/>
          <w:szCs w:val="21"/>
          <w:highlight w:val="none"/>
        </w:rPr>
        <w:t>项目负责人为</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，服务期：</w:t>
      </w:r>
      <w:r>
        <w:rPr>
          <w:rFonts w:hint="eastAsia" w:ascii="宋体" w:hAnsi="宋体" w:cs="宋体"/>
          <w:color w:val="auto"/>
          <w:sz w:val="21"/>
          <w:szCs w:val="21"/>
          <w:highlight w:val="none"/>
          <w:u w:val="single"/>
          <w:lang w:val="en-US" w:eastAsia="zh-CN"/>
        </w:rPr>
        <w:t>自签订合同之日起至整体竣工验收合格并出具经审核的审核成果文件止</w:t>
      </w:r>
      <w:r>
        <w:rPr>
          <w:rFonts w:hint="eastAsia" w:ascii="宋体" w:hAnsi="宋体" w:eastAsia="宋体" w:cs="宋体"/>
          <w:color w:val="auto"/>
          <w:szCs w:val="21"/>
          <w:highlight w:val="none"/>
        </w:rPr>
        <w:t>。</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val="en-US" w:eastAsia="zh-CN"/>
        </w:rPr>
        <w:t xml:space="preserve">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份，其中正本一份、副本</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2"/>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65D13AF">
      <w:pPr>
        <w:spacing w:line="360" w:lineRule="auto"/>
        <w:jc w:val="center"/>
        <w:rPr>
          <w:rFonts w:hint="eastAsia" w:ascii="宋体" w:hAnsi="宋体" w:eastAsia="宋体" w:cs="宋体"/>
          <w:b/>
          <w:bCs/>
          <w:color w:val="auto"/>
          <w:kern w:val="0"/>
          <w:sz w:val="30"/>
          <w:szCs w:val="30"/>
          <w:highlight w:val="none"/>
        </w:rPr>
      </w:pPr>
      <w:r>
        <w:rPr>
          <w:rFonts w:hint="eastAsia" w:ascii="宋体" w:hAnsi="宋体" w:cs="宋体"/>
          <w:b/>
          <w:color w:val="auto"/>
          <w:sz w:val="28"/>
          <w:szCs w:val="28"/>
          <w:highlight w:val="none"/>
          <w:lang w:val="en-US" w:eastAsia="zh-CN"/>
        </w:rPr>
        <w:t>系统填报的投标费率与本投标函不一致时，以本投标函为准</w:t>
      </w:r>
    </w:p>
    <w:p w14:paraId="45CA7A92">
      <w:pPr>
        <w:pStyle w:val="6"/>
        <w:spacing w:before="0" w:after="0"/>
        <w:jc w:val="both"/>
        <w:rPr>
          <w:rFonts w:hint="eastAsia" w:ascii="宋体" w:hAnsi="宋体" w:eastAsia="宋体" w:cs="宋体"/>
          <w:color w:val="auto"/>
          <w:highlight w:val="none"/>
          <w:lang w:val="en-US" w:eastAsia="zh-CN"/>
        </w:rPr>
      </w:pPr>
      <w:bookmarkStart w:id="65" w:name="_Toc31498"/>
    </w:p>
    <w:p w14:paraId="3718D3FE">
      <w:pPr>
        <w:pStyle w:val="6"/>
        <w:spacing w:before="0" w:after="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第五章 招标单位、招标代理机构对本招标文件的确认</w:t>
      </w:r>
      <w:bookmarkEnd w:id="65"/>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明湖公园园路应急工程跟踪审计项目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2A18F676">
            <w:pPr>
              <w:spacing w:line="320" w:lineRule="atLeast"/>
              <w:ind w:firstLine="560" w:firstLineChars="200"/>
              <w:rPr>
                <w:rFonts w:hint="eastAsia"/>
                <w:color w:val="auto"/>
                <w:sz w:val="24"/>
                <w:szCs w:val="18"/>
                <w:highlight w:val="none"/>
                <w:u w:val="single"/>
                <w:lang w:eastAsia="zh-CN"/>
              </w:rPr>
            </w:pPr>
            <w:r>
              <w:rPr>
                <w:rFonts w:hint="eastAsia" w:ascii="宋体" w:hAnsi="宋体" w:eastAsia="宋体" w:cs="宋体"/>
                <w:color w:val="auto"/>
                <w:sz w:val="28"/>
                <w:szCs w:val="28"/>
                <w:highlight w:val="none"/>
              </w:rPr>
              <w:t>招标</w:t>
            </w:r>
            <w:r>
              <w:rPr>
                <w:rFonts w:hint="eastAsia" w:ascii="宋体" w:hAnsi="宋体" w:eastAsia="宋体" w:cs="宋体"/>
                <w:color w:val="auto"/>
                <w:sz w:val="28"/>
                <w:szCs w:val="28"/>
                <w:highlight w:val="none"/>
                <w:lang w:val="en-US" w:eastAsia="zh-CN"/>
              </w:rPr>
              <w:t>人：</w:t>
            </w:r>
            <w:r>
              <w:rPr>
                <w:rFonts w:hint="eastAsia" w:ascii="宋体" w:hAnsi="宋体" w:cs="宋体"/>
                <w:color w:val="auto"/>
                <w:sz w:val="28"/>
                <w:szCs w:val="28"/>
                <w:highlight w:val="none"/>
                <w:lang w:val="en-US" w:eastAsia="zh-CN"/>
              </w:rPr>
              <w:t>滁州市明湖建设管理服务中心</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钟兰翔</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15155005346</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2026年4月</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周晓培</w:t>
            </w:r>
          </w:p>
          <w:p w14:paraId="3E3D785F">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0550-3519512、</w:t>
            </w:r>
            <w:r>
              <w:rPr>
                <w:rFonts w:hint="eastAsia" w:ascii="宋体" w:hAnsi="宋体" w:cs="宋体"/>
                <w:color w:val="auto"/>
                <w:sz w:val="28"/>
                <w:szCs w:val="28"/>
                <w:highlight w:val="none"/>
                <w:lang w:val="en-US" w:eastAsia="zh-CN"/>
              </w:rPr>
              <w:t>18255055896</w:t>
            </w:r>
          </w:p>
          <w:p w14:paraId="497AA04E">
            <w:pPr>
              <w:rPr>
                <w:rFonts w:hint="eastAsia" w:ascii="宋体" w:hAnsi="宋体" w:eastAsia="宋体" w:cs="宋体"/>
                <w:color w:val="auto"/>
                <w:sz w:val="28"/>
                <w:szCs w:val="28"/>
                <w:highlight w:val="none"/>
              </w:rPr>
            </w:pPr>
          </w:p>
          <w:p w14:paraId="00473FA3">
            <w:pPr>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0AF574C">
            <w:pPr>
              <w:ind w:firstLine="5320" w:firstLineChars="1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5AE54977">
            <w:pPr>
              <w:ind w:firstLine="5180" w:firstLineChars="18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2026年4月</w:t>
            </w:r>
          </w:p>
        </w:tc>
      </w:tr>
    </w:tbl>
    <w:p w14:paraId="400D73C6">
      <w:pPr>
        <w:rPr>
          <w:rFonts w:hint="eastAsia" w:ascii="宋体" w:hAnsi="宋体" w:eastAsia="宋体" w:cs="宋体"/>
          <w:color w:val="auto"/>
          <w:kern w:val="0"/>
          <w:sz w:val="24"/>
          <w:szCs w:val="24"/>
          <w:highlight w:val="none"/>
        </w:rPr>
      </w:pPr>
    </w:p>
    <w:sectPr>
      <w:headerReference r:id="rId7" w:type="default"/>
      <w:footerReference r:id="rId8"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30"/>
      <w:rPr>
        <w:rStyle w:val="49"/>
      </w:rPr>
    </w:pPr>
  </w:p>
  <w:p w14:paraId="24D89652">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30"/>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D085">
    <w:pPr>
      <w:pStyle w:val="30"/>
      <w:ind w:right="360" w:firstLine="360"/>
      <w:jc w:val="right"/>
      <w:rPr>
        <w:rFonts w:hint="default" w:eastAsia="Times New Roman"/>
        <w:sz w:val="18"/>
        <w:szCs w:val="24"/>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9F3AA">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E9F3AA">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6950247D">
    <w:pPr>
      <w:pStyle w:val="30"/>
      <w:rPr>
        <w:rFonts w:hint="default" w:eastAsia="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30"/>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58E92">
                          <w:pPr>
                            <w:pStyle w:val="3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058E92">
                    <w:pPr>
                      <w:pStyle w:val="30"/>
                    </w:pPr>
                    <w:r>
                      <w:fldChar w:fldCharType="begin"/>
                    </w:r>
                    <w:r>
                      <w:instrText xml:space="preserve"> PAGE  \* MERGEFORMAT </w:instrText>
                    </w:r>
                    <w:r>
                      <w:fldChar w:fldCharType="separate"/>
                    </w:r>
                    <w:r>
                      <w:t>25</w:t>
                    </w:r>
                    <w:r>
                      <w:fldChar w:fldCharType="end"/>
                    </w:r>
                  </w:p>
                </w:txbxContent>
              </v:textbox>
            </v:shape>
          </w:pict>
        </mc:Fallback>
      </mc:AlternateContent>
    </w:r>
  </w:p>
  <w:p w14:paraId="157870D5">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D6091">
    <w:pPr>
      <w:pStyle w:val="3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6F283F"/>
    <w:rsid w:val="02326A33"/>
    <w:rsid w:val="023C4E17"/>
    <w:rsid w:val="02860CE1"/>
    <w:rsid w:val="028D0613"/>
    <w:rsid w:val="02A06DF6"/>
    <w:rsid w:val="02AD40CA"/>
    <w:rsid w:val="03311B51"/>
    <w:rsid w:val="035607B0"/>
    <w:rsid w:val="035A0B08"/>
    <w:rsid w:val="03BE185C"/>
    <w:rsid w:val="03DD3435"/>
    <w:rsid w:val="04441D61"/>
    <w:rsid w:val="04880F3B"/>
    <w:rsid w:val="04BB1052"/>
    <w:rsid w:val="058F1702"/>
    <w:rsid w:val="058F191A"/>
    <w:rsid w:val="05D969D0"/>
    <w:rsid w:val="063D2F0C"/>
    <w:rsid w:val="064047AA"/>
    <w:rsid w:val="06C76C7A"/>
    <w:rsid w:val="07023E8A"/>
    <w:rsid w:val="073060B3"/>
    <w:rsid w:val="073F34F8"/>
    <w:rsid w:val="07855569"/>
    <w:rsid w:val="07DD03A2"/>
    <w:rsid w:val="07EA0E72"/>
    <w:rsid w:val="082779D0"/>
    <w:rsid w:val="08891FDF"/>
    <w:rsid w:val="08EE1782"/>
    <w:rsid w:val="090B57DF"/>
    <w:rsid w:val="094625ED"/>
    <w:rsid w:val="098B0432"/>
    <w:rsid w:val="098C0FAE"/>
    <w:rsid w:val="0A1370D9"/>
    <w:rsid w:val="0A426CE3"/>
    <w:rsid w:val="0A783487"/>
    <w:rsid w:val="0A920A74"/>
    <w:rsid w:val="0B1A05CF"/>
    <w:rsid w:val="0B3B4932"/>
    <w:rsid w:val="0B644A83"/>
    <w:rsid w:val="0B8A5AE2"/>
    <w:rsid w:val="0B9510F4"/>
    <w:rsid w:val="0BD96130"/>
    <w:rsid w:val="0C30371E"/>
    <w:rsid w:val="0C47209B"/>
    <w:rsid w:val="0CDE4AF1"/>
    <w:rsid w:val="0CEC2F96"/>
    <w:rsid w:val="0D2F7233"/>
    <w:rsid w:val="0DB0649C"/>
    <w:rsid w:val="0E2234E7"/>
    <w:rsid w:val="0E832759"/>
    <w:rsid w:val="0ECF7747"/>
    <w:rsid w:val="0F985657"/>
    <w:rsid w:val="0F9D46EF"/>
    <w:rsid w:val="10525806"/>
    <w:rsid w:val="11D57582"/>
    <w:rsid w:val="124026B6"/>
    <w:rsid w:val="12C329EB"/>
    <w:rsid w:val="13114D0E"/>
    <w:rsid w:val="137A735A"/>
    <w:rsid w:val="13B24508"/>
    <w:rsid w:val="13E54BBD"/>
    <w:rsid w:val="146A48E5"/>
    <w:rsid w:val="146D5339"/>
    <w:rsid w:val="151B60BE"/>
    <w:rsid w:val="152F63E2"/>
    <w:rsid w:val="156009C5"/>
    <w:rsid w:val="158272E5"/>
    <w:rsid w:val="15995C85"/>
    <w:rsid w:val="15D60886"/>
    <w:rsid w:val="168140E7"/>
    <w:rsid w:val="16A220B2"/>
    <w:rsid w:val="16AB249D"/>
    <w:rsid w:val="16E538DC"/>
    <w:rsid w:val="17153410"/>
    <w:rsid w:val="17873285"/>
    <w:rsid w:val="17A86B91"/>
    <w:rsid w:val="183A085F"/>
    <w:rsid w:val="192341E3"/>
    <w:rsid w:val="19475149"/>
    <w:rsid w:val="1A1E40F3"/>
    <w:rsid w:val="1AF847D0"/>
    <w:rsid w:val="1B4058F8"/>
    <w:rsid w:val="1B994E21"/>
    <w:rsid w:val="1BFA180F"/>
    <w:rsid w:val="1C136BB6"/>
    <w:rsid w:val="1C4B5EA8"/>
    <w:rsid w:val="1C4B6410"/>
    <w:rsid w:val="1C6F14EE"/>
    <w:rsid w:val="1C8629DB"/>
    <w:rsid w:val="1E1554ED"/>
    <w:rsid w:val="1E66223E"/>
    <w:rsid w:val="1FA4448B"/>
    <w:rsid w:val="2022793B"/>
    <w:rsid w:val="207B6E01"/>
    <w:rsid w:val="211B1C44"/>
    <w:rsid w:val="21430D7A"/>
    <w:rsid w:val="21777C96"/>
    <w:rsid w:val="21F200C1"/>
    <w:rsid w:val="224A075F"/>
    <w:rsid w:val="22B47FDF"/>
    <w:rsid w:val="22E66E8E"/>
    <w:rsid w:val="23816BA4"/>
    <w:rsid w:val="23B802A0"/>
    <w:rsid w:val="23D32625"/>
    <w:rsid w:val="24244ED1"/>
    <w:rsid w:val="244B45EE"/>
    <w:rsid w:val="24984D89"/>
    <w:rsid w:val="25184226"/>
    <w:rsid w:val="254E4396"/>
    <w:rsid w:val="25BF5294"/>
    <w:rsid w:val="25E4098B"/>
    <w:rsid w:val="26252182"/>
    <w:rsid w:val="265122FF"/>
    <w:rsid w:val="265E174C"/>
    <w:rsid w:val="2686038F"/>
    <w:rsid w:val="26EF5515"/>
    <w:rsid w:val="274F505D"/>
    <w:rsid w:val="28277AED"/>
    <w:rsid w:val="28C72B2B"/>
    <w:rsid w:val="29671ECA"/>
    <w:rsid w:val="29CE5AA6"/>
    <w:rsid w:val="29E75E0C"/>
    <w:rsid w:val="29F23E8A"/>
    <w:rsid w:val="2A241E9E"/>
    <w:rsid w:val="2A566AD6"/>
    <w:rsid w:val="2AC67F2B"/>
    <w:rsid w:val="2B0B3469"/>
    <w:rsid w:val="2B367DA6"/>
    <w:rsid w:val="2B52413C"/>
    <w:rsid w:val="2C7D3C0D"/>
    <w:rsid w:val="2C874AAF"/>
    <w:rsid w:val="2C8E66A6"/>
    <w:rsid w:val="2CAF5168"/>
    <w:rsid w:val="2CBB47F9"/>
    <w:rsid w:val="2CFF7759"/>
    <w:rsid w:val="2D4A1910"/>
    <w:rsid w:val="2DFF7667"/>
    <w:rsid w:val="2E094915"/>
    <w:rsid w:val="2E267150"/>
    <w:rsid w:val="2EFD1D1D"/>
    <w:rsid w:val="2F0B779C"/>
    <w:rsid w:val="2F3A186E"/>
    <w:rsid w:val="2F3F53AA"/>
    <w:rsid w:val="2FE563D7"/>
    <w:rsid w:val="30D047F9"/>
    <w:rsid w:val="310B4442"/>
    <w:rsid w:val="312863E3"/>
    <w:rsid w:val="31FB42D0"/>
    <w:rsid w:val="32852601"/>
    <w:rsid w:val="32B47BD5"/>
    <w:rsid w:val="32D3700E"/>
    <w:rsid w:val="32F07192"/>
    <w:rsid w:val="332433C5"/>
    <w:rsid w:val="3376156C"/>
    <w:rsid w:val="33A93AA6"/>
    <w:rsid w:val="33DB598F"/>
    <w:rsid w:val="343A5EA5"/>
    <w:rsid w:val="348E387D"/>
    <w:rsid w:val="34D36666"/>
    <w:rsid w:val="35A46FAE"/>
    <w:rsid w:val="368816D2"/>
    <w:rsid w:val="36A57F38"/>
    <w:rsid w:val="36B50719"/>
    <w:rsid w:val="36E40AF7"/>
    <w:rsid w:val="37026723"/>
    <w:rsid w:val="373904E1"/>
    <w:rsid w:val="37526B7E"/>
    <w:rsid w:val="385F78F9"/>
    <w:rsid w:val="398960D8"/>
    <w:rsid w:val="39E8421F"/>
    <w:rsid w:val="3A066436"/>
    <w:rsid w:val="3A1A1E46"/>
    <w:rsid w:val="3A2516BB"/>
    <w:rsid w:val="3B3C635C"/>
    <w:rsid w:val="3C557FDA"/>
    <w:rsid w:val="3CC176EC"/>
    <w:rsid w:val="3CCB04A6"/>
    <w:rsid w:val="3CD37326"/>
    <w:rsid w:val="3CDD6728"/>
    <w:rsid w:val="3DA16242"/>
    <w:rsid w:val="3DCB2BE5"/>
    <w:rsid w:val="3E7850FA"/>
    <w:rsid w:val="3EED354E"/>
    <w:rsid w:val="3F1410DB"/>
    <w:rsid w:val="3F173AB4"/>
    <w:rsid w:val="3F370F3A"/>
    <w:rsid w:val="3F7A539C"/>
    <w:rsid w:val="3F91051D"/>
    <w:rsid w:val="3FB5783A"/>
    <w:rsid w:val="3FBF6165"/>
    <w:rsid w:val="408338D7"/>
    <w:rsid w:val="40DC4AF4"/>
    <w:rsid w:val="41510996"/>
    <w:rsid w:val="42147451"/>
    <w:rsid w:val="43727992"/>
    <w:rsid w:val="43881670"/>
    <w:rsid w:val="43E82525"/>
    <w:rsid w:val="44592EA6"/>
    <w:rsid w:val="44692B43"/>
    <w:rsid w:val="44A8055A"/>
    <w:rsid w:val="44F7334E"/>
    <w:rsid w:val="45AF30FD"/>
    <w:rsid w:val="46420BB9"/>
    <w:rsid w:val="465B3014"/>
    <w:rsid w:val="47121FD0"/>
    <w:rsid w:val="47174AD8"/>
    <w:rsid w:val="472F5293"/>
    <w:rsid w:val="473A07C7"/>
    <w:rsid w:val="47AE55ED"/>
    <w:rsid w:val="47CE2573"/>
    <w:rsid w:val="47DB0FE0"/>
    <w:rsid w:val="47DE55F6"/>
    <w:rsid w:val="47E837E0"/>
    <w:rsid w:val="47EB386F"/>
    <w:rsid w:val="485A4022"/>
    <w:rsid w:val="48986B3F"/>
    <w:rsid w:val="48B819A3"/>
    <w:rsid w:val="494476DB"/>
    <w:rsid w:val="49B66251"/>
    <w:rsid w:val="49F378CA"/>
    <w:rsid w:val="4A125037"/>
    <w:rsid w:val="4A49578E"/>
    <w:rsid w:val="4AB455FC"/>
    <w:rsid w:val="4B4C6831"/>
    <w:rsid w:val="4B5A1437"/>
    <w:rsid w:val="4B78366B"/>
    <w:rsid w:val="4BB93099"/>
    <w:rsid w:val="4C03562B"/>
    <w:rsid w:val="4CA21C4A"/>
    <w:rsid w:val="4D8B3B2A"/>
    <w:rsid w:val="4DED476F"/>
    <w:rsid w:val="4E87606B"/>
    <w:rsid w:val="4EBD5F65"/>
    <w:rsid w:val="4ED1777D"/>
    <w:rsid w:val="4F281B57"/>
    <w:rsid w:val="4F443F90"/>
    <w:rsid w:val="4F627A2B"/>
    <w:rsid w:val="4F74239C"/>
    <w:rsid w:val="4F8A1859"/>
    <w:rsid w:val="4FCD4721"/>
    <w:rsid w:val="502D24E4"/>
    <w:rsid w:val="504773D5"/>
    <w:rsid w:val="50C730CB"/>
    <w:rsid w:val="50EC70D4"/>
    <w:rsid w:val="511E5BAD"/>
    <w:rsid w:val="51267930"/>
    <w:rsid w:val="513100D0"/>
    <w:rsid w:val="513918A9"/>
    <w:rsid w:val="517F3DD4"/>
    <w:rsid w:val="51BC2AE8"/>
    <w:rsid w:val="52244348"/>
    <w:rsid w:val="52B72CCB"/>
    <w:rsid w:val="52CE5689"/>
    <w:rsid w:val="52D41ACF"/>
    <w:rsid w:val="550A5C7C"/>
    <w:rsid w:val="55344AA7"/>
    <w:rsid w:val="555D7576"/>
    <w:rsid w:val="557D01FC"/>
    <w:rsid w:val="558A3D0F"/>
    <w:rsid w:val="559A68B9"/>
    <w:rsid w:val="56505911"/>
    <w:rsid w:val="569E5C28"/>
    <w:rsid w:val="56B17EF3"/>
    <w:rsid w:val="56F21ED5"/>
    <w:rsid w:val="57313D11"/>
    <w:rsid w:val="578D69F6"/>
    <w:rsid w:val="57D91936"/>
    <w:rsid w:val="58311B26"/>
    <w:rsid w:val="585D4315"/>
    <w:rsid w:val="5903310E"/>
    <w:rsid w:val="59254E33"/>
    <w:rsid w:val="595079D6"/>
    <w:rsid w:val="5952374E"/>
    <w:rsid w:val="597E4543"/>
    <w:rsid w:val="599A4762"/>
    <w:rsid w:val="59B94A33"/>
    <w:rsid w:val="59C42C57"/>
    <w:rsid w:val="5A096502"/>
    <w:rsid w:val="5AFB2C32"/>
    <w:rsid w:val="5B2F036B"/>
    <w:rsid w:val="5B5877E2"/>
    <w:rsid w:val="5BA9771F"/>
    <w:rsid w:val="5BAC7A1D"/>
    <w:rsid w:val="5BAE0EF6"/>
    <w:rsid w:val="5BE3458F"/>
    <w:rsid w:val="5DCA244C"/>
    <w:rsid w:val="5DD0286D"/>
    <w:rsid w:val="5DF748C4"/>
    <w:rsid w:val="5EEA0F2A"/>
    <w:rsid w:val="5EF33755"/>
    <w:rsid w:val="5F475C98"/>
    <w:rsid w:val="5F9D1CA2"/>
    <w:rsid w:val="5FB51E86"/>
    <w:rsid w:val="5FD300DB"/>
    <w:rsid w:val="5FE25B93"/>
    <w:rsid w:val="603460E3"/>
    <w:rsid w:val="603F3AE9"/>
    <w:rsid w:val="608C59E7"/>
    <w:rsid w:val="61051B53"/>
    <w:rsid w:val="61095D5D"/>
    <w:rsid w:val="61284751"/>
    <w:rsid w:val="61B825BC"/>
    <w:rsid w:val="62167BF8"/>
    <w:rsid w:val="621A5025"/>
    <w:rsid w:val="629F458E"/>
    <w:rsid w:val="62BE3C02"/>
    <w:rsid w:val="633D0FCB"/>
    <w:rsid w:val="63637DFA"/>
    <w:rsid w:val="63A72C64"/>
    <w:rsid w:val="63C40272"/>
    <w:rsid w:val="643C6659"/>
    <w:rsid w:val="64F222D0"/>
    <w:rsid w:val="655541D3"/>
    <w:rsid w:val="65594766"/>
    <w:rsid w:val="65620A5E"/>
    <w:rsid w:val="65AE22F3"/>
    <w:rsid w:val="65C12033"/>
    <w:rsid w:val="66465782"/>
    <w:rsid w:val="66AF6E4C"/>
    <w:rsid w:val="670A4733"/>
    <w:rsid w:val="67915D89"/>
    <w:rsid w:val="67DE5EA5"/>
    <w:rsid w:val="68E615DD"/>
    <w:rsid w:val="6907286A"/>
    <w:rsid w:val="6908397B"/>
    <w:rsid w:val="6980658C"/>
    <w:rsid w:val="69F22205"/>
    <w:rsid w:val="6A16299D"/>
    <w:rsid w:val="6A8E035E"/>
    <w:rsid w:val="6B354DBB"/>
    <w:rsid w:val="6CC00CAD"/>
    <w:rsid w:val="6D0B604A"/>
    <w:rsid w:val="6DAC05BE"/>
    <w:rsid w:val="6E2337BB"/>
    <w:rsid w:val="6E802F39"/>
    <w:rsid w:val="6F5F3A74"/>
    <w:rsid w:val="6F8373FF"/>
    <w:rsid w:val="6FC06D93"/>
    <w:rsid w:val="6FDE7145"/>
    <w:rsid w:val="701268B7"/>
    <w:rsid w:val="7025059A"/>
    <w:rsid w:val="708446DD"/>
    <w:rsid w:val="713E6246"/>
    <w:rsid w:val="725809D6"/>
    <w:rsid w:val="72EE22E1"/>
    <w:rsid w:val="73840989"/>
    <w:rsid w:val="73875405"/>
    <w:rsid w:val="7399049F"/>
    <w:rsid w:val="73B74532"/>
    <w:rsid w:val="74425F26"/>
    <w:rsid w:val="7465021C"/>
    <w:rsid w:val="7487178B"/>
    <w:rsid w:val="74CC7CBB"/>
    <w:rsid w:val="75847F67"/>
    <w:rsid w:val="7682140E"/>
    <w:rsid w:val="76D0242A"/>
    <w:rsid w:val="76D62696"/>
    <w:rsid w:val="77337D0A"/>
    <w:rsid w:val="774E2667"/>
    <w:rsid w:val="77910BE3"/>
    <w:rsid w:val="78270463"/>
    <w:rsid w:val="78EA3B59"/>
    <w:rsid w:val="7AD53A89"/>
    <w:rsid w:val="7B2726C7"/>
    <w:rsid w:val="7B360113"/>
    <w:rsid w:val="7B38059E"/>
    <w:rsid w:val="7B863DF3"/>
    <w:rsid w:val="7B8657AD"/>
    <w:rsid w:val="7BC97448"/>
    <w:rsid w:val="7C016BE2"/>
    <w:rsid w:val="7C7E10EA"/>
    <w:rsid w:val="7C8660BD"/>
    <w:rsid w:val="7C934347"/>
    <w:rsid w:val="7CA05978"/>
    <w:rsid w:val="7D1D43C4"/>
    <w:rsid w:val="7D7B252F"/>
    <w:rsid w:val="7DB303AF"/>
    <w:rsid w:val="7E5A6E83"/>
    <w:rsid w:val="7EED169F"/>
    <w:rsid w:val="7F09259F"/>
    <w:rsid w:val="7F2050E8"/>
    <w:rsid w:val="7F6000C3"/>
    <w:rsid w:val="7F894C06"/>
    <w:rsid w:val="7FBC5227"/>
    <w:rsid w:val="7FDD34C2"/>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7">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8">
    <w:name w:val="heading 3"/>
    <w:basedOn w:val="1"/>
    <w:next w:val="1"/>
    <w:link w:val="66"/>
    <w:qFormat/>
    <w:uiPriority w:val="99"/>
    <w:pPr>
      <w:keepNext/>
      <w:keepLines/>
      <w:spacing w:before="260" w:after="260" w:line="416" w:lineRule="auto"/>
      <w:outlineLvl w:val="2"/>
    </w:pPr>
    <w:rPr>
      <w:b/>
      <w:bCs/>
      <w:sz w:val="32"/>
      <w:szCs w:val="32"/>
    </w:rPr>
  </w:style>
  <w:style w:type="paragraph" w:styleId="9">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10">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11">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2">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3">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4">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0"/>
    <w:qFormat/>
    <w:uiPriority w:val="99"/>
    <w:pPr>
      <w:ind w:firstLine="420" w:firstLineChars="200"/>
    </w:pPr>
  </w:style>
  <w:style w:type="paragraph" w:styleId="3">
    <w:name w:val="Body Text Indent"/>
    <w:basedOn w:val="1"/>
    <w:next w:val="4"/>
    <w:link w:val="77"/>
    <w:qFormat/>
    <w:uiPriority w:val="99"/>
    <w:pPr>
      <w:spacing w:line="500" w:lineRule="exact"/>
      <w:ind w:firstLine="538"/>
    </w:pPr>
    <w:rPr>
      <w:sz w:val="28"/>
      <w:szCs w:val="28"/>
    </w:rPr>
  </w:style>
  <w:style w:type="paragraph" w:styleId="4">
    <w:name w:val="envelope return"/>
    <w:basedOn w:val="1"/>
    <w:next w:val="5"/>
    <w:qFormat/>
    <w:uiPriority w:val="99"/>
    <w:pPr>
      <w:snapToGrid w:val="0"/>
    </w:pPr>
    <w:rPr>
      <w:rFonts w:ascii="Arial" w:hAnsi="Arial"/>
    </w:rPr>
  </w:style>
  <w:style w:type="paragraph" w:styleId="5">
    <w:name w:val="toc 7"/>
    <w:basedOn w:val="1"/>
    <w:next w:val="1"/>
    <w:semiHidden/>
    <w:qFormat/>
    <w:uiPriority w:val="99"/>
    <w:pPr>
      <w:ind w:left="2520" w:leftChars="1200"/>
    </w:pPr>
    <w:rPr>
      <w:rFonts w:ascii="Calibri" w:hAnsi="Calibri" w:cs="Calibri"/>
    </w:rPr>
  </w:style>
  <w:style w:type="paragraph" w:styleId="15">
    <w:name w:val="Normal Indent"/>
    <w:basedOn w:val="1"/>
    <w:qFormat/>
    <w:uiPriority w:val="99"/>
    <w:pPr>
      <w:adjustRightInd w:val="0"/>
      <w:spacing w:line="360" w:lineRule="atLeast"/>
      <w:ind w:firstLine="482"/>
      <w:textAlignment w:val="baseline"/>
    </w:pPr>
    <w:rPr>
      <w:kern w:val="0"/>
      <w:sz w:val="24"/>
      <w:szCs w:val="24"/>
    </w:r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73"/>
    <w:semiHidden/>
    <w:qFormat/>
    <w:uiPriority w:val="99"/>
    <w:pPr>
      <w:shd w:val="clear" w:color="auto" w:fill="000080"/>
    </w:pPr>
    <w:rPr>
      <w:kern w:val="0"/>
      <w:sz w:val="20"/>
      <w:szCs w:val="20"/>
      <w:shd w:val="clear" w:color="auto" w:fill="000080"/>
    </w:rPr>
  </w:style>
  <w:style w:type="paragraph" w:styleId="18">
    <w:name w:val="annotation text"/>
    <w:basedOn w:val="1"/>
    <w:link w:val="74"/>
    <w:semiHidden/>
    <w:qFormat/>
    <w:uiPriority w:val="99"/>
    <w:pPr>
      <w:jc w:val="left"/>
    </w:pPr>
  </w:style>
  <w:style w:type="paragraph" w:styleId="19">
    <w:name w:val="Body Text 3"/>
    <w:basedOn w:val="1"/>
    <w:link w:val="75"/>
    <w:qFormat/>
    <w:uiPriority w:val="99"/>
    <w:rPr>
      <w:rFonts w:ascii="宋体" w:cs="宋体"/>
      <w:sz w:val="24"/>
      <w:szCs w:val="24"/>
    </w:rPr>
  </w:style>
  <w:style w:type="paragraph" w:styleId="20">
    <w:name w:val="Body Text"/>
    <w:basedOn w:val="1"/>
    <w:link w:val="76"/>
    <w:qFormat/>
    <w:uiPriority w:val="99"/>
    <w:pPr>
      <w:jc w:val="center"/>
    </w:pPr>
    <w:rPr>
      <w:b/>
      <w:bCs/>
      <w:sz w:val="44"/>
      <w:szCs w:val="44"/>
    </w:rPr>
  </w:style>
  <w:style w:type="paragraph" w:styleId="21">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rPr>
      <w:rFonts w:ascii="Calibri" w:hAnsi="Calibri" w:cs="Calibri"/>
    </w:rPr>
  </w:style>
  <w:style w:type="paragraph" w:styleId="25">
    <w:name w:val="Plain Text"/>
    <w:basedOn w:val="1"/>
    <w:next w:val="1"/>
    <w:link w:val="78"/>
    <w:qFormat/>
    <w:uiPriority w:val="99"/>
    <w:rPr>
      <w:rFonts w:ascii="宋体" w:hAnsi="Courier New"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79"/>
    <w:qFormat/>
    <w:uiPriority w:val="99"/>
    <w:rPr>
      <w:rFonts w:ascii="仿宋_GB2312" w:eastAsia="仿宋_GB2312" w:cs="仿宋_GB2312"/>
      <w:sz w:val="30"/>
      <w:szCs w:val="30"/>
    </w:rPr>
  </w:style>
  <w:style w:type="paragraph" w:styleId="28">
    <w:name w:val="Body Text Indent 2"/>
    <w:basedOn w:val="1"/>
    <w:link w:val="80"/>
    <w:qFormat/>
    <w:uiPriority w:val="99"/>
    <w:pPr>
      <w:spacing w:line="360" w:lineRule="exact"/>
      <w:ind w:firstLine="600" w:firstLineChars="250"/>
      <w:jc w:val="left"/>
    </w:pPr>
    <w:rPr>
      <w:sz w:val="24"/>
      <w:szCs w:val="24"/>
    </w:rPr>
  </w:style>
  <w:style w:type="paragraph" w:styleId="29">
    <w:name w:val="Balloon Text"/>
    <w:basedOn w:val="1"/>
    <w:link w:val="81"/>
    <w:semiHidden/>
    <w:qFormat/>
    <w:uiPriority w:val="99"/>
    <w:rPr>
      <w:sz w:val="18"/>
      <w:szCs w:val="18"/>
    </w:rPr>
  </w:style>
  <w:style w:type="paragraph" w:styleId="30">
    <w:name w:val="footer"/>
    <w:basedOn w:val="1"/>
    <w:link w:val="82"/>
    <w:qFormat/>
    <w:uiPriority w:val="99"/>
    <w:pPr>
      <w:tabs>
        <w:tab w:val="center" w:pos="4153"/>
        <w:tab w:val="right" w:pos="8306"/>
      </w:tabs>
      <w:snapToGrid w:val="0"/>
      <w:jc w:val="left"/>
    </w:pPr>
    <w:rPr>
      <w:sz w:val="18"/>
      <w:szCs w:val="18"/>
    </w:rPr>
  </w:style>
  <w:style w:type="paragraph" w:styleId="31">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5"/>
    <w:semiHidden/>
    <w:qFormat/>
    <w:uiPriority w:val="99"/>
    <w:rPr>
      <w:sz w:val="20"/>
      <w:szCs w:val="20"/>
    </w:rPr>
  </w:style>
  <w:style w:type="paragraph" w:styleId="36">
    <w:name w:val="toc 6"/>
    <w:basedOn w:val="1"/>
    <w:next w:val="1"/>
    <w:semiHidden/>
    <w:qFormat/>
    <w:uiPriority w:val="99"/>
    <w:pPr>
      <w:ind w:left="2100" w:leftChars="1000"/>
    </w:pPr>
    <w:rPr>
      <w:rFonts w:ascii="Calibri" w:hAnsi="Calibri" w:cs="Calibri"/>
    </w:rPr>
  </w:style>
  <w:style w:type="paragraph" w:styleId="37">
    <w:name w:val="Body Text Indent 3"/>
    <w:basedOn w:val="1"/>
    <w:link w:val="86"/>
    <w:qFormat/>
    <w:uiPriority w:val="99"/>
    <w:pPr>
      <w:spacing w:after="120"/>
      <w:ind w:left="420" w:leftChars="200"/>
    </w:pPr>
    <w:rPr>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semiHidden/>
    <w:qFormat/>
    <w:uiPriority w:val="99"/>
    <w:pPr>
      <w:ind w:left="420" w:leftChars="200"/>
    </w:pPr>
    <w:rPr>
      <w:rFonts w:ascii="宋体" w:cs="宋体"/>
      <w:b/>
      <w:bCs/>
      <w:sz w:val="28"/>
      <w:szCs w:val="28"/>
    </w:rPr>
  </w:style>
  <w:style w:type="paragraph" w:styleId="40">
    <w:name w:val="toc 9"/>
    <w:basedOn w:val="1"/>
    <w:next w:val="1"/>
    <w:semiHidden/>
    <w:qFormat/>
    <w:uiPriority w:val="99"/>
    <w:pPr>
      <w:ind w:left="3360" w:leftChars="1600"/>
    </w:pPr>
    <w:rPr>
      <w:rFonts w:ascii="Calibri" w:hAnsi="Calibri" w:cs="Calibri"/>
    </w:rPr>
  </w:style>
  <w:style w:type="paragraph" w:styleId="41">
    <w:name w:val="Body Text 2"/>
    <w:basedOn w:val="1"/>
    <w:link w:val="87"/>
    <w:qFormat/>
    <w:uiPriority w:val="99"/>
    <w:pPr>
      <w:spacing w:line="440" w:lineRule="exact"/>
    </w:pPr>
    <w:rPr>
      <w:sz w:val="28"/>
      <w:szCs w:val="28"/>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4">
    <w:name w:val="annotation subject"/>
    <w:basedOn w:val="18"/>
    <w:next w:val="18"/>
    <w:link w:val="89"/>
    <w:semiHidden/>
    <w:qFormat/>
    <w:uiPriority w:val="99"/>
    <w:rPr>
      <w:rFonts w:ascii="宋体" w:cs="宋体"/>
      <w:b/>
      <w:bCs/>
      <w:kern w:val="0"/>
      <w:sz w:val="28"/>
      <w:szCs w:val="28"/>
    </w:r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6"/>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7"/>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8"/>
    <w:qFormat/>
    <w:locked/>
    <w:uiPriority w:val="99"/>
    <w:rPr>
      <w:rFonts w:eastAsia="宋体" w:cs="Times New Roman"/>
      <w:b/>
      <w:bCs/>
      <w:kern w:val="2"/>
      <w:sz w:val="32"/>
      <w:szCs w:val="32"/>
      <w:lang w:val="en-US" w:eastAsia="zh-CN"/>
    </w:rPr>
  </w:style>
  <w:style w:type="character" w:customStyle="1" w:styleId="67">
    <w:name w:val="Heading 4 Char"/>
    <w:basedOn w:val="47"/>
    <w:link w:val="9"/>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10"/>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11"/>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12"/>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3"/>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4"/>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7"/>
    <w:qFormat/>
    <w:locked/>
    <w:uiPriority w:val="99"/>
    <w:rPr>
      <w:rFonts w:cs="Times New Roman"/>
      <w:sz w:val="24"/>
      <w:szCs w:val="24"/>
      <w:shd w:val="clear" w:color="auto" w:fill="000080"/>
    </w:rPr>
  </w:style>
  <w:style w:type="character" w:customStyle="1" w:styleId="74">
    <w:name w:val="Comment Text Char"/>
    <w:basedOn w:val="47"/>
    <w:link w:val="18"/>
    <w:qFormat/>
    <w:locked/>
    <w:uiPriority w:val="99"/>
    <w:rPr>
      <w:rFonts w:cs="Times New Roman"/>
      <w:kern w:val="2"/>
      <w:sz w:val="22"/>
      <w:szCs w:val="22"/>
    </w:rPr>
  </w:style>
  <w:style w:type="character" w:customStyle="1" w:styleId="75">
    <w:name w:val="Body Text 3 Char"/>
    <w:basedOn w:val="47"/>
    <w:link w:val="19"/>
    <w:semiHidden/>
    <w:qFormat/>
    <w:locked/>
    <w:uiPriority w:val="99"/>
    <w:rPr>
      <w:rFonts w:cs="Times New Roman"/>
      <w:sz w:val="16"/>
      <w:szCs w:val="16"/>
    </w:rPr>
  </w:style>
  <w:style w:type="character" w:customStyle="1" w:styleId="76">
    <w:name w:val="Body Text Char"/>
    <w:basedOn w:val="47"/>
    <w:link w:val="20"/>
    <w:qFormat/>
    <w:locked/>
    <w:uiPriority w:val="99"/>
    <w:rPr>
      <w:rFonts w:eastAsia="宋体" w:cs="Times New Roman"/>
      <w:b/>
      <w:bCs/>
      <w:kern w:val="2"/>
      <w:sz w:val="44"/>
      <w:szCs w:val="44"/>
      <w:lang w:val="en-US" w:eastAsia="zh-CN"/>
    </w:rPr>
  </w:style>
  <w:style w:type="character" w:customStyle="1" w:styleId="77">
    <w:name w:val="Body Text Indent Char"/>
    <w:basedOn w:val="47"/>
    <w:link w:val="3"/>
    <w:semiHidden/>
    <w:qFormat/>
    <w:locked/>
    <w:uiPriority w:val="99"/>
    <w:rPr>
      <w:rFonts w:cs="Times New Roman"/>
      <w:sz w:val="21"/>
      <w:szCs w:val="21"/>
    </w:rPr>
  </w:style>
  <w:style w:type="character" w:customStyle="1" w:styleId="78">
    <w:name w:val="Plain Text Char"/>
    <w:basedOn w:val="47"/>
    <w:link w:val="25"/>
    <w:semiHidden/>
    <w:qFormat/>
    <w:locked/>
    <w:uiPriority w:val="99"/>
    <w:rPr>
      <w:rFonts w:ascii="宋体" w:hAnsi="Courier New" w:cs="Courier New"/>
      <w:sz w:val="21"/>
      <w:szCs w:val="21"/>
    </w:rPr>
  </w:style>
  <w:style w:type="character" w:customStyle="1" w:styleId="79">
    <w:name w:val="Date Char"/>
    <w:basedOn w:val="47"/>
    <w:link w:val="27"/>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8"/>
    <w:semiHidden/>
    <w:qFormat/>
    <w:locked/>
    <w:uiPriority w:val="99"/>
    <w:rPr>
      <w:rFonts w:cs="Times New Roman"/>
      <w:sz w:val="21"/>
      <w:szCs w:val="21"/>
    </w:rPr>
  </w:style>
  <w:style w:type="character" w:customStyle="1" w:styleId="81">
    <w:name w:val="Balloon Text Char"/>
    <w:basedOn w:val="47"/>
    <w:link w:val="29"/>
    <w:semiHidden/>
    <w:qFormat/>
    <w:locked/>
    <w:uiPriority w:val="99"/>
    <w:rPr>
      <w:rFonts w:cs="Times New Roman"/>
      <w:sz w:val="2"/>
    </w:rPr>
  </w:style>
  <w:style w:type="character" w:customStyle="1" w:styleId="82">
    <w:name w:val="Footer Char"/>
    <w:basedOn w:val="47"/>
    <w:link w:val="30"/>
    <w:qFormat/>
    <w:locked/>
    <w:uiPriority w:val="99"/>
    <w:rPr>
      <w:rFonts w:eastAsia="宋体" w:cs="Times New Roman"/>
      <w:kern w:val="2"/>
      <w:sz w:val="18"/>
      <w:szCs w:val="18"/>
      <w:lang w:val="en-US" w:eastAsia="zh-CN"/>
    </w:rPr>
  </w:style>
  <w:style w:type="character" w:customStyle="1" w:styleId="83">
    <w:name w:val="Header Char"/>
    <w:basedOn w:val="47"/>
    <w:link w:val="31"/>
    <w:qFormat/>
    <w:locked/>
    <w:uiPriority w:val="99"/>
    <w:rPr>
      <w:rFonts w:eastAsia="宋体" w:cs="Times New Roman"/>
      <w:kern w:val="2"/>
      <w:sz w:val="18"/>
      <w:szCs w:val="18"/>
      <w:lang w:val="en-US" w:eastAsia="zh-CN"/>
    </w:rPr>
  </w:style>
  <w:style w:type="character" w:customStyle="1" w:styleId="84">
    <w:name w:val="Subtitle Char"/>
    <w:basedOn w:val="47"/>
    <w:link w:val="34"/>
    <w:qFormat/>
    <w:locked/>
    <w:uiPriority w:val="99"/>
    <w:rPr>
      <w:rFonts w:ascii="Cambria" w:hAnsi="Cambria" w:cs="Cambria"/>
      <w:b/>
      <w:bCs/>
      <w:kern w:val="28"/>
      <w:sz w:val="32"/>
      <w:szCs w:val="32"/>
    </w:rPr>
  </w:style>
  <w:style w:type="character" w:customStyle="1" w:styleId="85">
    <w:name w:val="Footnote Text Char"/>
    <w:basedOn w:val="47"/>
    <w:link w:val="35"/>
    <w:semiHidden/>
    <w:qFormat/>
    <w:locked/>
    <w:uiPriority w:val="99"/>
    <w:rPr>
      <w:rFonts w:cs="Times New Roman"/>
      <w:sz w:val="18"/>
      <w:szCs w:val="18"/>
    </w:rPr>
  </w:style>
  <w:style w:type="character" w:customStyle="1" w:styleId="86">
    <w:name w:val="Body Text Indent 3 Char"/>
    <w:basedOn w:val="47"/>
    <w:link w:val="37"/>
    <w:semiHidden/>
    <w:qFormat/>
    <w:locked/>
    <w:uiPriority w:val="99"/>
    <w:rPr>
      <w:rFonts w:cs="Times New Roman"/>
      <w:sz w:val="16"/>
      <w:szCs w:val="16"/>
    </w:rPr>
  </w:style>
  <w:style w:type="character" w:customStyle="1" w:styleId="87">
    <w:name w:val="Body Text 2 Char"/>
    <w:basedOn w:val="47"/>
    <w:link w:val="41"/>
    <w:semiHidden/>
    <w:qFormat/>
    <w:locked/>
    <w:uiPriority w:val="99"/>
    <w:rPr>
      <w:rFonts w:cs="Times New Roman"/>
      <w:sz w:val="21"/>
      <w:szCs w:val="21"/>
    </w:rPr>
  </w:style>
  <w:style w:type="character" w:customStyle="1" w:styleId="88">
    <w:name w:val="Title Char"/>
    <w:basedOn w:val="47"/>
    <w:link w:val="43"/>
    <w:qFormat/>
    <w:locked/>
    <w:uiPriority w:val="99"/>
    <w:rPr>
      <w:rFonts w:ascii="Cambria" w:hAnsi="Cambria" w:cs="Cambria"/>
      <w:b/>
      <w:bCs/>
      <w:kern w:val="2"/>
      <w:sz w:val="32"/>
      <w:szCs w:val="32"/>
    </w:rPr>
  </w:style>
  <w:style w:type="character" w:customStyle="1" w:styleId="89">
    <w:name w:val="Comment Subject Char"/>
    <w:basedOn w:val="74"/>
    <w:link w:val="44"/>
    <w:qFormat/>
    <w:locked/>
    <w:uiPriority w:val="99"/>
    <w:rPr>
      <w:rFonts w:ascii="宋体" w:cs="宋体"/>
      <w:b/>
      <w:bCs/>
      <w:sz w:val="28"/>
      <w:szCs w:val="28"/>
    </w:rPr>
  </w:style>
  <w:style w:type="character" w:customStyle="1" w:styleId="90">
    <w:name w:val="Body Text First Indent 2 Char"/>
    <w:basedOn w:val="77"/>
    <w:link w:val="2"/>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7"/>
    <w:next w:val="22"/>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8"/>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8"/>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8"/>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8"/>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8"/>
    <w:qFormat/>
    <w:uiPriority w:val="99"/>
    <w:pPr>
      <w:spacing w:line="413" w:lineRule="auto"/>
    </w:pPr>
  </w:style>
  <w:style w:type="paragraph" w:customStyle="1" w:styleId="134">
    <w:name w:val="TOC 标题1"/>
    <w:basedOn w:val="6"/>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6"/>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7"/>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7"/>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8"/>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36</Pages>
  <Words>3849</Words>
  <Characters>4628</Characters>
  <Lines>0</Lines>
  <Paragraphs>0</Paragraphs>
  <TotalTime>0</TotalTime>
  <ScaleCrop>false</ScaleCrop>
  <LinksUpToDate>false</LinksUpToDate>
  <CharactersWithSpaces>4681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NTKO</cp:lastModifiedBy>
  <cp:lastPrinted>2025-06-09T05:49:00Z</cp:lastPrinted>
  <dcterms:modified xsi:type="dcterms:W3CDTF">2026-04-20T10:59:14Z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4AE98050EF5B4F68B2AA94BC20ED1B99_13</vt:lpwstr>
  </property>
  <property fmtid="{D5CDD505-2E9C-101B-9397-08002B2CF9AE}" pid="4" name="KSOTemplateDocerSaveRecord">
    <vt:lpwstr>eyJoZGlkIjoiMDk2MmQyNTdjMmYyM2I4Njk3YjVkOTliYjhhNDZiYTEiLCJ1c2VySWQiOiI0MDkyMjI1MTkifQ==</vt:lpwstr>
  </property>
</Properties>
</file>