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3F1F6C2">
      <w:pPr>
        <w:spacing w:line="400" w:lineRule="atLeast"/>
        <w:jc w:val="center"/>
        <w:rPr>
          <w:rFonts w:hint="eastAsia" w:ascii="宋体" w:hAnsi="宋体" w:cs="宋体"/>
          <w:b/>
          <w:bCs/>
          <w:color w:val="auto"/>
          <w:spacing w:val="-10"/>
          <w:sz w:val="48"/>
          <w:szCs w:val="48"/>
          <w:highlight w:val="none"/>
          <w:lang w:val="en-US" w:eastAsia="zh-CN"/>
        </w:rPr>
      </w:pPr>
    </w:p>
    <w:p w14:paraId="5997ACA2">
      <w:pPr>
        <w:spacing w:line="400" w:lineRule="atLeast"/>
        <w:jc w:val="center"/>
        <w:rPr>
          <w:rFonts w:hint="default" w:ascii="宋体" w:hAnsi="宋体" w:eastAsia="宋体" w:cs="宋体"/>
          <w:b/>
          <w:bCs/>
          <w:color w:val="auto"/>
          <w:sz w:val="98"/>
          <w:szCs w:val="98"/>
          <w:highlight w:val="none"/>
          <w:lang w:val="en-US"/>
        </w:rPr>
      </w:pPr>
      <w:r>
        <w:rPr>
          <w:rFonts w:hint="eastAsia" w:ascii="宋体" w:hAnsi="宋体" w:cs="宋体"/>
          <w:b/>
          <w:bCs/>
          <w:color w:val="auto"/>
          <w:spacing w:val="-10"/>
          <w:sz w:val="48"/>
          <w:szCs w:val="48"/>
          <w:highlight w:val="none"/>
          <w:lang w:val="en-US" w:eastAsia="zh-CN"/>
        </w:rPr>
        <w:t>城南绿廊公园水体清淤项目工程量清单及最高投标限价编制服务项目（二次）</w:t>
      </w:r>
    </w:p>
    <w:p w14:paraId="7DC230C6">
      <w:pPr>
        <w:spacing w:line="400" w:lineRule="atLeast"/>
        <w:jc w:val="center"/>
        <w:rPr>
          <w:rFonts w:hint="eastAsia" w:ascii="宋体" w:hAnsi="宋体" w:eastAsia="宋体" w:cs="宋体"/>
          <w:b/>
          <w:bCs/>
          <w:color w:val="auto"/>
          <w:sz w:val="98"/>
          <w:szCs w:val="98"/>
          <w:highlight w:val="none"/>
        </w:rPr>
      </w:pPr>
    </w:p>
    <w:p w14:paraId="34C3FEB2">
      <w:pPr>
        <w:spacing w:line="400" w:lineRule="atLeast"/>
        <w:jc w:val="center"/>
        <w:rPr>
          <w:rFonts w:hint="eastAsia" w:ascii="宋体" w:hAnsi="宋体" w:eastAsia="宋体" w:cs="宋体"/>
          <w:b/>
          <w:bCs/>
          <w:color w:val="auto"/>
          <w:sz w:val="98"/>
          <w:szCs w:val="98"/>
          <w:highlight w:val="none"/>
        </w:rPr>
      </w:pPr>
      <w:r>
        <w:rPr>
          <w:rFonts w:hint="eastAsia" w:ascii="宋体" w:hAnsi="宋体" w:eastAsia="宋体" w:cs="宋体"/>
          <w:b/>
          <w:bCs/>
          <w:color w:val="auto"/>
          <w:sz w:val="98"/>
          <w:szCs w:val="98"/>
          <w:highlight w:val="none"/>
        </w:rPr>
        <w:t>招</w:t>
      </w:r>
      <w:r>
        <w:rPr>
          <w:rFonts w:hint="eastAsia" w:ascii="宋体" w:hAnsi="宋体" w:eastAsia="宋体" w:cs="宋体"/>
          <w:b/>
          <w:bCs/>
          <w:color w:val="auto"/>
          <w:sz w:val="98"/>
          <w:szCs w:val="98"/>
          <w:highlight w:val="none"/>
          <w:lang w:val="en-US" w:eastAsia="zh-CN"/>
        </w:rPr>
        <w:t xml:space="preserve"> </w:t>
      </w:r>
      <w:r>
        <w:rPr>
          <w:rFonts w:hint="eastAsia" w:ascii="宋体" w:hAnsi="宋体" w:eastAsia="宋体" w:cs="宋体"/>
          <w:b/>
          <w:bCs/>
          <w:color w:val="auto"/>
          <w:sz w:val="98"/>
          <w:szCs w:val="98"/>
          <w:highlight w:val="none"/>
        </w:rPr>
        <w:t>标</w:t>
      </w:r>
      <w:r>
        <w:rPr>
          <w:rFonts w:hint="eastAsia" w:ascii="宋体" w:hAnsi="宋体" w:eastAsia="宋体" w:cs="宋体"/>
          <w:b/>
          <w:bCs/>
          <w:color w:val="auto"/>
          <w:sz w:val="98"/>
          <w:szCs w:val="98"/>
          <w:highlight w:val="none"/>
          <w:lang w:val="en-US" w:eastAsia="zh-CN"/>
        </w:rPr>
        <w:t xml:space="preserve"> </w:t>
      </w:r>
      <w:r>
        <w:rPr>
          <w:rFonts w:hint="eastAsia" w:ascii="宋体" w:hAnsi="宋体" w:eastAsia="宋体" w:cs="宋体"/>
          <w:b/>
          <w:bCs/>
          <w:color w:val="auto"/>
          <w:sz w:val="98"/>
          <w:szCs w:val="98"/>
          <w:highlight w:val="none"/>
        </w:rPr>
        <w:t>文</w:t>
      </w:r>
      <w:r>
        <w:rPr>
          <w:rFonts w:hint="eastAsia" w:ascii="宋体" w:hAnsi="宋体" w:eastAsia="宋体" w:cs="宋体"/>
          <w:b/>
          <w:bCs/>
          <w:color w:val="auto"/>
          <w:sz w:val="98"/>
          <w:szCs w:val="98"/>
          <w:highlight w:val="none"/>
          <w:lang w:val="en-US" w:eastAsia="zh-CN"/>
        </w:rPr>
        <w:t xml:space="preserve"> </w:t>
      </w:r>
      <w:r>
        <w:rPr>
          <w:rFonts w:hint="eastAsia" w:ascii="宋体" w:hAnsi="宋体" w:eastAsia="宋体" w:cs="宋体"/>
          <w:b/>
          <w:bCs/>
          <w:color w:val="auto"/>
          <w:sz w:val="98"/>
          <w:szCs w:val="98"/>
          <w:highlight w:val="none"/>
        </w:rPr>
        <w:t>件</w:t>
      </w:r>
    </w:p>
    <w:p w14:paraId="7FF27D73">
      <w:pPr>
        <w:wordWrap w:val="0"/>
        <w:spacing w:line="800" w:lineRule="exact"/>
        <w:ind w:right="480"/>
        <w:jc w:val="center"/>
        <w:rPr>
          <w:rFonts w:hint="eastAsia" w:ascii="宋体" w:hAnsi="宋体" w:eastAsia="宋体" w:cs="宋体"/>
          <w:color w:val="auto"/>
          <w:sz w:val="32"/>
          <w:highlight w:val="none"/>
          <w:lang w:val="en-US" w:eastAsia="zh-CN"/>
        </w:rPr>
      </w:pPr>
    </w:p>
    <w:p w14:paraId="1CCCA184">
      <w:pPr>
        <w:wordWrap w:val="0"/>
        <w:spacing w:line="800" w:lineRule="exact"/>
        <w:ind w:right="480"/>
        <w:jc w:val="center"/>
        <w:rPr>
          <w:rFonts w:hint="eastAsia" w:ascii="宋体" w:hAnsi="宋体" w:eastAsia="宋体" w:cs="宋体"/>
          <w:color w:val="auto"/>
          <w:sz w:val="28"/>
          <w:szCs w:val="20"/>
          <w:highlight w:val="none"/>
          <w:lang w:val="en-US" w:eastAsia="zh-CN"/>
        </w:rPr>
      </w:pPr>
      <w:r>
        <w:rPr>
          <w:rFonts w:hint="eastAsia" w:ascii="宋体" w:hAnsi="宋体" w:cs="宋体"/>
          <w:color w:val="auto"/>
          <w:sz w:val="28"/>
          <w:szCs w:val="20"/>
          <w:highlight w:val="none"/>
          <w:lang w:val="en-US" w:eastAsia="zh-CN"/>
        </w:rPr>
        <w:t xml:space="preserve"> </w:t>
      </w:r>
    </w:p>
    <w:p w14:paraId="2968F6F1">
      <w:pPr>
        <w:spacing w:line="480" w:lineRule="exact"/>
        <w:ind w:firstLine="472" w:firstLineChars="147"/>
        <w:rPr>
          <w:rFonts w:hint="eastAsia" w:ascii="宋体" w:hAnsi="宋体" w:eastAsia="宋体" w:cs="宋体"/>
          <w:b/>
          <w:bCs/>
          <w:color w:val="auto"/>
          <w:sz w:val="32"/>
          <w:szCs w:val="32"/>
          <w:highlight w:val="none"/>
        </w:rPr>
      </w:pPr>
    </w:p>
    <w:p w14:paraId="59E21AA2">
      <w:pPr>
        <w:rPr>
          <w:rFonts w:hint="eastAsia" w:ascii="宋体" w:hAnsi="宋体" w:eastAsia="宋体" w:cs="宋体"/>
          <w:b/>
          <w:bCs/>
          <w:color w:val="auto"/>
          <w:sz w:val="32"/>
          <w:szCs w:val="32"/>
          <w:highlight w:val="none"/>
        </w:rPr>
      </w:pPr>
    </w:p>
    <w:p w14:paraId="7D61AF7C">
      <w:pPr>
        <w:rPr>
          <w:rFonts w:hint="eastAsia" w:ascii="宋体" w:hAnsi="宋体" w:eastAsia="宋体" w:cs="宋体"/>
          <w:b/>
          <w:bCs/>
          <w:color w:val="auto"/>
          <w:sz w:val="32"/>
          <w:szCs w:val="32"/>
          <w:highlight w:val="none"/>
        </w:rPr>
      </w:pPr>
    </w:p>
    <w:p w14:paraId="536C2082">
      <w:pPr>
        <w:spacing w:line="480" w:lineRule="exact"/>
        <w:rPr>
          <w:rFonts w:hint="eastAsia" w:ascii="宋体" w:hAnsi="宋体" w:eastAsia="宋体" w:cs="宋体"/>
          <w:b/>
          <w:bCs/>
          <w:color w:val="auto"/>
          <w:sz w:val="32"/>
          <w:szCs w:val="32"/>
          <w:highlight w:val="none"/>
        </w:rPr>
      </w:pPr>
    </w:p>
    <w:p w14:paraId="0292DE31">
      <w:pPr>
        <w:rPr>
          <w:rFonts w:hint="eastAsia" w:ascii="宋体" w:hAnsi="宋体" w:eastAsia="宋体" w:cs="宋体"/>
          <w:color w:val="auto"/>
          <w:highlight w:val="none"/>
        </w:rPr>
      </w:pPr>
    </w:p>
    <w:p w14:paraId="5AC253DA">
      <w:pPr>
        <w:pStyle w:val="28"/>
        <w:rPr>
          <w:rFonts w:hint="eastAsia"/>
          <w:highlight w:val="none"/>
        </w:rPr>
      </w:pPr>
    </w:p>
    <w:p w14:paraId="311E90DF">
      <w:pPr>
        <w:rPr>
          <w:rFonts w:hint="eastAsia" w:ascii="宋体" w:hAnsi="宋体" w:eastAsia="宋体" w:cs="宋体"/>
          <w:color w:val="auto"/>
          <w:highlight w:val="none"/>
        </w:rPr>
      </w:pPr>
    </w:p>
    <w:p w14:paraId="6224BB2F">
      <w:pPr>
        <w:rPr>
          <w:rFonts w:hint="eastAsia" w:ascii="宋体" w:hAnsi="宋体" w:eastAsia="宋体" w:cs="宋体"/>
          <w:color w:val="auto"/>
          <w:highlight w:val="none"/>
        </w:rPr>
      </w:pPr>
    </w:p>
    <w:p w14:paraId="44D60B52">
      <w:pPr>
        <w:wordWrap w:val="0"/>
        <w:spacing w:line="800" w:lineRule="exact"/>
        <w:ind w:right="480"/>
        <w:jc w:val="center"/>
        <w:rPr>
          <w:rFonts w:hint="eastAsia" w:ascii="宋体" w:hAnsi="宋体" w:eastAsia="宋体" w:cs="宋体"/>
          <w:color w:val="auto"/>
          <w:sz w:val="32"/>
          <w:highlight w:val="none"/>
        </w:rPr>
      </w:pPr>
      <w:r>
        <w:rPr>
          <w:rFonts w:hint="eastAsia" w:ascii="宋体" w:hAnsi="宋体" w:eastAsia="宋体" w:cs="宋体"/>
          <w:color w:val="auto"/>
          <w:sz w:val="32"/>
          <w:highlight w:val="none"/>
          <w:lang w:val="en-US" w:eastAsia="zh-CN"/>
        </w:rPr>
        <w:t>招标</w:t>
      </w:r>
      <w:r>
        <w:rPr>
          <w:rFonts w:hint="eastAsia" w:ascii="宋体" w:hAnsi="宋体" w:cs="宋体"/>
          <w:color w:val="auto"/>
          <w:sz w:val="32"/>
          <w:highlight w:val="none"/>
          <w:lang w:val="en-US" w:eastAsia="zh-CN"/>
        </w:rPr>
        <w:t>人</w:t>
      </w:r>
      <w:r>
        <w:rPr>
          <w:rFonts w:hint="eastAsia" w:ascii="宋体" w:hAnsi="宋体" w:eastAsia="宋体" w:cs="宋体"/>
          <w:color w:val="auto"/>
          <w:sz w:val="32"/>
          <w:highlight w:val="none"/>
        </w:rPr>
        <w:t>：</w:t>
      </w:r>
      <w:r>
        <w:rPr>
          <w:rFonts w:hint="eastAsia" w:ascii="宋体" w:cs="宋体"/>
          <w:color w:val="auto"/>
          <w:sz w:val="32"/>
          <w:highlight w:val="none"/>
          <w:u w:val="single"/>
          <w:lang w:val="en-US" w:eastAsia="zh-CN"/>
        </w:rPr>
        <w:t>滁州市园林景观管理中心</w:t>
      </w:r>
    </w:p>
    <w:p w14:paraId="7964B908">
      <w:pPr>
        <w:spacing w:line="800" w:lineRule="exact"/>
        <w:ind w:firstLine="1600" w:firstLineChars="500"/>
        <w:jc w:val="both"/>
        <w:rPr>
          <w:rFonts w:hint="eastAsia" w:ascii="宋体" w:hAnsi="宋体" w:eastAsia="宋体" w:cs="宋体"/>
          <w:color w:val="auto"/>
          <w:sz w:val="32"/>
          <w:highlight w:val="none"/>
          <w:u w:val="single"/>
        </w:rPr>
      </w:pPr>
      <w:r>
        <w:rPr>
          <w:rFonts w:hint="eastAsia" w:ascii="宋体" w:hAnsi="宋体" w:eastAsia="宋体" w:cs="宋体"/>
          <w:color w:val="auto"/>
          <w:sz w:val="32"/>
          <w:highlight w:val="none"/>
        </w:rPr>
        <w:t>代理机构：</w:t>
      </w:r>
      <w:r>
        <w:rPr>
          <w:rFonts w:hint="eastAsia" w:ascii="宋体" w:hAnsi="宋体" w:eastAsia="宋体" w:cs="宋体"/>
          <w:color w:val="auto"/>
          <w:sz w:val="32"/>
          <w:highlight w:val="none"/>
          <w:u w:val="single"/>
        </w:rPr>
        <w:t>滁州市城投工程咨询管理有限公司</w:t>
      </w:r>
    </w:p>
    <w:p w14:paraId="10160BEE">
      <w:pPr>
        <w:spacing w:line="800" w:lineRule="exact"/>
        <w:jc w:val="center"/>
        <w:rPr>
          <w:rFonts w:hint="eastAsia" w:ascii="宋体" w:hAnsi="宋体" w:eastAsia="宋体" w:cs="宋体"/>
          <w:color w:val="auto"/>
          <w:sz w:val="32"/>
          <w:highlight w:val="none"/>
          <w:lang w:eastAsia="zh-CN"/>
        </w:rPr>
      </w:pPr>
      <w:r>
        <w:rPr>
          <w:rFonts w:hint="eastAsia" w:ascii="宋体" w:hAnsi="宋体" w:cs="宋体"/>
          <w:color w:val="auto"/>
          <w:sz w:val="32"/>
          <w:highlight w:val="none"/>
          <w:u w:val="none"/>
          <w:lang w:eastAsia="zh-CN"/>
        </w:rPr>
        <w:t>2026年3月24日</w:t>
      </w:r>
    </w:p>
    <w:p w14:paraId="7559EB01">
      <w:pP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br w:type="page"/>
      </w:r>
    </w:p>
    <w:p w14:paraId="35F77A08">
      <w:pPr>
        <w:spacing w:line="800" w:lineRule="exact"/>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目  录</w:t>
      </w:r>
    </w:p>
    <w:p w14:paraId="6259B4B0">
      <w:pPr>
        <w:pStyle w:val="32"/>
        <w:tabs>
          <w:tab w:val="right" w:leader="dot" w:pos="9541"/>
          <w:tab w:val="clear" w:pos="8296"/>
        </w:tabs>
        <w:rPr>
          <w:rFonts w:hint="eastAsia" w:ascii="宋体" w:hAnsi="宋体" w:eastAsia="宋体" w:cs="宋体"/>
          <w:b w:val="0"/>
          <w:bCs w:val="0"/>
          <w:color w:val="auto"/>
          <w:sz w:val="24"/>
          <w:szCs w:val="24"/>
          <w:highlight w:val="none"/>
        </w:rPr>
      </w:pPr>
    </w:p>
    <w:p w14:paraId="169A3C3F">
      <w:pPr>
        <w:pStyle w:val="32"/>
        <w:tabs>
          <w:tab w:val="right" w:leader="dot" w:pos="9541"/>
          <w:tab w:val="clear" w:pos="8296"/>
        </w:tabs>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TOC \o "1-1" \h \u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_Toc2570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val="en-US" w:eastAsia="zh-CN"/>
        </w:rPr>
        <w:t>A、 招标公告</w:t>
      </w:r>
      <w:r>
        <w:rPr>
          <w:rFonts w:hint="eastAsia" w:ascii="宋体" w:hAnsi="宋体" w:eastAsia="宋体" w:cs="宋体"/>
          <w:sz w:val="28"/>
          <w:szCs w:val="28"/>
          <w:highlight w:val="none"/>
        </w:rPr>
        <w:tab/>
      </w:r>
      <w:r>
        <w:rPr>
          <w:rFonts w:hint="eastAsia" w:hAnsi="宋体" w:eastAsia="宋体" w:cs="宋体"/>
          <w:sz w:val="28"/>
          <w:szCs w:val="28"/>
          <w:highlight w:val="none"/>
          <w:lang w:val="en-US" w:eastAsia="zh-CN"/>
        </w:rPr>
        <w:t>1</w:t>
      </w:r>
      <w:r>
        <w:rPr>
          <w:rFonts w:hint="eastAsia" w:ascii="宋体" w:hAnsi="宋体" w:eastAsia="宋体" w:cs="宋体"/>
          <w:sz w:val="28"/>
          <w:szCs w:val="28"/>
          <w:highlight w:val="none"/>
        </w:rPr>
        <w:fldChar w:fldCharType="end"/>
      </w:r>
    </w:p>
    <w:p w14:paraId="78C2286D">
      <w:pPr>
        <w:pStyle w:val="32"/>
        <w:tabs>
          <w:tab w:val="right" w:leader="dot" w:pos="9541"/>
          <w:tab w:val="clear" w:pos="8296"/>
        </w:tabs>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_Toc24103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第</w:t>
      </w:r>
      <w:r>
        <w:rPr>
          <w:rFonts w:hint="eastAsia" w:ascii="宋体" w:hAnsi="宋体" w:eastAsia="宋体" w:cs="宋体"/>
          <w:sz w:val="28"/>
          <w:szCs w:val="28"/>
          <w:highlight w:val="none"/>
          <w:lang w:val="en-US" w:eastAsia="zh-CN"/>
        </w:rPr>
        <w:t>一</w:t>
      </w:r>
      <w:r>
        <w:rPr>
          <w:rFonts w:hint="eastAsia" w:ascii="宋体" w:hAnsi="宋体" w:eastAsia="宋体" w:cs="宋体"/>
          <w:sz w:val="28"/>
          <w:szCs w:val="28"/>
          <w:highlight w:val="none"/>
        </w:rPr>
        <w:t>章</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lang w:eastAsia="zh-CN"/>
        </w:rPr>
        <w:t>投标人须知</w:t>
      </w:r>
      <w:r>
        <w:rPr>
          <w:rFonts w:hint="eastAsia" w:ascii="宋体" w:hAnsi="宋体" w:eastAsia="宋体" w:cs="宋体"/>
          <w:sz w:val="28"/>
          <w:szCs w:val="28"/>
          <w:highlight w:val="none"/>
        </w:rPr>
        <w:tab/>
      </w:r>
      <w:r>
        <w:rPr>
          <w:rFonts w:hint="eastAsia" w:hAnsi="宋体" w:eastAsia="宋体" w:cs="宋体"/>
          <w:sz w:val="28"/>
          <w:szCs w:val="28"/>
          <w:highlight w:val="none"/>
          <w:lang w:val="en-US" w:eastAsia="zh-CN"/>
        </w:rPr>
        <w:t>4</w:t>
      </w:r>
      <w:r>
        <w:rPr>
          <w:rFonts w:hint="eastAsia" w:ascii="宋体" w:hAnsi="宋体" w:eastAsia="宋体" w:cs="宋体"/>
          <w:sz w:val="28"/>
          <w:szCs w:val="28"/>
          <w:highlight w:val="none"/>
        </w:rPr>
        <w:fldChar w:fldCharType="end"/>
      </w:r>
    </w:p>
    <w:p w14:paraId="0321A477">
      <w:pPr>
        <w:pStyle w:val="32"/>
        <w:tabs>
          <w:tab w:val="right" w:leader="dot" w:pos="9541"/>
          <w:tab w:val="clear" w:pos="8296"/>
        </w:tabs>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_Toc21844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val="en-US" w:eastAsia="zh-CN"/>
        </w:rPr>
        <w:t>第二章 评标办法</w:t>
      </w:r>
      <w:r>
        <w:rPr>
          <w:rFonts w:hint="eastAsia" w:ascii="宋体" w:hAnsi="宋体" w:eastAsia="宋体" w:cs="宋体"/>
          <w:sz w:val="28"/>
          <w:szCs w:val="28"/>
          <w:highlight w:val="none"/>
        </w:rPr>
        <w:tab/>
      </w:r>
      <w:r>
        <w:rPr>
          <w:rFonts w:hint="eastAsia" w:hAnsi="宋体" w:eastAsia="宋体" w:cs="宋体"/>
          <w:sz w:val="28"/>
          <w:szCs w:val="28"/>
          <w:highlight w:val="none"/>
          <w:lang w:val="en-US" w:eastAsia="zh-CN"/>
        </w:rPr>
        <w:t>1</w:t>
      </w:r>
      <w:r>
        <w:rPr>
          <w:rFonts w:hint="eastAsia" w:ascii="宋体" w:hAnsi="宋体" w:eastAsia="宋体" w:cs="宋体"/>
          <w:sz w:val="28"/>
          <w:szCs w:val="28"/>
          <w:highlight w:val="none"/>
        </w:rPr>
        <w:fldChar w:fldCharType="end"/>
      </w:r>
      <w:r>
        <w:rPr>
          <w:rFonts w:hint="eastAsia" w:hAnsi="宋体" w:eastAsia="宋体" w:cs="宋体"/>
          <w:sz w:val="28"/>
          <w:szCs w:val="28"/>
          <w:highlight w:val="none"/>
          <w:lang w:val="en-US" w:eastAsia="zh-CN"/>
        </w:rPr>
        <w:t>8</w:t>
      </w:r>
    </w:p>
    <w:p w14:paraId="0135DC7D">
      <w:pPr>
        <w:pStyle w:val="32"/>
        <w:tabs>
          <w:tab w:val="right" w:leader="dot" w:pos="9541"/>
          <w:tab w:val="clear" w:pos="8296"/>
        </w:tabs>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_Toc29967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val="en-US" w:eastAsia="zh-CN"/>
        </w:rPr>
        <w:t>第三章 合同条款</w:t>
      </w:r>
      <w:r>
        <w:rPr>
          <w:rFonts w:hint="eastAsia" w:ascii="宋体" w:hAnsi="宋体" w:eastAsia="宋体" w:cs="宋体"/>
          <w:sz w:val="28"/>
          <w:szCs w:val="28"/>
          <w:highlight w:val="none"/>
        </w:rPr>
        <w:tab/>
      </w:r>
      <w:r>
        <w:rPr>
          <w:rFonts w:hint="eastAsia" w:hAnsi="宋体" w:eastAsia="宋体" w:cs="宋体"/>
          <w:sz w:val="28"/>
          <w:szCs w:val="28"/>
          <w:highlight w:val="none"/>
          <w:lang w:val="en-US" w:eastAsia="zh-CN"/>
        </w:rPr>
        <w:t>2</w:t>
      </w:r>
      <w:r>
        <w:rPr>
          <w:rFonts w:hint="eastAsia" w:ascii="宋体" w:hAnsi="宋体" w:eastAsia="宋体" w:cs="宋体"/>
          <w:sz w:val="28"/>
          <w:szCs w:val="28"/>
          <w:highlight w:val="none"/>
        </w:rPr>
        <w:fldChar w:fldCharType="end"/>
      </w:r>
      <w:r>
        <w:rPr>
          <w:rFonts w:hint="eastAsia" w:hAnsi="宋体" w:eastAsia="宋体" w:cs="宋体"/>
          <w:sz w:val="28"/>
          <w:szCs w:val="28"/>
          <w:highlight w:val="none"/>
          <w:lang w:val="en-US" w:eastAsia="zh-CN"/>
        </w:rPr>
        <w:t>4</w:t>
      </w:r>
    </w:p>
    <w:p w14:paraId="1D4A9845">
      <w:pPr>
        <w:pStyle w:val="32"/>
        <w:tabs>
          <w:tab w:val="right" w:leader="dot" w:pos="9541"/>
          <w:tab w:val="clear" w:pos="8296"/>
        </w:tabs>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_Toc1482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val="en-US" w:eastAsia="zh-CN"/>
        </w:rPr>
        <w:t>第四章 投标文件格式</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_Toc1482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47</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4EF6C0CD">
      <w:pPr>
        <w:pStyle w:val="32"/>
        <w:tabs>
          <w:tab w:val="right" w:leader="dot" w:pos="9541"/>
          <w:tab w:val="clear" w:pos="8296"/>
        </w:tabs>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_Toc6595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val="en-US" w:eastAsia="zh-CN"/>
        </w:rPr>
        <w:t>第五章 招标单位、招标代理机构对本招标文件的确认</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_Toc6595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52</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74C50B0C">
      <w:pPr>
        <w:rPr>
          <w:highlight w:val="none"/>
        </w:rPr>
      </w:pPr>
      <w:r>
        <w:rPr>
          <w:rFonts w:hint="eastAsia" w:ascii="宋体" w:hAnsi="宋体" w:eastAsia="宋体" w:cs="宋体"/>
          <w:sz w:val="28"/>
          <w:szCs w:val="28"/>
          <w:highlight w:val="none"/>
        </w:rPr>
        <w:fldChar w:fldCharType="end"/>
      </w:r>
    </w:p>
    <w:p w14:paraId="2E1D2DC7">
      <w:pPr>
        <w:pStyle w:val="5"/>
        <w:spacing w:before="0" w:after="0" w:line="480" w:lineRule="auto"/>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 </w:t>
      </w:r>
    </w:p>
    <w:p w14:paraId="7DC563D7">
      <w:pPr>
        <w:rPr>
          <w:rFonts w:hint="eastAsia" w:ascii="宋体" w:hAnsi="宋体" w:eastAsia="宋体" w:cs="宋体"/>
          <w:color w:val="auto"/>
          <w:highlight w:val="none"/>
        </w:rPr>
        <w:sectPr>
          <w:footerReference r:id="rId5" w:type="first"/>
          <w:headerReference r:id="rId3" w:type="default"/>
          <w:footerReference r:id="rId4" w:type="default"/>
          <w:pgSz w:w="11906" w:h="16838"/>
          <w:pgMar w:top="1134" w:right="1106" w:bottom="1134" w:left="1259" w:header="680" w:footer="680" w:gutter="0"/>
          <w:pgNumType w:start="1"/>
          <w:cols w:space="0" w:num="1"/>
          <w:docGrid w:type="lines" w:linePitch="318" w:charSpace="0"/>
        </w:sectPr>
      </w:pPr>
      <w:r>
        <w:rPr>
          <w:rFonts w:hint="eastAsia" w:ascii="宋体" w:hAnsi="宋体" w:eastAsia="宋体" w:cs="宋体"/>
          <w:b w:val="0"/>
          <w:bCs w:val="0"/>
          <w:color w:val="auto"/>
          <w:sz w:val="24"/>
          <w:szCs w:val="24"/>
          <w:highlight w:val="none"/>
        </w:rPr>
        <w:tab/>
      </w:r>
    </w:p>
    <w:p w14:paraId="3D41C168">
      <w:pPr>
        <w:pStyle w:val="5"/>
        <w:keepNext/>
        <w:keepLines/>
        <w:pageBreakBefore w:val="0"/>
        <w:widowControl w:val="0"/>
        <w:numPr>
          <w:ilvl w:val="0"/>
          <w:numId w:val="1"/>
        </w:numPr>
        <w:kinsoku/>
        <w:wordWrap/>
        <w:overflowPunct/>
        <w:topLinePunct w:val="0"/>
        <w:bidi w:val="0"/>
        <w:snapToGrid/>
        <w:spacing w:before="0" w:after="0" w:line="500" w:lineRule="exact"/>
        <w:textAlignment w:val="auto"/>
        <w:rPr>
          <w:rFonts w:hint="eastAsia" w:ascii="宋体" w:hAnsi="宋体" w:eastAsia="宋体" w:cs="宋体"/>
          <w:color w:val="auto"/>
          <w:highlight w:val="none"/>
          <w:lang w:val="en-US" w:eastAsia="zh-CN"/>
        </w:rPr>
      </w:pPr>
      <w:bookmarkStart w:id="0" w:name="_Toc2570"/>
      <w:bookmarkStart w:id="1" w:name="_Toc16309"/>
      <w:r>
        <w:rPr>
          <w:rFonts w:hint="eastAsia" w:ascii="宋体" w:hAnsi="宋体" w:eastAsia="宋体" w:cs="宋体"/>
          <w:color w:val="auto"/>
          <w:highlight w:val="none"/>
          <w:lang w:val="en-US" w:eastAsia="zh-CN"/>
        </w:rPr>
        <w:t>招标公告</w:t>
      </w:r>
      <w:bookmarkEnd w:id="0"/>
    </w:p>
    <w:p w14:paraId="6153588B">
      <w:pPr>
        <w:pStyle w:val="5"/>
        <w:keepNext/>
        <w:keepLines/>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500" w:lineRule="exact"/>
        <w:jc w:val="center"/>
        <w:textAlignment w:val="auto"/>
        <w:rPr>
          <w:rFonts w:hint="eastAsia" w:ascii="华文中宋" w:hAnsi="华文中宋" w:eastAsia="华文中宋" w:cs="Times New Roman"/>
          <w:color w:val="auto"/>
          <w:highlight w:val="none"/>
          <w:lang w:eastAsia="zh-CN"/>
        </w:rPr>
      </w:pPr>
      <w:bookmarkStart w:id="2" w:name="_Toc21262"/>
      <w:bookmarkStart w:id="3" w:name="_Toc14627"/>
      <w:bookmarkStart w:id="4" w:name="_Toc9827"/>
      <w:r>
        <w:rPr>
          <w:rFonts w:hint="eastAsia" w:ascii="华文中宋" w:hAnsi="华文中宋" w:eastAsia="华文中宋" w:cs="Times New Roman"/>
          <w:color w:val="auto"/>
          <w:highlight w:val="none"/>
          <w:lang w:val="en-US" w:eastAsia="zh-CN"/>
        </w:rPr>
        <w:t>城南绿廊公园水体清淤项目工程量清单及最高投标限价编制服务项目（二次）</w:t>
      </w:r>
      <w:r>
        <w:rPr>
          <w:rFonts w:hint="eastAsia" w:ascii="华文中宋" w:hAnsi="华文中宋" w:eastAsia="华文中宋" w:cs="Times New Roman"/>
          <w:color w:val="auto"/>
          <w:highlight w:val="none"/>
          <w:lang w:eastAsia="zh-CN"/>
        </w:rPr>
        <w:t>招标公告</w:t>
      </w:r>
      <w:bookmarkEnd w:id="2"/>
      <w:bookmarkEnd w:id="3"/>
      <w:r>
        <w:rPr>
          <w:rFonts w:hint="eastAsia" w:ascii="华文中宋" w:hAnsi="华文中宋" w:eastAsia="华文中宋" w:cs="Times New Roman"/>
          <w:color w:val="auto"/>
          <w:highlight w:val="none"/>
          <w:lang w:eastAsia="zh-CN"/>
        </w:rPr>
        <w:t>（</w:t>
      </w:r>
      <w:r>
        <w:rPr>
          <w:rFonts w:hint="eastAsia" w:ascii="华文中宋" w:hAnsi="华文中宋" w:eastAsia="华文中宋" w:cs="Times New Roman"/>
          <w:color w:val="auto"/>
          <w:highlight w:val="none"/>
          <w:lang w:val="en-US" w:eastAsia="zh-CN"/>
        </w:rPr>
        <w:t>不见面开标</w:t>
      </w:r>
      <w:r>
        <w:rPr>
          <w:rFonts w:hint="eastAsia" w:ascii="华文中宋" w:hAnsi="华文中宋" w:eastAsia="华文中宋" w:cs="Times New Roman"/>
          <w:color w:val="auto"/>
          <w:highlight w:val="none"/>
          <w:lang w:eastAsia="zh-CN"/>
        </w:rPr>
        <w:t>）</w:t>
      </w:r>
      <w:bookmarkEnd w:id="4"/>
    </w:p>
    <w:p w14:paraId="0105351F">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val="0"/>
          <w:color w:val="auto"/>
          <w:sz w:val="21"/>
          <w:szCs w:val="21"/>
          <w:highlight w:val="none"/>
        </w:rPr>
      </w:pPr>
      <w:bookmarkStart w:id="5" w:name="_Toc28359079"/>
      <w:bookmarkStart w:id="6" w:name="_Toc11704"/>
      <w:bookmarkStart w:id="7" w:name="_Toc35393790"/>
      <w:bookmarkStart w:id="8" w:name="_Toc35393621"/>
      <w:bookmarkStart w:id="9" w:name="_Toc31215"/>
      <w:bookmarkStart w:id="10" w:name="_Toc28359002"/>
      <w:bookmarkStart w:id="11" w:name="_Toc23993"/>
      <w:bookmarkStart w:id="12" w:name="_Hlk24379207"/>
      <w:r>
        <w:rPr>
          <w:rFonts w:hint="eastAsia" w:ascii="宋体" w:hAnsi="宋体" w:eastAsia="宋体" w:cs="宋体"/>
          <w:b/>
          <w:bCs/>
          <w:color w:val="auto"/>
          <w:sz w:val="21"/>
          <w:szCs w:val="21"/>
          <w:highlight w:val="none"/>
        </w:rPr>
        <w:t>一、项目基本情况</w:t>
      </w:r>
      <w:bookmarkEnd w:id="5"/>
      <w:bookmarkEnd w:id="6"/>
      <w:bookmarkEnd w:id="7"/>
      <w:bookmarkEnd w:id="8"/>
      <w:bookmarkEnd w:id="9"/>
      <w:bookmarkEnd w:id="10"/>
      <w:bookmarkEnd w:id="11"/>
    </w:p>
    <w:bookmarkEnd w:id="12"/>
    <w:p w14:paraId="551101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default" w:ascii="宋体" w:hAnsi="宋体" w:cs="宋体"/>
          <w:i w:val="0"/>
          <w:iCs w:val="0"/>
          <w:caps w:val="0"/>
          <w:color w:val="auto"/>
          <w:spacing w:val="0"/>
          <w:kern w:val="0"/>
          <w:sz w:val="21"/>
          <w:szCs w:val="21"/>
          <w:highlight w:val="none"/>
          <w:shd w:val="clear" w:fill="FFFFFF"/>
          <w:lang w:val="en-US" w:eastAsia="zh-CN" w:bidi="ar"/>
        </w:rPr>
      </w:pPr>
      <w:bookmarkStart w:id="13" w:name="_Toc28004"/>
      <w:bookmarkStart w:id="14" w:name="_Toc28359080"/>
      <w:bookmarkStart w:id="15" w:name="_Toc35393622"/>
      <w:bookmarkStart w:id="16" w:name="_Toc28359003"/>
      <w:bookmarkStart w:id="17" w:name="_Toc4879"/>
      <w:bookmarkStart w:id="18" w:name="_Toc35393791"/>
      <w:r>
        <w:rPr>
          <w:rFonts w:hint="eastAsia" w:ascii="宋体" w:hAnsi="宋体" w:eastAsia="宋体" w:cs="宋体"/>
          <w:i w:val="0"/>
          <w:iCs w:val="0"/>
          <w:caps w:val="0"/>
          <w:color w:val="auto"/>
          <w:spacing w:val="0"/>
          <w:kern w:val="0"/>
          <w:sz w:val="21"/>
          <w:szCs w:val="21"/>
          <w:highlight w:val="none"/>
          <w:shd w:val="clear" w:fill="FFFFFF"/>
          <w:lang w:val="en-US" w:eastAsia="zh-CN" w:bidi="ar"/>
        </w:rPr>
        <w:t>项目名称：</w:t>
      </w:r>
      <w:r>
        <w:rPr>
          <w:rFonts w:hint="eastAsia" w:ascii="宋体" w:hAnsi="宋体" w:cs="宋体"/>
          <w:i w:val="0"/>
          <w:iCs w:val="0"/>
          <w:caps w:val="0"/>
          <w:color w:val="auto"/>
          <w:spacing w:val="0"/>
          <w:kern w:val="0"/>
          <w:sz w:val="21"/>
          <w:szCs w:val="21"/>
          <w:highlight w:val="none"/>
          <w:shd w:val="clear" w:fill="FFFFFF"/>
          <w:lang w:val="en-US" w:eastAsia="zh-CN" w:bidi="ar"/>
        </w:rPr>
        <w:t>城南绿廊公园水体清淤项目工程量清单及最高投标限价编制服务项目（二次）</w:t>
      </w:r>
    </w:p>
    <w:p w14:paraId="1991BF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sz w:val="21"/>
          <w:szCs w:val="21"/>
          <w:highlight w:val="none"/>
          <w:lang w:val="en-US"/>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预算金额：约</w:t>
      </w:r>
      <w:r>
        <w:rPr>
          <w:rFonts w:hint="eastAsia" w:ascii="宋体" w:hAnsi="宋体" w:cs="宋体"/>
          <w:i w:val="0"/>
          <w:iCs w:val="0"/>
          <w:caps w:val="0"/>
          <w:color w:val="auto"/>
          <w:spacing w:val="0"/>
          <w:kern w:val="0"/>
          <w:sz w:val="21"/>
          <w:szCs w:val="21"/>
          <w:highlight w:val="none"/>
          <w:shd w:val="clear" w:fill="FFFFFF"/>
          <w:lang w:val="en-US" w:eastAsia="zh-CN" w:bidi="ar"/>
        </w:rPr>
        <w:t>0.34万元</w:t>
      </w:r>
    </w:p>
    <w:p w14:paraId="126CD6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最高限价：《收费标准》计算费用的</w:t>
      </w:r>
      <w:r>
        <w:rPr>
          <w:rFonts w:hint="eastAsia" w:ascii="宋体" w:hAnsi="宋体" w:cs="宋体"/>
          <w:i w:val="0"/>
          <w:iCs w:val="0"/>
          <w:caps w:val="0"/>
          <w:color w:val="auto"/>
          <w:spacing w:val="0"/>
          <w:kern w:val="0"/>
          <w:sz w:val="21"/>
          <w:szCs w:val="21"/>
          <w:highlight w:val="none"/>
          <w:shd w:val="clear" w:fill="FFFFFF"/>
          <w:lang w:val="en-US" w:eastAsia="zh-CN" w:bidi="ar"/>
        </w:rPr>
        <w:t>100</w:t>
      </w:r>
      <w:r>
        <w:rPr>
          <w:rFonts w:hint="eastAsia" w:ascii="宋体" w:hAnsi="宋体" w:eastAsia="宋体" w:cs="宋体"/>
          <w:i w:val="0"/>
          <w:iCs w:val="0"/>
          <w:caps w:val="0"/>
          <w:color w:val="auto"/>
          <w:spacing w:val="0"/>
          <w:kern w:val="0"/>
          <w:sz w:val="21"/>
          <w:szCs w:val="21"/>
          <w:highlight w:val="none"/>
          <w:shd w:val="clear" w:fill="FFFFFF"/>
          <w:lang w:val="en-US" w:eastAsia="zh-CN" w:bidi="ar"/>
        </w:rPr>
        <w:t>%（报价均保留两位小数，小数点后第三位将四舍五入进行修正），投标单位投标报价不得高于上述费率最高限价，否则按无效标处理。《收费标准》详见附表。</w:t>
      </w:r>
    </w:p>
    <w:p w14:paraId="5196B8A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注：服务费用=【施工中标价-（暂列金+暂估价）】*相应费率*中标费率。若施工招标时划分了多个施工标段，则造价咨询费的计费基数为已招标实施的施工标段中标价的合计总金额。</w:t>
      </w:r>
    </w:p>
    <w:p w14:paraId="45CFA02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服务需求：</w:t>
      </w:r>
      <w:r>
        <w:rPr>
          <w:rFonts w:hint="eastAsia" w:ascii="宋体" w:hAnsi="宋体" w:cs="宋体"/>
          <w:i w:val="0"/>
          <w:iCs w:val="0"/>
          <w:caps w:val="0"/>
          <w:color w:val="auto"/>
          <w:spacing w:val="0"/>
          <w:kern w:val="0"/>
          <w:sz w:val="21"/>
          <w:szCs w:val="21"/>
          <w:highlight w:val="none"/>
          <w:shd w:val="clear" w:fill="FFFFFF"/>
          <w:lang w:val="en-US" w:eastAsia="zh-CN" w:bidi="ar"/>
        </w:rPr>
        <w:t>城南绿廊公园水体清淤项目，对城南绿廊公园永乐路至紫云路段河道进行清淤，并恢复沿岸水生植物等内容</w:t>
      </w:r>
      <w:r>
        <w:rPr>
          <w:rFonts w:hint="eastAsia" w:ascii="宋体" w:hAnsi="宋体" w:eastAsia="宋体" w:cs="宋体"/>
          <w:i w:val="0"/>
          <w:iCs w:val="0"/>
          <w:caps w:val="0"/>
          <w:color w:val="auto"/>
          <w:spacing w:val="0"/>
          <w:kern w:val="0"/>
          <w:sz w:val="21"/>
          <w:szCs w:val="21"/>
          <w:highlight w:val="none"/>
          <w:shd w:val="clear" w:fill="FFFFFF"/>
          <w:lang w:val="en-US" w:eastAsia="zh-CN" w:bidi="ar"/>
        </w:rPr>
        <w:t>。工程投资金额约</w:t>
      </w:r>
      <w:r>
        <w:rPr>
          <w:rFonts w:hint="eastAsia" w:ascii="宋体" w:hAnsi="宋体" w:cs="宋体"/>
          <w:i w:val="0"/>
          <w:iCs w:val="0"/>
          <w:caps w:val="0"/>
          <w:color w:val="auto"/>
          <w:spacing w:val="0"/>
          <w:kern w:val="0"/>
          <w:sz w:val="21"/>
          <w:szCs w:val="21"/>
          <w:highlight w:val="none"/>
          <w:shd w:val="clear" w:fill="FFFFFF"/>
          <w:lang w:val="en-US" w:eastAsia="zh-CN" w:bidi="ar"/>
        </w:rPr>
        <w:t>50万元</w:t>
      </w:r>
      <w:r>
        <w:rPr>
          <w:rFonts w:hint="eastAsia" w:ascii="宋体" w:hAnsi="宋体" w:eastAsia="宋体" w:cs="宋体"/>
          <w:i w:val="0"/>
          <w:iCs w:val="0"/>
          <w:caps w:val="0"/>
          <w:color w:val="auto"/>
          <w:spacing w:val="0"/>
          <w:kern w:val="0"/>
          <w:sz w:val="21"/>
          <w:szCs w:val="21"/>
          <w:highlight w:val="none"/>
          <w:shd w:val="clear" w:fill="FFFFFF"/>
          <w:lang w:val="en-US" w:eastAsia="zh-CN" w:bidi="ar"/>
        </w:rPr>
        <w:t>，本项目为工程量清单及最高投标限价编制服务，服务费用约</w:t>
      </w:r>
      <w:r>
        <w:rPr>
          <w:rFonts w:hint="eastAsia" w:ascii="宋体" w:hAnsi="宋体" w:cs="宋体"/>
          <w:i w:val="0"/>
          <w:iCs w:val="0"/>
          <w:caps w:val="0"/>
          <w:color w:val="auto"/>
          <w:spacing w:val="0"/>
          <w:kern w:val="0"/>
          <w:sz w:val="21"/>
          <w:szCs w:val="21"/>
          <w:highlight w:val="none"/>
          <w:shd w:val="clear" w:fill="FFFFFF"/>
          <w:lang w:val="en-US" w:eastAsia="zh-CN" w:bidi="ar"/>
        </w:rPr>
        <w:t>0.34万元</w:t>
      </w:r>
      <w:r>
        <w:rPr>
          <w:rFonts w:hint="eastAsia" w:ascii="宋体" w:hAnsi="宋体" w:eastAsia="宋体" w:cs="宋体"/>
          <w:i w:val="0"/>
          <w:iCs w:val="0"/>
          <w:caps w:val="0"/>
          <w:color w:val="auto"/>
          <w:spacing w:val="0"/>
          <w:kern w:val="0"/>
          <w:sz w:val="21"/>
          <w:szCs w:val="21"/>
          <w:highlight w:val="none"/>
          <w:shd w:val="clear" w:fill="FFFFFF"/>
          <w:lang w:val="en-US" w:eastAsia="zh-CN" w:bidi="ar"/>
        </w:rPr>
        <w:t>。</w:t>
      </w:r>
    </w:p>
    <w:p w14:paraId="1042DD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sz w:val="21"/>
          <w:szCs w:val="21"/>
          <w:highlight w:val="none"/>
          <w:lang w:val="en-US"/>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标段（包别）划分：1个标段。</w:t>
      </w:r>
    </w:p>
    <w:p w14:paraId="20F129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本项目不接受联合体。</w:t>
      </w:r>
    </w:p>
    <w:p w14:paraId="101A37AB">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rPr>
      </w:pPr>
      <w:bookmarkStart w:id="19" w:name="_Toc30013"/>
      <w:r>
        <w:rPr>
          <w:rFonts w:hint="eastAsia" w:ascii="宋体" w:hAnsi="宋体" w:eastAsia="宋体" w:cs="宋体"/>
          <w:b/>
          <w:bCs/>
          <w:color w:val="auto"/>
          <w:sz w:val="21"/>
          <w:szCs w:val="21"/>
          <w:highlight w:val="none"/>
        </w:rPr>
        <w:t>二、申请人的资格要求</w:t>
      </w:r>
      <w:bookmarkEnd w:id="13"/>
      <w:bookmarkEnd w:id="14"/>
      <w:bookmarkEnd w:id="15"/>
      <w:bookmarkEnd w:id="16"/>
      <w:bookmarkEnd w:id="17"/>
      <w:bookmarkEnd w:id="18"/>
      <w:bookmarkEnd w:id="19"/>
    </w:p>
    <w:p w14:paraId="1BE76C59">
      <w:pPr>
        <w:pageBreakBefore w:val="0"/>
        <w:kinsoku/>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bookmarkStart w:id="20" w:name="_Toc35393623"/>
      <w:bookmarkStart w:id="21" w:name="_Toc2689"/>
      <w:bookmarkStart w:id="22" w:name="_Toc7189"/>
      <w:bookmarkStart w:id="23" w:name="_Toc28359004"/>
      <w:bookmarkStart w:id="24" w:name="_Toc35393792"/>
      <w:bookmarkStart w:id="25" w:name="_Toc28172"/>
      <w:bookmarkStart w:id="26" w:name="_Toc28359081"/>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投标人要求：</w:t>
      </w:r>
      <w:r>
        <w:rPr>
          <w:rFonts w:hint="eastAsia" w:ascii="宋体" w:hAnsi="宋体" w:eastAsia="宋体" w:cs="宋体"/>
          <w:i w:val="0"/>
          <w:iCs w:val="0"/>
          <w:caps w:val="0"/>
          <w:color w:val="auto"/>
          <w:spacing w:val="0"/>
          <w:kern w:val="0"/>
          <w:sz w:val="21"/>
          <w:szCs w:val="21"/>
          <w:highlight w:val="none"/>
          <w:shd w:val="clear" w:fill="FFFFFF"/>
          <w:lang w:val="en-US" w:eastAsia="zh-CN" w:bidi="ar"/>
        </w:rPr>
        <w:t>具备独立承担民事责任能力，具有有效的营业执照或事业单位法人证书；</w:t>
      </w:r>
    </w:p>
    <w:p w14:paraId="39C5FF67">
      <w:pPr>
        <w:pageBreakBefore w:val="0"/>
        <w:kinsoku/>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2.项目负责人要求：须具有注册在本单位的</w:t>
      </w:r>
      <w:r>
        <w:rPr>
          <w:rFonts w:hint="eastAsia" w:ascii="宋体" w:hAnsi="宋体" w:cs="宋体"/>
          <w:color w:val="auto"/>
          <w:sz w:val="21"/>
          <w:szCs w:val="21"/>
          <w:highlight w:val="none"/>
          <w:lang w:val="en-US" w:eastAsia="zh-CN"/>
        </w:rPr>
        <w:t>水利</w:t>
      </w:r>
      <w:r>
        <w:rPr>
          <w:rFonts w:hint="eastAsia" w:ascii="宋体" w:hAnsi="宋体" w:eastAsia="宋体" w:cs="宋体"/>
          <w:color w:val="auto"/>
          <w:sz w:val="21"/>
          <w:szCs w:val="21"/>
          <w:highlight w:val="none"/>
          <w:lang w:val="en-US" w:eastAsia="zh-CN"/>
        </w:rPr>
        <w:t>工程专业</w:t>
      </w:r>
      <w:r>
        <w:rPr>
          <w:rFonts w:hint="eastAsia" w:ascii="宋体" w:hAnsi="宋体" w:cs="宋体"/>
          <w:color w:val="auto"/>
          <w:sz w:val="21"/>
          <w:szCs w:val="21"/>
          <w:highlight w:val="none"/>
          <w:lang w:val="en-US" w:eastAsia="zh-CN"/>
        </w:rPr>
        <w:t>（或土木建筑工程专业）</w:t>
      </w:r>
      <w:r>
        <w:rPr>
          <w:rFonts w:hint="eastAsia" w:ascii="宋体" w:hAnsi="宋体" w:eastAsia="宋体" w:cs="宋体"/>
          <w:color w:val="auto"/>
          <w:sz w:val="21"/>
          <w:szCs w:val="21"/>
          <w:highlight w:val="none"/>
          <w:lang w:val="en-US" w:eastAsia="zh-CN"/>
        </w:rPr>
        <w:t>一级注册造价工程师（或原注册造价工程师）；</w:t>
      </w:r>
    </w:p>
    <w:p w14:paraId="1B0530D1">
      <w:pPr>
        <w:pageBreakBefore w:val="0"/>
        <w:kinsoku/>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其他</w:t>
      </w:r>
      <w:r>
        <w:rPr>
          <w:rFonts w:hint="eastAsia" w:ascii="宋体" w:hAnsi="宋体" w:eastAsia="宋体" w:cs="宋体"/>
          <w:color w:val="auto"/>
          <w:sz w:val="21"/>
          <w:szCs w:val="21"/>
          <w:highlight w:val="none"/>
        </w:rPr>
        <w:t>要求：项目组其他成员（不含项目负责人）要求：</w:t>
      </w:r>
      <w:r>
        <w:rPr>
          <w:rFonts w:hint="eastAsia" w:ascii="宋体" w:hAnsi="宋体" w:eastAsia="宋体" w:cs="宋体"/>
          <w:color w:val="auto"/>
          <w:sz w:val="21"/>
          <w:szCs w:val="21"/>
          <w:highlight w:val="none"/>
          <w:lang w:val="en-US" w:eastAsia="zh-CN"/>
        </w:rPr>
        <w:t>不</w:t>
      </w:r>
      <w:bookmarkStart w:id="211" w:name="_GoBack"/>
      <w:bookmarkEnd w:id="211"/>
      <w:r>
        <w:rPr>
          <w:rFonts w:hint="eastAsia" w:ascii="宋体" w:hAnsi="宋体" w:eastAsia="宋体" w:cs="宋体"/>
          <w:color w:val="auto"/>
          <w:sz w:val="21"/>
          <w:szCs w:val="21"/>
          <w:highlight w:val="none"/>
          <w:lang w:val="en-US" w:eastAsia="zh-CN"/>
        </w:rPr>
        <w:t>少于</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名且具有在本单位注册的二级及以上造价工程师。</w:t>
      </w:r>
    </w:p>
    <w:p w14:paraId="2AEC28B0">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三、获取</w:t>
      </w:r>
      <w:bookmarkEnd w:id="20"/>
      <w:bookmarkEnd w:id="21"/>
      <w:bookmarkEnd w:id="22"/>
      <w:bookmarkEnd w:id="23"/>
      <w:bookmarkEnd w:id="24"/>
      <w:bookmarkEnd w:id="25"/>
      <w:bookmarkEnd w:id="26"/>
      <w:r>
        <w:rPr>
          <w:rFonts w:hint="eastAsia" w:ascii="宋体" w:hAnsi="宋体" w:eastAsia="宋体" w:cs="宋体"/>
          <w:b/>
          <w:bCs/>
          <w:color w:val="auto"/>
          <w:sz w:val="21"/>
          <w:szCs w:val="21"/>
          <w:highlight w:val="none"/>
          <w:lang w:eastAsia="zh-CN"/>
        </w:rPr>
        <w:t>招标文件</w:t>
      </w:r>
    </w:p>
    <w:p w14:paraId="42BFF7A7">
      <w:pPr>
        <w:pageBreakBefore w:val="0"/>
        <w:kinsoku/>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1、招标文件获取方式：</w:t>
      </w:r>
    </w:p>
    <w:p w14:paraId="7B7E7722">
      <w:pPr>
        <w:pageBreakBefore w:val="0"/>
        <w:kinsoku/>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时间：</w:t>
      </w:r>
      <w:r>
        <w:rPr>
          <w:rFonts w:hint="eastAsia" w:ascii="宋体" w:hAnsi="宋体" w:cs="宋体"/>
          <w:i w:val="0"/>
          <w:iCs w:val="0"/>
          <w:caps w:val="0"/>
          <w:color w:val="auto"/>
          <w:spacing w:val="0"/>
          <w:sz w:val="21"/>
          <w:szCs w:val="21"/>
          <w:highlight w:val="none"/>
          <w:u w:val="none"/>
          <w:shd w:val="clear" w:fill="FFFFFF"/>
          <w:lang w:val="en-US" w:eastAsia="zh-CN"/>
        </w:rPr>
        <w:t>2026年3月24日</w:t>
      </w:r>
      <w:r>
        <w:rPr>
          <w:rFonts w:hint="eastAsia" w:ascii="宋体" w:hAnsi="宋体" w:eastAsia="宋体" w:cs="宋体"/>
          <w:i w:val="0"/>
          <w:iCs w:val="0"/>
          <w:caps w:val="0"/>
          <w:color w:val="auto"/>
          <w:spacing w:val="0"/>
          <w:sz w:val="21"/>
          <w:szCs w:val="21"/>
          <w:highlight w:val="none"/>
          <w:u w:val="none"/>
          <w:shd w:val="clear" w:fill="FFFFFF"/>
        </w:rPr>
        <w:t>至</w:t>
      </w:r>
      <w:r>
        <w:rPr>
          <w:rFonts w:hint="eastAsia" w:ascii="宋体" w:hAnsi="宋体" w:cs="宋体"/>
          <w:i w:val="0"/>
          <w:iCs w:val="0"/>
          <w:caps w:val="0"/>
          <w:color w:val="auto"/>
          <w:spacing w:val="0"/>
          <w:sz w:val="21"/>
          <w:szCs w:val="21"/>
          <w:highlight w:val="none"/>
          <w:u w:val="none"/>
          <w:shd w:val="clear" w:fill="FFFFFF"/>
          <w:lang w:val="en-US" w:eastAsia="zh-CN"/>
        </w:rPr>
        <w:t>2026年3月27日10</w:t>
      </w:r>
      <w:r>
        <w:rPr>
          <w:rFonts w:hint="eastAsia" w:ascii="宋体" w:hAnsi="宋体" w:eastAsia="宋体" w:cs="宋体"/>
          <w:i w:val="0"/>
          <w:iCs w:val="0"/>
          <w:caps w:val="0"/>
          <w:color w:val="auto"/>
          <w:spacing w:val="0"/>
          <w:sz w:val="21"/>
          <w:szCs w:val="21"/>
          <w:highlight w:val="none"/>
          <w:u w:val="none"/>
          <w:shd w:val="clear" w:fill="FFFFFF"/>
          <w:lang w:val="en-US" w:eastAsia="zh-CN"/>
        </w:rPr>
        <w:t>时00分</w:t>
      </w:r>
      <w:r>
        <w:rPr>
          <w:rFonts w:hint="eastAsia" w:ascii="宋体" w:hAnsi="宋体" w:eastAsia="宋体" w:cs="宋体"/>
          <w:i w:val="0"/>
          <w:iCs w:val="0"/>
          <w:caps w:val="0"/>
          <w:color w:val="auto"/>
          <w:spacing w:val="0"/>
          <w:sz w:val="21"/>
          <w:szCs w:val="21"/>
          <w:highlight w:val="none"/>
          <w:shd w:val="clear" w:fill="FFFFFF"/>
          <w:lang w:val="en-US" w:eastAsia="zh-CN"/>
        </w:rPr>
        <w:t>。</w:t>
      </w:r>
    </w:p>
    <w:p w14:paraId="57BDCE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地点：请于公告发布之日起从滁州市城投工程咨询管理有限公司（https://www.czctgczx.com/）网站下载。</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投标人自行承担因未按要求获取招标文件导致无法上传电子投标文件的风险。</w:t>
      </w:r>
    </w:p>
    <w:p w14:paraId="205D54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方式：（1）投标人须登录新点电子交易平台【滁州专区】查询、获取采购文件。首次登录办理</w:t>
      </w:r>
      <w:r>
        <w:rPr>
          <w:rFonts w:hint="eastAsia" w:ascii="宋体" w:hAnsi="宋体" w:cs="宋体"/>
          <w:i w:val="0"/>
          <w:iCs w:val="0"/>
          <w:caps w:val="0"/>
          <w:color w:val="auto"/>
          <w:spacing w:val="0"/>
          <w:kern w:val="0"/>
          <w:sz w:val="21"/>
          <w:szCs w:val="21"/>
          <w:highlight w:val="none"/>
          <w:shd w:val="clear" w:color="auto" w:fill="FFFFFF"/>
          <w:lang w:val="en-US" w:eastAsia="zh-CN" w:bidi="ar"/>
        </w:rPr>
        <w:t>登记</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手续，不收取任何费用。新点电子招投标统一认证平台使用相关问题（如系统登录、信息登记、录入及提交、数字证书关联等）请拨打服务电话：</w:t>
      </w:r>
      <w:r>
        <w:rPr>
          <w:rFonts w:hint="eastAsia" w:ascii="宋体" w:hAnsi="宋体" w:cs="宋体"/>
          <w:i w:val="0"/>
          <w:iCs w:val="0"/>
          <w:caps w:val="0"/>
          <w:color w:val="auto"/>
          <w:spacing w:val="0"/>
          <w:kern w:val="0"/>
          <w:sz w:val="21"/>
          <w:szCs w:val="21"/>
          <w:highlight w:val="none"/>
          <w:shd w:val="clear" w:color="auto" w:fill="FFFFFF"/>
          <w:lang w:val="en-US" w:eastAsia="zh-CN" w:bidi="ar"/>
        </w:rPr>
        <w:t>0512-58151515</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（工作日）。  </w:t>
      </w:r>
    </w:p>
    <w:p w14:paraId="3BBAFA2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（2）投标人登录新点电子交易平台【滁州专区】获取招标文件及其它资料（含澄清和补充说明等）。如在招标文件获取过程中遇到系统问题，请拨打技术支持服务热线</w:t>
      </w:r>
      <w:r>
        <w:rPr>
          <w:rFonts w:hint="eastAsia" w:ascii="宋体" w:hAnsi="宋体" w:cs="宋体"/>
          <w:i w:val="0"/>
          <w:iCs w:val="0"/>
          <w:caps w:val="0"/>
          <w:color w:val="auto"/>
          <w:spacing w:val="0"/>
          <w:kern w:val="0"/>
          <w:sz w:val="21"/>
          <w:szCs w:val="21"/>
          <w:highlight w:val="none"/>
          <w:shd w:val="clear" w:color="auto" w:fill="FFFFFF"/>
          <w:lang w:val="en-US" w:eastAsia="zh-CN" w:bidi="ar"/>
        </w:rPr>
        <w:t>0512-58151515</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或者网站首页在线客服。</w:t>
      </w:r>
    </w:p>
    <w:p w14:paraId="27A9C3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2、招标文件及相关资料售价：人民币0元/套（含清单控制价、图纸及澄清答疑文件）</w:t>
      </w:r>
      <w:r>
        <w:rPr>
          <w:rFonts w:hint="eastAsia" w:ascii="宋体" w:hAnsi="宋体" w:eastAsia="宋体" w:cs="宋体"/>
          <w:i w:val="0"/>
          <w:iCs w:val="0"/>
          <w:caps w:val="0"/>
          <w:color w:val="auto"/>
          <w:spacing w:val="0"/>
          <w:kern w:val="0"/>
          <w:sz w:val="21"/>
          <w:szCs w:val="21"/>
          <w:highlight w:val="none"/>
          <w:shd w:val="clear" w:fill="FFFFFF"/>
          <w:lang w:val="en-US" w:eastAsia="zh-CN" w:bidi="ar"/>
        </w:rPr>
        <w:t>。</w:t>
      </w:r>
    </w:p>
    <w:p w14:paraId="09247A6F">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rPr>
      </w:pPr>
      <w:bookmarkStart w:id="27" w:name="_Toc28359005"/>
      <w:bookmarkStart w:id="28" w:name="_Toc28359082"/>
      <w:bookmarkStart w:id="29" w:name="_Toc35393793"/>
      <w:bookmarkStart w:id="30" w:name="_Toc19139"/>
      <w:bookmarkStart w:id="31" w:name="_Toc35393624"/>
      <w:bookmarkStart w:id="32" w:name="_Toc23486"/>
      <w:bookmarkStart w:id="33" w:name="_Toc6135"/>
      <w:r>
        <w:rPr>
          <w:rFonts w:hint="eastAsia" w:ascii="宋体" w:hAnsi="宋体" w:eastAsia="宋体" w:cs="宋体"/>
          <w:b/>
          <w:bCs/>
          <w:color w:val="auto"/>
          <w:sz w:val="21"/>
          <w:szCs w:val="21"/>
          <w:highlight w:val="none"/>
        </w:rPr>
        <w:t>四、提交投标文件</w:t>
      </w:r>
      <w:bookmarkEnd w:id="27"/>
      <w:bookmarkEnd w:id="28"/>
      <w:r>
        <w:rPr>
          <w:rFonts w:hint="eastAsia" w:ascii="宋体" w:hAnsi="宋体" w:eastAsia="宋体" w:cs="宋体"/>
          <w:b/>
          <w:bCs/>
          <w:color w:val="auto"/>
          <w:sz w:val="21"/>
          <w:szCs w:val="21"/>
          <w:highlight w:val="none"/>
        </w:rPr>
        <w:t>截止时间、开标时间和地点</w:t>
      </w:r>
      <w:bookmarkEnd w:id="29"/>
      <w:bookmarkEnd w:id="30"/>
      <w:bookmarkEnd w:id="31"/>
      <w:bookmarkEnd w:id="32"/>
      <w:bookmarkEnd w:id="33"/>
    </w:p>
    <w:p w14:paraId="78DDBB26">
      <w:pPr>
        <w:pageBreakBefore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bookmarkStart w:id="34" w:name="_Toc1913"/>
      <w:bookmarkStart w:id="35" w:name="_Toc19623"/>
      <w:bookmarkStart w:id="36" w:name="_Toc28359084"/>
      <w:bookmarkStart w:id="37" w:name="_Toc35393794"/>
      <w:bookmarkStart w:id="38" w:name="_Toc28359007"/>
      <w:bookmarkStart w:id="39" w:name="_Toc5602"/>
      <w:bookmarkStart w:id="40" w:name="_Toc35393625"/>
      <w:r>
        <w:rPr>
          <w:rFonts w:hint="eastAsia" w:ascii="宋体" w:hAnsi="宋体" w:eastAsia="宋体" w:cs="宋体"/>
          <w:b w:val="0"/>
          <w:bCs w:val="0"/>
          <w:color w:val="auto"/>
          <w:sz w:val="21"/>
          <w:szCs w:val="21"/>
          <w:highlight w:val="none"/>
          <w:lang w:val="en-US" w:eastAsia="zh-CN"/>
        </w:rPr>
        <w:t>1、投标文件递交的截止时间为</w:t>
      </w:r>
      <w:r>
        <w:rPr>
          <w:rFonts w:hint="eastAsia" w:ascii="宋体" w:hAnsi="宋体" w:eastAsia="宋体" w:cs="宋体"/>
          <w:b w:val="0"/>
          <w:bCs w:val="0"/>
          <w:color w:val="auto"/>
          <w:sz w:val="21"/>
          <w:szCs w:val="21"/>
          <w:highlight w:val="none"/>
          <w:u w:val="single"/>
          <w:lang w:val="en-US" w:eastAsia="zh-CN"/>
        </w:rPr>
        <w:t>202</w:t>
      </w:r>
      <w:r>
        <w:rPr>
          <w:rFonts w:hint="eastAsia" w:ascii="宋体" w:hAnsi="宋体" w:cs="宋体"/>
          <w:b w:val="0"/>
          <w:bCs w:val="0"/>
          <w:color w:val="auto"/>
          <w:sz w:val="21"/>
          <w:szCs w:val="21"/>
          <w:highlight w:val="none"/>
          <w:u w:val="single"/>
          <w:lang w:val="en-US" w:eastAsia="zh-CN"/>
        </w:rPr>
        <w:t>6</w:t>
      </w:r>
      <w:r>
        <w:rPr>
          <w:rFonts w:hint="eastAsia" w:ascii="宋体" w:hAnsi="宋体" w:eastAsia="宋体" w:cs="宋体"/>
          <w:b w:val="0"/>
          <w:bCs w:val="0"/>
          <w:color w:val="auto"/>
          <w:sz w:val="21"/>
          <w:szCs w:val="21"/>
          <w:highlight w:val="none"/>
          <w:lang w:val="en-US" w:eastAsia="zh-CN"/>
        </w:rPr>
        <w:t>年</w:t>
      </w:r>
      <w:r>
        <w:rPr>
          <w:rFonts w:hint="eastAsia" w:ascii="宋体" w:hAnsi="宋体" w:cs="宋体"/>
          <w:b w:val="0"/>
          <w:bCs w:val="0"/>
          <w:color w:val="auto"/>
          <w:sz w:val="21"/>
          <w:szCs w:val="21"/>
          <w:highlight w:val="none"/>
          <w:u w:val="single"/>
          <w:lang w:val="en-US" w:eastAsia="zh-CN"/>
        </w:rPr>
        <w:t>3</w:t>
      </w:r>
      <w:r>
        <w:rPr>
          <w:rFonts w:hint="eastAsia" w:ascii="宋体" w:hAnsi="宋体" w:eastAsia="宋体" w:cs="宋体"/>
          <w:b w:val="0"/>
          <w:bCs w:val="0"/>
          <w:color w:val="auto"/>
          <w:sz w:val="21"/>
          <w:szCs w:val="21"/>
          <w:highlight w:val="none"/>
          <w:lang w:val="en-US" w:eastAsia="zh-CN"/>
        </w:rPr>
        <w:t>月</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u w:val="single"/>
          <w:lang w:val="en-US" w:eastAsia="zh-CN"/>
        </w:rPr>
        <w:t>27</w:t>
      </w:r>
      <w:r>
        <w:rPr>
          <w:rFonts w:hint="eastAsia" w:ascii="宋体" w:hAnsi="宋体" w:eastAsia="宋体" w:cs="宋体"/>
          <w:b w:val="0"/>
          <w:bCs w:val="0"/>
          <w:color w:val="auto"/>
          <w:sz w:val="21"/>
          <w:szCs w:val="21"/>
          <w:highlight w:val="none"/>
          <w:lang w:val="en-US" w:eastAsia="zh-CN"/>
        </w:rPr>
        <w:t>日</w:t>
      </w:r>
      <w:r>
        <w:rPr>
          <w:rFonts w:hint="eastAsia" w:ascii="宋体" w:hAnsi="宋体" w:cs="宋体"/>
          <w:b w:val="0"/>
          <w:bCs w:val="0"/>
          <w:color w:val="auto"/>
          <w:sz w:val="21"/>
          <w:szCs w:val="21"/>
          <w:highlight w:val="none"/>
          <w:u w:val="single"/>
          <w:lang w:val="en-US" w:eastAsia="zh-CN"/>
        </w:rPr>
        <w:t xml:space="preserve"> 10 </w:t>
      </w:r>
      <w:r>
        <w:rPr>
          <w:rFonts w:hint="eastAsia" w:ascii="宋体" w:hAnsi="宋体" w:eastAsia="宋体" w:cs="宋体"/>
          <w:b w:val="0"/>
          <w:bCs w:val="0"/>
          <w:color w:val="auto"/>
          <w:sz w:val="21"/>
          <w:szCs w:val="21"/>
          <w:highlight w:val="none"/>
          <w:lang w:val="en-US" w:eastAsia="zh-CN"/>
        </w:rPr>
        <w:t>时</w:t>
      </w:r>
      <w:r>
        <w:rPr>
          <w:rFonts w:hint="eastAsia" w:ascii="宋体" w:hAnsi="宋体" w:eastAsia="宋体" w:cs="宋体"/>
          <w:b w:val="0"/>
          <w:bCs w:val="0"/>
          <w:color w:val="auto"/>
          <w:sz w:val="21"/>
          <w:szCs w:val="21"/>
          <w:highlight w:val="none"/>
          <w:u w:val="single"/>
          <w:lang w:val="en-US" w:eastAsia="zh-CN"/>
        </w:rPr>
        <w:t>00</w:t>
      </w:r>
      <w:r>
        <w:rPr>
          <w:rFonts w:hint="eastAsia" w:ascii="宋体" w:hAnsi="宋体" w:eastAsia="宋体" w:cs="宋体"/>
          <w:b w:val="0"/>
          <w:bCs w:val="0"/>
          <w:color w:val="auto"/>
          <w:sz w:val="21"/>
          <w:szCs w:val="21"/>
          <w:highlight w:val="none"/>
          <w:lang w:val="en-US" w:eastAsia="zh-CN"/>
        </w:rPr>
        <w:t>分；</w:t>
      </w:r>
    </w:p>
    <w:p w14:paraId="5E1653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2、</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网上开标，投标人登录滁州市城投工程咨询有限公司不见面开标系统参与网上开标（网址：http://js.etrading.cn/EpointBidOpening/bidopeninghallaction/hall/login）。</w:t>
      </w:r>
    </w:p>
    <w:p w14:paraId="11B42555">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3、投标人应在投标截止时间之前，</w:t>
      </w:r>
      <w:r>
        <w:rPr>
          <w:rFonts w:hint="eastAsia" w:cs="宋体"/>
          <w:i w:val="0"/>
          <w:iCs w:val="0"/>
          <w:caps w:val="0"/>
          <w:color w:val="auto"/>
          <w:spacing w:val="0"/>
          <w:kern w:val="0"/>
          <w:sz w:val="21"/>
          <w:szCs w:val="21"/>
          <w:highlight w:val="none"/>
          <w:shd w:val="clear" w:color="auto" w:fill="FFFFFF"/>
          <w:lang w:val="en-US" w:eastAsia="zh-CN" w:bidi="ar"/>
        </w:rPr>
        <w:t>登录</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新点电子交易平台【滁州专区】上传投标文件。</w:t>
      </w:r>
    </w:p>
    <w:p w14:paraId="68E70389">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4、投标人逾期上传投标文件的，电子系统不予受理</w:t>
      </w:r>
      <w:r>
        <w:rPr>
          <w:rFonts w:hint="eastAsia" w:ascii="宋体" w:hAnsi="宋体" w:eastAsia="宋体" w:cs="宋体"/>
          <w:i w:val="0"/>
          <w:iCs w:val="0"/>
          <w:caps w:val="0"/>
          <w:color w:val="auto"/>
          <w:spacing w:val="0"/>
          <w:kern w:val="0"/>
          <w:sz w:val="21"/>
          <w:szCs w:val="21"/>
          <w:highlight w:val="none"/>
          <w:shd w:val="clear" w:fill="FFFFFF"/>
          <w:lang w:val="en-US" w:eastAsia="zh-CN" w:bidi="ar"/>
        </w:rPr>
        <w:t>。</w:t>
      </w:r>
    </w:p>
    <w:p w14:paraId="39276E8D">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五、公告</w:t>
      </w:r>
      <w:bookmarkEnd w:id="34"/>
      <w:bookmarkEnd w:id="35"/>
      <w:bookmarkEnd w:id="36"/>
      <w:bookmarkEnd w:id="37"/>
      <w:bookmarkEnd w:id="38"/>
      <w:bookmarkEnd w:id="39"/>
      <w:bookmarkEnd w:id="40"/>
      <w:r>
        <w:rPr>
          <w:rFonts w:hint="eastAsia" w:ascii="宋体" w:hAnsi="宋体" w:eastAsia="宋体" w:cs="宋体"/>
          <w:b/>
          <w:bCs/>
          <w:color w:val="auto"/>
          <w:sz w:val="21"/>
          <w:szCs w:val="21"/>
          <w:highlight w:val="none"/>
          <w:lang w:val="en-US" w:eastAsia="zh-CN"/>
        </w:rPr>
        <w:t>发布期限及媒体</w:t>
      </w:r>
    </w:p>
    <w:p w14:paraId="70ADAEFA">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自本公告发布之日起至投标截止时间止。</w:t>
      </w:r>
    </w:p>
    <w:p w14:paraId="48594B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本次招标公告同时在中国招标公共服务平台（http://www.cebpubservice.com/）、安徽省招标投标信息网（www.ahtba.org.cn）、滁州市城投工程咨询管理有限公司（https://www.czctgczx.com/）、滁州市重点工程建设管理处（http://zdc.chuzhou.gov.cn/）网站上发布。</w:t>
      </w:r>
    </w:p>
    <w:p w14:paraId="25B232D4">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六、投标保证金金额及缴纳账户</w:t>
      </w:r>
    </w:p>
    <w:p w14:paraId="1B54B949">
      <w:pPr>
        <w:pageBreakBefore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是否要求投标人提交投标保证金：不要求。</w:t>
      </w:r>
    </w:p>
    <w:p w14:paraId="70CCC2F2">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重要提醒</w:t>
      </w:r>
    </w:p>
    <w:p w14:paraId="2DC12A3E">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本项目采用电子招投标方式，请投标人在“新点电子交易平台”办事指南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33C7ADB5">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请于公告发布之日起从滁州市城投工程咨询管理有限公司官网（https://www.czctgczx.com/）下载本项目招标文件，或从滁州市城投工程咨询管理有限公司官网（https://www.czctgczx.com/），点击项目招标公告下方【我要投标】，登录新点电子交易平台后在【滁州专区】（https://www.etrading.cn/BREpointSSO/login/oauth2login?regioncode=DQ_ChuZhou）下载本项目招标文件。</w:t>
      </w:r>
    </w:p>
    <w:p w14:paraId="0320AE7C">
      <w:pPr>
        <w:pageBreakBefore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3.投标人参与投标的，须登录新点电子交易平台【滁州专区】查询、获取招标文件。首次登录办理</w:t>
      </w:r>
      <w:r>
        <w:rPr>
          <w:rFonts w:hint="eastAsia" w:ascii="宋体" w:hAnsi="宋体" w:cs="宋体"/>
          <w:b w:val="0"/>
          <w:bCs w:val="0"/>
          <w:color w:val="auto"/>
          <w:sz w:val="21"/>
          <w:szCs w:val="21"/>
          <w:highlight w:val="none"/>
          <w:lang w:val="en-US" w:eastAsia="zh-CN"/>
        </w:rPr>
        <w:t>登记</w:t>
      </w:r>
      <w:r>
        <w:rPr>
          <w:rFonts w:hint="eastAsia" w:ascii="宋体" w:hAnsi="宋体" w:eastAsia="宋体" w:cs="宋体"/>
          <w:b w:val="0"/>
          <w:bCs w:val="0"/>
          <w:color w:val="auto"/>
          <w:sz w:val="21"/>
          <w:szCs w:val="21"/>
          <w:highlight w:val="none"/>
          <w:lang w:val="en-US" w:eastAsia="zh-CN"/>
        </w:rPr>
        <w:t>手续，不收取任何费用。新点电子招投标统一认证平台使用相关问题（如系统登录、信息登记、录入及提交、数字证书关联等）请拨打服务电话：</w:t>
      </w:r>
      <w:r>
        <w:rPr>
          <w:rFonts w:hint="eastAsia" w:ascii="宋体" w:hAnsi="宋体" w:cs="宋体"/>
          <w:b w:val="0"/>
          <w:bCs w:val="0"/>
          <w:color w:val="auto"/>
          <w:sz w:val="21"/>
          <w:szCs w:val="21"/>
          <w:highlight w:val="none"/>
          <w:lang w:val="en-US" w:eastAsia="zh-CN"/>
        </w:rPr>
        <w:t>0512-58151515</w:t>
      </w:r>
      <w:r>
        <w:rPr>
          <w:rFonts w:hint="eastAsia" w:ascii="宋体" w:hAnsi="宋体" w:eastAsia="宋体" w:cs="宋体"/>
          <w:b w:val="0"/>
          <w:bCs w:val="0"/>
          <w:color w:val="auto"/>
          <w:sz w:val="21"/>
          <w:szCs w:val="21"/>
          <w:highlight w:val="none"/>
          <w:lang w:val="en-US" w:eastAsia="zh-CN"/>
        </w:rPr>
        <w:t>（工作日）。</w:t>
      </w:r>
    </w:p>
    <w:p w14:paraId="74FFEB12">
      <w:pPr>
        <w:pageBreakBefore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4.投标人登录新点电子交易平台【滁州专区】获取招标文件及其它资料（含澄清和补充说明等）。如在招标文件获取过程中遇到系统问题，请拨打技术支持服务热线</w:t>
      </w:r>
      <w:r>
        <w:rPr>
          <w:rFonts w:hint="eastAsia" w:ascii="宋体" w:hAnsi="宋体" w:cs="宋体"/>
          <w:b w:val="0"/>
          <w:bCs w:val="0"/>
          <w:color w:val="auto"/>
          <w:sz w:val="21"/>
          <w:szCs w:val="21"/>
          <w:highlight w:val="none"/>
          <w:lang w:val="en-US" w:eastAsia="zh-CN"/>
        </w:rPr>
        <w:t>0512-58151515</w:t>
      </w:r>
      <w:r>
        <w:rPr>
          <w:rFonts w:hint="eastAsia" w:ascii="宋体" w:hAnsi="宋体" w:eastAsia="宋体" w:cs="宋体"/>
          <w:b w:val="0"/>
          <w:bCs w:val="0"/>
          <w:color w:val="auto"/>
          <w:sz w:val="21"/>
          <w:szCs w:val="21"/>
          <w:highlight w:val="none"/>
          <w:lang w:val="en-US" w:eastAsia="zh-CN"/>
        </w:rPr>
        <w:t>或者网站首页在线客服。投标人自行承担因未按要求获取招标文件导致无法上传电子投标文件的风险。</w:t>
      </w:r>
    </w:p>
    <w:p w14:paraId="42F9A653">
      <w:pPr>
        <w:pageBreakBefore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5.本项目采用不见面开标，投标人登录滁州市城投工程咨询有限公司不见面开标系统参与网上开标（网址：http://js.etrading.cn/EpointBidOpening/bidopeninghallaction/hall/login）。</w:t>
      </w:r>
    </w:p>
    <w:p w14:paraId="348D91F7">
      <w:pPr>
        <w:pageBreakBefore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6.投标人应在投标截止时间之前，登录新点电子交易平台【滁州专区】上传投标文件。投标人逾期上传投标文件的，电子系统不予受理。</w:t>
      </w:r>
    </w:p>
    <w:p w14:paraId="507F2748">
      <w:pPr>
        <w:pageBreakBefore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w:t>
      </w:r>
    </w:p>
    <w:p w14:paraId="16147551">
      <w:pPr>
        <w:pageBreakBefore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8.投标人的联系人电话(手机)、电子邮箱等通讯方式在开标过程中必须保持畅通，否则因上述原因造成的后果，责任自负。</w:t>
      </w:r>
    </w:p>
    <w:p w14:paraId="2A3BE869">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八、对本次招标提出询问，请按以下方式联系</w:t>
      </w:r>
    </w:p>
    <w:p w14:paraId="610D0890">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w:t>
      </w:r>
      <w:r>
        <w:rPr>
          <w:rFonts w:hint="eastAsia" w:ascii="宋体" w:hAnsi="宋体" w:cs="宋体"/>
          <w:kern w:val="2"/>
          <w:sz w:val="21"/>
          <w:szCs w:val="21"/>
          <w:highlight w:val="none"/>
          <w:lang w:val="en-US" w:eastAsia="zh-CN" w:bidi="ar"/>
        </w:rPr>
        <w:t>招标</w:t>
      </w:r>
      <w:r>
        <w:rPr>
          <w:rFonts w:hint="eastAsia" w:ascii="宋体" w:hAnsi="宋体" w:eastAsia="宋体" w:cs="宋体"/>
          <w:kern w:val="2"/>
          <w:sz w:val="21"/>
          <w:szCs w:val="21"/>
          <w:highlight w:val="none"/>
          <w:lang w:val="en-US" w:eastAsia="zh-CN" w:bidi="ar"/>
        </w:rPr>
        <w:t>人信息</w:t>
      </w:r>
    </w:p>
    <w:p w14:paraId="528AB23E">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lang w:val="en-US" w:eastAsia="zh-CN" w:bidi="ar"/>
        </w:rPr>
        <w:t>名称：滁州市园林景观管理中心</w:t>
      </w:r>
    </w:p>
    <w:p w14:paraId="3E71B465">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地址：滁州市花园西路81号林业大厦8楼 </w:t>
      </w:r>
    </w:p>
    <w:p w14:paraId="55B1265B">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联系方式：</w:t>
      </w:r>
      <w:r>
        <w:rPr>
          <w:rFonts w:hint="eastAsia" w:ascii="宋体" w:hAnsi="宋体" w:cs="宋体"/>
          <w:kern w:val="2"/>
          <w:sz w:val="21"/>
          <w:szCs w:val="21"/>
          <w:highlight w:val="none"/>
          <w:lang w:val="en-US" w:eastAsia="zh-CN" w:bidi="ar"/>
        </w:rPr>
        <w:t>曾建博</w:t>
      </w:r>
      <w:r>
        <w:rPr>
          <w:rFonts w:hint="eastAsia" w:ascii="宋体" w:hAnsi="宋体" w:eastAsia="宋体" w:cs="宋体"/>
          <w:kern w:val="2"/>
          <w:sz w:val="21"/>
          <w:szCs w:val="21"/>
          <w:highlight w:val="none"/>
          <w:lang w:val="en-US" w:eastAsia="zh-CN" w:bidi="ar"/>
        </w:rPr>
        <w:t xml:space="preserve"> </w:t>
      </w:r>
      <w:r>
        <w:rPr>
          <w:rFonts w:hint="eastAsia" w:ascii="宋体" w:hAnsi="宋体" w:cs="宋体"/>
          <w:kern w:val="2"/>
          <w:sz w:val="21"/>
          <w:szCs w:val="21"/>
          <w:highlight w:val="none"/>
          <w:lang w:val="en-US" w:eastAsia="zh-CN" w:bidi="ar"/>
        </w:rPr>
        <w:t>0550-3010861</w:t>
      </w:r>
    </w:p>
    <w:p w14:paraId="0959C5B1">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2.</w:t>
      </w:r>
      <w:r>
        <w:rPr>
          <w:rFonts w:hint="eastAsia" w:ascii="宋体" w:hAnsi="宋体" w:cs="宋体"/>
          <w:kern w:val="2"/>
          <w:sz w:val="21"/>
          <w:szCs w:val="21"/>
          <w:highlight w:val="none"/>
          <w:lang w:val="en-US" w:eastAsia="zh-CN" w:bidi="ar"/>
        </w:rPr>
        <w:t>招标</w:t>
      </w:r>
      <w:r>
        <w:rPr>
          <w:rFonts w:hint="eastAsia" w:ascii="宋体" w:hAnsi="宋体" w:eastAsia="宋体" w:cs="宋体"/>
          <w:kern w:val="2"/>
          <w:sz w:val="21"/>
          <w:szCs w:val="21"/>
          <w:highlight w:val="none"/>
          <w:lang w:val="en-US" w:eastAsia="zh-CN" w:bidi="ar"/>
        </w:rPr>
        <w:t>代理机构信息</w:t>
      </w:r>
    </w:p>
    <w:p w14:paraId="347D39A0">
      <w:pPr>
        <w:keepNext w:val="0"/>
        <w:keepLines w:val="0"/>
        <w:widowControl w:val="0"/>
        <w:suppressLineNumbers w:val="0"/>
        <w:autoSpaceDE w:val="0"/>
        <w:autoSpaceDN/>
        <w:spacing w:before="0" w:beforeAutospacing="0" w:after="0" w:afterAutospacing="0" w:line="44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名称：滁州市城投工程咨询管理有限公司</w:t>
      </w:r>
    </w:p>
    <w:p w14:paraId="7068A465">
      <w:pPr>
        <w:keepNext w:val="0"/>
        <w:keepLines w:val="0"/>
        <w:widowControl w:val="0"/>
        <w:suppressLineNumbers w:val="0"/>
        <w:autoSpaceDE w:val="0"/>
        <w:autoSpaceDN/>
        <w:spacing w:before="0" w:beforeAutospacing="0" w:after="0" w:afterAutospacing="0" w:line="44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地址：滁州市龙蟠大道109号房产商务大厦6楼605室</w:t>
      </w:r>
    </w:p>
    <w:p w14:paraId="3A132979">
      <w:pPr>
        <w:keepNext w:val="0"/>
        <w:keepLines w:val="0"/>
        <w:widowControl w:val="0"/>
        <w:suppressLineNumbers w:val="0"/>
        <w:autoSpaceDE w:val="0"/>
        <w:autoSpaceDN/>
        <w:spacing w:before="0" w:beforeAutospacing="0" w:after="0" w:afterAutospacing="0" w:line="44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联系方式：</w:t>
      </w:r>
      <w:r>
        <w:rPr>
          <w:rFonts w:hint="eastAsia" w:ascii="宋体" w:hAnsi="宋体" w:cs="宋体"/>
          <w:kern w:val="2"/>
          <w:sz w:val="21"/>
          <w:szCs w:val="21"/>
          <w:highlight w:val="none"/>
          <w:lang w:val="en-US" w:eastAsia="zh-CN" w:bidi="ar"/>
        </w:rPr>
        <w:t>曹思敏</w:t>
      </w:r>
      <w:r>
        <w:rPr>
          <w:rFonts w:hint="eastAsia" w:ascii="宋体" w:hAnsi="宋体" w:eastAsia="宋体" w:cs="宋体"/>
          <w:kern w:val="2"/>
          <w:sz w:val="21"/>
          <w:szCs w:val="21"/>
          <w:highlight w:val="none"/>
          <w:lang w:val="en-US" w:eastAsia="zh-CN" w:bidi="ar"/>
        </w:rPr>
        <w:t xml:space="preserve">  </w:t>
      </w:r>
      <w:r>
        <w:rPr>
          <w:rFonts w:hint="eastAsia" w:ascii="宋体" w:hAnsi="宋体" w:cs="宋体"/>
          <w:kern w:val="2"/>
          <w:sz w:val="21"/>
          <w:szCs w:val="21"/>
          <w:highlight w:val="none"/>
          <w:lang w:val="en-US" w:eastAsia="zh-CN" w:bidi="ar"/>
        </w:rPr>
        <w:t>0550-3519516、18712012204</w:t>
      </w:r>
    </w:p>
    <w:p w14:paraId="5ECB63B7">
      <w:pPr>
        <w:pageBreakBefore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p>
    <w:p w14:paraId="0B7C01C1">
      <w:pPr>
        <w:pStyle w:val="5"/>
        <w:keepNext/>
        <w:keepLines/>
        <w:pageBreakBefore/>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color w:val="auto"/>
          <w:highlight w:val="none"/>
          <w:lang w:eastAsia="zh-CN"/>
        </w:rPr>
      </w:pPr>
      <w:bookmarkStart w:id="41" w:name="_Toc2525"/>
      <w:bookmarkStart w:id="42" w:name="_Toc24103"/>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章</w:t>
      </w:r>
      <w:r>
        <w:rPr>
          <w:rFonts w:hint="eastAsia" w:ascii="宋体" w:hAnsi="宋体" w:eastAsia="宋体" w:cs="宋体"/>
          <w:color w:val="auto"/>
          <w:highlight w:val="none"/>
          <w:lang w:val="en-US" w:eastAsia="zh-CN"/>
        </w:rPr>
        <w:t xml:space="preserve"> </w:t>
      </w:r>
      <w:bookmarkEnd w:id="41"/>
      <w:r>
        <w:rPr>
          <w:rFonts w:hint="eastAsia" w:ascii="宋体" w:hAnsi="宋体" w:eastAsia="宋体" w:cs="宋体"/>
          <w:color w:val="auto"/>
          <w:highlight w:val="none"/>
          <w:lang w:eastAsia="zh-CN"/>
        </w:rPr>
        <w:t>投标人须知</w:t>
      </w:r>
      <w:bookmarkEnd w:id="42"/>
    </w:p>
    <w:p w14:paraId="11A55803">
      <w:pPr>
        <w:pStyle w:val="5"/>
        <w:keepNext/>
        <w:keepLines/>
        <w:pageBreakBefore w:val="0"/>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color w:val="auto"/>
          <w:highlight w:val="none"/>
        </w:rPr>
      </w:pPr>
      <w:bookmarkStart w:id="43" w:name="_Toc15200"/>
      <w:r>
        <w:rPr>
          <w:rFonts w:hint="eastAsia" w:ascii="宋体" w:hAnsi="宋体" w:eastAsia="宋体" w:cs="宋体"/>
          <w:color w:val="auto"/>
          <w:highlight w:val="none"/>
          <w:lang w:eastAsia="zh-CN"/>
        </w:rPr>
        <w:t>投标人须知</w:t>
      </w:r>
      <w:r>
        <w:rPr>
          <w:rFonts w:hint="eastAsia" w:ascii="宋体" w:hAnsi="宋体" w:eastAsia="宋体" w:cs="宋体"/>
          <w:color w:val="auto"/>
          <w:highlight w:val="none"/>
        </w:rPr>
        <w:t>前附表</w:t>
      </w:r>
      <w:bookmarkEnd w:id="1"/>
      <w:bookmarkEnd w:id="43"/>
    </w:p>
    <w:tbl>
      <w:tblPr>
        <w:tblStyle w:val="45"/>
        <w:tblW w:w="9538" w:type="dxa"/>
        <w:tblInd w:w="2" w:type="dxa"/>
        <w:tblLayout w:type="fixed"/>
        <w:tblCellMar>
          <w:top w:w="0" w:type="dxa"/>
          <w:left w:w="0" w:type="dxa"/>
          <w:bottom w:w="0" w:type="dxa"/>
          <w:right w:w="0" w:type="dxa"/>
        </w:tblCellMar>
      </w:tblPr>
      <w:tblGrid>
        <w:gridCol w:w="727"/>
        <w:gridCol w:w="1645"/>
        <w:gridCol w:w="7166"/>
      </w:tblGrid>
      <w:tr w14:paraId="78EF493F">
        <w:tblPrEx>
          <w:tblCellMar>
            <w:top w:w="0" w:type="dxa"/>
            <w:left w:w="0" w:type="dxa"/>
            <w:bottom w:w="0" w:type="dxa"/>
            <w:right w:w="0" w:type="dxa"/>
          </w:tblCellMar>
        </w:tblPrEx>
        <w:trPr>
          <w:trHeight w:val="164" w:hRule="atLeast"/>
        </w:trPr>
        <w:tc>
          <w:tcPr>
            <w:tcW w:w="727" w:type="dxa"/>
            <w:tcBorders>
              <w:top w:val="single" w:color="auto" w:sz="8" w:space="0"/>
              <w:left w:val="single" w:color="auto" w:sz="8" w:space="0"/>
              <w:bottom w:val="single" w:color="auto" w:sz="8" w:space="0"/>
              <w:right w:val="single" w:color="auto" w:sz="8" w:space="0"/>
            </w:tcBorders>
            <w:vAlign w:val="center"/>
          </w:tcPr>
          <w:p w14:paraId="6A179B0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编号</w:t>
            </w:r>
          </w:p>
        </w:tc>
        <w:tc>
          <w:tcPr>
            <w:tcW w:w="1645" w:type="dxa"/>
            <w:tcBorders>
              <w:top w:val="single" w:color="auto" w:sz="8" w:space="0"/>
              <w:left w:val="single" w:color="auto" w:sz="4" w:space="0"/>
              <w:bottom w:val="single" w:color="auto" w:sz="8" w:space="0"/>
              <w:right w:val="single" w:color="auto" w:sz="4" w:space="0"/>
            </w:tcBorders>
            <w:vAlign w:val="center"/>
          </w:tcPr>
          <w:p w14:paraId="49C71E2D">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内容</w:t>
            </w:r>
          </w:p>
        </w:tc>
        <w:tc>
          <w:tcPr>
            <w:tcW w:w="7166" w:type="dxa"/>
            <w:tcBorders>
              <w:top w:val="single" w:color="auto" w:sz="8" w:space="0"/>
              <w:left w:val="single" w:color="auto" w:sz="4" w:space="0"/>
              <w:bottom w:val="single" w:color="auto" w:sz="8" w:space="0"/>
              <w:right w:val="single" w:color="auto" w:sz="8" w:space="0"/>
            </w:tcBorders>
            <w:vAlign w:val="center"/>
          </w:tcPr>
          <w:p w14:paraId="6CFD765C">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说明与要求</w:t>
            </w:r>
          </w:p>
        </w:tc>
      </w:tr>
      <w:tr w14:paraId="726904A0">
        <w:tblPrEx>
          <w:tblCellMar>
            <w:top w:w="0" w:type="dxa"/>
            <w:left w:w="0" w:type="dxa"/>
            <w:bottom w:w="0" w:type="dxa"/>
            <w:right w:w="0" w:type="dxa"/>
          </w:tblCellMar>
        </w:tblPrEx>
        <w:trPr>
          <w:trHeight w:val="816" w:hRule="atLeast"/>
        </w:trPr>
        <w:tc>
          <w:tcPr>
            <w:tcW w:w="727" w:type="dxa"/>
            <w:tcBorders>
              <w:top w:val="single" w:color="auto" w:sz="8" w:space="0"/>
              <w:left w:val="single" w:color="auto" w:sz="8" w:space="0"/>
              <w:bottom w:val="single" w:color="auto" w:sz="8" w:space="0"/>
              <w:right w:val="single" w:color="auto" w:sz="8" w:space="0"/>
            </w:tcBorders>
            <w:vAlign w:val="center"/>
          </w:tcPr>
          <w:p w14:paraId="2BF3545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645" w:type="dxa"/>
            <w:tcBorders>
              <w:top w:val="single" w:color="auto" w:sz="8" w:space="0"/>
              <w:left w:val="single" w:color="auto" w:sz="4" w:space="0"/>
              <w:bottom w:val="single" w:color="auto" w:sz="8" w:space="0"/>
              <w:right w:val="single" w:color="auto" w:sz="4" w:space="0"/>
            </w:tcBorders>
            <w:vAlign w:val="center"/>
          </w:tcPr>
          <w:p w14:paraId="1C48B210">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项目概况</w:t>
            </w:r>
          </w:p>
        </w:tc>
        <w:tc>
          <w:tcPr>
            <w:tcW w:w="7166" w:type="dxa"/>
            <w:tcBorders>
              <w:top w:val="single" w:color="auto" w:sz="8" w:space="0"/>
              <w:left w:val="single" w:color="auto" w:sz="4" w:space="0"/>
              <w:bottom w:val="single" w:color="auto" w:sz="8" w:space="0"/>
              <w:right w:val="single" w:color="auto" w:sz="8" w:space="0"/>
            </w:tcBorders>
            <w:vAlign w:val="center"/>
          </w:tcPr>
          <w:p w14:paraId="3237CBC8">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default" w:ascii="宋体" w:hAnsi="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w:t>
            </w:r>
            <w:r>
              <w:rPr>
                <w:rFonts w:hint="eastAsia" w:ascii="宋体" w:hAnsi="宋体" w:eastAsia="宋体" w:cs="宋体"/>
                <w:color w:val="auto"/>
                <w:kern w:val="0"/>
                <w:sz w:val="21"/>
                <w:szCs w:val="21"/>
                <w:highlight w:val="none"/>
              </w:rPr>
              <w:t>名称：</w:t>
            </w:r>
            <w:r>
              <w:rPr>
                <w:rFonts w:hint="eastAsia" w:ascii="宋体" w:hAnsi="宋体" w:cs="宋体"/>
                <w:color w:val="auto"/>
                <w:kern w:val="0"/>
                <w:sz w:val="21"/>
                <w:szCs w:val="21"/>
                <w:highlight w:val="none"/>
                <w:lang w:val="en-US" w:eastAsia="zh-CN"/>
              </w:rPr>
              <w:t>城南绿廊公园水体清淤项目工程量清单及最高投标限价编制服务项目（二次）</w:t>
            </w:r>
          </w:p>
          <w:p w14:paraId="3D870AD5">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建设地点：滁州市</w:t>
            </w:r>
            <w:r>
              <w:rPr>
                <w:rFonts w:hint="eastAsia" w:ascii="宋体" w:hAnsi="宋体" w:eastAsia="宋体" w:cs="宋体"/>
                <w:color w:val="auto"/>
                <w:kern w:val="0"/>
                <w:sz w:val="21"/>
                <w:szCs w:val="21"/>
                <w:highlight w:val="none"/>
                <w:lang w:val="en-US" w:eastAsia="zh-CN"/>
              </w:rPr>
              <w:t>内</w:t>
            </w:r>
          </w:p>
          <w:p w14:paraId="41C1F8B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63" w:leftChars="30" w:right="0"/>
              <w:jc w:val="left"/>
              <w:textAlignment w:val="auto"/>
              <w:rPr>
                <w:rFonts w:hint="default" w:ascii="宋体" w:hAnsi="宋体" w:eastAsia="宋体" w:cs="宋体"/>
                <w:color w:val="auto"/>
                <w:kern w:val="0"/>
                <w:sz w:val="21"/>
                <w:szCs w:val="21"/>
                <w:highlight w:val="none"/>
                <w:u w:val="single"/>
                <w:lang w:val="en-US"/>
              </w:rPr>
            </w:pPr>
            <w:r>
              <w:rPr>
                <w:rFonts w:hint="eastAsia" w:ascii="宋体" w:hAnsi="宋体" w:eastAsia="宋体" w:cs="宋体"/>
                <w:color w:val="auto"/>
                <w:kern w:val="0"/>
                <w:sz w:val="21"/>
                <w:szCs w:val="21"/>
                <w:highlight w:val="none"/>
                <w:lang w:val="en-US" w:eastAsia="zh-CN"/>
              </w:rPr>
              <w:t>建设规模：工程量清单及最高投标限价编制费约</w:t>
            </w:r>
            <w:r>
              <w:rPr>
                <w:rFonts w:hint="eastAsia" w:ascii="宋体" w:hAnsi="宋体" w:cs="宋体"/>
                <w:i w:val="0"/>
                <w:iCs w:val="0"/>
                <w:caps w:val="0"/>
                <w:color w:val="auto"/>
                <w:spacing w:val="0"/>
                <w:kern w:val="0"/>
                <w:sz w:val="21"/>
                <w:szCs w:val="21"/>
                <w:highlight w:val="none"/>
                <w:shd w:val="clear" w:fill="FFFFFF"/>
                <w:lang w:val="en-US" w:eastAsia="zh-CN" w:bidi="ar"/>
              </w:rPr>
              <w:t>0.34万元</w:t>
            </w:r>
            <w:r>
              <w:rPr>
                <w:rFonts w:hint="eastAsia" w:ascii="宋体" w:hAnsi="宋体" w:eastAsia="宋体" w:cs="宋体"/>
                <w:color w:val="auto"/>
                <w:kern w:val="0"/>
                <w:sz w:val="21"/>
                <w:szCs w:val="21"/>
                <w:highlight w:val="none"/>
                <w:lang w:val="en-US" w:eastAsia="zh-CN"/>
              </w:rPr>
              <w:t>。</w:t>
            </w:r>
          </w:p>
        </w:tc>
      </w:tr>
      <w:tr w14:paraId="4047B0BA">
        <w:tblPrEx>
          <w:tblCellMar>
            <w:top w:w="0" w:type="dxa"/>
            <w:left w:w="0" w:type="dxa"/>
            <w:bottom w:w="0" w:type="dxa"/>
            <w:right w:w="0" w:type="dxa"/>
          </w:tblCellMar>
        </w:tblPrEx>
        <w:trPr>
          <w:trHeight w:val="525" w:hRule="atLeast"/>
        </w:trPr>
        <w:tc>
          <w:tcPr>
            <w:tcW w:w="727" w:type="dxa"/>
            <w:tcBorders>
              <w:top w:val="single" w:color="auto" w:sz="8" w:space="0"/>
              <w:left w:val="single" w:color="auto" w:sz="8" w:space="0"/>
              <w:bottom w:val="single" w:color="auto" w:sz="8" w:space="0"/>
              <w:right w:val="single" w:color="auto" w:sz="8" w:space="0"/>
            </w:tcBorders>
            <w:vAlign w:val="center"/>
          </w:tcPr>
          <w:p w14:paraId="4A966AC2">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645" w:type="dxa"/>
            <w:tcBorders>
              <w:top w:val="single" w:color="auto" w:sz="8" w:space="0"/>
              <w:left w:val="single" w:color="auto" w:sz="4" w:space="0"/>
              <w:bottom w:val="single" w:color="auto" w:sz="8" w:space="0"/>
              <w:right w:val="single" w:color="auto" w:sz="4" w:space="0"/>
            </w:tcBorders>
            <w:vAlign w:val="center"/>
          </w:tcPr>
          <w:p w14:paraId="1E1D1A52">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服务需求</w:t>
            </w:r>
          </w:p>
        </w:tc>
        <w:tc>
          <w:tcPr>
            <w:tcW w:w="7166" w:type="dxa"/>
            <w:tcBorders>
              <w:top w:val="single" w:color="auto" w:sz="8" w:space="0"/>
              <w:left w:val="single" w:color="auto" w:sz="4" w:space="0"/>
              <w:bottom w:val="single" w:color="auto" w:sz="8" w:space="0"/>
              <w:right w:val="single" w:color="auto" w:sz="8" w:space="0"/>
            </w:tcBorders>
            <w:vAlign w:val="center"/>
          </w:tcPr>
          <w:p w14:paraId="0003F08F">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default" w:ascii="宋体" w:hAnsi="宋体" w:eastAsia="宋体" w:cs="宋体"/>
                <w:color w:val="auto"/>
                <w:kern w:val="0"/>
                <w:sz w:val="21"/>
                <w:szCs w:val="21"/>
                <w:highlight w:val="none"/>
                <w:lang w:val="en-US"/>
              </w:rPr>
            </w:pPr>
            <w:r>
              <w:rPr>
                <w:rFonts w:hint="eastAsia" w:ascii="宋体" w:hAnsi="宋体" w:cs="宋体"/>
                <w:color w:val="auto"/>
                <w:kern w:val="0"/>
                <w:sz w:val="21"/>
                <w:szCs w:val="21"/>
                <w:highlight w:val="none"/>
                <w:lang w:val="en-US" w:eastAsia="zh-CN"/>
              </w:rPr>
              <w:t>见招标公告</w:t>
            </w:r>
          </w:p>
        </w:tc>
      </w:tr>
      <w:tr w14:paraId="597FACB0">
        <w:tblPrEx>
          <w:tblCellMar>
            <w:top w:w="0" w:type="dxa"/>
            <w:left w:w="0" w:type="dxa"/>
            <w:bottom w:w="0" w:type="dxa"/>
            <w:right w:w="0" w:type="dxa"/>
          </w:tblCellMar>
        </w:tblPrEx>
        <w:trPr>
          <w:trHeight w:val="711" w:hRule="atLeast"/>
        </w:trPr>
        <w:tc>
          <w:tcPr>
            <w:tcW w:w="727" w:type="dxa"/>
            <w:tcBorders>
              <w:top w:val="single" w:color="auto" w:sz="8" w:space="0"/>
              <w:left w:val="single" w:color="auto" w:sz="8" w:space="0"/>
              <w:bottom w:val="single" w:color="auto" w:sz="8" w:space="0"/>
              <w:right w:val="single" w:color="auto" w:sz="8" w:space="0"/>
            </w:tcBorders>
            <w:vAlign w:val="center"/>
          </w:tcPr>
          <w:p w14:paraId="01D15934">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645" w:type="dxa"/>
            <w:tcBorders>
              <w:top w:val="single" w:color="auto" w:sz="8" w:space="0"/>
              <w:left w:val="single" w:color="auto" w:sz="4" w:space="0"/>
              <w:bottom w:val="single" w:color="auto" w:sz="8" w:space="0"/>
              <w:right w:val="single" w:color="auto" w:sz="4" w:space="0"/>
            </w:tcBorders>
            <w:vAlign w:val="center"/>
          </w:tcPr>
          <w:p w14:paraId="0815F981">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服务期</w:t>
            </w:r>
            <w:r>
              <w:rPr>
                <w:rFonts w:hint="eastAsia" w:ascii="宋体" w:hAnsi="宋体" w:eastAsia="宋体" w:cs="宋体"/>
                <w:color w:val="auto"/>
                <w:kern w:val="0"/>
                <w:sz w:val="21"/>
                <w:szCs w:val="21"/>
                <w:highlight w:val="none"/>
              </w:rPr>
              <w:t>要求</w:t>
            </w:r>
          </w:p>
        </w:tc>
        <w:tc>
          <w:tcPr>
            <w:tcW w:w="7166" w:type="dxa"/>
            <w:tcBorders>
              <w:top w:val="single" w:color="auto" w:sz="8" w:space="0"/>
              <w:left w:val="single" w:color="auto" w:sz="4" w:space="0"/>
              <w:bottom w:val="single" w:color="auto" w:sz="8" w:space="0"/>
              <w:right w:val="single" w:color="auto" w:sz="8" w:space="0"/>
            </w:tcBorders>
            <w:vAlign w:val="center"/>
          </w:tcPr>
          <w:p w14:paraId="125E3E3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63" w:leftChars="30" w:right="42" w:rightChars="2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1、领取图纸之日起</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日内完成工程量清单和最高投标限价的编制及备案工作。</w:t>
            </w:r>
          </w:p>
          <w:p w14:paraId="5C4636F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63" w:leftChars="30" w:right="42" w:rightChars="2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2、造价企业应在规定时间内提交咨询成果文件，因造价企业原因未能按时提交，超过5日的，扣咨询服务费500元/日；超过15日的，扣咨询服务费1000元/日；超过规定时间一半以上的，终止委托业务。</w:t>
            </w:r>
          </w:p>
          <w:p w14:paraId="32E4213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63" w:leftChars="30" w:right="42" w:rightChars="20"/>
              <w:textAlignment w:val="auto"/>
              <w:rPr>
                <w:rFonts w:hint="eastAsia"/>
                <w:highlight w:val="none"/>
                <w:lang w:eastAsia="zh-CN"/>
              </w:rPr>
            </w:pPr>
            <w:r>
              <w:rPr>
                <w:rFonts w:hint="eastAsia" w:ascii="宋体" w:hAnsi="宋体" w:eastAsia="宋体" w:cs="宋体"/>
                <w:color w:val="auto"/>
                <w:sz w:val="21"/>
                <w:szCs w:val="21"/>
                <w:highlight w:val="none"/>
                <w:lang w:val="en-US" w:eastAsia="zh-CN"/>
              </w:rPr>
              <w:t>满足关于印发《工程造价咨询服务管理办法》的通知（滁重〔2022〕55号）规定。</w:t>
            </w:r>
          </w:p>
        </w:tc>
      </w:tr>
      <w:tr w14:paraId="24784F21">
        <w:tblPrEx>
          <w:tblCellMar>
            <w:top w:w="0" w:type="dxa"/>
            <w:left w:w="0" w:type="dxa"/>
            <w:bottom w:w="0" w:type="dxa"/>
            <w:right w:w="0" w:type="dxa"/>
          </w:tblCellMar>
        </w:tblPrEx>
        <w:trPr>
          <w:trHeight w:val="320" w:hRule="atLeast"/>
        </w:trPr>
        <w:tc>
          <w:tcPr>
            <w:tcW w:w="727" w:type="dxa"/>
            <w:tcBorders>
              <w:top w:val="single" w:color="auto" w:sz="8" w:space="0"/>
              <w:left w:val="single" w:color="auto" w:sz="8" w:space="0"/>
              <w:bottom w:val="single" w:color="auto" w:sz="8" w:space="0"/>
              <w:right w:val="single" w:color="auto" w:sz="8" w:space="0"/>
            </w:tcBorders>
            <w:vAlign w:val="center"/>
          </w:tcPr>
          <w:p w14:paraId="274B87BC">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1645" w:type="dxa"/>
            <w:tcBorders>
              <w:top w:val="single" w:color="auto" w:sz="8" w:space="0"/>
              <w:left w:val="single" w:color="auto" w:sz="4" w:space="0"/>
              <w:bottom w:val="single" w:color="auto" w:sz="8" w:space="0"/>
              <w:right w:val="single" w:color="auto" w:sz="4" w:space="0"/>
            </w:tcBorders>
            <w:vAlign w:val="center"/>
          </w:tcPr>
          <w:p w14:paraId="3198F4B1">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质量标准</w:t>
            </w:r>
          </w:p>
        </w:tc>
        <w:tc>
          <w:tcPr>
            <w:tcW w:w="7166" w:type="dxa"/>
            <w:tcBorders>
              <w:top w:val="single" w:color="auto" w:sz="8" w:space="0"/>
              <w:left w:val="single" w:color="auto" w:sz="4" w:space="0"/>
              <w:bottom w:val="single" w:color="auto" w:sz="8" w:space="0"/>
              <w:right w:val="single" w:color="auto" w:sz="8" w:space="0"/>
            </w:tcBorders>
            <w:vAlign w:val="center"/>
          </w:tcPr>
          <w:p w14:paraId="27135FFC">
            <w:pPr>
              <w:keepNext w:val="0"/>
              <w:keepLines w:val="0"/>
              <w:pageBreakBefore w:val="0"/>
              <w:widowControl w:val="0"/>
              <w:kinsoku/>
              <w:wordWrap/>
              <w:overflowPunct/>
              <w:topLinePunct w:val="0"/>
              <w:autoSpaceDE/>
              <w:autoSpaceDN/>
              <w:bidi w:val="0"/>
              <w:adjustRightInd/>
              <w:snapToGrid/>
              <w:spacing w:line="440" w:lineRule="exact"/>
              <w:ind w:left="63" w:leftChars="3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eastAsia="zh-CN"/>
              </w:rPr>
              <w:t>符合《建设工程造价咨询成果文件质量标准》（CECA/GCF2012）</w:t>
            </w:r>
          </w:p>
        </w:tc>
      </w:tr>
      <w:tr w14:paraId="21D1049F">
        <w:tblPrEx>
          <w:tblCellMar>
            <w:top w:w="0" w:type="dxa"/>
            <w:left w:w="0" w:type="dxa"/>
            <w:bottom w:w="0" w:type="dxa"/>
            <w:right w:w="0" w:type="dxa"/>
          </w:tblCellMar>
        </w:tblPrEx>
        <w:trPr>
          <w:trHeight w:val="320" w:hRule="atLeast"/>
        </w:trPr>
        <w:tc>
          <w:tcPr>
            <w:tcW w:w="727" w:type="dxa"/>
            <w:tcBorders>
              <w:top w:val="single" w:color="auto" w:sz="8" w:space="0"/>
              <w:left w:val="single" w:color="auto" w:sz="8" w:space="0"/>
              <w:bottom w:val="single" w:color="auto" w:sz="8" w:space="0"/>
              <w:right w:val="single" w:color="auto" w:sz="8" w:space="0"/>
            </w:tcBorders>
            <w:vAlign w:val="center"/>
          </w:tcPr>
          <w:p w14:paraId="68BC984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1645" w:type="dxa"/>
            <w:tcBorders>
              <w:top w:val="single" w:color="auto" w:sz="8" w:space="0"/>
              <w:left w:val="single" w:color="auto" w:sz="4" w:space="0"/>
              <w:bottom w:val="single" w:color="auto" w:sz="8" w:space="0"/>
              <w:right w:val="single" w:color="auto" w:sz="4" w:space="0"/>
            </w:tcBorders>
            <w:vAlign w:val="center"/>
          </w:tcPr>
          <w:p w14:paraId="0E6F3B67">
            <w:pPr>
              <w:keepNext w:val="0"/>
              <w:keepLines w:val="0"/>
              <w:pageBreakBefore w:val="0"/>
              <w:kinsoku/>
              <w:wordWrap/>
              <w:overflowPunct/>
              <w:topLinePunct w:val="0"/>
              <w:autoSpaceDE/>
              <w:autoSpaceDN/>
              <w:bidi w:val="0"/>
              <w:adjustRightInd/>
              <w:snapToGrid/>
              <w:spacing w:line="440" w:lineRule="exact"/>
              <w:ind w:left="31680" w:hanging="1470" w:hangingChars="70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投标人资质</w:t>
            </w:r>
          </w:p>
          <w:p w14:paraId="4A788D2E">
            <w:pPr>
              <w:keepNext w:val="0"/>
              <w:keepLines w:val="0"/>
              <w:pageBreakBefore w:val="0"/>
              <w:kinsoku/>
              <w:wordWrap/>
              <w:overflowPunct/>
              <w:topLinePunct w:val="0"/>
              <w:autoSpaceDE/>
              <w:autoSpaceDN/>
              <w:bidi w:val="0"/>
              <w:adjustRightInd/>
              <w:snapToGrid/>
              <w:spacing w:line="440" w:lineRule="exact"/>
              <w:ind w:left="31680" w:hanging="1470" w:hangingChars="70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等级要求</w:t>
            </w:r>
          </w:p>
        </w:tc>
        <w:tc>
          <w:tcPr>
            <w:tcW w:w="7166" w:type="dxa"/>
            <w:tcBorders>
              <w:top w:val="single" w:color="auto" w:sz="8" w:space="0"/>
              <w:left w:val="single" w:color="auto" w:sz="4" w:space="0"/>
              <w:bottom w:val="single" w:color="auto" w:sz="8" w:space="0"/>
              <w:right w:val="single" w:color="auto" w:sz="8" w:space="0"/>
            </w:tcBorders>
            <w:vAlign w:val="center"/>
          </w:tcPr>
          <w:p w14:paraId="19BF53D1">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见招标公告</w:t>
            </w:r>
          </w:p>
        </w:tc>
      </w:tr>
      <w:tr w14:paraId="26978DB0">
        <w:tblPrEx>
          <w:tblCellMar>
            <w:top w:w="0" w:type="dxa"/>
            <w:left w:w="0" w:type="dxa"/>
            <w:bottom w:w="0" w:type="dxa"/>
            <w:right w:w="0" w:type="dxa"/>
          </w:tblCellMar>
        </w:tblPrEx>
        <w:trPr>
          <w:trHeight w:val="320" w:hRule="atLeast"/>
        </w:trPr>
        <w:tc>
          <w:tcPr>
            <w:tcW w:w="727" w:type="dxa"/>
            <w:tcBorders>
              <w:top w:val="single" w:color="auto" w:sz="8" w:space="0"/>
              <w:left w:val="single" w:color="auto" w:sz="8" w:space="0"/>
              <w:bottom w:val="single" w:color="auto" w:sz="8" w:space="0"/>
              <w:right w:val="single" w:color="auto" w:sz="8" w:space="0"/>
            </w:tcBorders>
            <w:vAlign w:val="center"/>
          </w:tcPr>
          <w:p w14:paraId="2B243C1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1645" w:type="dxa"/>
            <w:tcBorders>
              <w:top w:val="single" w:color="auto" w:sz="8" w:space="0"/>
              <w:left w:val="single" w:color="auto" w:sz="4" w:space="0"/>
              <w:bottom w:val="single" w:color="auto" w:sz="8" w:space="0"/>
              <w:right w:val="single" w:color="auto" w:sz="4" w:space="0"/>
            </w:tcBorders>
            <w:vAlign w:val="center"/>
          </w:tcPr>
          <w:p w14:paraId="0DD7F5B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勘察现场及投标预备会</w:t>
            </w:r>
          </w:p>
        </w:tc>
        <w:tc>
          <w:tcPr>
            <w:tcW w:w="7166" w:type="dxa"/>
            <w:tcBorders>
              <w:top w:val="single" w:color="auto" w:sz="8" w:space="0"/>
              <w:left w:val="single" w:color="auto" w:sz="4" w:space="0"/>
              <w:bottom w:val="single" w:color="auto" w:sz="8" w:space="0"/>
              <w:right w:val="single" w:color="auto" w:sz="8" w:space="0"/>
            </w:tcBorders>
            <w:vAlign w:val="center"/>
          </w:tcPr>
          <w:p w14:paraId="13D7AA67">
            <w:pPr>
              <w:keepNext w:val="0"/>
              <w:keepLines w:val="0"/>
              <w:pageBreakBefore w:val="0"/>
              <w:widowControl/>
              <w:kinsoku/>
              <w:wordWrap/>
              <w:overflowPunct/>
              <w:topLinePunct w:val="0"/>
              <w:autoSpaceDE/>
              <w:autoSpaceDN/>
              <w:bidi w:val="0"/>
              <w:adjustRightInd/>
              <w:snapToGrid/>
              <w:spacing w:line="440" w:lineRule="exact"/>
              <w:ind w:left="63" w:leftChars="3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不再集中召开招标答疑会；投标人自行组织勘察现场。</w:t>
            </w:r>
          </w:p>
        </w:tc>
      </w:tr>
      <w:tr w14:paraId="73E08BE4">
        <w:tblPrEx>
          <w:tblCellMar>
            <w:top w:w="0" w:type="dxa"/>
            <w:left w:w="0" w:type="dxa"/>
            <w:bottom w:w="0" w:type="dxa"/>
            <w:right w:w="0" w:type="dxa"/>
          </w:tblCellMar>
        </w:tblPrEx>
        <w:trPr>
          <w:trHeight w:val="164" w:hRule="atLeast"/>
        </w:trPr>
        <w:tc>
          <w:tcPr>
            <w:tcW w:w="727" w:type="dxa"/>
            <w:tcBorders>
              <w:top w:val="single" w:color="auto" w:sz="8" w:space="0"/>
              <w:left w:val="single" w:color="auto" w:sz="8" w:space="0"/>
              <w:bottom w:val="single" w:color="auto" w:sz="8" w:space="0"/>
              <w:right w:val="single" w:color="auto" w:sz="8" w:space="0"/>
            </w:tcBorders>
            <w:vAlign w:val="center"/>
          </w:tcPr>
          <w:p w14:paraId="59B9DB0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c>
          <w:tcPr>
            <w:tcW w:w="1645" w:type="dxa"/>
            <w:tcBorders>
              <w:top w:val="single" w:color="auto" w:sz="8" w:space="0"/>
              <w:left w:val="single" w:color="auto" w:sz="4" w:space="0"/>
              <w:bottom w:val="single" w:color="auto" w:sz="8" w:space="0"/>
              <w:right w:val="single" w:color="auto" w:sz="4" w:space="0"/>
            </w:tcBorders>
            <w:vAlign w:val="center"/>
          </w:tcPr>
          <w:p w14:paraId="396C664A">
            <w:pPr>
              <w:pStyle w:val="25"/>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招标方式</w:t>
            </w:r>
          </w:p>
        </w:tc>
        <w:tc>
          <w:tcPr>
            <w:tcW w:w="7166" w:type="dxa"/>
            <w:tcBorders>
              <w:top w:val="single" w:color="auto" w:sz="8" w:space="0"/>
              <w:left w:val="single" w:color="auto" w:sz="4" w:space="0"/>
              <w:bottom w:val="single" w:color="auto" w:sz="8" w:space="0"/>
              <w:right w:val="single" w:color="auto" w:sz="8" w:space="0"/>
            </w:tcBorders>
            <w:vAlign w:val="center"/>
          </w:tcPr>
          <w:p w14:paraId="59739CC9">
            <w:pPr>
              <w:pStyle w:val="25"/>
              <w:keepNext w:val="0"/>
              <w:keepLines w:val="0"/>
              <w:pageBreakBefore w:val="0"/>
              <w:kinsoku/>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kern w:val="0"/>
                <w:sz w:val="21"/>
                <w:szCs w:val="21"/>
                <w:highlight w:val="none"/>
              </w:rPr>
            </w:pPr>
            <w:r>
              <w:rPr>
                <w:rFonts w:hint="eastAsia" w:ascii="宋体" w:hAnsi="宋体" w:eastAsia="宋体" w:cs="宋体"/>
                <w:b/>
                <w:bCs w:val="0"/>
                <w:color w:val="auto"/>
                <w:sz w:val="21"/>
                <w:szCs w:val="21"/>
                <w:highlight w:val="none"/>
              </w:rPr>
              <w:t xml:space="preserve">公开招标(本项目采用网上电子招投标) </w:t>
            </w:r>
          </w:p>
        </w:tc>
      </w:tr>
      <w:tr w14:paraId="0DEE0E5F">
        <w:tblPrEx>
          <w:tblCellMar>
            <w:top w:w="0" w:type="dxa"/>
            <w:left w:w="0" w:type="dxa"/>
            <w:bottom w:w="0" w:type="dxa"/>
            <w:right w:w="0" w:type="dxa"/>
          </w:tblCellMar>
        </w:tblPrEx>
        <w:trPr>
          <w:trHeight w:val="1103" w:hRule="atLeast"/>
        </w:trPr>
        <w:tc>
          <w:tcPr>
            <w:tcW w:w="727" w:type="dxa"/>
            <w:tcBorders>
              <w:top w:val="single" w:color="auto" w:sz="8" w:space="0"/>
              <w:left w:val="single" w:color="auto" w:sz="8" w:space="0"/>
              <w:bottom w:val="single" w:color="auto" w:sz="8" w:space="0"/>
              <w:right w:val="single" w:color="auto" w:sz="8" w:space="0"/>
            </w:tcBorders>
            <w:vAlign w:val="center"/>
          </w:tcPr>
          <w:p w14:paraId="48A5CF8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8</w:t>
            </w:r>
          </w:p>
        </w:tc>
        <w:tc>
          <w:tcPr>
            <w:tcW w:w="1645" w:type="dxa"/>
            <w:tcBorders>
              <w:top w:val="single" w:color="auto" w:sz="8" w:space="0"/>
              <w:left w:val="single" w:color="auto" w:sz="4" w:space="0"/>
              <w:bottom w:val="single" w:color="auto" w:sz="8" w:space="0"/>
              <w:right w:val="single" w:color="auto" w:sz="4" w:space="0"/>
            </w:tcBorders>
            <w:vAlign w:val="center"/>
          </w:tcPr>
          <w:p w14:paraId="51E1A093">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w:t>
            </w:r>
          </w:p>
        </w:tc>
        <w:tc>
          <w:tcPr>
            <w:tcW w:w="7166" w:type="dxa"/>
            <w:tcBorders>
              <w:top w:val="single" w:color="auto" w:sz="8" w:space="0"/>
              <w:left w:val="single" w:color="auto" w:sz="4" w:space="0"/>
              <w:bottom w:val="single" w:color="auto" w:sz="8" w:space="0"/>
              <w:right w:val="single" w:color="auto" w:sz="8" w:space="0"/>
            </w:tcBorders>
            <w:vAlign w:val="center"/>
          </w:tcPr>
          <w:p w14:paraId="4C759270">
            <w:pPr>
              <w:keepNext w:val="0"/>
              <w:keepLines w:val="0"/>
              <w:pageBreakBefore w:val="0"/>
              <w:widowControl/>
              <w:kinsoku/>
              <w:wordWrap/>
              <w:overflowPunct/>
              <w:topLinePunct w:val="0"/>
              <w:autoSpaceDE/>
              <w:autoSpaceDN/>
              <w:bidi w:val="0"/>
              <w:adjustRightInd/>
              <w:snapToGrid/>
              <w:spacing w:line="440" w:lineRule="exact"/>
              <w:ind w:left="63" w:leftChars="3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本项目</w:t>
            </w:r>
            <w:r>
              <w:rPr>
                <w:rFonts w:hint="eastAsia" w:ascii="宋体" w:hAnsi="宋体" w:eastAsia="宋体" w:cs="宋体"/>
                <w:color w:val="auto"/>
                <w:kern w:val="0"/>
                <w:sz w:val="21"/>
                <w:szCs w:val="21"/>
                <w:highlight w:val="none"/>
                <w:lang w:eastAsia="zh-CN"/>
              </w:rPr>
              <w:t>工程量清单和最高投标限价编制</w:t>
            </w:r>
            <w:r>
              <w:rPr>
                <w:rFonts w:hint="eastAsia" w:ascii="宋体" w:hAnsi="宋体" w:eastAsia="宋体" w:cs="宋体"/>
                <w:color w:val="auto"/>
                <w:kern w:val="0"/>
                <w:sz w:val="21"/>
                <w:szCs w:val="21"/>
                <w:highlight w:val="none"/>
                <w:lang w:val="en-US" w:eastAsia="zh-CN"/>
              </w:rPr>
              <w:t>费用的最高限价为《收费标准》计算费用的</w:t>
            </w:r>
            <w:r>
              <w:rPr>
                <w:rFonts w:hint="eastAsia" w:ascii="宋体" w:hAnsi="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lang w:val="en-US" w:eastAsia="zh-CN"/>
              </w:rPr>
              <w:t>0%（报价均保留两位小数，小数点后第三位将四舍五入进行修正）</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投标单位投标报价不得高于上述费率最高限价，否则按无效标处理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《收费标准》详见附表</w:t>
            </w:r>
            <w:r>
              <w:rPr>
                <w:rFonts w:hint="eastAsia" w:ascii="宋体" w:hAnsi="宋体" w:eastAsia="宋体" w:cs="宋体"/>
                <w:color w:val="auto"/>
                <w:kern w:val="0"/>
                <w:sz w:val="21"/>
                <w:szCs w:val="21"/>
                <w:highlight w:val="none"/>
                <w:lang w:eastAsia="zh-CN"/>
              </w:rPr>
              <w:t>。</w:t>
            </w:r>
          </w:p>
          <w:p w14:paraId="48D22E22">
            <w:pPr>
              <w:keepNext w:val="0"/>
              <w:keepLines w:val="0"/>
              <w:pageBreakBefore w:val="0"/>
              <w:widowControl/>
              <w:kinsoku/>
              <w:wordWrap/>
              <w:overflowPunct/>
              <w:topLinePunct w:val="0"/>
              <w:autoSpaceDE/>
              <w:autoSpaceDN/>
              <w:bidi w:val="0"/>
              <w:adjustRightInd/>
              <w:snapToGrid/>
              <w:spacing w:line="440" w:lineRule="exact"/>
              <w:ind w:left="63" w:leftChars="3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注：服务费用=【施工中标价-（暂列金+暂估价）】*相应费率*中标费率</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若施工招标时划分了多个施工标段，则造价咨询费的计费基数为已招标实施的施工标段中标价的合计总金额。</w:t>
            </w:r>
          </w:p>
        </w:tc>
      </w:tr>
      <w:tr w14:paraId="689F356F">
        <w:tblPrEx>
          <w:tblCellMar>
            <w:top w:w="0" w:type="dxa"/>
            <w:left w:w="0" w:type="dxa"/>
            <w:bottom w:w="0" w:type="dxa"/>
            <w:right w:w="0" w:type="dxa"/>
          </w:tblCellMar>
        </w:tblPrEx>
        <w:trPr>
          <w:trHeight w:val="164" w:hRule="atLeast"/>
        </w:trPr>
        <w:tc>
          <w:tcPr>
            <w:tcW w:w="727" w:type="dxa"/>
            <w:tcBorders>
              <w:top w:val="single" w:color="auto" w:sz="8" w:space="0"/>
              <w:left w:val="single" w:color="auto" w:sz="8" w:space="0"/>
              <w:bottom w:val="single" w:color="auto" w:sz="8" w:space="0"/>
              <w:right w:val="single" w:color="auto" w:sz="8" w:space="0"/>
            </w:tcBorders>
            <w:vAlign w:val="center"/>
          </w:tcPr>
          <w:p w14:paraId="61DCADC1">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w:t>
            </w:r>
          </w:p>
        </w:tc>
        <w:tc>
          <w:tcPr>
            <w:tcW w:w="1645" w:type="dxa"/>
            <w:tcBorders>
              <w:top w:val="single" w:color="auto" w:sz="8" w:space="0"/>
              <w:left w:val="single" w:color="auto" w:sz="4" w:space="0"/>
              <w:bottom w:val="single" w:color="auto" w:sz="8" w:space="0"/>
              <w:right w:val="single" w:color="auto" w:sz="4" w:space="0"/>
            </w:tcBorders>
            <w:vAlign w:val="center"/>
          </w:tcPr>
          <w:p w14:paraId="0CDB768E">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投标人提出问题的截止时间</w:t>
            </w:r>
          </w:p>
          <w:p w14:paraId="156BE6F6">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及方式</w:t>
            </w:r>
          </w:p>
        </w:tc>
        <w:tc>
          <w:tcPr>
            <w:tcW w:w="7166" w:type="dxa"/>
            <w:tcBorders>
              <w:top w:val="single" w:color="auto" w:sz="8" w:space="0"/>
              <w:left w:val="single" w:color="auto" w:sz="4" w:space="0"/>
              <w:bottom w:val="single" w:color="auto" w:sz="8" w:space="0"/>
              <w:right w:val="single" w:color="auto" w:sz="8" w:space="0"/>
            </w:tcBorders>
            <w:vAlign w:val="center"/>
          </w:tcPr>
          <w:p w14:paraId="7839BB0B">
            <w:pPr>
              <w:keepNext w:val="0"/>
              <w:keepLines w:val="0"/>
              <w:pageBreakBefore w:val="0"/>
              <w:widowControl w:val="0"/>
              <w:kinsoku/>
              <w:wordWrap w:val="0"/>
              <w:overflowPunct/>
              <w:topLinePunct w:val="0"/>
              <w:autoSpaceDE/>
              <w:autoSpaceDN/>
              <w:bidi w:val="0"/>
              <w:adjustRightInd/>
              <w:snapToGrid/>
              <w:spacing w:line="440" w:lineRule="exact"/>
              <w:ind w:left="63" w:leftChars="3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4"/>
                <w:kern w:val="0"/>
                <w:sz w:val="21"/>
                <w:szCs w:val="21"/>
                <w:highlight w:val="none"/>
              </w:rPr>
              <w:t>如投标人对招标文件有疑问，请于202</w:t>
            </w:r>
            <w:r>
              <w:rPr>
                <w:rFonts w:hint="eastAsia" w:ascii="宋体" w:hAnsi="宋体" w:cs="宋体"/>
                <w:color w:val="auto"/>
                <w:spacing w:val="-4"/>
                <w:kern w:val="0"/>
                <w:sz w:val="21"/>
                <w:szCs w:val="21"/>
                <w:highlight w:val="none"/>
                <w:lang w:val="en-US" w:eastAsia="zh-CN"/>
              </w:rPr>
              <w:t>6</w:t>
            </w:r>
            <w:r>
              <w:rPr>
                <w:rFonts w:hint="eastAsia" w:ascii="宋体" w:hAnsi="宋体" w:eastAsia="宋体" w:cs="宋体"/>
                <w:color w:val="auto"/>
                <w:spacing w:val="-4"/>
                <w:kern w:val="0"/>
                <w:sz w:val="21"/>
                <w:szCs w:val="21"/>
                <w:highlight w:val="none"/>
              </w:rPr>
              <w:t>年</w:t>
            </w:r>
            <w:r>
              <w:rPr>
                <w:rFonts w:hint="eastAsia" w:ascii="宋体" w:hAnsi="宋体" w:cs="宋体"/>
                <w:color w:val="auto"/>
                <w:spacing w:val="-4"/>
                <w:kern w:val="0"/>
                <w:sz w:val="21"/>
                <w:szCs w:val="21"/>
                <w:highlight w:val="none"/>
                <w:lang w:val="en-US" w:eastAsia="zh-CN"/>
              </w:rPr>
              <w:t>3</w:t>
            </w:r>
            <w:r>
              <w:rPr>
                <w:rFonts w:hint="eastAsia" w:ascii="宋体" w:hAnsi="宋体" w:eastAsia="宋体" w:cs="宋体"/>
                <w:color w:val="auto"/>
                <w:spacing w:val="-4"/>
                <w:kern w:val="0"/>
                <w:sz w:val="21"/>
                <w:szCs w:val="21"/>
                <w:highlight w:val="none"/>
              </w:rPr>
              <w:t>月</w:t>
            </w:r>
            <w:r>
              <w:rPr>
                <w:rFonts w:hint="eastAsia" w:ascii="宋体" w:hAnsi="宋体" w:cs="宋体"/>
                <w:color w:val="auto"/>
                <w:spacing w:val="-4"/>
                <w:kern w:val="0"/>
                <w:sz w:val="21"/>
                <w:szCs w:val="21"/>
                <w:highlight w:val="none"/>
                <w:lang w:val="en-US" w:eastAsia="zh-CN"/>
              </w:rPr>
              <w:t>26</w:t>
            </w:r>
            <w:r>
              <w:rPr>
                <w:rFonts w:hint="eastAsia" w:ascii="宋体" w:hAnsi="宋体" w:eastAsia="宋体" w:cs="宋体"/>
                <w:color w:val="auto"/>
                <w:spacing w:val="-4"/>
                <w:kern w:val="0"/>
                <w:sz w:val="21"/>
                <w:szCs w:val="21"/>
                <w:highlight w:val="none"/>
              </w:rPr>
              <w:fldChar w:fldCharType="begin"/>
            </w:r>
            <w:r>
              <w:rPr>
                <w:rFonts w:hint="eastAsia" w:ascii="宋体" w:hAnsi="宋体" w:eastAsia="宋体" w:cs="宋体"/>
                <w:color w:val="auto"/>
                <w:spacing w:val="-4"/>
                <w:kern w:val="0"/>
                <w:sz w:val="21"/>
                <w:szCs w:val="21"/>
                <w:highlight w:val="none"/>
              </w:rPr>
              <w:instrText xml:space="preserve"> HYPERLINK "mailto:日12时前将疑问内容以电子邮件形式发送至czsctgczx@163.com（滁州市城投工程咨询管理有限公司邮箱），招标人将在2024年4月" </w:instrText>
            </w:r>
            <w:r>
              <w:rPr>
                <w:rFonts w:hint="eastAsia" w:ascii="宋体" w:hAnsi="宋体" w:eastAsia="宋体" w:cs="宋体"/>
                <w:color w:val="auto"/>
                <w:spacing w:val="-4"/>
                <w:kern w:val="0"/>
                <w:sz w:val="21"/>
                <w:szCs w:val="21"/>
                <w:highlight w:val="none"/>
              </w:rPr>
              <w:fldChar w:fldCharType="separate"/>
            </w:r>
            <w:r>
              <w:rPr>
                <w:rFonts w:hint="eastAsia" w:ascii="宋体" w:hAnsi="宋体" w:eastAsia="宋体" w:cs="宋体"/>
                <w:color w:val="auto"/>
                <w:spacing w:val="-4"/>
                <w:kern w:val="0"/>
                <w:sz w:val="21"/>
                <w:szCs w:val="21"/>
                <w:highlight w:val="none"/>
              </w:rPr>
              <w:t>日1</w:t>
            </w:r>
            <w:r>
              <w:rPr>
                <w:rFonts w:hint="eastAsia" w:ascii="宋体" w:hAnsi="宋体" w:cs="宋体"/>
                <w:color w:val="auto"/>
                <w:spacing w:val="-4"/>
                <w:kern w:val="0"/>
                <w:sz w:val="21"/>
                <w:szCs w:val="21"/>
                <w:highlight w:val="none"/>
                <w:lang w:val="en-US" w:eastAsia="zh-CN"/>
              </w:rPr>
              <w:t>2</w:t>
            </w:r>
            <w:r>
              <w:rPr>
                <w:rFonts w:hint="eastAsia" w:ascii="宋体" w:hAnsi="宋体" w:eastAsia="宋体" w:cs="宋体"/>
                <w:color w:val="auto"/>
                <w:spacing w:val="-4"/>
                <w:kern w:val="0"/>
                <w:sz w:val="21"/>
                <w:szCs w:val="21"/>
                <w:highlight w:val="none"/>
              </w:rPr>
              <w:t>时前</w:t>
            </w:r>
            <w:r>
              <w:rPr>
                <w:rFonts w:hint="eastAsia" w:ascii="宋体" w:hAnsi="宋体" w:eastAsia="宋体" w:cs="宋体"/>
                <w:color w:val="auto"/>
                <w:kern w:val="0"/>
                <w:sz w:val="21"/>
                <w:szCs w:val="21"/>
                <w:highlight w:val="none"/>
                <w:lang w:val="en-US" w:eastAsia="zh-CN"/>
              </w:rPr>
              <w:t>通过新点电子交易平台【滁州专区】对招标文件提出澄清（质疑）</w:t>
            </w:r>
            <w:r>
              <w:rPr>
                <w:rFonts w:hint="eastAsia" w:ascii="宋体" w:hAnsi="宋体" w:eastAsia="宋体" w:cs="宋体"/>
                <w:color w:val="auto"/>
                <w:spacing w:val="-4"/>
                <w:kern w:val="0"/>
                <w:sz w:val="21"/>
                <w:szCs w:val="21"/>
                <w:highlight w:val="none"/>
              </w:rPr>
              <w:t>，招标人将在202</w:t>
            </w:r>
            <w:r>
              <w:rPr>
                <w:rFonts w:hint="eastAsia" w:ascii="宋体" w:hAnsi="宋体" w:cs="宋体"/>
                <w:color w:val="auto"/>
                <w:spacing w:val="-4"/>
                <w:kern w:val="0"/>
                <w:sz w:val="21"/>
                <w:szCs w:val="21"/>
                <w:highlight w:val="none"/>
                <w:lang w:val="en-US" w:eastAsia="zh-CN"/>
              </w:rPr>
              <w:t>6</w:t>
            </w:r>
            <w:r>
              <w:rPr>
                <w:rFonts w:hint="eastAsia" w:ascii="宋体" w:hAnsi="宋体" w:eastAsia="宋体" w:cs="宋体"/>
                <w:color w:val="auto"/>
                <w:spacing w:val="-4"/>
                <w:kern w:val="0"/>
                <w:sz w:val="21"/>
                <w:szCs w:val="21"/>
                <w:highlight w:val="none"/>
              </w:rPr>
              <w:t>年</w:t>
            </w:r>
            <w:r>
              <w:rPr>
                <w:rFonts w:hint="eastAsia" w:ascii="宋体" w:hAnsi="宋体" w:cs="宋体"/>
                <w:color w:val="auto"/>
                <w:spacing w:val="-4"/>
                <w:kern w:val="0"/>
                <w:sz w:val="21"/>
                <w:szCs w:val="21"/>
                <w:highlight w:val="none"/>
                <w:lang w:val="en-US" w:eastAsia="zh-CN"/>
              </w:rPr>
              <w:t>3</w:t>
            </w:r>
            <w:r>
              <w:rPr>
                <w:rFonts w:hint="eastAsia" w:ascii="宋体" w:hAnsi="宋体" w:eastAsia="宋体" w:cs="宋体"/>
                <w:color w:val="auto"/>
                <w:spacing w:val="-4"/>
                <w:kern w:val="0"/>
                <w:sz w:val="21"/>
                <w:szCs w:val="21"/>
                <w:highlight w:val="none"/>
              </w:rPr>
              <w:t>月</w:t>
            </w:r>
            <w:r>
              <w:rPr>
                <w:rFonts w:hint="eastAsia" w:ascii="宋体" w:hAnsi="宋体" w:eastAsia="宋体" w:cs="宋体"/>
                <w:color w:val="auto"/>
                <w:spacing w:val="-4"/>
                <w:kern w:val="0"/>
                <w:sz w:val="21"/>
                <w:szCs w:val="21"/>
                <w:highlight w:val="none"/>
              </w:rPr>
              <w:fldChar w:fldCharType="end"/>
            </w:r>
            <w:r>
              <w:rPr>
                <w:rFonts w:hint="eastAsia" w:ascii="宋体" w:hAnsi="宋体" w:cs="宋体"/>
                <w:color w:val="auto"/>
                <w:spacing w:val="-4"/>
                <w:kern w:val="0"/>
                <w:sz w:val="21"/>
                <w:szCs w:val="21"/>
                <w:highlight w:val="none"/>
                <w:lang w:val="en-US" w:eastAsia="zh-CN"/>
              </w:rPr>
              <w:t>26</w:t>
            </w:r>
            <w:r>
              <w:rPr>
                <w:rFonts w:hint="eastAsia" w:ascii="宋体" w:hAnsi="宋体" w:eastAsia="宋体" w:cs="宋体"/>
                <w:color w:val="auto"/>
                <w:spacing w:val="-4"/>
                <w:kern w:val="0"/>
                <w:sz w:val="21"/>
                <w:szCs w:val="21"/>
                <w:highlight w:val="none"/>
              </w:rPr>
              <w:t>日1</w:t>
            </w:r>
            <w:r>
              <w:rPr>
                <w:rFonts w:hint="eastAsia" w:ascii="宋体" w:hAnsi="宋体" w:cs="宋体"/>
                <w:color w:val="auto"/>
                <w:spacing w:val="-4"/>
                <w:kern w:val="0"/>
                <w:sz w:val="21"/>
                <w:szCs w:val="21"/>
                <w:highlight w:val="none"/>
                <w:lang w:val="en-US" w:eastAsia="zh-CN"/>
              </w:rPr>
              <w:t>7</w:t>
            </w:r>
            <w:r>
              <w:rPr>
                <w:rFonts w:hint="eastAsia" w:ascii="宋体" w:hAnsi="宋体" w:eastAsia="宋体" w:cs="宋体"/>
                <w:color w:val="auto"/>
                <w:spacing w:val="-4"/>
                <w:kern w:val="0"/>
                <w:sz w:val="21"/>
                <w:szCs w:val="21"/>
                <w:highlight w:val="none"/>
              </w:rPr>
              <w:t>时后</w:t>
            </w:r>
            <w:r>
              <w:rPr>
                <w:rFonts w:hint="eastAsia" w:ascii="宋体" w:hAnsi="宋体" w:eastAsia="宋体" w:cs="宋体"/>
                <w:color w:val="auto"/>
                <w:spacing w:val="-4"/>
                <w:kern w:val="0"/>
                <w:sz w:val="21"/>
                <w:szCs w:val="21"/>
                <w:highlight w:val="none"/>
                <w:lang w:eastAsia="zh-CN"/>
              </w:rPr>
              <w:t>在</w:t>
            </w:r>
            <w:r>
              <w:rPr>
                <w:rFonts w:hint="eastAsia" w:ascii="宋体" w:hAnsi="宋体" w:eastAsia="宋体" w:cs="宋体"/>
                <w:color w:val="auto"/>
                <w:sz w:val="21"/>
                <w:szCs w:val="21"/>
                <w:highlight w:val="none"/>
              </w:rPr>
              <w:t>滁州市城投工程咨询管理有限公司（https://www.czctgczx.com/）、滁州市重点工程建设管理处（http://zdc.chuzhou.gov.cn/）</w:t>
            </w:r>
            <w:r>
              <w:rPr>
                <w:rFonts w:hint="eastAsia" w:ascii="宋体" w:hAnsi="宋体" w:cs="宋体"/>
                <w:color w:val="auto"/>
                <w:sz w:val="21"/>
                <w:szCs w:val="21"/>
                <w:highlight w:val="none"/>
                <w:lang w:val="en-US" w:eastAsia="zh-CN"/>
              </w:rPr>
              <w:t>等</w:t>
            </w:r>
            <w:r>
              <w:rPr>
                <w:rFonts w:hint="eastAsia" w:ascii="宋体" w:hAnsi="宋体" w:eastAsia="宋体" w:cs="宋体"/>
                <w:color w:val="auto"/>
                <w:sz w:val="21"/>
                <w:szCs w:val="21"/>
                <w:highlight w:val="none"/>
                <w:lang w:val="en-US" w:eastAsia="zh-CN"/>
              </w:rPr>
              <w:t>网站发布</w:t>
            </w:r>
            <w:r>
              <w:rPr>
                <w:rFonts w:hint="eastAsia" w:ascii="宋体" w:hAnsi="宋体" w:eastAsia="宋体" w:cs="宋体"/>
                <w:color w:val="auto"/>
                <w:spacing w:val="-4"/>
                <w:kern w:val="0"/>
                <w:sz w:val="21"/>
                <w:szCs w:val="21"/>
                <w:highlight w:val="none"/>
              </w:rPr>
              <w:t>，请各位投标人注意查看有关澄清内容，如不及时查看造成后果由投标人自负。</w:t>
            </w:r>
          </w:p>
        </w:tc>
      </w:tr>
      <w:tr w14:paraId="3CAB79A3">
        <w:tblPrEx>
          <w:tblCellMar>
            <w:top w:w="0" w:type="dxa"/>
            <w:left w:w="0" w:type="dxa"/>
            <w:bottom w:w="0" w:type="dxa"/>
            <w:right w:w="0" w:type="dxa"/>
          </w:tblCellMar>
        </w:tblPrEx>
        <w:trPr>
          <w:trHeight w:val="320" w:hRule="atLeast"/>
        </w:trPr>
        <w:tc>
          <w:tcPr>
            <w:tcW w:w="727" w:type="dxa"/>
            <w:tcBorders>
              <w:top w:val="single" w:color="auto" w:sz="8" w:space="0"/>
              <w:left w:val="single" w:color="auto" w:sz="8" w:space="0"/>
              <w:bottom w:val="single" w:color="auto" w:sz="8" w:space="0"/>
              <w:right w:val="single" w:color="auto" w:sz="8" w:space="0"/>
            </w:tcBorders>
            <w:vAlign w:val="center"/>
          </w:tcPr>
          <w:p w14:paraId="31E06C30">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w:t>
            </w:r>
          </w:p>
        </w:tc>
        <w:tc>
          <w:tcPr>
            <w:tcW w:w="1645" w:type="dxa"/>
            <w:tcBorders>
              <w:top w:val="single" w:color="auto" w:sz="8" w:space="0"/>
              <w:left w:val="single" w:color="auto" w:sz="4" w:space="0"/>
              <w:bottom w:val="single" w:color="auto" w:sz="8" w:space="0"/>
              <w:right w:val="single" w:color="auto" w:sz="4" w:space="0"/>
            </w:tcBorders>
            <w:vAlign w:val="center"/>
          </w:tcPr>
          <w:p w14:paraId="0B644D17">
            <w:pPr>
              <w:pStyle w:val="25"/>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投标有效期</w:t>
            </w:r>
          </w:p>
        </w:tc>
        <w:tc>
          <w:tcPr>
            <w:tcW w:w="7166" w:type="dxa"/>
            <w:tcBorders>
              <w:top w:val="single" w:color="auto" w:sz="8" w:space="0"/>
              <w:left w:val="single" w:color="auto" w:sz="4" w:space="0"/>
              <w:bottom w:val="single" w:color="auto" w:sz="8" w:space="0"/>
              <w:right w:val="single" w:color="auto" w:sz="8" w:space="0"/>
            </w:tcBorders>
            <w:vAlign w:val="center"/>
          </w:tcPr>
          <w:p w14:paraId="0CB8330D">
            <w:pPr>
              <w:pStyle w:val="25"/>
              <w:keepNext w:val="0"/>
              <w:keepLines w:val="0"/>
              <w:pageBreakBefore w:val="0"/>
              <w:kinsoku/>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投标有效期为</w:t>
            </w:r>
            <w:r>
              <w:rPr>
                <w:rFonts w:hint="eastAsia" w:ascii="宋体" w:hAnsi="宋体" w:eastAsia="宋体" w:cs="宋体"/>
                <w:color w:val="auto"/>
                <w:sz w:val="21"/>
                <w:szCs w:val="21"/>
                <w:highlight w:val="none"/>
                <w:u w:val="single"/>
                <w:lang w:val="en-US" w:eastAsia="zh-CN"/>
              </w:rPr>
              <w:t>60</w:t>
            </w:r>
            <w:r>
              <w:rPr>
                <w:rFonts w:hint="eastAsia" w:ascii="宋体" w:hAnsi="宋体" w:eastAsia="宋体" w:cs="宋体"/>
                <w:color w:val="auto"/>
                <w:sz w:val="21"/>
                <w:szCs w:val="21"/>
                <w:highlight w:val="none"/>
              </w:rPr>
              <w:t>日历天（从投标截止之日算起）。在此期限内，凡符合本招标文件要求的投标文件均保持有效。</w:t>
            </w:r>
          </w:p>
        </w:tc>
      </w:tr>
      <w:tr w14:paraId="27D30DA2">
        <w:tblPrEx>
          <w:tblCellMar>
            <w:top w:w="0" w:type="dxa"/>
            <w:left w:w="0" w:type="dxa"/>
            <w:bottom w:w="0" w:type="dxa"/>
            <w:right w:w="0" w:type="dxa"/>
          </w:tblCellMar>
        </w:tblPrEx>
        <w:trPr>
          <w:trHeight w:val="946" w:hRule="atLeast"/>
        </w:trPr>
        <w:tc>
          <w:tcPr>
            <w:tcW w:w="727" w:type="dxa"/>
            <w:tcBorders>
              <w:top w:val="single" w:color="auto" w:sz="8" w:space="0"/>
              <w:left w:val="single" w:color="auto" w:sz="8" w:space="0"/>
              <w:bottom w:val="single" w:color="auto" w:sz="8" w:space="0"/>
              <w:right w:val="single" w:color="auto" w:sz="8" w:space="0"/>
            </w:tcBorders>
            <w:vAlign w:val="center"/>
          </w:tcPr>
          <w:p w14:paraId="7A32EE28">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w:t>
            </w:r>
          </w:p>
        </w:tc>
        <w:tc>
          <w:tcPr>
            <w:tcW w:w="1645" w:type="dxa"/>
            <w:tcBorders>
              <w:top w:val="single" w:color="auto" w:sz="8" w:space="0"/>
              <w:left w:val="single" w:color="auto" w:sz="4" w:space="0"/>
              <w:bottom w:val="single" w:color="auto" w:sz="8" w:space="0"/>
              <w:right w:val="single" w:color="auto" w:sz="4" w:space="0"/>
            </w:tcBorders>
            <w:vAlign w:val="center"/>
          </w:tcPr>
          <w:p w14:paraId="32269176">
            <w:pPr>
              <w:pStyle w:val="25"/>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投标文件</w:t>
            </w:r>
            <w:r>
              <w:rPr>
                <w:rFonts w:hint="eastAsia" w:ascii="宋体" w:hAnsi="宋体" w:eastAsia="宋体" w:cs="宋体"/>
                <w:color w:val="auto"/>
                <w:sz w:val="21"/>
                <w:szCs w:val="21"/>
                <w:highlight w:val="none"/>
                <w:lang w:val="en-US" w:eastAsia="zh-CN"/>
              </w:rPr>
              <w:t>递交</w:t>
            </w:r>
          </w:p>
        </w:tc>
        <w:tc>
          <w:tcPr>
            <w:tcW w:w="7166" w:type="dxa"/>
            <w:tcBorders>
              <w:top w:val="single" w:color="auto" w:sz="8" w:space="0"/>
              <w:left w:val="single" w:color="auto" w:sz="4" w:space="0"/>
              <w:bottom w:val="single" w:color="auto" w:sz="8" w:space="0"/>
              <w:right w:val="single" w:color="auto" w:sz="8" w:space="0"/>
            </w:tcBorders>
            <w:vAlign w:val="center"/>
          </w:tcPr>
          <w:p w14:paraId="4BDE2FC9">
            <w:pPr>
              <w:keepNext w:val="0"/>
              <w:keepLines w:val="0"/>
              <w:pageBreakBefore w:val="0"/>
              <w:widowControl w:val="0"/>
              <w:kinsoku/>
              <w:wordWrap w:val="0"/>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加密电子投标文件投标人应在投标截止时间前通过新点电子交易平台后在【滁州专区】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https://www.etrading.cn/BREpointSSO/login/oauth2login?regioncode=DQ_ChuZhou</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交易系统递交电子投标文件。</w:t>
            </w:r>
          </w:p>
          <w:p w14:paraId="6AD718D2">
            <w:pPr>
              <w:keepNext w:val="0"/>
              <w:keepLines w:val="0"/>
              <w:pageBreakBefore w:val="0"/>
              <w:widowControl/>
              <w:kinsoku/>
              <w:overflowPunct/>
              <w:topLinePunct w:val="0"/>
              <w:autoSpaceDE/>
              <w:autoSpaceDN/>
              <w:bidi w:val="0"/>
              <w:adjustRightInd/>
              <w:snapToGrid/>
              <w:spacing w:line="440" w:lineRule="exact"/>
              <w:ind w:left="63" w:leftChars="30" w:firstLine="89" w:firstLineChars="42"/>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kern w:val="0"/>
                <w:sz w:val="21"/>
                <w:szCs w:val="21"/>
                <w:highlight w:val="none"/>
              </w:rPr>
              <w:t>（投标人中标后须递交与网上电子投标文件完全一致的纸质版投标文件，并按要求加盖单位章；份数：正本</w:t>
            </w:r>
            <w:r>
              <w:rPr>
                <w:rFonts w:hint="eastAsia" w:ascii="宋体" w:hAnsi="宋体" w:eastAsia="宋体" w:cs="宋体"/>
                <w:b/>
                <w:color w:val="auto"/>
                <w:kern w:val="0"/>
                <w:sz w:val="21"/>
                <w:szCs w:val="21"/>
                <w:highlight w:val="none"/>
                <w:u w:val="single"/>
              </w:rPr>
              <w:t xml:space="preserve"> 1 </w:t>
            </w:r>
            <w:r>
              <w:rPr>
                <w:rFonts w:hint="eastAsia" w:ascii="宋体" w:hAnsi="宋体" w:eastAsia="宋体" w:cs="宋体"/>
                <w:b/>
                <w:color w:val="auto"/>
                <w:kern w:val="0"/>
                <w:sz w:val="21"/>
                <w:szCs w:val="21"/>
                <w:highlight w:val="none"/>
              </w:rPr>
              <w:t>份，副本</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u w:val="single"/>
                <w:lang w:val="en-US" w:eastAsia="zh-CN"/>
              </w:rPr>
              <w:t>1</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rPr>
              <w:t>份；中标人领取中标通知书时，一并递交给招标代理机构）。</w:t>
            </w:r>
          </w:p>
        </w:tc>
      </w:tr>
      <w:tr w14:paraId="48A6C47E">
        <w:tblPrEx>
          <w:tblCellMar>
            <w:top w:w="0" w:type="dxa"/>
            <w:left w:w="0" w:type="dxa"/>
            <w:bottom w:w="0" w:type="dxa"/>
            <w:right w:w="0" w:type="dxa"/>
          </w:tblCellMar>
        </w:tblPrEx>
        <w:trPr>
          <w:trHeight w:val="816" w:hRule="atLeast"/>
        </w:trPr>
        <w:tc>
          <w:tcPr>
            <w:tcW w:w="727" w:type="dxa"/>
            <w:tcBorders>
              <w:top w:val="single" w:color="auto" w:sz="8" w:space="0"/>
              <w:left w:val="single" w:color="auto" w:sz="8" w:space="0"/>
              <w:bottom w:val="single" w:color="auto" w:sz="8" w:space="0"/>
              <w:right w:val="single" w:color="auto" w:sz="8" w:space="0"/>
            </w:tcBorders>
            <w:vAlign w:val="center"/>
          </w:tcPr>
          <w:p w14:paraId="6C307E50">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w:t>
            </w:r>
          </w:p>
        </w:tc>
        <w:tc>
          <w:tcPr>
            <w:tcW w:w="1645" w:type="dxa"/>
            <w:tcBorders>
              <w:top w:val="single" w:color="auto" w:sz="8" w:space="0"/>
              <w:left w:val="single" w:color="auto" w:sz="4" w:space="0"/>
              <w:bottom w:val="single" w:color="auto" w:sz="8" w:space="0"/>
              <w:right w:val="single" w:color="auto" w:sz="4" w:space="0"/>
            </w:tcBorders>
            <w:vAlign w:val="center"/>
          </w:tcPr>
          <w:p w14:paraId="6AF10602">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签字或盖章要求</w:t>
            </w:r>
          </w:p>
        </w:tc>
        <w:tc>
          <w:tcPr>
            <w:tcW w:w="7166" w:type="dxa"/>
            <w:tcBorders>
              <w:top w:val="single" w:color="auto" w:sz="8" w:space="0"/>
              <w:left w:val="single" w:color="auto" w:sz="4" w:space="0"/>
              <w:bottom w:val="single" w:color="auto" w:sz="8" w:space="0"/>
              <w:right w:val="single" w:color="auto" w:sz="8" w:space="0"/>
            </w:tcBorders>
            <w:vAlign w:val="center"/>
          </w:tcPr>
          <w:p w14:paraId="4FCD2EB5">
            <w:pPr>
              <w:pStyle w:val="2"/>
              <w:keepNext w:val="0"/>
              <w:keepLines w:val="0"/>
              <w:pageBreakBefore w:val="0"/>
              <w:kinsoku/>
              <w:overflowPunct/>
              <w:topLinePunct w:val="0"/>
              <w:autoSpaceDE/>
              <w:autoSpaceDN/>
              <w:bidi w:val="0"/>
              <w:adjustRightInd/>
              <w:snapToGrid/>
              <w:spacing w:line="440" w:lineRule="exact"/>
              <w:ind w:left="63" w:leftChars="30" w:firstLine="0" w:firstLineChars="0"/>
              <w:textAlignment w:val="auto"/>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lang w:val="en-US" w:eastAsia="zh-CN" w:bidi="ar-SA"/>
              </w:rPr>
              <w:t>招标文件中“签章”是指签字或盖章。在“投标文件格式”中要求</w:t>
            </w:r>
            <w:r>
              <w:rPr>
                <w:rFonts w:hint="eastAsia" w:ascii="宋体" w:hAnsi="宋体" w:cs="宋体"/>
                <w:b/>
                <w:color w:val="auto"/>
                <w:kern w:val="0"/>
                <w:sz w:val="21"/>
                <w:szCs w:val="21"/>
                <w:highlight w:val="none"/>
                <w:lang w:val="en-US" w:eastAsia="zh-CN" w:bidi="ar-SA"/>
              </w:rPr>
              <w:t>单位</w:t>
            </w:r>
            <w:r>
              <w:rPr>
                <w:rFonts w:hint="eastAsia" w:ascii="宋体" w:hAnsi="宋体" w:eastAsia="宋体" w:cs="宋体"/>
                <w:b/>
                <w:color w:val="auto"/>
                <w:kern w:val="0"/>
                <w:sz w:val="21"/>
                <w:szCs w:val="21"/>
                <w:highlight w:val="none"/>
                <w:lang w:val="en-US" w:eastAsia="zh-CN" w:bidi="ar-SA"/>
              </w:rPr>
              <w:t>签章</w:t>
            </w:r>
            <w:r>
              <w:rPr>
                <w:rFonts w:hint="eastAsia" w:ascii="宋体" w:hAnsi="宋体" w:cs="宋体"/>
                <w:b/>
                <w:color w:val="auto"/>
                <w:kern w:val="0"/>
                <w:sz w:val="21"/>
                <w:szCs w:val="21"/>
                <w:highlight w:val="none"/>
                <w:lang w:val="en-US" w:eastAsia="zh-CN" w:bidi="ar-SA"/>
              </w:rPr>
              <w:t>的</w:t>
            </w:r>
            <w:r>
              <w:rPr>
                <w:rFonts w:hint="eastAsia" w:ascii="宋体" w:hAnsi="宋体" w:eastAsia="宋体" w:cs="宋体"/>
                <w:b/>
                <w:color w:val="auto"/>
                <w:kern w:val="0"/>
                <w:sz w:val="21"/>
                <w:szCs w:val="21"/>
                <w:highlight w:val="none"/>
                <w:lang w:val="en-US" w:eastAsia="zh-CN" w:bidi="ar-SA"/>
              </w:rPr>
              <w:t>，投标人应加盖投标人单位电子印章或直接上传加盖投标人单位印章原件彩色扫描件。</w:t>
            </w:r>
            <w:r>
              <w:rPr>
                <w:rFonts w:hint="eastAsia" w:ascii="宋体" w:hAnsi="宋体" w:cs="宋体"/>
                <w:b/>
                <w:color w:val="auto"/>
                <w:kern w:val="0"/>
                <w:sz w:val="21"/>
                <w:szCs w:val="21"/>
                <w:highlight w:val="none"/>
                <w:lang w:val="en-US" w:eastAsia="zh-CN" w:bidi="ar-SA"/>
              </w:rPr>
              <w:t>要求个人签章的，加盖相应人员</w:t>
            </w:r>
            <w:r>
              <w:rPr>
                <w:rFonts w:hint="eastAsia" w:ascii="宋体" w:hAnsi="宋体" w:eastAsia="宋体" w:cs="宋体"/>
                <w:b/>
                <w:color w:val="auto"/>
                <w:kern w:val="0"/>
                <w:sz w:val="21"/>
                <w:szCs w:val="21"/>
                <w:highlight w:val="none"/>
                <w:lang w:val="en-US" w:eastAsia="zh-CN" w:bidi="ar-SA"/>
              </w:rPr>
              <w:t>印章</w:t>
            </w:r>
            <w:r>
              <w:rPr>
                <w:rFonts w:hint="eastAsia" w:ascii="宋体" w:hAnsi="宋体" w:cs="宋体"/>
                <w:b/>
                <w:color w:val="auto"/>
                <w:kern w:val="0"/>
                <w:sz w:val="21"/>
                <w:szCs w:val="21"/>
                <w:highlight w:val="none"/>
                <w:lang w:val="en-US" w:eastAsia="zh-CN" w:bidi="ar-SA"/>
              </w:rPr>
              <w:t>（或电子印章）</w:t>
            </w:r>
            <w:r>
              <w:rPr>
                <w:rFonts w:hint="eastAsia" w:ascii="宋体" w:hAnsi="宋体" w:eastAsia="宋体" w:cs="宋体"/>
                <w:b/>
                <w:color w:val="auto"/>
                <w:kern w:val="0"/>
                <w:sz w:val="21"/>
                <w:szCs w:val="21"/>
                <w:highlight w:val="none"/>
                <w:lang w:val="en-US" w:eastAsia="zh-CN" w:bidi="ar-SA"/>
              </w:rPr>
              <w:t>或</w:t>
            </w:r>
            <w:r>
              <w:rPr>
                <w:rFonts w:hint="eastAsia" w:ascii="宋体" w:hAnsi="宋体" w:cs="宋体"/>
                <w:b/>
                <w:color w:val="auto"/>
                <w:kern w:val="0"/>
                <w:sz w:val="21"/>
                <w:szCs w:val="21"/>
                <w:highlight w:val="none"/>
                <w:lang w:val="en-US" w:eastAsia="zh-CN" w:bidi="ar-SA"/>
              </w:rPr>
              <w:t>相应人员</w:t>
            </w:r>
            <w:r>
              <w:rPr>
                <w:rFonts w:hint="eastAsia" w:ascii="宋体" w:hAnsi="宋体" w:eastAsia="宋体" w:cs="宋体"/>
                <w:b/>
                <w:color w:val="auto"/>
                <w:kern w:val="0"/>
                <w:sz w:val="21"/>
                <w:szCs w:val="21"/>
                <w:highlight w:val="none"/>
                <w:lang w:val="en-US" w:eastAsia="zh-CN" w:bidi="ar-SA"/>
              </w:rPr>
              <w:t>签字</w:t>
            </w:r>
            <w:r>
              <w:rPr>
                <w:rFonts w:hint="eastAsia" w:ascii="宋体" w:hAnsi="宋体" w:cs="宋体"/>
                <w:b/>
                <w:color w:val="auto"/>
                <w:kern w:val="0"/>
                <w:sz w:val="21"/>
                <w:szCs w:val="21"/>
                <w:highlight w:val="none"/>
                <w:lang w:val="en-US" w:eastAsia="zh-CN" w:bidi="ar-SA"/>
              </w:rPr>
              <w:t>均可。</w:t>
            </w:r>
          </w:p>
          <w:p w14:paraId="66A35DAC">
            <w:pPr>
              <w:keepNext w:val="0"/>
              <w:keepLines w:val="0"/>
              <w:pageBreakBefore w:val="0"/>
              <w:widowControl/>
              <w:kinsoku/>
              <w:overflowPunct/>
              <w:topLinePunct w:val="0"/>
              <w:autoSpaceDE/>
              <w:autoSpaceDN/>
              <w:bidi w:val="0"/>
              <w:adjustRightInd/>
              <w:snapToGrid/>
              <w:spacing w:line="440" w:lineRule="exact"/>
              <w:ind w:left="63" w:leftChars="30" w:firstLine="89" w:firstLineChars="42"/>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bidi="ar-SA"/>
              </w:rPr>
              <w:t>否则经评委会一致认定后，按照无效投标处理。</w:t>
            </w:r>
          </w:p>
        </w:tc>
      </w:tr>
      <w:tr w14:paraId="443033B5">
        <w:tblPrEx>
          <w:tblCellMar>
            <w:top w:w="0" w:type="dxa"/>
            <w:left w:w="0" w:type="dxa"/>
            <w:bottom w:w="0" w:type="dxa"/>
            <w:right w:w="0" w:type="dxa"/>
          </w:tblCellMar>
        </w:tblPrEx>
        <w:trPr>
          <w:trHeight w:val="1339" w:hRule="atLeast"/>
        </w:trPr>
        <w:tc>
          <w:tcPr>
            <w:tcW w:w="727" w:type="dxa"/>
            <w:tcBorders>
              <w:top w:val="single" w:color="auto" w:sz="8" w:space="0"/>
              <w:left w:val="single" w:color="auto" w:sz="8" w:space="0"/>
              <w:bottom w:val="single" w:color="auto" w:sz="8" w:space="0"/>
              <w:right w:val="single" w:color="auto" w:sz="8" w:space="0"/>
            </w:tcBorders>
            <w:vAlign w:val="center"/>
          </w:tcPr>
          <w:p w14:paraId="60366104">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13</w:t>
            </w:r>
          </w:p>
        </w:tc>
        <w:tc>
          <w:tcPr>
            <w:tcW w:w="1645" w:type="dxa"/>
            <w:tcBorders>
              <w:top w:val="single" w:color="auto" w:sz="8" w:space="0"/>
              <w:left w:val="single" w:color="auto" w:sz="4" w:space="0"/>
              <w:bottom w:val="single" w:color="auto" w:sz="8" w:space="0"/>
              <w:right w:val="single" w:color="auto" w:sz="4" w:space="0"/>
            </w:tcBorders>
            <w:vAlign w:val="center"/>
          </w:tcPr>
          <w:p w14:paraId="5C83C75F">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投标文件提交截止时间</w:t>
            </w:r>
          </w:p>
        </w:tc>
        <w:tc>
          <w:tcPr>
            <w:tcW w:w="7166" w:type="dxa"/>
            <w:tcBorders>
              <w:top w:val="single" w:color="auto" w:sz="8" w:space="0"/>
              <w:left w:val="single" w:color="auto" w:sz="4" w:space="0"/>
              <w:bottom w:val="single" w:color="auto" w:sz="8" w:space="0"/>
              <w:right w:val="single" w:color="auto" w:sz="8" w:space="0"/>
            </w:tcBorders>
            <w:vAlign w:val="center"/>
          </w:tcPr>
          <w:p w14:paraId="4AACE522">
            <w:pPr>
              <w:keepNext w:val="0"/>
              <w:keepLines w:val="0"/>
              <w:pageBreakBefore w:val="0"/>
              <w:kinsoku/>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网上递交投标文件截止时间：</w:t>
            </w:r>
            <w:r>
              <w:rPr>
                <w:rFonts w:hint="eastAsia" w:ascii="宋体" w:hAnsi="宋体" w:cs="宋体"/>
                <w:b/>
                <w:bCs/>
                <w:color w:val="auto"/>
                <w:sz w:val="21"/>
                <w:szCs w:val="21"/>
                <w:highlight w:val="none"/>
                <w:lang w:val="en-US" w:eastAsia="zh-CN"/>
              </w:rPr>
              <w:t>2026年3月27日10</w:t>
            </w:r>
            <w:r>
              <w:rPr>
                <w:rFonts w:hint="eastAsia" w:ascii="宋体" w:hAnsi="宋体" w:eastAsia="宋体" w:cs="宋体"/>
                <w:b/>
                <w:bCs/>
                <w:color w:val="auto"/>
                <w:sz w:val="21"/>
                <w:szCs w:val="21"/>
                <w:highlight w:val="none"/>
              </w:rPr>
              <w:t>时</w:t>
            </w:r>
            <w:r>
              <w:rPr>
                <w:rFonts w:hint="eastAsia" w:ascii="宋体" w:hAnsi="宋体" w:eastAsia="宋体" w:cs="宋体"/>
                <w:b/>
                <w:bCs/>
                <w:color w:val="auto"/>
                <w:sz w:val="21"/>
                <w:szCs w:val="21"/>
                <w:highlight w:val="none"/>
                <w:lang w:val="en-US" w:eastAsia="zh-CN"/>
              </w:rPr>
              <w:t>00</w:t>
            </w:r>
            <w:r>
              <w:rPr>
                <w:rFonts w:hint="eastAsia" w:ascii="宋体" w:hAnsi="宋体" w:eastAsia="宋体" w:cs="宋体"/>
                <w:b/>
                <w:bCs/>
                <w:color w:val="auto"/>
                <w:sz w:val="21"/>
                <w:szCs w:val="21"/>
                <w:highlight w:val="none"/>
              </w:rPr>
              <w:t>分（北京时间）</w:t>
            </w:r>
          </w:p>
          <w:p w14:paraId="59553084">
            <w:pPr>
              <w:keepNext w:val="0"/>
              <w:keepLines w:val="0"/>
              <w:pageBreakBefore w:val="0"/>
              <w:kinsoku/>
              <w:overflowPunct/>
              <w:topLinePunct w:val="0"/>
              <w:autoSpaceDE/>
              <w:autoSpaceDN/>
              <w:bidi w:val="0"/>
              <w:adjustRightInd/>
              <w:snapToGrid/>
              <w:spacing w:line="440" w:lineRule="exact"/>
              <w:ind w:left="63" w:leftChars="30"/>
              <w:textAlignment w:val="auto"/>
              <w:rPr>
                <w:rFonts w:hint="eastAsia" w:ascii="宋体" w:hAnsi="宋体" w:eastAsia="宋体" w:cs="宋体"/>
                <w:b w:val="0"/>
                <w:bCs/>
                <w:color w:val="auto"/>
                <w:sz w:val="21"/>
                <w:szCs w:val="21"/>
                <w:highlight w:val="none"/>
              </w:rPr>
            </w:pPr>
            <w:r>
              <w:rPr>
                <w:rFonts w:hint="eastAsia" w:ascii="宋体" w:hAnsi="宋体" w:eastAsia="宋体" w:cs="宋体"/>
                <w:b/>
                <w:color w:val="auto"/>
                <w:sz w:val="21"/>
                <w:szCs w:val="21"/>
                <w:highlight w:val="none"/>
              </w:rPr>
              <w:t>注：以投标人在投标截止时间前网上递交的电子投标文件为准，逾期提交的，投标文件将被拒绝。</w:t>
            </w:r>
          </w:p>
          <w:p w14:paraId="2D17B673">
            <w:pPr>
              <w:keepNext w:val="0"/>
              <w:keepLines w:val="0"/>
              <w:pageBreakBefore w:val="0"/>
              <w:kinsoku/>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lang w:val="en-US" w:eastAsia="zh-CN"/>
              </w:rPr>
            </w:pPr>
            <w:r>
              <w:rPr>
                <w:rFonts w:hint="eastAsia" w:ascii="宋体" w:hAnsi="宋体" w:cs="宋体"/>
                <w:b w:val="0"/>
                <w:bCs/>
                <w:color w:val="auto"/>
                <w:sz w:val="21"/>
                <w:szCs w:val="21"/>
                <w:highlight w:val="none"/>
                <w:lang w:eastAsia="zh-CN"/>
              </w:rPr>
              <w:t>1.解密程序开始后30分钟内（以本项目网上招投标系统解密倒计时为准）。</w:t>
            </w:r>
          </w:p>
        </w:tc>
      </w:tr>
      <w:tr w14:paraId="39CAD765">
        <w:tblPrEx>
          <w:tblCellMar>
            <w:top w:w="0" w:type="dxa"/>
            <w:left w:w="0" w:type="dxa"/>
            <w:bottom w:w="0" w:type="dxa"/>
            <w:right w:w="0" w:type="dxa"/>
          </w:tblCellMar>
        </w:tblPrEx>
        <w:trPr>
          <w:trHeight w:val="320" w:hRule="atLeast"/>
        </w:trPr>
        <w:tc>
          <w:tcPr>
            <w:tcW w:w="727" w:type="dxa"/>
            <w:tcBorders>
              <w:top w:val="single" w:color="auto" w:sz="8" w:space="0"/>
              <w:left w:val="single" w:color="auto" w:sz="8" w:space="0"/>
              <w:bottom w:val="single" w:color="auto" w:sz="8" w:space="0"/>
              <w:right w:val="single" w:color="auto" w:sz="8" w:space="0"/>
            </w:tcBorders>
            <w:vAlign w:val="center"/>
          </w:tcPr>
          <w:p w14:paraId="0E67040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14</w:t>
            </w:r>
          </w:p>
        </w:tc>
        <w:tc>
          <w:tcPr>
            <w:tcW w:w="1645" w:type="dxa"/>
            <w:tcBorders>
              <w:top w:val="single" w:color="auto" w:sz="8" w:space="0"/>
              <w:left w:val="single" w:color="auto" w:sz="4" w:space="0"/>
              <w:bottom w:val="single" w:color="auto" w:sz="8" w:space="0"/>
              <w:right w:val="single" w:color="auto" w:sz="4" w:space="0"/>
            </w:tcBorders>
            <w:vAlign w:val="center"/>
          </w:tcPr>
          <w:p w14:paraId="03D51B63">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是否退还投标文件</w:t>
            </w:r>
          </w:p>
        </w:tc>
        <w:tc>
          <w:tcPr>
            <w:tcW w:w="7166" w:type="dxa"/>
            <w:tcBorders>
              <w:top w:val="single" w:color="auto" w:sz="8" w:space="0"/>
              <w:left w:val="single" w:color="auto" w:sz="4" w:space="0"/>
              <w:bottom w:val="single" w:color="auto" w:sz="8" w:space="0"/>
              <w:right w:val="single" w:color="auto" w:sz="8" w:space="0"/>
            </w:tcBorders>
            <w:vAlign w:val="center"/>
          </w:tcPr>
          <w:p w14:paraId="626B5B3B">
            <w:pPr>
              <w:keepNext w:val="0"/>
              <w:keepLines w:val="0"/>
              <w:pageBreakBefore w:val="0"/>
              <w:kinsoku/>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14:paraId="266A8CA8">
        <w:tblPrEx>
          <w:tblCellMar>
            <w:top w:w="0" w:type="dxa"/>
            <w:left w:w="0" w:type="dxa"/>
            <w:bottom w:w="0" w:type="dxa"/>
            <w:right w:w="0" w:type="dxa"/>
          </w:tblCellMar>
        </w:tblPrEx>
        <w:trPr>
          <w:trHeight w:val="164" w:hRule="atLeast"/>
        </w:trPr>
        <w:tc>
          <w:tcPr>
            <w:tcW w:w="727" w:type="dxa"/>
            <w:tcBorders>
              <w:top w:val="single" w:color="auto" w:sz="8" w:space="0"/>
              <w:left w:val="single" w:color="auto" w:sz="8" w:space="0"/>
              <w:bottom w:val="single" w:color="auto" w:sz="8" w:space="0"/>
              <w:right w:val="single" w:color="auto" w:sz="8" w:space="0"/>
            </w:tcBorders>
            <w:vAlign w:val="center"/>
          </w:tcPr>
          <w:p w14:paraId="136C06B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15</w:t>
            </w:r>
          </w:p>
        </w:tc>
        <w:tc>
          <w:tcPr>
            <w:tcW w:w="1645" w:type="dxa"/>
            <w:tcBorders>
              <w:top w:val="single" w:color="auto" w:sz="8" w:space="0"/>
              <w:left w:val="single" w:color="auto" w:sz="4" w:space="0"/>
              <w:bottom w:val="single" w:color="auto" w:sz="8" w:space="0"/>
              <w:right w:val="single" w:color="auto" w:sz="4" w:space="0"/>
            </w:tcBorders>
            <w:vAlign w:val="center"/>
          </w:tcPr>
          <w:p w14:paraId="53C0A74C">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开标时间及地点</w:t>
            </w:r>
          </w:p>
        </w:tc>
        <w:tc>
          <w:tcPr>
            <w:tcW w:w="7166" w:type="dxa"/>
            <w:tcBorders>
              <w:top w:val="single" w:color="auto" w:sz="8" w:space="0"/>
              <w:left w:val="single" w:color="auto" w:sz="4" w:space="0"/>
              <w:bottom w:val="single" w:color="auto" w:sz="8" w:space="0"/>
              <w:right w:val="single" w:color="auto" w:sz="8" w:space="0"/>
            </w:tcBorders>
            <w:vAlign w:val="center"/>
          </w:tcPr>
          <w:p w14:paraId="29D105D4">
            <w:pPr>
              <w:keepNext w:val="0"/>
              <w:keepLines w:val="0"/>
              <w:pageBreakBefore w:val="0"/>
              <w:kinsoku/>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rPr>
              <w:t>详见招标公告</w:t>
            </w:r>
            <w:r>
              <w:rPr>
                <w:rFonts w:hint="eastAsia" w:ascii="宋体" w:hAnsi="宋体" w:cs="宋体"/>
                <w:color w:val="auto"/>
                <w:szCs w:val="21"/>
                <w:highlight w:val="none"/>
                <w:lang w:eastAsia="zh-CN"/>
              </w:rPr>
              <w:t>。</w:t>
            </w:r>
          </w:p>
        </w:tc>
      </w:tr>
      <w:tr w14:paraId="076992A3">
        <w:tblPrEx>
          <w:tblCellMar>
            <w:top w:w="0" w:type="dxa"/>
            <w:left w:w="0" w:type="dxa"/>
            <w:bottom w:w="0" w:type="dxa"/>
            <w:right w:w="0" w:type="dxa"/>
          </w:tblCellMar>
        </w:tblPrEx>
        <w:trPr>
          <w:trHeight w:val="164" w:hRule="atLeast"/>
        </w:trPr>
        <w:tc>
          <w:tcPr>
            <w:tcW w:w="727" w:type="dxa"/>
            <w:tcBorders>
              <w:top w:val="single" w:color="auto" w:sz="8" w:space="0"/>
              <w:left w:val="single" w:color="auto" w:sz="8" w:space="0"/>
              <w:bottom w:val="single" w:color="auto" w:sz="8" w:space="0"/>
              <w:right w:val="single" w:color="auto" w:sz="8" w:space="0"/>
            </w:tcBorders>
            <w:vAlign w:val="center"/>
          </w:tcPr>
          <w:p w14:paraId="3C028E0B">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16</w:t>
            </w:r>
          </w:p>
        </w:tc>
        <w:tc>
          <w:tcPr>
            <w:tcW w:w="1645" w:type="dxa"/>
            <w:tcBorders>
              <w:top w:val="single" w:color="auto" w:sz="8" w:space="0"/>
              <w:left w:val="single" w:color="auto" w:sz="4" w:space="0"/>
              <w:bottom w:val="single" w:color="auto" w:sz="8" w:space="0"/>
              <w:right w:val="single" w:color="auto" w:sz="4" w:space="0"/>
            </w:tcBorders>
            <w:vAlign w:val="center"/>
          </w:tcPr>
          <w:p w14:paraId="57F847A2">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开标程序</w:t>
            </w:r>
          </w:p>
        </w:tc>
        <w:tc>
          <w:tcPr>
            <w:tcW w:w="7166" w:type="dxa"/>
            <w:tcBorders>
              <w:top w:val="single" w:color="auto" w:sz="8" w:space="0"/>
              <w:left w:val="single" w:color="auto" w:sz="4" w:space="0"/>
              <w:bottom w:val="single" w:color="auto" w:sz="8" w:space="0"/>
              <w:right w:val="single" w:color="auto" w:sz="8" w:space="0"/>
            </w:tcBorders>
            <w:vAlign w:val="center"/>
          </w:tcPr>
          <w:p w14:paraId="476CEA77">
            <w:pPr>
              <w:keepNext w:val="0"/>
              <w:keepLines w:val="0"/>
              <w:pageBreakBefore w:val="0"/>
              <w:kinsoku/>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开标顺序：解密电子投标文件后，由评标委员会评审。</w:t>
            </w:r>
          </w:p>
        </w:tc>
      </w:tr>
      <w:tr w14:paraId="6EC3DC31">
        <w:tblPrEx>
          <w:tblCellMar>
            <w:top w:w="0" w:type="dxa"/>
            <w:left w:w="0" w:type="dxa"/>
            <w:bottom w:w="0" w:type="dxa"/>
            <w:right w:w="0" w:type="dxa"/>
          </w:tblCellMar>
        </w:tblPrEx>
        <w:trPr>
          <w:trHeight w:val="320" w:hRule="atLeast"/>
        </w:trPr>
        <w:tc>
          <w:tcPr>
            <w:tcW w:w="727" w:type="dxa"/>
            <w:tcBorders>
              <w:top w:val="single" w:color="auto" w:sz="8" w:space="0"/>
              <w:left w:val="single" w:color="auto" w:sz="8" w:space="0"/>
              <w:bottom w:val="single" w:color="auto" w:sz="8" w:space="0"/>
              <w:right w:val="single" w:color="auto" w:sz="8" w:space="0"/>
            </w:tcBorders>
            <w:vAlign w:val="center"/>
          </w:tcPr>
          <w:p w14:paraId="73E8B67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17</w:t>
            </w:r>
          </w:p>
        </w:tc>
        <w:tc>
          <w:tcPr>
            <w:tcW w:w="1645" w:type="dxa"/>
            <w:tcBorders>
              <w:top w:val="single" w:color="auto" w:sz="8" w:space="0"/>
              <w:left w:val="single" w:color="auto" w:sz="4" w:space="0"/>
              <w:bottom w:val="single" w:color="auto" w:sz="8" w:space="0"/>
              <w:right w:val="single" w:color="auto" w:sz="4" w:space="0"/>
            </w:tcBorders>
            <w:vAlign w:val="center"/>
          </w:tcPr>
          <w:p w14:paraId="5CB513ED">
            <w:pPr>
              <w:pStyle w:val="25"/>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评标委员会的组建</w:t>
            </w:r>
          </w:p>
        </w:tc>
        <w:tc>
          <w:tcPr>
            <w:tcW w:w="7166" w:type="dxa"/>
            <w:tcBorders>
              <w:top w:val="single" w:color="auto" w:sz="8" w:space="0"/>
              <w:left w:val="single" w:color="auto" w:sz="4" w:space="0"/>
              <w:bottom w:val="single" w:color="auto" w:sz="8" w:space="0"/>
              <w:right w:val="single" w:color="auto" w:sz="8" w:space="0"/>
            </w:tcBorders>
            <w:vAlign w:val="top"/>
          </w:tcPr>
          <w:p w14:paraId="6B4E98E9">
            <w:pPr>
              <w:pStyle w:val="157"/>
              <w:keepNext w:val="0"/>
              <w:keepLines w:val="0"/>
              <w:pageBreakBefore w:val="0"/>
              <w:kinsoku/>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评标委员会由</w:t>
            </w:r>
            <w:r>
              <w:rPr>
                <w:rFonts w:hint="eastAsia" w:ascii="宋体" w:hAnsi="宋体" w:eastAsia="宋体" w:cs="宋体"/>
                <w:color w:val="auto"/>
                <w:sz w:val="21"/>
                <w:szCs w:val="21"/>
                <w:highlight w:val="none"/>
                <w:lang w:val="en-US" w:eastAsia="zh-CN"/>
              </w:rPr>
              <w:t>招标人组建</w:t>
            </w:r>
            <w:r>
              <w:rPr>
                <w:rFonts w:hint="eastAsia" w:ascii="宋体" w:hAnsi="宋体" w:eastAsia="宋体" w:cs="宋体"/>
                <w:color w:val="auto"/>
                <w:sz w:val="21"/>
                <w:szCs w:val="21"/>
                <w:highlight w:val="none"/>
              </w:rPr>
              <w:t>；</w:t>
            </w:r>
          </w:p>
        </w:tc>
      </w:tr>
      <w:tr w14:paraId="02D6C8AD">
        <w:tblPrEx>
          <w:tblCellMar>
            <w:top w:w="0" w:type="dxa"/>
            <w:left w:w="0" w:type="dxa"/>
            <w:bottom w:w="0" w:type="dxa"/>
            <w:right w:w="0" w:type="dxa"/>
          </w:tblCellMar>
        </w:tblPrEx>
        <w:trPr>
          <w:trHeight w:val="164" w:hRule="atLeast"/>
        </w:trPr>
        <w:tc>
          <w:tcPr>
            <w:tcW w:w="727" w:type="dxa"/>
            <w:tcBorders>
              <w:top w:val="single" w:color="auto" w:sz="8" w:space="0"/>
              <w:left w:val="single" w:color="auto" w:sz="8" w:space="0"/>
              <w:bottom w:val="single" w:color="auto" w:sz="8" w:space="0"/>
              <w:right w:val="single" w:color="auto" w:sz="8" w:space="0"/>
            </w:tcBorders>
            <w:vAlign w:val="center"/>
          </w:tcPr>
          <w:p w14:paraId="61FD27D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18</w:t>
            </w:r>
          </w:p>
        </w:tc>
        <w:tc>
          <w:tcPr>
            <w:tcW w:w="1645" w:type="dxa"/>
            <w:tcBorders>
              <w:top w:val="single" w:color="auto" w:sz="8" w:space="0"/>
              <w:left w:val="single" w:color="auto" w:sz="4" w:space="0"/>
              <w:bottom w:val="single" w:color="auto" w:sz="8" w:space="0"/>
              <w:right w:val="single" w:color="auto" w:sz="4" w:space="0"/>
            </w:tcBorders>
            <w:vAlign w:val="center"/>
          </w:tcPr>
          <w:p w14:paraId="289798AF">
            <w:pPr>
              <w:pStyle w:val="25"/>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是否授权评标委员会确定中标候选人</w:t>
            </w:r>
          </w:p>
        </w:tc>
        <w:tc>
          <w:tcPr>
            <w:tcW w:w="7166" w:type="dxa"/>
            <w:tcBorders>
              <w:top w:val="single" w:color="auto" w:sz="8" w:space="0"/>
              <w:left w:val="single" w:color="auto" w:sz="4" w:space="0"/>
              <w:bottom w:val="single" w:color="auto" w:sz="8" w:space="0"/>
              <w:right w:val="single" w:color="auto" w:sz="8" w:space="0"/>
            </w:tcBorders>
            <w:vAlign w:val="center"/>
          </w:tcPr>
          <w:p w14:paraId="50C3E122">
            <w:pPr>
              <w:pStyle w:val="25"/>
              <w:keepNext w:val="0"/>
              <w:keepLines w:val="0"/>
              <w:pageBreakBefore w:val="0"/>
              <w:kinsoku/>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评标委员会推荐</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single" w:color="auto"/>
                <w:lang w:val="en-US" w:eastAsia="zh-CN"/>
              </w:rPr>
              <w:t>2</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rPr>
              <w:t>名中标候选人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并标明排序</w:t>
            </w:r>
            <w:r>
              <w:rPr>
                <w:rFonts w:hint="eastAsia" w:ascii="宋体" w:hAnsi="宋体" w:eastAsia="宋体" w:cs="宋体"/>
                <w:color w:val="auto"/>
                <w:sz w:val="21"/>
                <w:szCs w:val="21"/>
                <w:highlight w:val="none"/>
              </w:rPr>
              <w:t>。</w:t>
            </w:r>
          </w:p>
        </w:tc>
      </w:tr>
      <w:tr w14:paraId="191E86E8">
        <w:tblPrEx>
          <w:tblCellMar>
            <w:top w:w="0" w:type="dxa"/>
            <w:left w:w="0" w:type="dxa"/>
            <w:bottom w:w="0" w:type="dxa"/>
            <w:right w:w="0" w:type="dxa"/>
          </w:tblCellMar>
        </w:tblPrEx>
        <w:trPr>
          <w:trHeight w:val="320" w:hRule="atLeast"/>
        </w:trPr>
        <w:tc>
          <w:tcPr>
            <w:tcW w:w="727" w:type="dxa"/>
            <w:tcBorders>
              <w:top w:val="single" w:color="auto" w:sz="8" w:space="0"/>
              <w:left w:val="single" w:color="auto" w:sz="8" w:space="0"/>
              <w:bottom w:val="single" w:color="auto" w:sz="8" w:space="0"/>
              <w:right w:val="single" w:color="auto" w:sz="8" w:space="0"/>
            </w:tcBorders>
            <w:vAlign w:val="center"/>
          </w:tcPr>
          <w:p w14:paraId="1D007CD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19</w:t>
            </w:r>
          </w:p>
        </w:tc>
        <w:tc>
          <w:tcPr>
            <w:tcW w:w="1645" w:type="dxa"/>
            <w:tcBorders>
              <w:top w:val="single" w:color="auto" w:sz="8" w:space="0"/>
              <w:left w:val="single" w:color="auto" w:sz="4" w:space="0"/>
              <w:bottom w:val="single" w:color="auto" w:sz="8" w:space="0"/>
              <w:right w:val="single" w:color="auto" w:sz="4" w:space="0"/>
            </w:tcBorders>
            <w:vAlign w:val="center"/>
          </w:tcPr>
          <w:p w14:paraId="77F75070">
            <w:pPr>
              <w:pStyle w:val="25"/>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中标结果公告媒介</w:t>
            </w:r>
          </w:p>
        </w:tc>
        <w:tc>
          <w:tcPr>
            <w:tcW w:w="7166" w:type="dxa"/>
            <w:tcBorders>
              <w:top w:val="single" w:color="auto" w:sz="8" w:space="0"/>
              <w:left w:val="single" w:color="auto" w:sz="4" w:space="0"/>
              <w:bottom w:val="single" w:color="auto" w:sz="8" w:space="0"/>
              <w:right w:val="single" w:color="auto" w:sz="8" w:space="0"/>
            </w:tcBorders>
            <w:vAlign w:val="top"/>
          </w:tcPr>
          <w:p w14:paraId="2F0DB711">
            <w:pPr>
              <w:pStyle w:val="25"/>
              <w:keepNext w:val="0"/>
              <w:keepLines w:val="0"/>
              <w:pageBreakBefore w:val="0"/>
              <w:kinsoku/>
              <w:wordWrap w:val="0"/>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滁州市重点工程建设管理处（http://zdc.chuzhou.gov.cn/）</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滁州市城投工程咨询管理有限公司（https://www.czctgczx.com/）</w:t>
            </w:r>
            <w:r>
              <w:rPr>
                <w:rFonts w:hint="eastAsia" w:ascii="宋体" w:hAnsi="宋体" w:eastAsia="宋体" w:cs="宋体"/>
                <w:color w:val="auto"/>
                <w:spacing w:val="-4"/>
                <w:sz w:val="21"/>
                <w:szCs w:val="21"/>
                <w:highlight w:val="none"/>
              </w:rPr>
              <w:t>等网站</w:t>
            </w:r>
          </w:p>
        </w:tc>
      </w:tr>
      <w:tr w14:paraId="6EA640C0">
        <w:tblPrEx>
          <w:tblCellMar>
            <w:top w:w="0" w:type="dxa"/>
            <w:left w:w="0" w:type="dxa"/>
            <w:bottom w:w="0" w:type="dxa"/>
            <w:right w:w="0" w:type="dxa"/>
          </w:tblCellMar>
        </w:tblPrEx>
        <w:trPr>
          <w:trHeight w:val="164" w:hRule="atLeast"/>
        </w:trPr>
        <w:tc>
          <w:tcPr>
            <w:tcW w:w="727" w:type="dxa"/>
            <w:tcBorders>
              <w:top w:val="single" w:color="auto" w:sz="8" w:space="0"/>
              <w:left w:val="single" w:color="auto" w:sz="8" w:space="0"/>
              <w:bottom w:val="single" w:color="auto" w:sz="8" w:space="0"/>
              <w:right w:val="single" w:color="auto" w:sz="8" w:space="0"/>
            </w:tcBorders>
            <w:vAlign w:val="center"/>
          </w:tcPr>
          <w:p w14:paraId="300286F8">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20</w:t>
            </w:r>
          </w:p>
        </w:tc>
        <w:tc>
          <w:tcPr>
            <w:tcW w:w="1645" w:type="dxa"/>
            <w:tcBorders>
              <w:top w:val="single" w:color="auto" w:sz="8" w:space="0"/>
              <w:left w:val="single" w:color="auto" w:sz="4" w:space="0"/>
              <w:bottom w:val="single" w:color="auto" w:sz="8" w:space="0"/>
              <w:right w:val="single" w:color="auto" w:sz="4" w:space="0"/>
            </w:tcBorders>
            <w:vAlign w:val="center"/>
          </w:tcPr>
          <w:p w14:paraId="5C02703D">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p>
        </w:tc>
        <w:tc>
          <w:tcPr>
            <w:tcW w:w="7166" w:type="dxa"/>
            <w:tcBorders>
              <w:top w:val="single" w:color="auto" w:sz="8" w:space="0"/>
              <w:left w:val="single" w:color="auto" w:sz="4" w:space="0"/>
              <w:bottom w:val="single" w:color="auto" w:sz="8" w:space="0"/>
              <w:right w:val="single" w:color="auto" w:sz="8" w:space="0"/>
            </w:tcBorders>
            <w:vAlign w:val="center"/>
          </w:tcPr>
          <w:p w14:paraId="492E7E00">
            <w:pPr>
              <w:keepNext w:val="0"/>
              <w:keepLines w:val="0"/>
              <w:pageBreakBefore w:val="0"/>
              <w:widowControl/>
              <w:kinsoku/>
              <w:overflowPunct/>
              <w:topLinePunct w:val="0"/>
              <w:autoSpaceDE/>
              <w:autoSpaceDN/>
              <w:bidi w:val="0"/>
              <w:adjustRightInd/>
              <w:snapToGrid/>
              <w:spacing w:line="440" w:lineRule="exact"/>
              <w:ind w:left="63" w:leftChars="3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是否收取履约担保：□收取，</w:t>
            </w: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不收取</w:t>
            </w:r>
          </w:p>
        </w:tc>
      </w:tr>
      <w:tr w14:paraId="53B9F13B">
        <w:tblPrEx>
          <w:tblCellMar>
            <w:top w:w="0" w:type="dxa"/>
            <w:left w:w="0" w:type="dxa"/>
            <w:bottom w:w="0" w:type="dxa"/>
            <w:right w:w="0" w:type="dxa"/>
          </w:tblCellMar>
        </w:tblPrEx>
        <w:trPr>
          <w:trHeight w:val="164" w:hRule="atLeast"/>
        </w:trPr>
        <w:tc>
          <w:tcPr>
            <w:tcW w:w="9538" w:type="dxa"/>
            <w:gridSpan w:val="3"/>
            <w:tcBorders>
              <w:top w:val="single" w:color="auto" w:sz="8" w:space="0"/>
              <w:left w:val="single" w:color="auto" w:sz="8" w:space="0"/>
              <w:bottom w:val="single" w:color="auto" w:sz="8" w:space="0"/>
              <w:right w:val="single" w:color="auto" w:sz="8" w:space="0"/>
            </w:tcBorders>
            <w:vAlign w:val="center"/>
          </w:tcPr>
          <w:p w14:paraId="0FD01F5C">
            <w:pPr>
              <w:keepNext w:val="0"/>
              <w:keepLines w:val="0"/>
              <w:pageBreakBefore w:val="0"/>
              <w:widowControl/>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需要补充的其他内容</w:t>
            </w:r>
          </w:p>
        </w:tc>
      </w:tr>
      <w:tr w14:paraId="54EFCC42">
        <w:tblPrEx>
          <w:tblCellMar>
            <w:top w:w="0" w:type="dxa"/>
            <w:left w:w="0" w:type="dxa"/>
            <w:bottom w:w="0" w:type="dxa"/>
            <w:right w:w="0" w:type="dxa"/>
          </w:tblCellMar>
        </w:tblPrEx>
        <w:trPr>
          <w:trHeight w:val="164" w:hRule="atLeast"/>
        </w:trPr>
        <w:tc>
          <w:tcPr>
            <w:tcW w:w="2372" w:type="dxa"/>
            <w:gridSpan w:val="2"/>
            <w:tcBorders>
              <w:top w:val="single" w:color="auto" w:sz="8" w:space="0"/>
              <w:left w:val="single" w:color="auto" w:sz="8" w:space="0"/>
              <w:bottom w:val="single" w:color="auto" w:sz="8" w:space="0"/>
              <w:right w:val="single" w:color="auto" w:sz="4" w:space="0"/>
            </w:tcBorders>
            <w:vAlign w:val="center"/>
          </w:tcPr>
          <w:p w14:paraId="5A46107E">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电子招标投标</w:t>
            </w:r>
          </w:p>
        </w:tc>
        <w:tc>
          <w:tcPr>
            <w:tcW w:w="7166" w:type="dxa"/>
            <w:tcBorders>
              <w:top w:val="single" w:color="auto" w:sz="8" w:space="0"/>
              <w:left w:val="single" w:color="auto" w:sz="4" w:space="0"/>
              <w:bottom w:val="single" w:color="auto" w:sz="8" w:space="0"/>
              <w:right w:val="single" w:color="auto" w:sz="8" w:space="0"/>
            </w:tcBorders>
            <w:vAlign w:val="center"/>
          </w:tcPr>
          <w:p w14:paraId="042E25F9">
            <w:pPr>
              <w:keepNext w:val="0"/>
              <w:keepLines w:val="0"/>
              <w:pageBreakBefore w:val="0"/>
              <w:kinsoku/>
              <w:wordWrap/>
              <w:overflowPunct/>
              <w:topLinePunct w:val="0"/>
              <w:autoSpaceDE/>
              <w:autoSpaceDN/>
              <w:bidi w:val="0"/>
              <w:adjustRightInd/>
              <w:snapToGrid/>
              <w:spacing w:line="440" w:lineRule="exact"/>
              <w:ind w:left="63" w:leftChars="3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否；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是，具体要求：按招标文件规定。</w:t>
            </w:r>
          </w:p>
        </w:tc>
      </w:tr>
      <w:tr w14:paraId="1140AE85">
        <w:tblPrEx>
          <w:tblCellMar>
            <w:top w:w="0" w:type="dxa"/>
            <w:left w:w="0" w:type="dxa"/>
            <w:bottom w:w="0" w:type="dxa"/>
            <w:right w:w="0" w:type="dxa"/>
          </w:tblCellMar>
        </w:tblPrEx>
        <w:trPr>
          <w:trHeight w:val="790" w:hRule="atLeast"/>
        </w:trPr>
        <w:tc>
          <w:tcPr>
            <w:tcW w:w="2372" w:type="dxa"/>
            <w:gridSpan w:val="2"/>
            <w:tcBorders>
              <w:top w:val="single" w:color="auto" w:sz="8" w:space="0"/>
              <w:left w:val="single" w:color="auto" w:sz="8" w:space="0"/>
              <w:bottom w:val="single" w:color="auto" w:sz="8" w:space="0"/>
              <w:right w:val="single" w:color="auto" w:sz="4" w:space="0"/>
            </w:tcBorders>
            <w:vAlign w:val="center"/>
          </w:tcPr>
          <w:p w14:paraId="741EEFE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限制投标情形</w:t>
            </w:r>
          </w:p>
        </w:tc>
        <w:tc>
          <w:tcPr>
            <w:tcW w:w="7166" w:type="dxa"/>
            <w:tcBorders>
              <w:top w:val="single" w:color="auto" w:sz="8" w:space="0"/>
              <w:left w:val="single" w:color="auto" w:sz="4" w:space="0"/>
              <w:bottom w:val="single" w:color="auto" w:sz="8" w:space="0"/>
              <w:right w:val="single" w:color="auto" w:sz="8" w:space="0"/>
            </w:tcBorders>
            <w:vAlign w:val="center"/>
          </w:tcPr>
          <w:p w14:paraId="544763DD">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1.限制近两年内在承接我单位工程造价、审计结算等业务过程中，因工作疏漏对我单位产生不良影响的咨询公司参加投标。</w:t>
            </w:r>
          </w:p>
          <w:p w14:paraId="148E1483">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2.在我处限制承揽业务期限内的企业不予参加。</w:t>
            </w:r>
          </w:p>
          <w:p w14:paraId="5F2A2E55">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3.被市重点处列入“不良行为企业名单”和“暂停委托项目跟踪审计的工程造价咨询企业名单”的单位不得参加。</w:t>
            </w:r>
          </w:p>
        </w:tc>
      </w:tr>
      <w:tr w14:paraId="234C8D6C">
        <w:tblPrEx>
          <w:tblCellMar>
            <w:top w:w="0" w:type="dxa"/>
            <w:left w:w="0" w:type="dxa"/>
            <w:bottom w:w="0" w:type="dxa"/>
            <w:right w:w="0" w:type="dxa"/>
          </w:tblCellMar>
        </w:tblPrEx>
        <w:trPr>
          <w:trHeight w:val="1885" w:hRule="atLeast"/>
        </w:trPr>
        <w:tc>
          <w:tcPr>
            <w:tcW w:w="2372" w:type="dxa"/>
            <w:gridSpan w:val="2"/>
            <w:tcBorders>
              <w:top w:val="single" w:color="auto" w:sz="8" w:space="0"/>
              <w:left w:val="single" w:color="auto" w:sz="8" w:space="0"/>
              <w:bottom w:val="single" w:color="auto" w:sz="8" w:space="0"/>
              <w:right w:val="single" w:color="auto" w:sz="4" w:space="0"/>
            </w:tcBorders>
            <w:vAlign w:val="center"/>
          </w:tcPr>
          <w:p w14:paraId="359C7E42">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特别要求</w:t>
            </w:r>
          </w:p>
        </w:tc>
        <w:tc>
          <w:tcPr>
            <w:tcW w:w="7166" w:type="dxa"/>
            <w:tcBorders>
              <w:top w:val="single" w:color="auto" w:sz="8" w:space="0"/>
              <w:left w:val="single" w:color="auto" w:sz="4" w:space="0"/>
              <w:bottom w:val="single" w:color="auto" w:sz="8" w:space="0"/>
              <w:right w:val="single" w:color="auto" w:sz="8" w:space="0"/>
            </w:tcBorders>
            <w:vAlign w:val="center"/>
          </w:tcPr>
          <w:p w14:paraId="7ED64295">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1、项目建设期间，相关部门将对跟踪审计工作进行不定期检查，如发现有不符合《跟踪审计委托协议》相关工作要求的行为，我处将按照约定给予相应的处罚。</w:t>
            </w:r>
          </w:p>
          <w:p w14:paraId="6D70A519">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2、我单位将严格执行《工程造价咨询服务管理办法》。</w:t>
            </w:r>
          </w:p>
          <w:p w14:paraId="1470349C">
            <w:pPr>
              <w:pStyle w:val="2"/>
              <w:keepNext w:val="0"/>
              <w:keepLines w:val="0"/>
              <w:pageBreakBefore w:val="0"/>
              <w:kinsoku/>
              <w:wordWrap/>
              <w:overflowPunct/>
              <w:topLinePunct w:val="0"/>
              <w:autoSpaceDE/>
              <w:autoSpaceDN/>
              <w:bidi w:val="0"/>
              <w:adjustRightInd/>
              <w:snapToGrid/>
              <w:spacing w:line="440" w:lineRule="exact"/>
              <w:ind w:left="63" w:leftChars="30" w:firstLine="0" w:firstLineChars="0"/>
              <w:textAlignment w:val="auto"/>
              <w:rPr>
                <w:rFonts w:hint="default"/>
                <w:b/>
                <w:bCs/>
                <w:color w:val="auto"/>
                <w:highlight w:val="none"/>
                <w:lang w:val="en-US" w:eastAsia="zh-CN"/>
              </w:rPr>
            </w:pPr>
            <w:r>
              <w:rPr>
                <w:rFonts w:hint="eastAsia" w:ascii="宋体" w:hAnsi="宋体" w:cs="宋体"/>
                <w:b/>
                <w:bCs/>
                <w:color w:val="auto"/>
                <w:kern w:val="0"/>
                <w:sz w:val="21"/>
                <w:szCs w:val="21"/>
                <w:highlight w:val="none"/>
                <w:lang w:val="en-US" w:eastAsia="zh-CN"/>
              </w:rPr>
              <w:t>3、本项目工程款结算仅支付给中标单位，不支持支付给授权的分公司、子公司等分支机构。（请款所提供的发票名称须与中标单位名称保持一致）。</w:t>
            </w:r>
          </w:p>
          <w:p w14:paraId="549DC940">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en-US" w:eastAsia="zh-CN"/>
              </w:rPr>
              <w:t>中标单位项目组人员变更，变更后人员必须满足本项目招标要求。由中标单位向综合计划科提出申请并提供相应证明，由中标单位向业主单位提出申请并提供相应证明，业主单位会商提出意见，报业主单位领导批准后予以备案。</w:t>
            </w:r>
          </w:p>
          <w:p w14:paraId="589A0E2D">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组负责人因以下原因变更不予处罚：①亡故；②重病（或重伤）三个月以上，不能履行职责；③受到刑事或行政处罚，不能胜任；④犯罪被羁押或判刑；⑤被责令停止职业资格。其他原因，造价企业须缴纳2万元违约金。</w:t>
            </w:r>
          </w:p>
        </w:tc>
      </w:tr>
      <w:tr w14:paraId="6E099D79">
        <w:tblPrEx>
          <w:tblCellMar>
            <w:top w:w="0" w:type="dxa"/>
            <w:left w:w="0" w:type="dxa"/>
            <w:bottom w:w="0" w:type="dxa"/>
            <w:right w:w="0" w:type="dxa"/>
          </w:tblCellMar>
        </w:tblPrEx>
        <w:trPr>
          <w:trHeight w:val="633" w:hRule="atLeast"/>
        </w:trPr>
        <w:tc>
          <w:tcPr>
            <w:tcW w:w="2372" w:type="dxa"/>
            <w:gridSpan w:val="2"/>
            <w:tcBorders>
              <w:top w:val="single" w:color="auto" w:sz="8" w:space="0"/>
              <w:left w:val="single" w:color="auto" w:sz="8" w:space="0"/>
              <w:bottom w:val="single" w:color="auto" w:sz="8" w:space="0"/>
              <w:right w:val="single" w:color="auto" w:sz="4" w:space="0"/>
            </w:tcBorders>
            <w:vAlign w:val="center"/>
          </w:tcPr>
          <w:p w14:paraId="70D745D3">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付款方式</w:t>
            </w:r>
          </w:p>
        </w:tc>
        <w:tc>
          <w:tcPr>
            <w:tcW w:w="7166" w:type="dxa"/>
            <w:tcBorders>
              <w:top w:val="single" w:color="auto" w:sz="8" w:space="0"/>
              <w:left w:val="single" w:color="auto" w:sz="4" w:space="0"/>
              <w:bottom w:val="single" w:color="auto" w:sz="8" w:space="0"/>
              <w:right w:val="single" w:color="auto" w:sz="8" w:space="0"/>
            </w:tcBorders>
            <w:vAlign w:val="center"/>
          </w:tcPr>
          <w:p w14:paraId="67DB5D0C">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施工招标完成后支付至合同价款的80%，工程竣工验收后支付合同价款的剩余费用（计算基数以施工中标价减去暂列金额、暂估价为准）。如项目因故调整未招标，则以最高投标限价乘以《滁州市关于规范政府和国有资金投资建设工程招标评标基准价的通知》中J值的最大值为计费基数，按照合同价款的50%作为最终结算价。（注：发包人在政府资金调度会批准且发票送达后完成支付）。</w:t>
            </w:r>
          </w:p>
        </w:tc>
      </w:tr>
      <w:tr w14:paraId="25B900FF">
        <w:tblPrEx>
          <w:tblCellMar>
            <w:top w:w="0" w:type="dxa"/>
            <w:left w:w="0" w:type="dxa"/>
            <w:bottom w:w="0" w:type="dxa"/>
            <w:right w:w="0" w:type="dxa"/>
          </w:tblCellMar>
        </w:tblPrEx>
        <w:trPr>
          <w:trHeight w:val="320" w:hRule="atLeast"/>
        </w:trPr>
        <w:tc>
          <w:tcPr>
            <w:tcW w:w="2372" w:type="dxa"/>
            <w:gridSpan w:val="2"/>
            <w:tcBorders>
              <w:top w:val="single" w:color="auto" w:sz="8" w:space="0"/>
              <w:left w:val="single" w:color="auto" w:sz="8" w:space="0"/>
              <w:bottom w:val="single" w:color="auto" w:sz="8" w:space="0"/>
              <w:right w:val="single" w:color="auto" w:sz="4" w:space="0"/>
            </w:tcBorders>
            <w:vAlign w:val="center"/>
          </w:tcPr>
          <w:p w14:paraId="5CE4694A">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招标代理费及专家评审费</w:t>
            </w:r>
          </w:p>
        </w:tc>
        <w:tc>
          <w:tcPr>
            <w:tcW w:w="7166" w:type="dxa"/>
            <w:tcBorders>
              <w:top w:val="single" w:color="auto" w:sz="8" w:space="0"/>
              <w:left w:val="single" w:color="auto" w:sz="4" w:space="0"/>
              <w:bottom w:val="single" w:color="auto" w:sz="8" w:space="0"/>
              <w:right w:val="single" w:color="auto" w:sz="8" w:space="0"/>
            </w:tcBorders>
            <w:vAlign w:val="center"/>
          </w:tcPr>
          <w:p w14:paraId="63D232A1">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本项目招标代理服务费用</w:t>
            </w:r>
            <w:r>
              <w:rPr>
                <w:rFonts w:hint="eastAsia" w:ascii="宋体" w:hAnsi="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lang w:val="en-US" w:eastAsia="zh-CN"/>
              </w:rPr>
              <w:t>元，专家评审费</w:t>
            </w:r>
            <w:r>
              <w:rPr>
                <w:rFonts w:hint="eastAsia" w:ascii="宋体" w:hAnsi="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lang w:val="en-US" w:eastAsia="zh-CN"/>
              </w:rPr>
              <w:t>元</w:t>
            </w:r>
            <w:r>
              <w:rPr>
                <w:rFonts w:hint="eastAsia" w:ascii="宋体" w:hAnsi="宋体" w:eastAsia="宋体" w:cs="宋体"/>
                <w:b/>
                <w:bCs/>
                <w:color w:val="auto"/>
                <w:kern w:val="0"/>
                <w:sz w:val="21"/>
                <w:szCs w:val="21"/>
                <w:highlight w:val="none"/>
                <w:lang w:val="en-US" w:eastAsia="zh-CN"/>
              </w:rPr>
              <w:t>。</w:t>
            </w:r>
          </w:p>
        </w:tc>
      </w:tr>
      <w:tr w14:paraId="6C5E33CA">
        <w:tblPrEx>
          <w:tblCellMar>
            <w:top w:w="0" w:type="dxa"/>
            <w:left w:w="0" w:type="dxa"/>
            <w:bottom w:w="0" w:type="dxa"/>
            <w:right w:w="0" w:type="dxa"/>
          </w:tblCellMar>
        </w:tblPrEx>
        <w:trPr>
          <w:trHeight w:val="0" w:hRule="atLeast"/>
        </w:trPr>
        <w:tc>
          <w:tcPr>
            <w:tcW w:w="2372" w:type="dxa"/>
            <w:gridSpan w:val="2"/>
            <w:tcBorders>
              <w:top w:val="single" w:color="auto" w:sz="8" w:space="0"/>
              <w:left w:val="single" w:color="auto" w:sz="8" w:space="0"/>
              <w:bottom w:val="single" w:color="auto" w:sz="8" w:space="0"/>
              <w:right w:val="single" w:color="auto" w:sz="4" w:space="0"/>
            </w:tcBorders>
            <w:vAlign w:val="center"/>
          </w:tcPr>
          <w:p w14:paraId="7DBB6D63">
            <w:pPr>
              <w:keepNext w:val="0"/>
              <w:keepLines w:val="0"/>
              <w:pageBreakBefore w:val="0"/>
              <w:widowControl/>
              <w:kinsoku/>
              <w:overflowPunct/>
              <w:topLinePunct w:val="0"/>
              <w:autoSpaceDE/>
              <w:autoSpaceDN/>
              <w:bidi w:val="0"/>
              <w:spacing w:line="440" w:lineRule="exact"/>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color w:val="auto"/>
                <w:sz w:val="21"/>
                <w:szCs w:val="21"/>
                <w:highlight w:val="none"/>
              </w:rPr>
              <w:t>评标过程中的澄清、说明或补正</w:t>
            </w:r>
          </w:p>
        </w:tc>
        <w:tc>
          <w:tcPr>
            <w:tcW w:w="7166" w:type="dxa"/>
            <w:tcBorders>
              <w:top w:val="single" w:color="auto" w:sz="8" w:space="0"/>
              <w:left w:val="single" w:color="auto" w:sz="4" w:space="0"/>
              <w:bottom w:val="single" w:color="auto" w:sz="8" w:space="0"/>
              <w:right w:val="single" w:color="auto" w:sz="8" w:space="0"/>
            </w:tcBorders>
            <w:vAlign w:val="center"/>
          </w:tcPr>
          <w:p w14:paraId="22C167F8">
            <w:pPr>
              <w:keepNext w:val="0"/>
              <w:keepLines w:val="0"/>
              <w:pageBreakBefore w:val="0"/>
              <w:widowControl/>
              <w:kinsoku/>
              <w:wordWrap/>
              <w:overflowPunct/>
              <w:topLinePunct w:val="0"/>
              <w:autoSpaceDE/>
              <w:autoSpaceDN/>
              <w:bidi w:val="0"/>
              <w:adjustRightInd/>
              <w:snapToGrid/>
              <w:spacing w:line="440" w:lineRule="exact"/>
              <w:ind w:left="63" w:leftChars="3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rPr>
              <w:t>1</w:t>
            </w:r>
            <w:r>
              <w:rPr>
                <w:rFonts w:hint="eastAsia" w:ascii="宋体" w:hAnsi="宋体" w:eastAsia="宋体" w:cs="宋体"/>
                <w:color w:val="auto"/>
                <w:sz w:val="21"/>
                <w:szCs w:val="21"/>
                <w:highlight w:val="none"/>
              </w:rPr>
              <w:t>）评标委员会通过</w:t>
            </w:r>
            <w:r>
              <w:rPr>
                <w:rFonts w:hint="eastAsia" w:ascii="宋体" w:hAnsi="宋体" w:eastAsia="宋体" w:cs="宋体"/>
                <w:color w:val="auto"/>
                <w:sz w:val="21"/>
                <w:szCs w:val="21"/>
                <w:highlight w:val="none"/>
                <w:lang w:val="en-US"/>
              </w:rPr>
              <w:t>网上招投标</w:t>
            </w:r>
            <w:r>
              <w:rPr>
                <w:rFonts w:hint="eastAsia" w:ascii="宋体" w:hAnsi="宋体" w:eastAsia="宋体" w:cs="宋体"/>
                <w:color w:val="auto"/>
                <w:sz w:val="21"/>
                <w:szCs w:val="21"/>
                <w:highlight w:val="none"/>
              </w:rPr>
              <w:t>系统将需要澄清、说明或补正的内容以询标函的形式发送给投标人，投标人应安排专人登录</w:t>
            </w:r>
            <w:r>
              <w:rPr>
                <w:rFonts w:hint="eastAsia" w:ascii="宋体" w:hAnsi="宋体" w:eastAsia="宋体" w:cs="宋体"/>
                <w:color w:val="auto"/>
                <w:sz w:val="21"/>
                <w:szCs w:val="21"/>
                <w:highlight w:val="none"/>
                <w:lang w:val="en-US"/>
              </w:rPr>
              <w:t>网上招投标</w:t>
            </w:r>
            <w:r>
              <w:rPr>
                <w:rFonts w:hint="eastAsia" w:ascii="宋体" w:hAnsi="宋体" w:eastAsia="宋体" w:cs="宋体"/>
                <w:color w:val="auto"/>
                <w:sz w:val="21"/>
                <w:szCs w:val="21"/>
                <w:highlight w:val="none"/>
              </w:rPr>
              <w:t>系统并保持在线状态，以便及时接收评标委员会可能发出的询标函。</w:t>
            </w:r>
          </w:p>
          <w:p w14:paraId="6C77080F">
            <w:pPr>
              <w:keepNext w:val="0"/>
              <w:keepLines w:val="0"/>
              <w:pageBreakBefore w:val="0"/>
              <w:widowControl/>
              <w:kinsoku/>
              <w:wordWrap/>
              <w:overflowPunct/>
              <w:topLinePunct w:val="0"/>
              <w:autoSpaceDE/>
              <w:autoSpaceDN/>
              <w:bidi w:val="0"/>
              <w:adjustRightInd/>
              <w:snapToGrid/>
              <w:spacing w:line="440" w:lineRule="exact"/>
              <w:ind w:left="63" w:leftChars="3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rPr>
              <w:t>2</w:t>
            </w:r>
            <w:r>
              <w:rPr>
                <w:rFonts w:hint="eastAsia" w:ascii="宋体" w:hAnsi="宋体" w:eastAsia="宋体" w:cs="宋体"/>
                <w:color w:val="auto"/>
                <w:sz w:val="21"/>
                <w:szCs w:val="21"/>
                <w:highlight w:val="none"/>
              </w:rPr>
              <w:t>）因投标人未登录</w:t>
            </w:r>
            <w:r>
              <w:rPr>
                <w:rFonts w:hint="eastAsia" w:ascii="宋体" w:hAnsi="宋体" w:eastAsia="宋体" w:cs="宋体"/>
                <w:color w:val="auto"/>
                <w:sz w:val="21"/>
                <w:szCs w:val="21"/>
                <w:highlight w:val="none"/>
                <w:lang w:val="en-US"/>
              </w:rPr>
              <w:t>网上招投标</w:t>
            </w:r>
            <w:r>
              <w:rPr>
                <w:rFonts w:hint="eastAsia" w:ascii="宋体" w:hAnsi="宋体" w:eastAsia="宋体" w:cs="宋体"/>
                <w:color w:val="auto"/>
                <w:sz w:val="21"/>
                <w:szCs w:val="21"/>
                <w:highlight w:val="none"/>
              </w:rPr>
              <w:t>系统导致无法及时接收询标函（远程网上询标）或未在规定时间内按评标委员会要求进行澄清、说明或补正内容的视同投标人放弃澄清、说明或补正内容的权利，评标委员会可按对投标人不利的解释进行判定。</w:t>
            </w:r>
          </w:p>
        </w:tc>
      </w:tr>
      <w:tr w14:paraId="43195011">
        <w:tblPrEx>
          <w:tblCellMar>
            <w:top w:w="0" w:type="dxa"/>
            <w:left w:w="0" w:type="dxa"/>
            <w:bottom w:w="0" w:type="dxa"/>
            <w:right w:w="0" w:type="dxa"/>
          </w:tblCellMar>
        </w:tblPrEx>
        <w:trPr>
          <w:trHeight w:val="0" w:hRule="atLeast"/>
        </w:trPr>
        <w:tc>
          <w:tcPr>
            <w:tcW w:w="2372" w:type="dxa"/>
            <w:gridSpan w:val="2"/>
            <w:tcBorders>
              <w:top w:val="single" w:color="auto" w:sz="8" w:space="0"/>
              <w:left w:val="single" w:color="auto" w:sz="8" w:space="0"/>
              <w:bottom w:val="single" w:color="auto" w:sz="8" w:space="0"/>
              <w:right w:val="single" w:color="auto" w:sz="4" w:space="0"/>
            </w:tcBorders>
            <w:vAlign w:val="center"/>
          </w:tcPr>
          <w:p w14:paraId="620FA21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highlight w:val="none"/>
              </w:rPr>
            </w:pPr>
            <w:bookmarkStart w:id="44" w:name="_Toc515"/>
            <w:bookmarkStart w:id="45" w:name="_Toc13663"/>
            <w:r>
              <w:rPr>
                <w:rFonts w:hint="eastAsia" w:ascii="宋体" w:hAnsi="宋体" w:eastAsia="宋体" w:cs="宋体"/>
                <w:color w:val="auto"/>
                <w:sz w:val="21"/>
                <w:szCs w:val="21"/>
                <w:highlight w:val="none"/>
                <w:lang w:val="en-US" w:eastAsia="zh-CN"/>
              </w:rPr>
              <w:t>特别说明</w:t>
            </w:r>
          </w:p>
        </w:tc>
        <w:tc>
          <w:tcPr>
            <w:tcW w:w="7166" w:type="dxa"/>
            <w:tcBorders>
              <w:top w:val="single" w:color="auto" w:sz="8" w:space="0"/>
              <w:left w:val="single" w:color="auto" w:sz="4" w:space="0"/>
              <w:bottom w:val="single" w:color="auto" w:sz="8" w:space="0"/>
              <w:right w:val="single" w:color="auto" w:sz="8" w:space="0"/>
            </w:tcBorders>
            <w:vAlign w:val="center"/>
          </w:tcPr>
          <w:p w14:paraId="789F12E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招标人与中标人不按照招标文件和中标人的投标文件订立合同的，或者招标人、中标人订立背离合同实质性内容的协议的，责令改正；可以处中标项目金额千分之五以上千分之十以下的罚款。</w:t>
            </w:r>
          </w:p>
          <w:p w14:paraId="54EA469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中标人不履行与招标人订立的合同的，履约保证金不予退还，给招标人造成的损失超过履约保证金数额的，还应当对超过部分予以赔偿；没有提交履约保证金的，应当对招标人的损失承担赔偿责任。</w:t>
            </w:r>
          </w:p>
          <w:p w14:paraId="07F6A12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中标人不按照与招标人订立的合同履行义务，情节严重的，取消其二年至五年内参加依法必须进行招标的项目的投标资格并予以公告，直至由工商行政管理机关吊销营业执照。</w:t>
            </w:r>
          </w:p>
          <w:p w14:paraId="01B484A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因不可抗力不能履行合同的，不适用前两款规定。</w:t>
            </w:r>
          </w:p>
        </w:tc>
      </w:tr>
      <w:tr w14:paraId="53FC2CC8">
        <w:tblPrEx>
          <w:tblCellMar>
            <w:top w:w="0" w:type="dxa"/>
            <w:left w:w="0" w:type="dxa"/>
            <w:bottom w:w="0" w:type="dxa"/>
            <w:right w:w="0" w:type="dxa"/>
          </w:tblCellMar>
        </w:tblPrEx>
        <w:trPr>
          <w:trHeight w:val="444" w:hRule="atLeast"/>
        </w:trPr>
        <w:tc>
          <w:tcPr>
            <w:tcW w:w="2372" w:type="dxa"/>
            <w:gridSpan w:val="2"/>
            <w:tcBorders>
              <w:top w:val="single" w:color="auto" w:sz="8" w:space="0"/>
              <w:left w:val="single" w:color="auto" w:sz="8" w:space="0"/>
              <w:bottom w:val="single" w:color="auto" w:sz="8" w:space="0"/>
              <w:right w:val="single" w:color="auto" w:sz="4" w:space="0"/>
            </w:tcBorders>
            <w:shd w:val="clear" w:color="auto" w:fill="auto"/>
            <w:vAlign w:val="center"/>
          </w:tcPr>
          <w:p w14:paraId="179EA4E3">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Cs w:val="21"/>
                <w:highlight w:val="none"/>
              </w:rPr>
              <w:t>解释权</w:t>
            </w:r>
          </w:p>
        </w:tc>
        <w:tc>
          <w:tcPr>
            <w:tcW w:w="7166" w:type="dxa"/>
            <w:tcBorders>
              <w:top w:val="single" w:color="auto" w:sz="8" w:space="0"/>
              <w:left w:val="single" w:color="auto" w:sz="4" w:space="0"/>
              <w:bottom w:val="single" w:color="auto" w:sz="8" w:space="0"/>
              <w:right w:val="single" w:color="auto" w:sz="8" w:space="0"/>
            </w:tcBorders>
            <w:shd w:val="clear" w:color="auto" w:fill="auto"/>
            <w:vAlign w:val="center"/>
          </w:tcPr>
          <w:p w14:paraId="4A11B6B2">
            <w:pPr>
              <w:pStyle w:val="160"/>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1、构成本招标文件的各个组成文件应互为解释，互为说明；</w:t>
            </w:r>
          </w:p>
          <w:p w14:paraId="20A28A68">
            <w:pPr>
              <w:pStyle w:val="160"/>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w:t>
            </w:r>
            <w:r>
              <w:rPr>
                <w:rFonts w:hint="eastAsia" w:ascii="宋体" w:hAnsi="宋体" w:eastAsia="宋体" w:cs="宋体"/>
                <w:color w:val="auto"/>
                <w:spacing w:val="-7"/>
                <w:sz w:val="21"/>
                <w:szCs w:val="21"/>
                <w:highlight w:val="none"/>
              </w:rPr>
              <w:t>同一组成文件中就同一事项的规定或约定不一致的，以编排</w:t>
            </w:r>
            <w:r>
              <w:rPr>
                <w:rFonts w:hint="eastAsia" w:ascii="宋体" w:hAnsi="宋体" w:eastAsia="宋体" w:cs="宋体"/>
                <w:color w:val="auto"/>
                <w:spacing w:val="-5"/>
                <w:sz w:val="21"/>
                <w:szCs w:val="21"/>
                <w:highlight w:val="none"/>
              </w:rPr>
              <w:t>顺序在后者为准；</w:t>
            </w:r>
          </w:p>
          <w:p w14:paraId="5152586F">
            <w:pPr>
              <w:pStyle w:val="160"/>
              <w:keepNext w:val="0"/>
              <w:keepLines w:val="0"/>
              <w:pageBreakBefore w:val="0"/>
              <w:tabs>
                <w:tab w:val="left" w:pos="351"/>
              </w:tabs>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3、如有不明确或不一致，构成合同文件组成内容的，以合同文件约定内容为准，且以专用合同条款约定的合同文件优先顺序解释；</w:t>
            </w:r>
          </w:p>
          <w:p w14:paraId="0E820394">
            <w:pPr>
              <w:pStyle w:val="160"/>
              <w:keepNext w:val="0"/>
              <w:keepLines w:val="0"/>
              <w:pageBreakBefore w:val="0"/>
              <w:tabs>
                <w:tab w:val="left" w:pos="354"/>
              </w:tabs>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4、</w:t>
            </w:r>
            <w:r>
              <w:rPr>
                <w:rFonts w:hint="eastAsia" w:ascii="宋体" w:hAnsi="宋体" w:eastAsia="宋体" w:cs="宋体"/>
                <w:color w:val="auto"/>
                <w:sz w:val="21"/>
                <w:szCs w:val="21"/>
                <w:highlight w:val="none"/>
              </w:rPr>
              <w:t>系统中提供的表格（或格式文件）与招标文件中不一致时，以招标文件中提供的为准；</w:t>
            </w:r>
          </w:p>
          <w:p w14:paraId="3036DB2F">
            <w:pPr>
              <w:keepNext w:val="0"/>
              <w:keepLines w:val="0"/>
              <w:pageBreakBefore w:val="0"/>
              <w:kinsoku/>
              <w:wordWrap/>
              <w:overflowPunct/>
              <w:topLinePunct w:val="0"/>
              <w:autoSpaceDE/>
              <w:autoSpaceDN/>
              <w:bidi w:val="0"/>
              <w:adjustRightInd/>
              <w:snapToGrid/>
              <w:spacing w:line="440" w:lineRule="exact"/>
              <w:ind w:left="63" w:leftChars="3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pacing w:val="-3"/>
                <w:sz w:val="21"/>
                <w:szCs w:val="21"/>
                <w:highlight w:val="none"/>
              </w:rPr>
              <w:t>5、按本款前述规定仍不能形成结论的，由招标人负责解释。</w:t>
            </w:r>
          </w:p>
        </w:tc>
      </w:tr>
    </w:tbl>
    <w:p w14:paraId="5E12AD7E">
      <w:pPr>
        <w:spacing w:line="400" w:lineRule="exact"/>
        <w:jc w:val="center"/>
        <w:outlineLvl w:val="1"/>
        <w:rPr>
          <w:rFonts w:hint="eastAsia" w:ascii="宋体" w:hAnsi="宋体" w:eastAsia="宋体" w:cs="宋体"/>
          <w:b/>
          <w:bCs/>
          <w:color w:val="auto"/>
          <w:sz w:val="28"/>
          <w:highlight w:val="none"/>
        </w:rPr>
      </w:pPr>
    </w:p>
    <w:p w14:paraId="7AAEE894">
      <w:pPr>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br w:type="page"/>
      </w:r>
    </w:p>
    <w:p w14:paraId="6094F76D">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一、总  则</w:t>
      </w:r>
      <w:bookmarkEnd w:id="44"/>
      <w:bookmarkEnd w:id="45"/>
    </w:p>
    <w:p w14:paraId="5FB33392">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1.工程概况</w:t>
      </w:r>
    </w:p>
    <w:p w14:paraId="23F98024">
      <w:pPr>
        <w:keepNext w:val="0"/>
        <w:keepLines w:val="0"/>
        <w:pageBreakBefore w:val="0"/>
        <w:widowControl w:val="0"/>
        <w:kinsoku/>
        <w:wordWrap/>
        <w:overflowPunct/>
        <w:topLinePunct w:val="0"/>
        <w:autoSpaceDE/>
        <w:autoSpaceDN/>
        <w:bidi w:val="0"/>
        <w:adjustRightInd/>
        <w:snapToGrid/>
        <w:spacing w:line="480" w:lineRule="exact"/>
        <w:ind w:left="1050" w:leftChars="0" w:hanging="1050" w:hangingChars="500"/>
        <w:jc w:val="left"/>
        <w:textAlignment w:val="auto"/>
        <w:rPr>
          <w:rFonts w:hint="default"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名称：</w:t>
      </w:r>
      <w:r>
        <w:rPr>
          <w:rFonts w:hint="eastAsia" w:ascii="宋体" w:hAnsi="宋体" w:cs="宋体"/>
          <w:color w:val="auto"/>
          <w:sz w:val="21"/>
          <w:szCs w:val="21"/>
          <w:highlight w:val="none"/>
          <w:lang w:val="en-US" w:eastAsia="zh-CN"/>
        </w:rPr>
        <w:t>城南绿廊公园水体清淤项目工程量清单及最高投标限价编制服务项目（二次）</w:t>
      </w:r>
    </w:p>
    <w:p w14:paraId="26F9FD99">
      <w:pPr>
        <w:keepNext w:val="0"/>
        <w:keepLines w:val="0"/>
        <w:pageBreakBefore w:val="0"/>
        <w:widowControl w:val="0"/>
        <w:kinsoku/>
        <w:wordWrap/>
        <w:overflowPunct/>
        <w:topLinePunct w:val="0"/>
        <w:autoSpaceDE/>
        <w:autoSpaceDN/>
        <w:bidi w:val="0"/>
        <w:adjustRightInd/>
        <w:snapToGrid/>
        <w:spacing w:line="480" w:lineRule="exact"/>
        <w:ind w:left="1050" w:leftChars="0" w:hanging="1050" w:hangingChars="50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rPr>
        <w:t>工程地址：滁州市</w:t>
      </w:r>
      <w:r>
        <w:rPr>
          <w:rFonts w:hint="eastAsia" w:ascii="宋体" w:hAnsi="宋体" w:eastAsia="宋体" w:cs="宋体"/>
          <w:color w:val="auto"/>
          <w:sz w:val="21"/>
          <w:szCs w:val="21"/>
          <w:highlight w:val="none"/>
          <w:u w:val="none"/>
          <w:lang w:val="en-US" w:eastAsia="zh-CN"/>
        </w:rPr>
        <w:t>内</w:t>
      </w:r>
    </w:p>
    <w:p w14:paraId="4E7F625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招标</w:t>
      </w:r>
      <w:r>
        <w:rPr>
          <w:rFonts w:hint="eastAsia" w:ascii="宋体" w:hAnsi="宋体" w:eastAsia="宋体" w:cs="宋体"/>
          <w:color w:val="auto"/>
          <w:sz w:val="21"/>
          <w:szCs w:val="21"/>
          <w:highlight w:val="none"/>
          <w:u w:val="none"/>
        </w:rPr>
        <w:t>单位：</w:t>
      </w:r>
      <w:r>
        <w:rPr>
          <w:rFonts w:hint="eastAsia" w:ascii="宋体" w:hAnsi="宋体" w:cs="宋体"/>
          <w:color w:val="auto"/>
          <w:sz w:val="21"/>
          <w:szCs w:val="21"/>
          <w:highlight w:val="none"/>
          <w:u w:val="none"/>
          <w:lang w:eastAsia="zh-CN"/>
        </w:rPr>
        <w:t>滁州市园林景观管理中心</w:t>
      </w:r>
    </w:p>
    <w:p w14:paraId="2F9C622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sz w:val="21"/>
          <w:szCs w:val="21"/>
          <w:highlight w:val="none"/>
          <w:u w:val="none"/>
        </w:rPr>
        <w:t>1.2本工程建设规模：</w:t>
      </w:r>
      <w:r>
        <w:rPr>
          <w:rFonts w:hint="eastAsia" w:ascii="宋体" w:hAnsi="宋体" w:eastAsia="宋体" w:cs="宋体"/>
          <w:color w:val="auto"/>
          <w:sz w:val="21"/>
          <w:szCs w:val="21"/>
          <w:highlight w:val="none"/>
          <w:u w:val="none"/>
          <w:lang w:val="en-US" w:eastAsia="zh-CN"/>
        </w:rPr>
        <w:t>工程</w:t>
      </w:r>
      <w:r>
        <w:rPr>
          <w:rFonts w:hint="eastAsia" w:ascii="宋体" w:hAnsi="宋体" w:cs="宋体"/>
          <w:color w:val="auto"/>
          <w:sz w:val="21"/>
          <w:szCs w:val="21"/>
          <w:highlight w:val="none"/>
          <w:u w:val="none"/>
          <w:lang w:val="en-US" w:eastAsia="zh-CN"/>
        </w:rPr>
        <w:t>投资</w:t>
      </w:r>
      <w:r>
        <w:rPr>
          <w:rFonts w:hint="eastAsia" w:ascii="宋体" w:hAnsi="宋体" w:eastAsia="宋体" w:cs="宋体"/>
          <w:color w:val="auto"/>
          <w:sz w:val="21"/>
          <w:szCs w:val="21"/>
          <w:highlight w:val="none"/>
          <w:u w:val="none"/>
          <w:lang w:val="en-US" w:eastAsia="zh-CN"/>
        </w:rPr>
        <w:t>金额约</w:t>
      </w:r>
      <w:r>
        <w:rPr>
          <w:rFonts w:hint="eastAsia" w:ascii="宋体" w:hAnsi="宋体" w:cs="宋体"/>
          <w:color w:val="auto"/>
          <w:sz w:val="21"/>
          <w:szCs w:val="21"/>
          <w:highlight w:val="none"/>
          <w:u w:val="none"/>
          <w:lang w:val="en-US" w:eastAsia="zh-CN"/>
        </w:rPr>
        <w:t>50万元</w:t>
      </w:r>
      <w:r>
        <w:rPr>
          <w:rFonts w:hint="eastAsia" w:ascii="宋体" w:hAnsi="宋体" w:eastAsia="宋体" w:cs="宋体"/>
          <w:color w:val="auto"/>
          <w:sz w:val="21"/>
          <w:szCs w:val="21"/>
          <w:highlight w:val="none"/>
          <w:u w:val="none"/>
          <w:lang w:val="en-US" w:eastAsia="zh-CN"/>
        </w:rPr>
        <w:t>，</w:t>
      </w:r>
      <w:r>
        <w:rPr>
          <w:rFonts w:hint="eastAsia" w:ascii="宋体" w:hAnsi="宋体" w:cs="宋体"/>
          <w:color w:val="auto"/>
          <w:sz w:val="21"/>
          <w:szCs w:val="21"/>
          <w:highlight w:val="none"/>
          <w:lang w:val="en-US" w:eastAsia="zh-CN"/>
        </w:rPr>
        <w:t>工程量清单及最高投标限价编制</w:t>
      </w:r>
      <w:r>
        <w:rPr>
          <w:rFonts w:hint="eastAsia" w:ascii="宋体" w:hAnsi="宋体" w:eastAsia="宋体" w:cs="宋体"/>
          <w:color w:val="auto"/>
          <w:sz w:val="21"/>
          <w:szCs w:val="21"/>
          <w:highlight w:val="none"/>
          <w:u w:val="none"/>
          <w:lang w:val="en-US" w:eastAsia="zh-CN"/>
        </w:rPr>
        <w:t>费</w:t>
      </w:r>
      <w:r>
        <w:rPr>
          <w:rFonts w:hint="eastAsia" w:ascii="宋体" w:hAnsi="宋体" w:cs="宋体"/>
          <w:color w:val="auto"/>
          <w:sz w:val="21"/>
          <w:szCs w:val="21"/>
          <w:highlight w:val="none"/>
          <w:u w:val="none"/>
          <w:lang w:val="en-US" w:eastAsia="zh-CN"/>
        </w:rPr>
        <w:t>约0.34万元</w:t>
      </w:r>
      <w:r>
        <w:rPr>
          <w:rFonts w:hint="eastAsia" w:ascii="宋体" w:hAnsi="宋体" w:eastAsia="宋体" w:cs="宋体"/>
          <w:color w:val="auto"/>
          <w:kern w:val="0"/>
          <w:sz w:val="21"/>
          <w:szCs w:val="21"/>
          <w:highlight w:val="none"/>
          <w:u w:val="none"/>
          <w:lang w:val="en-US" w:eastAsia="zh-CN"/>
        </w:rPr>
        <w:t>。</w:t>
      </w:r>
    </w:p>
    <w:p w14:paraId="67586197">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2. </w:t>
      </w:r>
      <w:r>
        <w:rPr>
          <w:rFonts w:hint="eastAsia" w:ascii="宋体" w:hAnsi="宋体" w:cs="宋体"/>
          <w:color w:val="auto"/>
          <w:sz w:val="21"/>
          <w:szCs w:val="21"/>
          <w:highlight w:val="none"/>
          <w:lang w:val="en-US" w:eastAsia="zh-CN"/>
        </w:rPr>
        <w:t>服务需求</w:t>
      </w:r>
    </w:p>
    <w:p w14:paraId="67DEE0C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p>
    <w:p w14:paraId="40FE54FE">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3.承包方式</w:t>
      </w:r>
    </w:p>
    <w:p w14:paraId="7F965071">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3.1承包方式：</w:t>
      </w:r>
      <w:r>
        <w:rPr>
          <w:rFonts w:hint="eastAsia" w:ascii="宋体" w:hAnsi="宋体" w:eastAsia="宋体" w:cs="宋体"/>
          <w:color w:val="auto"/>
          <w:sz w:val="21"/>
          <w:szCs w:val="21"/>
          <w:highlight w:val="none"/>
          <w:lang w:val="en-US" w:eastAsia="zh-CN"/>
        </w:rPr>
        <w:t>固定总价</w:t>
      </w:r>
      <w:r>
        <w:rPr>
          <w:rFonts w:hint="eastAsia" w:ascii="宋体" w:hAnsi="宋体" w:eastAsia="宋体" w:cs="宋体"/>
          <w:color w:val="auto"/>
          <w:sz w:val="21"/>
          <w:szCs w:val="21"/>
          <w:highlight w:val="none"/>
        </w:rPr>
        <w:t>。</w:t>
      </w:r>
    </w:p>
    <w:p w14:paraId="06FDAF9B">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val="en-US" w:eastAsia="zh-CN"/>
        </w:rPr>
        <w:t>服务期</w:t>
      </w:r>
      <w:r>
        <w:rPr>
          <w:rFonts w:hint="eastAsia" w:ascii="宋体" w:hAnsi="宋体" w:eastAsia="宋体" w:cs="宋体"/>
          <w:color w:val="auto"/>
          <w:sz w:val="21"/>
          <w:szCs w:val="21"/>
          <w:highlight w:val="none"/>
        </w:rPr>
        <w:t>要求</w:t>
      </w:r>
    </w:p>
    <w:p w14:paraId="2E0A7DF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4.1</w:t>
      </w:r>
      <w:r>
        <w:rPr>
          <w:rFonts w:hint="eastAsia" w:ascii="宋体" w:hAnsi="宋体" w:cs="宋体"/>
          <w:color w:val="auto"/>
          <w:sz w:val="21"/>
          <w:szCs w:val="21"/>
          <w:highlight w:val="none"/>
          <w:lang w:val="en-US" w:eastAsia="zh-CN"/>
        </w:rPr>
        <w:t>服务期</w:t>
      </w:r>
      <w:r>
        <w:rPr>
          <w:rFonts w:hint="eastAsia" w:ascii="宋体" w:hAnsi="宋体" w:eastAsia="宋体" w:cs="宋体"/>
          <w:color w:val="auto"/>
          <w:sz w:val="21"/>
          <w:szCs w:val="21"/>
          <w:highlight w:val="none"/>
        </w:rPr>
        <w:t>要求</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r>
        <w:rPr>
          <w:rFonts w:hint="eastAsia" w:ascii="宋体" w:hAnsi="宋体" w:eastAsia="宋体" w:cs="宋体"/>
          <w:color w:val="auto"/>
          <w:kern w:val="0"/>
          <w:sz w:val="21"/>
          <w:szCs w:val="21"/>
          <w:highlight w:val="none"/>
        </w:rPr>
        <w:t>。</w:t>
      </w:r>
    </w:p>
    <w:p w14:paraId="0BCBF344">
      <w:pPr>
        <w:keepNext w:val="0"/>
        <w:keepLines w:val="0"/>
        <w:pageBreakBefore w:val="0"/>
        <w:widowControl w:val="0"/>
        <w:kinsoku/>
        <w:wordWrap/>
        <w:overflowPunct/>
        <w:topLinePunct w:val="0"/>
        <w:autoSpaceDE/>
        <w:autoSpaceDN/>
        <w:bidi w:val="0"/>
        <w:adjustRightInd/>
        <w:snapToGrid/>
        <w:spacing w:line="480" w:lineRule="exac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5.质量要求</w:t>
      </w:r>
    </w:p>
    <w:p w14:paraId="4592EB5D">
      <w:pPr>
        <w:keepNext w:val="0"/>
        <w:keepLines w:val="0"/>
        <w:pageBreakBefore w:val="0"/>
        <w:widowControl w:val="0"/>
        <w:kinsoku/>
        <w:wordWrap/>
        <w:overflowPunct/>
        <w:topLinePunct w:val="0"/>
        <w:autoSpaceDE/>
        <w:autoSpaceDN/>
        <w:bidi w:val="0"/>
        <w:adjustRightInd/>
        <w:snapToGrid/>
        <w:spacing w:line="480" w:lineRule="exac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r>
        <w:rPr>
          <w:rFonts w:hint="eastAsia" w:ascii="宋体" w:hAnsi="宋体" w:eastAsia="宋体" w:cs="宋体"/>
          <w:color w:val="auto"/>
          <w:sz w:val="21"/>
          <w:szCs w:val="21"/>
          <w:highlight w:val="none"/>
        </w:rPr>
        <w:t>。</w:t>
      </w:r>
    </w:p>
    <w:p w14:paraId="796160D6">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6.投标人资质等级要求</w:t>
      </w:r>
    </w:p>
    <w:p w14:paraId="1DAD49D1">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p>
    <w:p w14:paraId="788E0003">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7.资金来源</w:t>
      </w:r>
    </w:p>
    <w:p w14:paraId="04B3D660">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7.1资金来源：</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财政</w:t>
      </w:r>
      <w:r>
        <w:rPr>
          <w:rFonts w:hint="eastAsia" w:ascii="宋体" w:hAnsi="宋体" w:eastAsia="宋体" w:cs="宋体"/>
          <w:color w:val="auto"/>
          <w:sz w:val="21"/>
          <w:szCs w:val="21"/>
          <w:highlight w:val="none"/>
          <w:u w:val="single"/>
        </w:rPr>
        <w:t xml:space="preserve">资金 </w:t>
      </w:r>
      <w:r>
        <w:rPr>
          <w:rFonts w:hint="eastAsia" w:ascii="宋体" w:hAnsi="宋体" w:eastAsia="宋体" w:cs="宋体"/>
          <w:color w:val="auto"/>
          <w:sz w:val="21"/>
          <w:szCs w:val="21"/>
          <w:highlight w:val="none"/>
        </w:rPr>
        <w:t>；资金已落实。</w:t>
      </w:r>
    </w:p>
    <w:p w14:paraId="16562C86">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8.标段划分</w:t>
      </w:r>
    </w:p>
    <w:p w14:paraId="2EB90A2C">
      <w:pPr>
        <w:keepNext w:val="0"/>
        <w:keepLines w:val="0"/>
        <w:pageBreakBefore w:val="0"/>
        <w:widowControl w:val="0"/>
        <w:kinsoku/>
        <w:wordWrap/>
        <w:overflowPunct/>
        <w:topLinePunct w:val="0"/>
        <w:autoSpaceDE/>
        <w:autoSpaceDN/>
        <w:bidi w:val="0"/>
        <w:adjustRightInd/>
        <w:snapToGrid/>
        <w:spacing w:line="480" w:lineRule="exact"/>
        <w:ind w:right="-155" w:rightChars="-7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8.1该工程划分：</w:t>
      </w:r>
      <w:r>
        <w:rPr>
          <w:rFonts w:hint="eastAsia" w:ascii="宋体" w:hAnsi="宋体" w:eastAsia="宋体" w:cs="宋体"/>
          <w:color w:val="auto"/>
          <w:sz w:val="21"/>
          <w:szCs w:val="21"/>
          <w:highlight w:val="none"/>
          <w:u w:val="single"/>
        </w:rPr>
        <w:t xml:space="preserve"> 一 </w:t>
      </w:r>
      <w:r>
        <w:rPr>
          <w:rFonts w:hint="eastAsia" w:ascii="宋体" w:hAnsi="宋体" w:eastAsia="宋体" w:cs="宋体"/>
          <w:color w:val="auto"/>
          <w:sz w:val="21"/>
          <w:szCs w:val="21"/>
          <w:highlight w:val="none"/>
        </w:rPr>
        <w:t xml:space="preserve">个标段  </w:t>
      </w:r>
    </w:p>
    <w:p w14:paraId="084D1B0F">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9.招标方式</w:t>
      </w:r>
    </w:p>
    <w:p w14:paraId="585C687E">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9.1本工程招标方式：</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公开</w:t>
      </w:r>
      <w:r>
        <w:rPr>
          <w:rFonts w:hint="eastAsia" w:ascii="宋体" w:hAnsi="宋体" w:eastAsia="宋体" w:cs="宋体"/>
          <w:color w:val="auto"/>
          <w:sz w:val="21"/>
          <w:szCs w:val="21"/>
          <w:highlight w:val="none"/>
          <w:u w:val="single"/>
        </w:rPr>
        <w:t xml:space="preserve">招标 </w:t>
      </w:r>
      <w:r>
        <w:rPr>
          <w:rFonts w:hint="eastAsia" w:ascii="宋体" w:hAnsi="宋体" w:eastAsia="宋体" w:cs="宋体"/>
          <w:color w:val="auto"/>
          <w:sz w:val="21"/>
          <w:szCs w:val="21"/>
          <w:highlight w:val="none"/>
        </w:rPr>
        <w:t>。</w:t>
      </w:r>
    </w:p>
    <w:p w14:paraId="4E82FFBC">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10.计价方式</w:t>
      </w:r>
    </w:p>
    <w:p w14:paraId="7A62DB5F">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10.1本工程合同计价方式：</w:t>
      </w:r>
      <w:r>
        <w:rPr>
          <w:rFonts w:hint="eastAsia" w:ascii="宋体" w:hAnsi="宋体" w:eastAsia="宋体" w:cs="宋体"/>
          <w:color w:val="auto"/>
          <w:sz w:val="21"/>
          <w:szCs w:val="21"/>
          <w:highlight w:val="none"/>
          <w:u w:val="single"/>
          <w:lang w:val="en-US" w:eastAsia="zh-CN"/>
        </w:rPr>
        <w:t>固定费率</w:t>
      </w:r>
      <w:r>
        <w:rPr>
          <w:rFonts w:hint="eastAsia" w:ascii="宋体" w:hAnsi="宋体" w:eastAsia="宋体" w:cs="宋体"/>
          <w:color w:val="auto"/>
          <w:sz w:val="21"/>
          <w:szCs w:val="21"/>
          <w:highlight w:val="none"/>
        </w:rPr>
        <w:t>。</w:t>
      </w:r>
    </w:p>
    <w:p w14:paraId="08A7EAA4">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11.评标办法</w:t>
      </w:r>
    </w:p>
    <w:p w14:paraId="5C11E0E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11.1本工程评标办法：</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综合评分法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（详见第</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章评标办法）。</w:t>
      </w:r>
    </w:p>
    <w:p w14:paraId="50CEFD82">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outlineLvl w:val="1"/>
        <w:rPr>
          <w:rFonts w:hint="eastAsia" w:ascii="宋体" w:hAnsi="宋体" w:eastAsia="宋体" w:cs="宋体"/>
          <w:b/>
          <w:bCs/>
          <w:color w:val="auto"/>
          <w:sz w:val="28"/>
          <w:highlight w:val="none"/>
        </w:rPr>
      </w:pPr>
      <w:bookmarkStart w:id="46" w:name="_Toc29988"/>
      <w:bookmarkStart w:id="47" w:name="_Toc17301"/>
    </w:p>
    <w:p w14:paraId="2DD47ABF">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二、招标文件</w:t>
      </w:r>
      <w:bookmarkEnd w:id="46"/>
      <w:bookmarkEnd w:id="47"/>
    </w:p>
    <w:p w14:paraId="62AC36E5">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12.招标文件的编制依据</w:t>
      </w:r>
    </w:p>
    <w:p w14:paraId="6640ED8C">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12.1根据相关法律法规和规章及部、省、市级规范性文件的规定，编制本招标文件。</w:t>
      </w:r>
    </w:p>
    <w:p w14:paraId="00599032">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13.</w:t>
      </w:r>
      <w:r>
        <w:rPr>
          <w:rFonts w:hint="eastAsia" w:ascii="宋体" w:hAnsi="宋体" w:eastAsia="宋体" w:cs="宋体"/>
          <w:bCs/>
          <w:color w:val="auto"/>
          <w:sz w:val="21"/>
          <w:szCs w:val="21"/>
          <w:highlight w:val="none"/>
        </w:rPr>
        <w:t>招标文件的组成</w:t>
      </w:r>
    </w:p>
    <w:p w14:paraId="3FC2C949">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13.1招标文件包括内容：</w:t>
      </w:r>
    </w:p>
    <w:p w14:paraId="27C5F634">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第一章  </w:t>
      </w:r>
      <w:r>
        <w:rPr>
          <w:rFonts w:hint="eastAsia" w:ascii="宋体" w:hAnsi="宋体" w:cs="宋体"/>
          <w:color w:val="auto"/>
          <w:sz w:val="21"/>
          <w:szCs w:val="21"/>
          <w:highlight w:val="none"/>
          <w:lang w:eastAsia="zh-CN"/>
        </w:rPr>
        <w:t>投标人须知</w:t>
      </w:r>
    </w:p>
    <w:p w14:paraId="3E882546">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第二章  </w:t>
      </w:r>
      <w:r>
        <w:rPr>
          <w:rFonts w:hint="eastAsia" w:ascii="宋体" w:hAnsi="宋体" w:eastAsia="宋体" w:cs="宋体"/>
          <w:color w:val="auto"/>
          <w:sz w:val="21"/>
          <w:szCs w:val="21"/>
          <w:highlight w:val="none"/>
          <w:lang w:val="en-US" w:eastAsia="zh-CN"/>
        </w:rPr>
        <w:t>评标办法</w:t>
      </w:r>
    </w:p>
    <w:p w14:paraId="091E054E">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  合同条款</w:t>
      </w:r>
    </w:p>
    <w:p w14:paraId="5C6D9635">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章  投标文件格式</w:t>
      </w:r>
    </w:p>
    <w:p w14:paraId="3A70C4EA">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color w:val="auto"/>
          <w:spacing w:val="-20"/>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章  招标单位、招标代理机构对本招标文件的确认</w:t>
      </w:r>
    </w:p>
    <w:p w14:paraId="426A67FC">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w:t>
      </w:r>
      <w:r>
        <w:rPr>
          <w:rFonts w:hint="eastAsia" w:ascii="宋体" w:hAnsi="宋体" w:eastAsia="宋体" w:cs="宋体"/>
          <w:color w:val="auto"/>
          <w:spacing w:val="-10"/>
          <w:sz w:val="21"/>
          <w:szCs w:val="21"/>
          <w:highlight w:val="none"/>
        </w:rPr>
        <w:t>除13.1内容外，招标答疑亦为招标文件的组成部分，对招标人和投标人起约束作用。</w:t>
      </w:r>
    </w:p>
    <w:p w14:paraId="4DAD4163">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13.3</w:t>
      </w:r>
      <w:r>
        <w:rPr>
          <w:rFonts w:hint="eastAsia" w:ascii="宋体"/>
          <w:color w:val="auto"/>
          <w:szCs w:val="21"/>
          <w:highlight w:val="none"/>
        </w:rPr>
        <w:t>投标人应仔细阅读和检查招标文件的全部内容。如发现缺页或附件不全，应及时向</w:t>
      </w:r>
      <w:r>
        <w:rPr>
          <w:rFonts w:hint="eastAsia" w:ascii="宋体"/>
          <w:color w:val="auto"/>
          <w:szCs w:val="21"/>
          <w:highlight w:val="none"/>
          <w:lang w:eastAsia="zh-CN"/>
        </w:rPr>
        <w:t>招标人</w:t>
      </w:r>
      <w:r>
        <w:rPr>
          <w:rFonts w:hint="eastAsia" w:ascii="宋体"/>
          <w:color w:val="auto"/>
          <w:szCs w:val="21"/>
          <w:highlight w:val="none"/>
        </w:rPr>
        <w:t>提出，以便补齐</w:t>
      </w:r>
      <w:r>
        <w:rPr>
          <w:rFonts w:hint="eastAsia" w:ascii="宋体" w:hAnsi="宋体" w:eastAsia="宋体" w:cs="宋体"/>
          <w:color w:val="auto"/>
          <w:kern w:val="0"/>
          <w:sz w:val="21"/>
          <w:szCs w:val="21"/>
          <w:highlight w:val="none"/>
          <w:lang w:val="zh-CN"/>
        </w:rPr>
        <w:t>。</w:t>
      </w:r>
    </w:p>
    <w:p w14:paraId="2C32EE20">
      <w:pPr>
        <w:pStyle w:val="63"/>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default" w:eastAsia="宋体"/>
          <w:color w:val="auto"/>
          <w:highlight w:val="none"/>
          <w:lang w:val="en-US" w:eastAsia="zh-CN"/>
        </w:rPr>
      </w:pPr>
      <w:r>
        <w:rPr>
          <w:rFonts w:hint="eastAsia" w:ascii="宋体" w:hAnsi="宋体" w:eastAsia="宋体" w:cs="宋体"/>
          <w:b/>
          <w:bCs/>
          <w:color w:val="auto"/>
          <w:kern w:val="0"/>
          <w:sz w:val="21"/>
          <w:szCs w:val="21"/>
          <w:highlight w:val="none"/>
          <w:lang w:val="en-US" w:eastAsia="zh-CN"/>
        </w:rPr>
        <w:t>13.4投标人可以通过新点电子交易平台【滁州专区】对招标文件提出澄清（质疑）。招标文件的澄清将在滁州市重点工程建设管理处（http://zdc.chuzhou.gov.cn/）、滁州市城投工程咨询管理有限公司（https://www.czctgczx.com/）发布，但不指明澄清问题的来源。如果澄清内容影响投标文件编制的，将相应延长投标截止时间。</w:t>
      </w:r>
    </w:p>
    <w:p w14:paraId="182D12DA">
      <w:pPr>
        <w:keepNext w:val="0"/>
        <w:keepLines w:val="0"/>
        <w:pageBreakBefore w:val="0"/>
        <w:widowControl w:val="0"/>
        <w:kinsoku/>
        <w:wordWrap w:val="0"/>
        <w:overflowPunct/>
        <w:topLinePunct w:val="0"/>
        <w:autoSpaceDE/>
        <w:autoSpaceDN/>
        <w:bidi w:val="0"/>
        <w:adjustRightInd/>
        <w:snapToGrid/>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14.</w:t>
      </w:r>
      <w:r>
        <w:rPr>
          <w:rFonts w:hint="eastAsia" w:ascii="宋体" w:hAnsi="宋体" w:eastAsia="宋体" w:cs="宋体"/>
          <w:bCs/>
          <w:color w:val="auto"/>
          <w:sz w:val="21"/>
          <w:szCs w:val="21"/>
          <w:highlight w:val="none"/>
        </w:rPr>
        <w:t>招标文件的澄清、修改、补充、解释</w:t>
      </w:r>
    </w:p>
    <w:p w14:paraId="6B0F2D10">
      <w:pPr>
        <w:keepNext w:val="0"/>
        <w:keepLines w:val="0"/>
        <w:pageBreakBefore w:val="0"/>
        <w:widowControl w:val="0"/>
        <w:kinsoku/>
        <w:wordWrap w:val="0"/>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14.1</w:t>
      </w:r>
      <w:r>
        <w:rPr>
          <w:rFonts w:hint="eastAsia" w:ascii="宋体" w:hAnsi="宋体" w:eastAsia="宋体" w:cs="宋体"/>
          <w:color w:val="auto"/>
          <w:kern w:val="0"/>
          <w:sz w:val="21"/>
          <w:szCs w:val="21"/>
          <w:highlight w:val="none"/>
          <w:lang w:val="zh-CN"/>
        </w:rPr>
        <w:t>招标文件发出后</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招标人可对招标文件进行必要的澄清、修改和补充</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并在</w:t>
      </w:r>
      <w:r>
        <w:rPr>
          <w:rFonts w:hint="eastAsia"/>
          <w:color w:val="auto"/>
          <w:szCs w:val="21"/>
          <w:highlight w:val="none"/>
          <w:lang w:eastAsia="zh-CN"/>
        </w:rPr>
        <w:t>滁州市重点工程建设管理处（http://zdc.chuzhou.gov.cn/）、</w:t>
      </w:r>
      <w:r>
        <w:rPr>
          <w:rFonts w:hint="eastAsia" w:ascii="宋体" w:hAnsi="宋体" w:eastAsia="宋体" w:cs="宋体"/>
          <w:color w:val="auto"/>
          <w:sz w:val="21"/>
          <w:szCs w:val="21"/>
          <w:highlight w:val="none"/>
        </w:rPr>
        <w:t>滁州市城投工程咨询管理有限公司</w:t>
      </w:r>
      <w:r>
        <w:rPr>
          <w:rFonts w:hint="eastAsia"/>
          <w:color w:val="auto"/>
          <w:szCs w:val="21"/>
          <w:highlight w:val="none"/>
        </w:rPr>
        <w:t>（https://www.czctgczx.com/）</w:t>
      </w:r>
      <w:r>
        <w:rPr>
          <w:rFonts w:hint="eastAsia"/>
          <w:color w:val="auto"/>
          <w:szCs w:val="21"/>
          <w:highlight w:val="none"/>
          <w:lang w:val="en-US" w:eastAsia="zh-CN"/>
        </w:rPr>
        <w:t>网站发布</w:t>
      </w:r>
      <w:r>
        <w:rPr>
          <w:rFonts w:hint="eastAsia" w:ascii="宋体" w:hAnsi="宋体" w:eastAsia="宋体" w:cs="宋体"/>
          <w:color w:val="auto"/>
          <w:kern w:val="0"/>
          <w:sz w:val="21"/>
          <w:szCs w:val="21"/>
          <w:highlight w:val="none"/>
          <w:lang w:val="zh-CN"/>
        </w:rPr>
        <w:t>。招标文件的修改内容作为招标文件的组成部分，具有约束作用。</w:t>
      </w:r>
    </w:p>
    <w:p w14:paraId="291D1EEA">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本招标文件由招标人委托的招标代理机构负责解释。</w:t>
      </w:r>
    </w:p>
    <w:p w14:paraId="2B94AB1C">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15.踏勘现场及投标预备会</w:t>
      </w:r>
    </w:p>
    <w:p w14:paraId="275BCF22">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 踏勘现场</w:t>
      </w:r>
    </w:p>
    <w:p w14:paraId="5049533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15.1.1</w:t>
      </w:r>
      <w:r>
        <w:rPr>
          <w:rFonts w:hint="eastAsia" w:ascii="宋体" w:hAnsi="宋体" w:eastAsia="宋体" w:cs="宋体"/>
          <w:color w:val="auto"/>
          <w:kern w:val="0"/>
          <w:sz w:val="21"/>
          <w:szCs w:val="21"/>
          <w:highlight w:val="none"/>
        </w:rPr>
        <w:t>不再集中召开招标答疑会；投标人自行组织勘察现场。</w:t>
      </w:r>
    </w:p>
    <w:p w14:paraId="6FE74C3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15.2投标预备会</w:t>
      </w:r>
    </w:p>
    <w:p w14:paraId="13F5946E">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15.2.1</w:t>
      </w:r>
      <w:r>
        <w:rPr>
          <w:rFonts w:hint="eastAsia" w:ascii="宋体" w:hAnsi="宋体" w:cs="宋体"/>
          <w:color w:val="auto"/>
          <w:sz w:val="21"/>
          <w:szCs w:val="21"/>
          <w:highlight w:val="none"/>
          <w:lang w:val="en-US" w:eastAsia="zh-CN"/>
        </w:rPr>
        <w:t>本项目不组织</w:t>
      </w:r>
      <w:r>
        <w:rPr>
          <w:rFonts w:hint="eastAsia" w:ascii="宋体" w:hAnsi="宋体" w:eastAsia="宋体" w:cs="宋体"/>
          <w:color w:val="auto"/>
          <w:sz w:val="21"/>
          <w:szCs w:val="21"/>
          <w:highlight w:val="none"/>
        </w:rPr>
        <w:t>投标预备会</w:t>
      </w:r>
      <w:r>
        <w:rPr>
          <w:rFonts w:hint="eastAsia" w:ascii="宋体" w:hAnsi="宋体" w:eastAsia="宋体" w:cs="宋体"/>
          <w:bCs/>
          <w:color w:val="auto"/>
          <w:sz w:val="21"/>
          <w:szCs w:val="21"/>
          <w:highlight w:val="none"/>
        </w:rPr>
        <w:t>。</w:t>
      </w:r>
    </w:p>
    <w:p w14:paraId="13802E14">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16.招标文件的发出</w:t>
      </w:r>
    </w:p>
    <w:p w14:paraId="185B78E9">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16.1招标文件、招标文件的澄清、修改、补充及招标答疑等均应报招标人备案后，方可发出。</w:t>
      </w:r>
    </w:p>
    <w:p w14:paraId="0E4E3056">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17.最高投标限价的作用和说明</w:t>
      </w:r>
    </w:p>
    <w:p w14:paraId="1F52E4EF">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17.1本项目工程量清单和最高投标限价编制费用为《收费标准》计算费用的</w:t>
      </w:r>
      <w:r>
        <w:rPr>
          <w:rFonts w:hint="eastAsia" w:ascii="宋体" w:hAnsi="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lang w:val="en-US" w:eastAsia="zh-CN"/>
        </w:rPr>
        <w:t>0%，投标单位投标报价不得高于上述费率最高限价，否则按无效标处理</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《收费标准》详见附表</w:t>
      </w:r>
      <w:r>
        <w:rPr>
          <w:rFonts w:hint="eastAsia" w:ascii="宋体" w:hAnsi="宋体" w:eastAsia="宋体" w:cs="宋体"/>
          <w:b/>
          <w:bCs/>
          <w:color w:val="auto"/>
          <w:sz w:val="21"/>
          <w:szCs w:val="21"/>
          <w:highlight w:val="none"/>
          <w:lang w:eastAsia="zh-CN"/>
        </w:rPr>
        <w:t>。</w:t>
      </w:r>
    </w:p>
    <w:p w14:paraId="344A8BB9">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outlineLvl w:val="1"/>
        <w:rPr>
          <w:rFonts w:hint="eastAsia" w:ascii="宋体" w:hAnsi="宋体" w:eastAsia="宋体" w:cs="宋体"/>
          <w:b/>
          <w:bCs/>
          <w:color w:val="auto"/>
          <w:sz w:val="28"/>
          <w:highlight w:val="none"/>
        </w:rPr>
      </w:pPr>
      <w:bookmarkStart w:id="48" w:name="_Toc24852"/>
      <w:bookmarkStart w:id="49" w:name="_Toc6831"/>
      <w:r>
        <w:rPr>
          <w:rFonts w:hint="eastAsia" w:ascii="宋体" w:hAnsi="宋体" w:eastAsia="宋体" w:cs="宋体"/>
          <w:b/>
          <w:bCs/>
          <w:color w:val="auto"/>
          <w:sz w:val="28"/>
          <w:highlight w:val="none"/>
        </w:rPr>
        <w:t>三、投标文件的编制</w:t>
      </w:r>
      <w:bookmarkEnd w:id="48"/>
      <w:bookmarkEnd w:id="49"/>
    </w:p>
    <w:p w14:paraId="64695F4A">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18</w:t>
      </w:r>
      <w:r>
        <w:rPr>
          <w:rFonts w:hint="eastAsia" w:ascii="宋体" w:hAnsi="宋体" w:eastAsia="宋体" w:cs="宋体"/>
          <w:b/>
          <w:bCs/>
          <w:color w:val="auto"/>
          <w:sz w:val="21"/>
          <w:szCs w:val="21"/>
          <w:highlight w:val="none"/>
        </w:rPr>
        <w:t>. 投标文件的组成</w:t>
      </w:r>
      <w:r>
        <w:rPr>
          <w:rFonts w:hint="eastAsia" w:ascii="宋体" w:hAnsi="宋体" w:eastAsia="宋体" w:cs="宋体"/>
          <w:b/>
          <w:bCs/>
          <w:color w:val="auto"/>
          <w:sz w:val="21"/>
          <w:szCs w:val="21"/>
          <w:highlight w:val="none"/>
          <w:lang w:val="en-US" w:eastAsia="zh-CN"/>
        </w:rPr>
        <w:t xml:space="preserve"> </w:t>
      </w:r>
    </w:p>
    <w:p w14:paraId="499ED5AC">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（1）法定代表人身份证明文件和本人有效身份证(或法定代表人授权委托书和委托代理人有效身份证)；</w:t>
      </w:r>
    </w:p>
    <w:p w14:paraId="41B02096">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（2）企业法人营业执照；</w:t>
      </w:r>
      <w:r>
        <w:rPr>
          <w:rFonts w:hint="eastAsia" w:ascii="宋体" w:hAnsi="宋体" w:cs="宋体"/>
          <w:color w:val="auto"/>
          <w:sz w:val="21"/>
          <w:szCs w:val="21"/>
          <w:highlight w:val="none"/>
          <w:lang w:val="en-US" w:eastAsia="zh-CN"/>
        </w:rPr>
        <w:t xml:space="preserve"> </w:t>
      </w:r>
    </w:p>
    <w:p w14:paraId="46681444">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（3）拟派项目负责人</w:t>
      </w:r>
      <w:r>
        <w:rPr>
          <w:rFonts w:hint="eastAsia" w:ascii="宋体" w:hAnsi="宋体" w:eastAsia="宋体" w:cs="宋体"/>
          <w:color w:val="auto"/>
          <w:sz w:val="21"/>
          <w:szCs w:val="21"/>
          <w:highlight w:val="none"/>
          <w:lang w:val="en-US" w:eastAsia="zh-CN"/>
        </w:rPr>
        <w:t>身份证和</w:t>
      </w:r>
      <w:r>
        <w:rPr>
          <w:rFonts w:hint="eastAsia" w:ascii="宋体" w:hAnsi="宋体" w:eastAsia="宋体" w:cs="宋体"/>
          <w:color w:val="auto"/>
          <w:sz w:val="21"/>
          <w:szCs w:val="21"/>
          <w:highlight w:val="none"/>
        </w:rPr>
        <w:t>注册造价师证书</w:t>
      </w:r>
      <w:r>
        <w:rPr>
          <w:rFonts w:hint="eastAsia" w:ascii="宋体" w:hAnsi="宋体" w:cs="宋体"/>
          <w:color w:val="auto"/>
          <w:sz w:val="21"/>
          <w:szCs w:val="21"/>
          <w:highlight w:val="none"/>
          <w:lang w:val="en-US" w:eastAsia="zh-CN"/>
        </w:rPr>
        <w:t xml:space="preserve">； </w:t>
      </w:r>
    </w:p>
    <w:p w14:paraId="34FA53DA">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val="en-US" w:eastAsia="zh-CN"/>
        </w:rPr>
        <w:t>项目人员配备表（格式见附件）；</w:t>
      </w:r>
    </w:p>
    <w:p w14:paraId="43DBF8FC">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项目组其他成员（不含项目负责人）</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身份证和证书</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 xml:space="preserve"> </w:t>
      </w:r>
    </w:p>
    <w:p w14:paraId="0AA33432">
      <w:pPr>
        <w:keepNext w:val="0"/>
        <w:keepLines w:val="0"/>
        <w:pageBreakBefore w:val="0"/>
        <w:widowControl w:val="0"/>
        <w:kinsoku/>
        <w:wordWrap/>
        <w:overflowPunct/>
        <w:topLinePunct w:val="0"/>
        <w:autoSpaceDE/>
        <w:autoSpaceDN/>
        <w:bidi w:val="0"/>
        <w:spacing w:line="50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（6）投标人须提供法定代表人（或委托代理人）及拟派的上述项目负责人和项目组成员须持有社保部门出具的本单位为其缴纳的投标前近三个月的养老保险证明</w:t>
      </w:r>
      <w:r>
        <w:rPr>
          <w:rFonts w:hint="eastAsia" w:ascii="宋体" w:hAnsi="宋体" w:eastAsia="宋体" w:cs="宋体"/>
          <w:color w:val="auto"/>
          <w:sz w:val="21"/>
          <w:szCs w:val="21"/>
          <w:highlight w:val="none"/>
          <w:lang w:val="en-US" w:eastAsia="zh-CN"/>
        </w:rPr>
        <w:t>材料；投标人是事业单位的，须其主管部门出具证明（证明文件两个月内有效）；注：若投标人拟派的项目负责人为已退休人员，须同时提供①退休证明材料；②与投标人签订的返聘劳动合同；③项目负责人社保卡所在银行出具的退休工资流水；④银行出具的工资流水和返聘单位出具的工资表（加盖返聘单位公章，现聘用单位（投标人）所发工资）。</w:t>
      </w:r>
    </w:p>
    <w:p w14:paraId="20980F17">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（7）投标函</w:t>
      </w:r>
      <w:r>
        <w:rPr>
          <w:rFonts w:hint="eastAsia" w:ascii="宋体" w:hAnsi="宋体" w:eastAsia="宋体" w:cs="宋体"/>
          <w:color w:val="auto"/>
          <w:sz w:val="21"/>
          <w:szCs w:val="21"/>
          <w:highlight w:val="none"/>
        </w:rPr>
        <w:t>；</w:t>
      </w:r>
    </w:p>
    <w:p w14:paraId="67A22FA4">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投标人认为需要提供的其他材料。</w:t>
      </w:r>
    </w:p>
    <w:p w14:paraId="6CFB64B6">
      <w:pPr>
        <w:numPr>
          <w:ilvl w:val="0"/>
          <w:numId w:val="0"/>
        </w:numPr>
        <w:spacing w:line="440" w:lineRule="exact"/>
        <w:jc w:val="both"/>
        <w:rPr>
          <w:rFonts w:hint="eastAsia" w:ascii="宋体" w:hAnsi="Times New Roman" w:eastAsia="宋体" w:cs="Times New Roman"/>
          <w:b/>
          <w:color w:val="auto"/>
          <w:szCs w:val="21"/>
          <w:highlight w:val="none"/>
          <w:lang w:val="en-US" w:eastAsia="zh-CN"/>
        </w:rPr>
      </w:pPr>
      <w:r>
        <w:rPr>
          <w:rFonts w:hint="eastAsia" w:ascii="宋体" w:hAnsi="Times New Roman" w:eastAsia="宋体" w:cs="Times New Roman"/>
          <w:b/>
          <w:color w:val="auto"/>
          <w:szCs w:val="21"/>
          <w:highlight w:val="none"/>
          <w:lang w:val="en-US" w:eastAsia="zh-CN"/>
        </w:rPr>
        <w:t xml:space="preserve">19.投标文件的组成、上传说明 </w:t>
      </w:r>
    </w:p>
    <w:p w14:paraId="344E5516">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19.1 投标文件的组成 </w:t>
      </w:r>
    </w:p>
    <w:p w14:paraId="6BBBE030">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具体内容详见第四章投标文件格式内容。 </w:t>
      </w:r>
    </w:p>
    <w:p w14:paraId="559C5DB4">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19.2 投标文件的上传 </w:t>
      </w:r>
    </w:p>
    <w:p w14:paraId="276CFE5B">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（1）</w:t>
      </w:r>
      <w:r>
        <w:rPr>
          <w:rFonts w:hint="eastAsia" w:ascii="宋体" w:hAnsi="宋体" w:cs="宋体"/>
          <w:color w:val="auto"/>
          <w:szCs w:val="21"/>
          <w:highlight w:val="none"/>
        </w:rPr>
        <w:t>请投标人通过</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下载投标工具制作投标文件，并利用CA数字证书进行上传投标文件，上传已加密的投标文件，务必通过此方式上传投标文件</w:t>
      </w:r>
      <w:r>
        <w:rPr>
          <w:rFonts w:hint="eastAsia" w:ascii="宋体" w:hAnsi="Calibri"/>
          <w:color w:val="auto"/>
          <w:szCs w:val="21"/>
          <w:highlight w:val="none"/>
          <w:lang w:val="en-US" w:eastAsia="zh-CN"/>
        </w:rPr>
        <w:t xml:space="preserve">。 </w:t>
      </w:r>
    </w:p>
    <w:p w14:paraId="42834304">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（2）</w:t>
      </w:r>
      <w:r>
        <w:rPr>
          <w:rFonts w:hint="eastAsia" w:ascii="宋体" w:hAnsi="Calibri"/>
          <w:b/>
          <w:bCs/>
          <w:color w:val="auto"/>
          <w:szCs w:val="21"/>
          <w:highlight w:val="none"/>
          <w:lang w:val="en-US" w:eastAsia="zh-CN"/>
        </w:rPr>
        <w:t>投标人在投标文件编制、签章、上传过程中如有任何操作的疑问请及时联系技术支持，电话：0512-58151515（工作日）或者网站首页在线客服</w:t>
      </w:r>
      <w:r>
        <w:rPr>
          <w:rFonts w:hint="eastAsia" w:ascii="宋体" w:hAnsi="Calibri"/>
          <w:color w:val="auto"/>
          <w:szCs w:val="21"/>
          <w:highlight w:val="none"/>
          <w:lang w:val="en-US" w:eastAsia="zh-CN"/>
        </w:rPr>
        <w:t xml:space="preserve">。 </w:t>
      </w:r>
    </w:p>
    <w:p w14:paraId="1EADF7E1">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 xml:space="preserve">（3）如果因投标人自身原因导致投标文件在规定时间内未能解密、解密失败或解密超时，投标文件无效；因代理公司原因或网上平台发生故障，导致无法按时完成投标文件解密的，经代理公司申请后可延迟解密时间。 </w:t>
      </w:r>
    </w:p>
    <w:p w14:paraId="2A77AAEF">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19.3 投标文件的编制 </w:t>
      </w:r>
    </w:p>
    <w:p w14:paraId="64DCFAF7">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 xml:space="preserve">（1）投标文件应按第四章“投标文件格式”进行编写，如有必要，可以增加附页，作为投标文件的组成部分。 </w:t>
      </w:r>
    </w:p>
    <w:p w14:paraId="6D4B70A1">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（2）</w:t>
      </w:r>
      <w:r>
        <w:rPr>
          <w:rFonts w:hint="eastAsia" w:ascii="宋体" w:hAnsi="宋体" w:cs="宋体"/>
          <w:b/>
          <w:bCs/>
          <w:color w:val="auto"/>
          <w:szCs w:val="21"/>
          <w:highlight w:val="none"/>
        </w:rPr>
        <w:t>本次投标不需要提供纸质投标文件，投标人应按照电子招标投标的要求，在投标人的电子系统中制作、签章、上传加密的电子投标文件</w:t>
      </w:r>
      <w:r>
        <w:rPr>
          <w:rFonts w:hint="eastAsia" w:ascii="宋体" w:hAnsi="Calibri"/>
          <w:color w:val="auto"/>
          <w:szCs w:val="21"/>
          <w:highlight w:val="none"/>
          <w:lang w:val="en-US" w:eastAsia="zh-CN"/>
        </w:rPr>
        <w:t xml:space="preserve">。 </w:t>
      </w:r>
    </w:p>
    <w:p w14:paraId="12304D1D">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 xml:space="preserve">（3）网上递交的电子投标文件制作工具等要求详见系统内帮助模块。 </w:t>
      </w:r>
    </w:p>
    <w:p w14:paraId="62D31D9D">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Calibri"/>
          <w:color w:val="auto"/>
          <w:szCs w:val="21"/>
          <w:highlight w:val="none"/>
          <w:lang w:val="en-US" w:eastAsia="zh-CN"/>
        </w:rPr>
      </w:pPr>
      <w:r>
        <w:rPr>
          <w:rFonts w:hint="eastAsia" w:ascii="宋体" w:hAnsi="Calibri"/>
          <w:color w:val="auto"/>
          <w:szCs w:val="21"/>
          <w:highlight w:val="none"/>
          <w:lang w:val="en-US" w:eastAsia="zh-CN"/>
        </w:rPr>
        <w:t>（4）网上递交的电子投标文件应按招标文件规定的格式由投标人的法定代表人和投标人分别签章。</w:t>
      </w:r>
    </w:p>
    <w:p w14:paraId="62849197">
      <w:pPr>
        <w:pStyle w:val="2"/>
        <w:rPr>
          <w:rFonts w:hint="eastAsia" w:ascii="宋体" w:hAnsi="Calibri" w:eastAsia="宋体" w:cs="Times New Roman"/>
          <w:color w:val="auto"/>
          <w:kern w:val="2"/>
          <w:sz w:val="21"/>
          <w:szCs w:val="21"/>
          <w:highlight w:val="none"/>
          <w:lang w:val="en-US" w:eastAsia="zh-CN" w:bidi="ar-SA"/>
        </w:rPr>
      </w:pPr>
      <w:r>
        <w:rPr>
          <w:rFonts w:hint="eastAsia" w:ascii="宋体" w:hAnsi="Calibri" w:eastAsia="宋体" w:cs="Times New Roman"/>
          <w:color w:val="auto"/>
          <w:kern w:val="2"/>
          <w:sz w:val="21"/>
          <w:szCs w:val="21"/>
          <w:highlight w:val="none"/>
          <w:lang w:val="en-US" w:eastAsia="zh-CN" w:bidi="ar-SA"/>
        </w:rPr>
        <w:t>（5）招标人有权核查投标人在投标文件中提供的资料，若在评标期间发现投标人提供了虚假资料，其投标将被否决；若发现投标人以他人名义投标或者以其他方式弄虚作假骗取中标的，中标无效；如果签订合同后发现中标人提供了虚假材料，招标人有权解除合同。同时招标人将投标人上述弄虚作假行为上报公共资源交易监督管理部门处理。</w:t>
      </w:r>
    </w:p>
    <w:p w14:paraId="5A82299E">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投标文件的制作应满足以下规定：</w:t>
      </w:r>
    </w:p>
    <w:p w14:paraId="48490317">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①</w:t>
      </w:r>
      <w:r>
        <w:rPr>
          <w:rFonts w:hint="eastAsia" w:ascii="宋体" w:hAnsi="宋体" w:cs="宋体"/>
          <w:color w:val="auto"/>
          <w:szCs w:val="21"/>
          <w:highlight w:val="none"/>
        </w:rPr>
        <w:t>投标文件由投标人使用</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提供的“投标文件制作工具”制作生成。“投标文件制作工具”可以通过电子交易系统下载。</w:t>
      </w:r>
    </w:p>
    <w:p w14:paraId="424145B6">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②</w:t>
      </w:r>
      <w:r>
        <w:rPr>
          <w:rFonts w:hint="eastAsia" w:ascii="宋体" w:hAnsi="宋体" w:cs="宋体"/>
          <w:b/>
          <w:color w:val="auto"/>
          <w:szCs w:val="21"/>
          <w:highlight w:val="none"/>
        </w:rPr>
        <w:t>招标文件中“签章”是指签字或盖章</w:t>
      </w:r>
      <w:r>
        <w:rPr>
          <w:rFonts w:hint="eastAsia" w:ascii="宋体" w:hAnsi="宋体" w:cs="宋体"/>
          <w:b/>
          <w:color w:val="auto"/>
          <w:szCs w:val="21"/>
          <w:highlight w:val="none"/>
          <w:lang w:val="en-US" w:eastAsia="zh-CN"/>
        </w:rPr>
        <w:t>。在“投标文件格式”中要求单位签章的，投标人应加盖投标人单位电子印章或直接上传加盖投标人单位印章原件彩色扫描件。要求个人签章的，加盖相应人员印章（或电子印章）或相应人员签字均可。</w:t>
      </w:r>
    </w:p>
    <w:p w14:paraId="52D29299">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③</w:t>
      </w:r>
      <w:r>
        <w:rPr>
          <w:rFonts w:hint="eastAsia" w:ascii="宋体" w:hAnsi="宋体" w:cs="宋体"/>
          <w:color w:val="auto"/>
          <w:szCs w:val="21"/>
          <w:highlight w:val="none"/>
        </w:rPr>
        <w:t>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0BE993A2">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color w:val="auto"/>
          <w:highlight w:val="none"/>
          <w:lang w:val="en-US" w:eastAsia="zh-CN"/>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因投标人自身原因而导致投标文件无法导入电子交易系统电子开标、评标系统，该投标视为无效投标，投标人自行承担由此导致的全部责任。</w:t>
      </w:r>
    </w:p>
    <w:p w14:paraId="235F678A">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投标报价</w:t>
      </w:r>
    </w:p>
    <w:p w14:paraId="05488F20">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.1投标人的投标报价包括按合同规定的范围所提供的全部服务所需的费用，即招标范围内人员工资、办公费用、</w:t>
      </w:r>
      <w:r>
        <w:rPr>
          <w:rFonts w:hint="eastAsia" w:ascii="宋体" w:hAnsi="宋体" w:eastAsia="宋体" w:cs="宋体"/>
          <w:color w:val="auto"/>
          <w:sz w:val="21"/>
          <w:szCs w:val="21"/>
          <w:highlight w:val="none"/>
          <w:lang w:val="en-US" w:eastAsia="zh-CN"/>
        </w:rPr>
        <w:t>专家评审费、</w:t>
      </w:r>
      <w:r>
        <w:rPr>
          <w:rFonts w:hint="eastAsia" w:ascii="宋体" w:hAnsi="宋体" w:eastAsia="宋体" w:cs="宋体"/>
          <w:color w:val="auto"/>
          <w:sz w:val="21"/>
          <w:szCs w:val="21"/>
          <w:highlight w:val="none"/>
        </w:rPr>
        <w:t>成本、利润及税金等</w:t>
      </w:r>
      <w:r>
        <w:rPr>
          <w:rFonts w:hint="eastAsia" w:ascii="宋体" w:hAnsi="宋体" w:eastAsia="宋体" w:cs="宋体"/>
          <w:color w:val="auto"/>
          <w:sz w:val="21"/>
          <w:szCs w:val="21"/>
          <w:highlight w:val="none"/>
          <w:lang w:val="en-US" w:eastAsia="zh-CN"/>
        </w:rPr>
        <w:t>完成本项目所有工作所产生的</w:t>
      </w:r>
      <w:r>
        <w:rPr>
          <w:rFonts w:hint="eastAsia" w:ascii="宋体" w:hAnsi="宋体" w:eastAsia="宋体" w:cs="宋体"/>
          <w:color w:val="auto"/>
          <w:sz w:val="21"/>
          <w:szCs w:val="21"/>
          <w:highlight w:val="none"/>
        </w:rPr>
        <w:t>全部费用。</w:t>
      </w:r>
    </w:p>
    <w:p w14:paraId="076B814B">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.2 投标报价不按规定报价的，其投标文件按无效标处理。</w:t>
      </w:r>
    </w:p>
    <w:p w14:paraId="79647B60">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.投标有效期</w:t>
      </w:r>
    </w:p>
    <w:p w14:paraId="6BD254F2">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.1投标有效期为</w:t>
      </w:r>
      <w:r>
        <w:rPr>
          <w:rFonts w:hint="eastAsia" w:ascii="宋体" w:hAnsi="宋体" w:eastAsia="宋体" w:cs="宋体"/>
          <w:color w:val="auto"/>
          <w:sz w:val="21"/>
          <w:szCs w:val="21"/>
          <w:highlight w:val="none"/>
          <w:u w:val="single"/>
        </w:rPr>
        <w:t>60</w:t>
      </w:r>
      <w:r>
        <w:rPr>
          <w:rFonts w:hint="eastAsia" w:ascii="宋体" w:hAnsi="宋体" w:eastAsia="宋体" w:cs="宋体"/>
          <w:color w:val="auto"/>
          <w:sz w:val="21"/>
          <w:szCs w:val="21"/>
          <w:highlight w:val="none"/>
        </w:rPr>
        <w:t>日历天（从投标截止之日算起）。在此期限内，凡符合本招标文件要求的投标文件均保持有效。</w:t>
      </w:r>
    </w:p>
    <w:p w14:paraId="3EF24EAB">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.2 在特殊情况下，招标人在原定投标有效期内，可以根据需要以书面形式向投标人提出延长投标有效期的要求，对此要求投标人须以书面形式予以答复。投标人可以拒绝招标人这种要求，而不被没收投标保证金。同意延长投标有效期的投标人既不能要求也不允许修改其投标文件，但需要相应的延长投标担保的有效期，在延长的投标有效期内，本须知关于投标担保的退还与没收的规定仍然适用</w:t>
      </w:r>
      <w:r>
        <w:rPr>
          <w:rFonts w:hint="eastAsia" w:ascii="宋体" w:hAnsi="宋体" w:eastAsia="宋体" w:cs="宋体"/>
          <w:color w:val="auto"/>
          <w:sz w:val="24"/>
          <w:highlight w:val="none"/>
        </w:rPr>
        <w:t>。</w:t>
      </w:r>
    </w:p>
    <w:p w14:paraId="0A229A7F">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color w:val="auto"/>
          <w:sz w:val="28"/>
          <w:szCs w:val="28"/>
          <w:highlight w:val="none"/>
        </w:rPr>
      </w:pPr>
      <w:bookmarkStart w:id="50" w:name="_Toc27519"/>
      <w:bookmarkStart w:id="51" w:name="_Toc13407"/>
      <w:r>
        <w:rPr>
          <w:rFonts w:hint="eastAsia" w:ascii="宋体" w:hAnsi="宋体" w:eastAsia="宋体" w:cs="宋体"/>
          <w:b/>
          <w:bCs/>
          <w:color w:val="auto"/>
          <w:sz w:val="28"/>
          <w:highlight w:val="none"/>
        </w:rPr>
        <w:t>四、投标文件的递交</w:t>
      </w:r>
      <w:bookmarkEnd w:id="50"/>
      <w:bookmarkEnd w:id="51"/>
    </w:p>
    <w:p w14:paraId="3545408C">
      <w:pPr>
        <w:numPr>
          <w:ilvl w:val="0"/>
          <w:numId w:val="0"/>
        </w:numPr>
        <w:spacing w:line="440" w:lineRule="exact"/>
        <w:jc w:val="both"/>
        <w:rPr>
          <w:rFonts w:hint="eastAsia" w:ascii="宋体" w:hAnsi="Times New Roman" w:eastAsia="宋体" w:cs="Times New Roman"/>
          <w:b/>
          <w:bCs/>
          <w:color w:val="auto"/>
          <w:szCs w:val="21"/>
          <w:highlight w:val="none"/>
        </w:rPr>
      </w:pPr>
      <w:r>
        <w:rPr>
          <w:rFonts w:hint="eastAsia" w:ascii="宋体" w:hAnsi="宋体" w:cs="宋体"/>
          <w:b/>
          <w:bCs/>
          <w:color w:val="auto"/>
          <w:sz w:val="21"/>
          <w:szCs w:val="21"/>
          <w:highlight w:val="none"/>
          <w:lang w:val="en-US" w:eastAsia="zh-CN"/>
        </w:rPr>
        <w:t>22.</w:t>
      </w:r>
      <w:r>
        <w:rPr>
          <w:rFonts w:hint="eastAsia" w:ascii="宋体" w:hAnsi="Times New Roman" w:eastAsia="宋体" w:cs="Times New Roman"/>
          <w:b/>
          <w:bCs/>
          <w:color w:val="auto"/>
          <w:szCs w:val="21"/>
          <w:highlight w:val="none"/>
        </w:rPr>
        <w:t>投标文件的份数和签署</w:t>
      </w:r>
    </w:p>
    <w:p w14:paraId="0F10380A">
      <w:pPr>
        <w:spacing w:line="440" w:lineRule="exact"/>
        <w:jc w:val="left"/>
        <w:rPr>
          <w:rFonts w:hint="eastAsia" w:ascii="宋体" w:hAnsi="宋体"/>
          <w:b/>
          <w:bCs/>
          <w:color w:val="auto"/>
          <w:szCs w:val="21"/>
          <w:highlight w:val="none"/>
        </w:rPr>
      </w:pPr>
      <w:r>
        <w:rPr>
          <w:rFonts w:hint="eastAsia" w:ascii="宋体"/>
          <w:b/>
          <w:bCs/>
          <w:color w:val="auto"/>
          <w:szCs w:val="21"/>
          <w:highlight w:val="none"/>
        </w:rPr>
        <w:t>2</w:t>
      </w:r>
      <w:r>
        <w:rPr>
          <w:rFonts w:hint="eastAsia" w:ascii="宋体"/>
          <w:b/>
          <w:bCs/>
          <w:color w:val="auto"/>
          <w:szCs w:val="21"/>
          <w:highlight w:val="none"/>
          <w:lang w:val="en-US" w:eastAsia="zh-CN"/>
        </w:rPr>
        <w:t>2</w:t>
      </w:r>
      <w:r>
        <w:rPr>
          <w:rFonts w:hint="eastAsia" w:ascii="宋体"/>
          <w:b/>
          <w:bCs/>
          <w:color w:val="auto"/>
          <w:szCs w:val="21"/>
          <w:highlight w:val="none"/>
        </w:rPr>
        <w:t>.1</w:t>
      </w:r>
      <w:r>
        <w:rPr>
          <w:rFonts w:hint="eastAsia" w:ascii="宋体" w:hAnsi="宋体" w:cs="宋体"/>
          <w:color w:val="auto"/>
          <w:kern w:val="0"/>
          <w:szCs w:val="21"/>
          <w:highlight w:val="none"/>
        </w:rPr>
        <w:t>投标人中标后须递交与网上电子投标文件完全一致的纸质版投标文件，在领取中标通知书时，一并递交给招标代理机构。</w:t>
      </w:r>
    </w:p>
    <w:p w14:paraId="28A205A5">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b/>
          <w:bCs/>
          <w:color w:val="auto"/>
          <w:szCs w:val="21"/>
          <w:highlight w:val="none"/>
        </w:rPr>
        <w:t>2</w:t>
      </w:r>
      <w:r>
        <w:rPr>
          <w:rFonts w:hint="eastAsia" w:ascii="宋体"/>
          <w:b/>
          <w:bCs/>
          <w:color w:val="auto"/>
          <w:szCs w:val="21"/>
          <w:highlight w:val="none"/>
          <w:lang w:val="en-US" w:eastAsia="zh-CN"/>
        </w:rPr>
        <w:t>2</w:t>
      </w:r>
      <w:r>
        <w:rPr>
          <w:rFonts w:hint="eastAsia" w:ascii="宋体"/>
          <w:b/>
          <w:bCs/>
          <w:color w:val="auto"/>
          <w:szCs w:val="21"/>
          <w:highlight w:val="none"/>
        </w:rPr>
        <w:t xml:space="preserve">.2 </w:t>
      </w:r>
      <w:r>
        <w:rPr>
          <w:rFonts w:hint="eastAsia" w:ascii="宋体" w:hAnsi="宋体"/>
          <w:b/>
          <w:color w:val="auto"/>
          <w:szCs w:val="21"/>
          <w:highlight w:val="none"/>
        </w:rPr>
        <w:t>电子投标文件须按格式文件要求签字或盖章（电子签章），否则经评委会一致认定后, 按照无效投标处理</w:t>
      </w:r>
      <w:r>
        <w:rPr>
          <w:rFonts w:hint="eastAsia" w:ascii="宋体" w:hAnsi="宋体" w:eastAsia="宋体" w:cs="宋体"/>
          <w:color w:val="auto"/>
          <w:sz w:val="21"/>
          <w:szCs w:val="21"/>
          <w:highlight w:val="none"/>
        </w:rPr>
        <w:t>。</w:t>
      </w:r>
    </w:p>
    <w:p w14:paraId="63552288">
      <w:pPr>
        <w:spacing w:line="440" w:lineRule="exact"/>
        <w:jc w:val="left"/>
        <w:rPr>
          <w:rFonts w:hint="eastAsia" w:ascii="宋体" w:hAnsi="宋体"/>
          <w:b/>
          <w:bCs/>
          <w:color w:val="auto"/>
          <w:szCs w:val="21"/>
          <w:highlight w:val="none"/>
        </w:rPr>
      </w:pPr>
      <w:r>
        <w:rPr>
          <w:rFonts w:hint="eastAsia" w:ascii="宋体" w:hAnsi="宋体" w:cs="宋体"/>
          <w:b/>
          <w:bCs/>
          <w:color w:val="auto"/>
          <w:sz w:val="21"/>
          <w:szCs w:val="21"/>
          <w:highlight w:val="none"/>
          <w:lang w:val="en-US" w:eastAsia="zh-CN"/>
        </w:rPr>
        <w:t>23.</w:t>
      </w:r>
      <w:r>
        <w:rPr>
          <w:rFonts w:hint="eastAsia" w:ascii="宋体" w:hAnsi="宋体"/>
          <w:b/>
          <w:bCs/>
          <w:color w:val="auto"/>
          <w:szCs w:val="21"/>
          <w:highlight w:val="none"/>
        </w:rPr>
        <w:t>投标文件的</w:t>
      </w:r>
      <w:r>
        <w:rPr>
          <w:rFonts w:hint="eastAsia" w:ascii="宋体" w:hAnsi="宋体"/>
          <w:b/>
          <w:color w:val="auto"/>
          <w:szCs w:val="21"/>
          <w:highlight w:val="none"/>
        </w:rPr>
        <w:t>递</w:t>
      </w:r>
      <w:r>
        <w:rPr>
          <w:rFonts w:hint="eastAsia" w:ascii="宋体" w:hAnsi="宋体"/>
          <w:b/>
          <w:bCs/>
          <w:color w:val="auto"/>
          <w:szCs w:val="21"/>
          <w:highlight w:val="none"/>
        </w:rPr>
        <w:t>交</w:t>
      </w:r>
    </w:p>
    <w:p w14:paraId="7F8AEA89">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b/>
          <w:color w:val="auto"/>
          <w:szCs w:val="21"/>
          <w:highlight w:val="none"/>
        </w:rPr>
        <w:t>2</w:t>
      </w:r>
      <w:r>
        <w:rPr>
          <w:rFonts w:hint="eastAsia" w:ascii="宋体" w:hAnsi="宋体"/>
          <w:b/>
          <w:color w:val="auto"/>
          <w:szCs w:val="21"/>
          <w:highlight w:val="none"/>
          <w:lang w:val="en-US" w:eastAsia="zh-CN"/>
        </w:rPr>
        <w:t>3</w:t>
      </w:r>
      <w:r>
        <w:rPr>
          <w:rFonts w:hint="eastAsia" w:ascii="宋体" w:hAnsi="宋体"/>
          <w:b/>
          <w:color w:val="auto"/>
          <w:szCs w:val="21"/>
          <w:highlight w:val="none"/>
        </w:rPr>
        <w:t>.1 投标人应当在投标截止时间前完成投标文件的网上递交，并可以补充、修改或者撤回投标文件。投标截止时间前未完成投标文件网上递交的，视为撤回投标文件。未按规定加密或投标截止时间后通过</w:t>
      </w:r>
      <w:r>
        <w:rPr>
          <w:rFonts w:hint="eastAsia" w:ascii="宋体" w:hAnsi="宋体"/>
          <w:b/>
          <w:color w:val="auto"/>
          <w:szCs w:val="21"/>
          <w:highlight w:val="none"/>
          <w:lang w:val="en-US" w:eastAsia="zh-CN"/>
        </w:rPr>
        <w:t>新点电子交易平台</w:t>
      </w:r>
      <w:r>
        <w:rPr>
          <w:rFonts w:hint="eastAsia" w:ascii="宋体" w:hAnsi="宋体"/>
          <w:b/>
          <w:color w:val="auto"/>
          <w:szCs w:val="21"/>
          <w:highlight w:val="none"/>
        </w:rPr>
        <w:t>递交电子投标文件的，电子交易系统应当拒收，投标无效</w:t>
      </w:r>
      <w:r>
        <w:rPr>
          <w:rFonts w:hint="eastAsia" w:ascii="宋体" w:hAnsi="宋体" w:eastAsia="宋体" w:cs="宋体"/>
          <w:color w:val="auto"/>
          <w:sz w:val="21"/>
          <w:szCs w:val="21"/>
          <w:highlight w:val="none"/>
        </w:rPr>
        <w:t>。</w:t>
      </w:r>
    </w:p>
    <w:p w14:paraId="6948FF47">
      <w:pPr>
        <w:spacing w:line="440" w:lineRule="exact"/>
        <w:rPr>
          <w:rFonts w:hint="eastAsia" w:ascii="宋体"/>
          <w:b/>
          <w:color w:val="auto"/>
          <w:szCs w:val="21"/>
          <w:highlight w:val="none"/>
        </w:rPr>
      </w:pPr>
      <w:r>
        <w:rPr>
          <w:rFonts w:hint="eastAsia" w:ascii="宋体"/>
          <w:b/>
          <w:color w:val="auto"/>
          <w:szCs w:val="21"/>
          <w:highlight w:val="none"/>
        </w:rPr>
        <w:t>2</w:t>
      </w:r>
      <w:r>
        <w:rPr>
          <w:rFonts w:hint="eastAsia" w:ascii="宋体"/>
          <w:b/>
          <w:color w:val="auto"/>
          <w:szCs w:val="21"/>
          <w:highlight w:val="none"/>
          <w:lang w:val="en-US" w:eastAsia="zh-CN"/>
        </w:rPr>
        <w:t>4</w:t>
      </w:r>
      <w:r>
        <w:rPr>
          <w:rFonts w:hint="eastAsia" w:ascii="宋体"/>
          <w:b/>
          <w:color w:val="auto"/>
          <w:szCs w:val="21"/>
          <w:highlight w:val="none"/>
        </w:rPr>
        <w:t>．投标文件的修改与撤回</w:t>
      </w:r>
    </w:p>
    <w:p w14:paraId="1800A27E">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8"/>
          <w:szCs w:val="28"/>
          <w:highlight w:val="none"/>
          <w:lang w:eastAsia="zh-CN"/>
        </w:rPr>
      </w:pPr>
      <w:r>
        <w:rPr>
          <w:rFonts w:hint="eastAsia" w:ascii="宋体" w:hAnsi="宋体"/>
          <w:color w:val="auto"/>
          <w:szCs w:val="21"/>
          <w:highlight w:val="none"/>
        </w:rPr>
        <w:t>2</w:t>
      </w:r>
      <w:r>
        <w:rPr>
          <w:rFonts w:hint="eastAsia" w:ascii="宋体" w:hAnsi="宋体"/>
          <w:color w:val="auto"/>
          <w:szCs w:val="21"/>
          <w:highlight w:val="none"/>
          <w:lang w:val="en-US" w:eastAsia="zh-CN"/>
        </w:rPr>
        <w:t>4</w:t>
      </w:r>
      <w:r>
        <w:rPr>
          <w:rFonts w:hint="eastAsia" w:ascii="宋体" w:hAnsi="宋体"/>
          <w:color w:val="auto"/>
          <w:szCs w:val="21"/>
          <w:highlight w:val="none"/>
        </w:rPr>
        <w:t xml:space="preserve">.1 </w:t>
      </w:r>
      <w:r>
        <w:rPr>
          <w:rFonts w:hint="eastAsia" w:ascii="宋体" w:hAnsi="宋体" w:cs="宋体"/>
          <w:color w:val="auto"/>
          <w:szCs w:val="21"/>
          <w:highlight w:val="none"/>
        </w:rPr>
        <w:t>在“招标公告”规定的投标截止时间前，投标人可以自行从网上</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撤回已递交的投标文件，并可修改后重新加密上传，开标时以投标截止时间前投标人最终上传的投标文件为准</w:t>
      </w:r>
      <w:r>
        <w:rPr>
          <w:rFonts w:hint="eastAsia" w:ascii="宋体" w:hAnsi="宋体" w:cs="宋体"/>
          <w:color w:val="auto"/>
          <w:szCs w:val="21"/>
          <w:highlight w:val="none"/>
          <w:lang w:eastAsia="zh-CN"/>
        </w:rPr>
        <w:t>。</w:t>
      </w:r>
    </w:p>
    <w:p w14:paraId="7500E7D0">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b/>
          <w:bCs/>
          <w:color w:val="auto"/>
          <w:sz w:val="28"/>
          <w:highlight w:val="none"/>
        </w:rPr>
      </w:pPr>
      <w:bookmarkStart w:id="52" w:name="_Toc24005"/>
      <w:bookmarkStart w:id="53" w:name="_Toc18173"/>
      <w:r>
        <w:rPr>
          <w:rFonts w:hint="eastAsia" w:ascii="宋体" w:hAnsi="宋体" w:eastAsia="宋体" w:cs="宋体"/>
          <w:b/>
          <w:bCs/>
          <w:color w:val="auto"/>
          <w:sz w:val="28"/>
          <w:highlight w:val="none"/>
        </w:rPr>
        <w:t>五、开标、评标和定标</w:t>
      </w:r>
      <w:bookmarkEnd w:id="52"/>
      <w:bookmarkEnd w:id="53"/>
    </w:p>
    <w:p w14:paraId="066918F9">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开标</w:t>
      </w:r>
    </w:p>
    <w:p w14:paraId="4366EFD4">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 开标的时间和地点</w:t>
      </w:r>
    </w:p>
    <w:p w14:paraId="5776DF3D">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.1.1</w:t>
      </w:r>
      <w:r>
        <w:rPr>
          <w:rFonts w:hint="eastAsia" w:ascii="宋体" w:hAnsi="宋体" w:cs="宋体"/>
          <w:color w:val="auto"/>
          <w:szCs w:val="21"/>
          <w:highlight w:val="none"/>
        </w:rPr>
        <w:t>招标人在“招标公告”规定的投标截止时间前（开标时间）和地点</w:t>
      </w:r>
      <w:r>
        <w:rPr>
          <w:color w:val="auto"/>
          <w:highlight w:val="none"/>
        </w:rPr>
        <w:t>通过</w:t>
      </w:r>
      <w:r>
        <w:rPr>
          <w:rFonts w:hint="eastAsia"/>
          <w:color w:val="auto"/>
          <w:highlight w:val="none"/>
          <w:lang w:val="en-US" w:eastAsia="zh-CN"/>
        </w:rPr>
        <w:t>新点电子交易平台</w:t>
      </w:r>
      <w:r>
        <w:rPr>
          <w:color w:val="auto"/>
          <w:highlight w:val="none"/>
        </w:rPr>
        <w:t>公开开标</w:t>
      </w:r>
      <w:r>
        <w:rPr>
          <w:rFonts w:hint="eastAsia" w:ascii="宋体" w:hAnsi="宋体" w:eastAsia="宋体" w:cs="宋体"/>
          <w:color w:val="auto"/>
          <w:sz w:val="21"/>
          <w:szCs w:val="21"/>
          <w:highlight w:val="none"/>
        </w:rPr>
        <w:t>。</w:t>
      </w:r>
    </w:p>
    <w:p w14:paraId="1CEDA917">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.2 参与开标的相关部门：招标人等。</w:t>
      </w:r>
    </w:p>
    <w:p w14:paraId="1AB92E7B">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开标程序</w:t>
      </w:r>
    </w:p>
    <w:p w14:paraId="52832887">
      <w:pPr>
        <w:wordWrap w:val="0"/>
        <w:spacing w:line="440" w:lineRule="exact"/>
        <w:ind w:right="-155" w:rightChars="-74" w:firstLine="210" w:firstLineChars="100"/>
        <w:jc w:val="left"/>
        <w:rPr>
          <w:rFonts w:hint="eastAsia" w:ascii="宋体"/>
          <w:color w:val="auto"/>
          <w:szCs w:val="21"/>
          <w:highlight w:val="none"/>
        </w:rPr>
      </w:pPr>
      <w:r>
        <w:rPr>
          <w:rFonts w:hint="eastAsia" w:ascii="宋体"/>
          <w:color w:val="auto"/>
          <w:szCs w:val="21"/>
          <w:highlight w:val="none"/>
          <w:lang w:val="en-US" w:eastAsia="zh-CN"/>
        </w:rPr>
        <w:t xml:space="preserve">开标会议由采购代理机构主持。 </w:t>
      </w:r>
    </w:p>
    <w:p w14:paraId="04855B42">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（1）公布在投标截止时间前通过新点电子交易平台完成投标文件递交的投标人名称；</w:t>
      </w:r>
    </w:p>
    <w:p w14:paraId="7F3D1C47">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（2）投标人在投标截止时间后在投标人须知前附表规定的解密时间内完成投标文件的解密工作；</w:t>
      </w:r>
    </w:p>
    <w:p w14:paraId="160BAA64">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（3）招标人或招标代理机构完成解密工作，导入并读取所有成功解密的投标文件；</w:t>
      </w:r>
    </w:p>
    <w:p w14:paraId="223FEB96">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（4）按投标人须知前附表规定公布投标人名称、投标报价等内容；</w:t>
      </w:r>
    </w:p>
    <w:p w14:paraId="6CDC20D3">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 xml:space="preserve">（5）开标结束。 </w:t>
      </w:r>
    </w:p>
    <w:p w14:paraId="10B86A2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25.4</w:t>
      </w:r>
      <w:r>
        <w:rPr>
          <w:rFonts w:hint="eastAsia" w:ascii="宋体" w:hAnsi="宋体" w:eastAsia="宋体" w:cs="宋体"/>
          <w:color w:val="auto"/>
          <w:sz w:val="21"/>
          <w:szCs w:val="21"/>
          <w:highlight w:val="none"/>
        </w:rPr>
        <w:t>开标异议</w:t>
      </w:r>
    </w:p>
    <w:p w14:paraId="742AB9AD">
      <w:pPr>
        <w:pStyle w:val="2"/>
        <w:rPr>
          <w:rFonts w:hint="default" w:ascii="宋体" w:hAnsi="Times New Roman" w:eastAsia="宋体" w:cs="Times New Roman"/>
          <w:color w:val="auto"/>
          <w:kern w:val="2"/>
          <w:sz w:val="21"/>
          <w:szCs w:val="21"/>
          <w:highlight w:val="none"/>
          <w:lang w:val="en-US" w:eastAsia="zh-CN" w:bidi="ar-SA"/>
        </w:rPr>
      </w:pPr>
      <w:r>
        <w:rPr>
          <w:rFonts w:hint="eastAsia" w:ascii="宋体" w:hAnsi="Times New Roman" w:eastAsia="宋体" w:cs="Times New Roman"/>
          <w:color w:val="auto"/>
          <w:kern w:val="2"/>
          <w:sz w:val="21"/>
          <w:szCs w:val="21"/>
          <w:highlight w:val="none"/>
          <w:lang w:val="en-US" w:eastAsia="zh-CN" w:bidi="ar-SA"/>
        </w:rPr>
        <w:t>投标人对开标有异议的，应当在开标过程中提出，招标人在开标过程中作出答复，并制作记录。异议与答复应通过新点电子交易平台进行。</w:t>
      </w:r>
    </w:p>
    <w:p w14:paraId="5F39FAB5">
      <w:pPr>
        <w:spacing w:line="440" w:lineRule="exact"/>
        <w:jc w:val="left"/>
        <w:rPr>
          <w:rFonts w:hint="eastAsia" w:ascii="宋体"/>
          <w:b/>
          <w:color w:val="auto"/>
          <w:szCs w:val="21"/>
          <w:highlight w:val="none"/>
        </w:rPr>
      </w:pPr>
      <w:r>
        <w:rPr>
          <w:rFonts w:hint="eastAsia" w:ascii="宋体" w:hAnsi="宋体" w:cs="宋体"/>
          <w:color w:val="auto"/>
          <w:sz w:val="21"/>
          <w:szCs w:val="21"/>
          <w:highlight w:val="none"/>
          <w:lang w:val="en-US" w:eastAsia="zh-CN"/>
        </w:rPr>
        <w:t>26.</w:t>
      </w:r>
      <w:r>
        <w:rPr>
          <w:rFonts w:hint="eastAsia" w:ascii="宋体"/>
          <w:b/>
          <w:color w:val="auto"/>
          <w:szCs w:val="21"/>
          <w:highlight w:val="none"/>
          <w:lang w:val="en-US" w:eastAsia="zh-CN"/>
        </w:rPr>
        <w:t xml:space="preserve">评标委员会 </w:t>
      </w:r>
    </w:p>
    <w:p w14:paraId="614AC1B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 评标委员会的组成</w:t>
      </w:r>
    </w:p>
    <w:p w14:paraId="34BBFEB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.1.1评标由</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人依法组建的评标委员会负责。</w:t>
      </w:r>
    </w:p>
    <w:p w14:paraId="6BFAB9B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.1.2评标委员会负责人依法推荐或确定。</w:t>
      </w:r>
    </w:p>
    <w:p w14:paraId="516CBD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.2 评标委员会成员名单在中标结果确定前应当保密</w:t>
      </w:r>
      <w:r>
        <w:rPr>
          <w:rFonts w:hint="eastAsia" w:ascii="宋体" w:hAnsi="宋体" w:eastAsia="宋体" w:cs="宋体"/>
          <w:color w:val="auto"/>
          <w:szCs w:val="21"/>
          <w:highlight w:val="none"/>
          <w:lang w:eastAsia="zh-CN"/>
        </w:rPr>
        <w:t>。</w:t>
      </w:r>
    </w:p>
    <w:p w14:paraId="34B9A83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 xml:space="preserve">3 </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授权评标委员会对投标人资格进行审查。</w:t>
      </w:r>
    </w:p>
    <w:p w14:paraId="694DE14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.4 评标委员会应当向</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提出书面评标报告，并抄送有关行政监督部门。评标报告应当如实记载以下内容：</w:t>
      </w:r>
    </w:p>
    <w:p w14:paraId="362811A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（1）基本情况和数据表；</w:t>
      </w:r>
    </w:p>
    <w:p w14:paraId="1D23577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（2）评标委员会成员名单；</w:t>
      </w:r>
    </w:p>
    <w:p w14:paraId="31A7EEF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（3）开标记录；</w:t>
      </w:r>
    </w:p>
    <w:p w14:paraId="0D99B7E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（4）符合要求的投标人一览表；</w:t>
      </w:r>
    </w:p>
    <w:p w14:paraId="0F8B767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（5）无效情况说明；</w:t>
      </w:r>
    </w:p>
    <w:p w14:paraId="4FC8D2B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（6）评标标准、评标方法或者评标因素一览表；</w:t>
      </w:r>
    </w:p>
    <w:p w14:paraId="792874D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（7）经评审的价格或者评分比较一览表；</w:t>
      </w:r>
    </w:p>
    <w:p w14:paraId="33EDF46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（8）投标人串标、围标等违规行为的确认报告；</w:t>
      </w:r>
    </w:p>
    <w:p w14:paraId="378AB27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（9）经评审的投标人排序；</w:t>
      </w:r>
    </w:p>
    <w:p w14:paraId="4B027C5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（10）推荐的中标候选人名单；</w:t>
      </w:r>
    </w:p>
    <w:p w14:paraId="59D25F2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（11）澄清、说明、补正事项纪要。</w:t>
      </w:r>
    </w:p>
    <w:p w14:paraId="4331CA60">
      <w:pPr>
        <w:spacing w:line="440" w:lineRule="exact"/>
        <w:ind w:firstLine="205" w:firstLineChars="98"/>
        <w:jc w:val="left"/>
        <w:rPr>
          <w:rFonts w:hint="eastAsia" w:ascii="宋体"/>
          <w:b w:val="0"/>
          <w:bCs/>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6.5</w:t>
      </w:r>
      <w:r>
        <w:rPr>
          <w:rFonts w:hint="eastAsia" w:ascii="宋体" w:hAnsi="宋体" w:eastAsia="宋体" w:cs="宋体"/>
          <w:color w:val="auto"/>
          <w:szCs w:val="21"/>
          <w:highlight w:val="none"/>
        </w:rPr>
        <w:t>评标委员会应自觉接受有关监督管理部门的现场监督，评标委员会成员与评标活动有关的工作人员和监督人员不得向他人透露对投标文件的评审和比较、中标候选人的推荐以及与评标有关的其他情况。投标文件及与评标有关的资料应当保密</w:t>
      </w:r>
      <w:r>
        <w:rPr>
          <w:rFonts w:hint="eastAsia" w:ascii="宋体"/>
          <w:b w:val="0"/>
          <w:bCs/>
          <w:color w:val="auto"/>
          <w:szCs w:val="21"/>
          <w:highlight w:val="none"/>
          <w:lang w:val="en-US" w:eastAsia="zh-CN"/>
        </w:rPr>
        <w:t xml:space="preserve">。 </w:t>
      </w:r>
    </w:p>
    <w:p w14:paraId="256E6BE5">
      <w:pPr>
        <w:spacing w:line="440" w:lineRule="exact"/>
        <w:jc w:val="left"/>
        <w:rPr>
          <w:rFonts w:hint="eastAsia" w:ascii="宋体"/>
          <w:b/>
          <w:color w:val="auto"/>
          <w:szCs w:val="21"/>
          <w:highlight w:val="none"/>
        </w:rPr>
      </w:pPr>
      <w:r>
        <w:rPr>
          <w:rFonts w:hint="eastAsia" w:ascii="宋体"/>
          <w:b/>
          <w:color w:val="auto"/>
          <w:szCs w:val="21"/>
          <w:highlight w:val="none"/>
          <w:lang w:val="en-US" w:eastAsia="zh-CN"/>
        </w:rPr>
        <w:t xml:space="preserve">27. 评标 </w:t>
      </w:r>
    </w:p>
    <w:p w14:paraId="3113249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  评标准备工作</w:t>
      </w:r>
    </w:p>
    <w:p w14:paraId="7BDC760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27.1.1阅读由招标人或招标代理单位编写的招标项目情况的说明材料；</w:t>
      </w:r>
    </w:p>
    <w:p w14:paraId="001C443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27.1.2阅读、研究招标文件和相关评标资料，获取评标所需要的重要信息和数据；</w:t>
      </w:r>
    </w:p>
    <w:p w14:paraId="299648D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27.1.3熟悉招标文件规定的评标方法及在评标过程中需要考虑的相关因素；</w:t>
      </w:r>
    </w:p>
    <w:p w14:paraId="169461A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27.1.4核对评标工作用表。</w:t>
      </w:r>
    </w:p>
    <w:p w14:paraId="6D87DD6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27.2  评标办法</w:t>
      </w:r>
    </w:p>
    <w:p w14:paraId="4ABF6CE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27.2.1评标委员会按照第二章“评标办法”规定的方法、评审因素、标准和程序对投标文件进行评审。第二章“评标办法”没有规定的方法、评审因素和标准，不作为评标依据。</w:t>
      </w:r>
    </w:p>
    <w:p w14:paraId="5E75C0D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27.3评标原则：</w:t>
      </w:r>
    </w:p>
    <w:p w14:paraId="27CFAFC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遵循公平、公正、科学和择优的原则。</w:t>
      </w:r>
    </w:p>
    <w:p w14:paraId="4E4A2BF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 投标文件的澄清</w:t>
      </w:r>
    </w:p>
    <w:p w14:paraId="2A215DB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27.4.1 在评标过程中，评标委员会认为需要，可要求投标人对投标文件中的有关问题进行澄清或提供补充说明及有关资料，投标人应做出答复，答复将视为投标文件的组成部分，答复中不得变更价格、服务期、自报质量等实质性内容。</w:t>
      </w:r>
      <w:r>
        <w:rPr>
          <w:rFonts w:hint="eastAsia" w:ascii="宋体" w:hAnsi="宋体" w:eastAsia="宋体" w:cs="宋体"/>
          <w:b/>
          <w:bCs/>
          <w:color w:val="auto"/>
          <w:szCs w:val="21"/>
          <w:highlight w:val="none"/>
          <w:lang w:val="en-US" w:eastAsia="zh-CN"/>
        </w:rPr>
        <w:t>本项目采用远程开标，具体操作方法详见服务指南&gt;交易须知&gt;开标大厅远程解密、质疑(异议)及回复以及评标过程中询标流程操作手册。</w:t>
      </w:r>
    </w:p>
    <w:p w14:paraId="196EDBA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27.4.2投标截止时间后，投标人对投标报价或其它实质性内容修正的函件和增加的任何优惠条件，一律不得作为评标、定标的依据。</w:t>
      </w:r>
    </w:p>
    <w:p w14:paraId="379380B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27.4.3 招标人不接受投标人主动提出的澄清。</w:t>
      </w:r>
    </w:p>
    <w:p w14:paraId="06F0B09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27.5评审意见分歧的处理办法</w:t>
      </w:r>
    </w:p>
    <w:p w14:paraId="69F124A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（1）评标委员会应当对投标人提供的报告、证明材料及详细说明认真研究。对存在意见分歧的，可采用投票方式表决决定（按多数评委意见为准）；</w:t>
      </w:r>
    </w:p>
    <w:p w14:paraId="6DE5331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（2）招标投标当事人对评标结果提出质疑或者投诉，公共资源交易监督机构认为需要重新进行评标的，评标委员会成员应当按照公共资源交易监督机构要求重新评标。</w:t>
      </w:r>
    </w:p>
    <w:p w14:paraId="630F06F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27.6评标报告的签署</w:t>
      </w:r>
    </w:p>
    <w:p w14:paraId="2A2F608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27.6.1 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13A9682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27.7评标过程的保密</w:t>
      </w:r>
    </w:p>
    <w:p w14:paraId="4E822EA3">
      <w:pPr>
        <w:spacing w:line="440" w:lineRule="exact"/>
        <w:ind w:firstLine="205" w:firstLineChars="98"/>
        <w:jc w:val="left"/>
        <w:rPr>
          <w:rFonts w:hint="eastAsia" w:ascii="宋体" w:hAnsi="Times New Roman" w:eastAsia="宋体" w:cs="Times New Roman"/>
          <w:b w:val="0"/>
          <w:bCs/>
          <w:color w:val="auto"/>
          <w:szCs w:val="21"/>
          <w:highlight w:val="none"/>
          <w:lang w:val="en-US" w:eastAsia="zh-CN"/>
        </w:rPr>
      </w:pPr>
      <w:r>
        <w:rPr>
          <w:rFonts w:hint="eastAsia" w:ascii="宋体" w:hAnsi="宋体" w:eastAsia="宋体" w:cs="宋体"/>
          <w:color w:val="auto"/>
          <w:szCs w:val="21"/>
          <w:highlight w:val="none"/>
          <w:lang w:val="en-US" w:eastAsia="zh-CN"/>
        </w:rPr>
        <w:t> 评标委员会成员和与评标活动有关的工作人员不得透露对投标文件的评审和比较、中标候选人的推荐情况以及与评标有关的其他情况</w:t>
      </w:r>
      <w:r>
        <w:rPr>
          <w:rFonts w:hint="eastAsia" w:ascii="宋体" w:hAnsi="Times New Roman" w:eastAsia="宋体" w:cs="Times New Roman"/>
          <w:b w:val="0"/>
          <w:bCs/>
          <w:color w:val="auto"/>
          <w:szCs w:val="21"/>
          <w:highlight w:val="none"/>
          <w:lang w:val="en-US" w:eastAsia="zh-CN"/>
        </w:rPr>
        <w:t xml:space="preserve">。 </w:t>
      </w:r>
    </w:p>
    <w:p w14:paraId="67425CE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27.8评标结果公告</w:t>
      </w:r>
    </w:p>
    <w:p w14:paraId="002C3227">
      <w:pPr>
        <w:spacing w:line="440" w:lineRule="exact"/>
        <w:ind w:firstLine="422" w:firstLineChars="200"/>
        <w:jc w:val="left"/>
        <w:rPr>
          <w:rFonts w:hint="eastAsia" w:ascii="宋体" w:hAnsi="Times New Roman" w:eastAsia="宋体" w:cs="Times New Roman"/>
          <w:b w:val="0"/>
          <w:bCs/>
          <w:color w:val="auto"/>
          <w:szCs w:val="21"/>
          <w:highlight w:val="none"/>
          <w:lang w:val="en-US" w:eastAsia="zh-CN"/>
        </w:rPr>
      </w:pPr>
      <w:r>
        <w:rPr>
          <w:rFonts w:hint="eastAsia" w:ascii="宋体" w:hAnsi="宋体" w:eastAsia="宋体" w:cs="宋体"/>
          <w:b/>
          <w:bCs/>
          <w:color w:val="auto"/>
          <w:szCs w:val="21"/>
          <w:highlight w:val="none"/>
          <w:lang w:val="en-US" w:eastAsia="zh-CN"/>
        </w:rPr>
        <w:t>招标人应将中标人的情况在滁州市重点工程建设管理处（http://zdc.chuzhou.gov.cn/）</w:t>
      </w:r>
      <w:r>
        <w:rPr>
          <w:rFonts w:hint="eastAsia" w:ascii="宋体" w:hAnsi="宋体" w:cs="宋体"/>
          <w:b/>
          <w:bCs/>
          <w:color w:val="auto"/>
          <w:szCs w:val="21"/>
          <w:highlight w:val="none"/>
          <w:lang w:val="en-US" w:eastAsia="zh-CN"/>
        </w:rPr>
        <w:t>、</w:t>
      </w:r>
      <w:r>
        <w:rPr>
          <w:rFonts w:hint="eastAsia" w:ascii="宋体" w:hAnsi="宋体" w:eastAsia="宋体" w:cs="宋体"/>
          <w:b/>
          <w:bCs/>
          <w:color w:val="auto"/>
          <w:szCs w:val="21"/>
          <w:highlight w:val="none"/>
          <w:lang w:val="en-US" w:eastAsia="zh-CN"/>
        </w:rPr>
        <w:t>滁州市城投工程咨询管理有限公司（https://www.czctgczx.com/）等网站上予以公告，公告期为3日</w:t>
      </w:r>
      <w:r>
        <w:rPr>
          <w:rFonts w:hint="eastAsia" w:ascii="宋体" w:hAnsi="Times New Roman" w:eastAsia="宋体" w:cs="Times New Roman"/>
          <w:b w:val="0"/>
          <w:bCs/>
          <w:color w:val="auto"/>
          <w:szCs w:val="21"/>
          <w:highlight w:val="none"/>
          <w:lang w:val="en-US" w:eastAsia="zh-CN"/>
        </w:rPr>
        <w:t xml:space="preserve">。 </w:t>
      </w:r>
    </w:p>
    <w:p w14:paraId="7B732A4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val="en-US" w:eastAsia="zh-CN"/>
        </w:rPr>
        <w:t>8</w:t>
      </w:r>
      <w:r>
        <w:rPr>
          <w:rFonts w:hint="eastAsia" w:ascii="宋体" w:hAnsi="宋体" w:eastAsia="宋体" w:cs="宋体"/>
          <w:b/>
          <w:color w:val="auto"/>
          <w:szCs w:val="21"/>
          <w:highlight w:val="none"/>
        </w:rPr>
        <w:t>. 定标</w:t>
      </w:r>
    </w:p>
    <w:p w14:paraId="7CBC244B">
      <w:pPr>
        <w:pStyle w:val="1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 中标人的确定</w:t>
      </w:r>
    </w:p>
    <w:p w14:paraId="312012EC">
      <w:pPr>
        <w:pStyle w:val="1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.1.1除投标人须知前附表规定评标委员会直接确定中标人外，</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人依据评标委员会推荐的中标候选人确定中标人，评标委员会推荐中标候选人的人数见投标人须知前附表。</w:t>
      </w:r>
    </w:p>
    <w:p w14:paraId="7A869D92">
      <w:pPr>
        <w:pStyle w:val="18"/>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28</w:t>
      </w:r>
      <w:r>
        <w:rPr>
          <w:rFonts w:hint="eastAsia" w:ascii="宋体" w:hAnsi="宋体" w:eastAsia="宋体" w:cs="宋体"/>
          <w:color w:val="auto"/>
          <w:szCs w:val="21"/>
          <w:highlight w:val="none"/>
        </w:rPr>
        <w:t>.1.2中标人确定后，</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应将中标信息在</w:t>
      </w:r>
      <w:r>
        <w:rPr>
          <w:rFonts w:hint="eastAsia" w:ascii="宋体" w:hAnsi="宋体" w:eastAsia="宋体" w:cs="宋体"/>
          <w:color w:val="auto"/>
          <w:szCs w:val="21"/>
          <w:highlight w:val="none"/>
          <w:lang w:val="en-US" w:eastAsia="zh-CN"/>
        </w:rPr>
        <w:t>滁州市重点工程建设管理处（http://zdc.chuzhou.gov.cn/）</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滁州市城投工程咨询管理有限公司（https://www.czctgczx.com/）等</w:t>
      </w:r>
      <w:r>
        <w:rPr>
          <w:rFonts w:hint="eastAsia" w:ascii="宋体" w:hAnsi="宋体" w:eastAsia="宋体" w:cs="宋体"/>
          <w:color w:val="auto"/>
          <w:szCs w:val="21"/>
          <w:highlight w:val="none"/>
        </w:rPr>
        <w:t>网站上公告。</w:t>
      </w:r>
    </w:p>
    <w:p w14:paraId="5604CD8A">
      <w:pPr>
        <w:pStyle w:val="1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 中标通知书</w:t>
      </w:r>
    </w:p>
    <w:p w14:paraId="240A53A8">
      <w:pPr>
        <w:pStyle w:val="1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人或</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代理机构应在中标人确定之日起2个工作日内，向中标人发出中标通知书。</w:t>
      </w:r>
    </w:p>
    <w:p w14:paraId="6292799B">
      <w:pPr>
        <w:pStyle w:val="1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.2.2中标通知书须加盖</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代理机构公章后，方可发出。</w:t>
      </w:r>
    </w:p>
    <w:p w14:paraId="13613C4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29</w:t>
      </w:r>
      <w:r>
        <w:rPr>
          <w:rFonts w:hint="eastAsia" w:ascii="宋体" w:hAnsi="宋体" w:eastAsia="宋体" w:cs="宋体"/>
          <w:b/>
          <w:color w:val="auto"/>
          <w:szCs w:val="21"/>
          <w:highlight w:val="none"/>
        </w:rPr>
        <w:t>. 开评标异常情况处理</w:t>
      </w:r>
    </w:p>
    <w:p w14:paraId="5C9BE4A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lang w:val="en-US" w:eastAsia="zh-CN"/>
        </w:rPr>
        <w:t>29</w:t>
      </w:r>
      <w:r>
        <w:rPr>
          <w:rFonts w:hint="eastAsia" w:ascii="宋体" w:hAnsi="宋体" w:eastAsia="宋体" w:cs="宋体"/>
          <w:color w:val="auto"/>
          <w:kern w:val="10"/>
          <w:szCs w:val="21"/>
          <w:highlight w:val="none"/>
        </w:rPr>
        <w:t xml:space="preserve">.1重新招标 </w:t>
      </w:r>
    </w:p>
    <w:p w14:paraId="446F54D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有下列情形之一的，</w:t>
      </w:r>
      <w:r>
        <w:rPr>
          <w:rFonts w:hint="eastAsia" w:ascii="宋体" w:hAnsi="宋体" w:eastAsia="宋体" w:cs="宋体"/>
          <w:color w:val="auto"/>
          <w:kern w:val="10"/>
          <w:szCs w:val="21"/>
          <w:highlight w:val="none"/>
          <w:lang w:eastAsia="zh-CN"/>
        </w:rPr>
        <w:t>招标人</w:t>
      </w:r>
      <w:r>
        <w:rPr>
          <w:rFonts w:hint="eastAsia" w:ascii="宋体" w:hAnsi="宋体" w:eastAsia="宋体" w:cs="宋体"/>
          <w:color w:val="auto"/>
          <w:kern w:val="10"/>
          <w:szCs w:val="21"/>
          <w:highlight w:val="none"/>
        </w:rPr>
        <w:t>将重新招标：</w:t>
      </w:r>
    </w:p>
    <w:p w14:paraId="3E17D152">
      <w:pPr>
        <w:adjustRightInd w:val="0"/>
        <w:snapToGrid w:val="0"/>
        <w:spacing w:line="460" w:lineRule="exact"/>
        <w:ind w:firstLine="420" w:firstLineChars="200"/>
        <w:rPr>
          <w:rFonts w:hint="eastAsia" w:ascii="宋体" w:hAnsi="宋体" w:eastAsia="宋体" w:cs="宋体"/>
          <w:color w:val="auto"/>
          <w:kern w:val="10"/>
          <w:szCs w:val="21"/>
          <w:highlight w:val="none"/>
          <w:lang w:eastAsia="zh-CN"/>
        </w:rPr>
      </w:pPr>
      <w:r>
        <w:rPr>
          <w:rFonts w:hint="eastAsia" w:ascii="宋体" w:hAnsi="宋体" w:eastAsia="宋体" w:cs="宋体"/>
          <w:color w:val="auto"/>
          <w:kern w:val="10"/>
          <w:szCs w:val="21"/>
          <w:highlight w:val="none"/>
        </w:rPr>
        <w:t xml:space="preserve">(1)投标截止时间止，投标人少于三个的； </w:t>
      </w:r>
      <w:r>
        <w:rPr>
          <w:rFonts w:hint="eastAsia" w:ascii="宋体" w:hAnsi="宋体" w:cs="宋体"/>
          <w:color w:val="auto"/>
          <w:kern w:val="10"/>
          <w:szCs w:val="21"/>
          <w:highlight w:val="none"/>
          <w:lang w:eastAsia="zh-CN"/>
        </w:rPr>
        <w:t>（</w:t>
      </w:r>
      <w:r>
        <w:rPr>
          <w:rFonts w:hint="eastAsia" w:ascii="宋体" w:hAnsi="宋体" w:eastAsia="宋体" w:cs="宋体"/>
          <w:color w:val="auto"/>
          <w:kern w:val="10"/>
          <w:szCs w:val="21"/>
          <w:highlight w:val="none"/>
        </w:rPr>
        <w:t>变更采购方式</w:t>
      </w:r>
      <w:r>
        <w:rPr>
          <w:rFonts w:hint="eastAsia" w:ascii="宋体" w:hAnsi="宋体" w:cs="宋体"/>
          <w:color w:val="auto"/>
          <w:kern w:val="10"/>
          <w:szCs w:val="21"/>
          <w:highlight w:val="none"/>
          <w:lang w:val="en-US" w:eastAsia="zh-CN"/>
        </w:rPr>
        <w:t>除外</w:t>
      </w:r>
      <w:r>
        <w:rPr>
          <w:rFonts w:hint="eastAsia" w:ascii="宋体" w:hAnsi="宋体" w:cs="宋体"/>
          <w:color w:val="auto"/>
          <w:kern w:val="10"/>
          <w:szCs w:val="21"/>
          <w:highlight w:val="none"/>
          <w:lang w:eastAsia="zh-CN"/>
        </w:rPr>
        <w:t>）</w:t>
      </w:r>
    </w:p>
    <w:p w14:paraId="556D50B6">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(2)经评标委员会评审后否决所有投标的；</w:t>
      </w:r>
    </w:p>
    <w:p w14:paraId="750F8A2C">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(3)出现影响采购公正的违法、违规行为的；</w:t>
      </w:r>
    </w:p>
    <w:p w14:paraId="02A4A144">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(4)投标人的报价均脱离实际且无充分证据的；</w:t>
      </w:r>
    </w:p>
    <w:p w14:paraId="4C565AB0">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(5)因重大变故，采购任务取消的。</w:t>
      </w:r>
    </w:p>
    <w:p w14:paraId="44A10C6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lang w:val="en-US" w:eastAsia="zh-CN"/>
        </w:rPr>
        <w:t>29</w:t>
      </w:r>
      <w:r>
        <w:rPr>
          <w:rFonts w:hint="eastAsia" w:ascii="宋体" w:hAnsi="宋体" w:eastAsia="宋体" w:cs="宋体"/>
          <w:color w:val="auto"/>
          <w:kern w:val="10"/>
          <w:szCs w:val="21"/>
          <w:highlight w:val="none"/>
        </w:rPr>
        <w:t>.2变更采购方式</w:t>
      </w:r>
    </w:p>
    <w:p w14:paraId="344FF08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kern w:val="10"/>
          <w:szCs w:val="21"/>
          <w:highlight w:val="none"/>
          <w:lang w:val="en-US" w:eastAsia="zh-CN"/>
        </w:rPr>
      </w:pPr>
      <w:r>
        <w:rPr>
          <w:rFonts w:hint="eastAsia" w:ascii="宋体" w:hAnsi="宋体" w:cs="宋体"/>
          <w:color w:val="auto"/>
          <w:kern w:val="10"/>
          <w:szCs w:val="21"/>
          <w:highlight w:val="none"/>
          <w:lang w:val="en-US" w:eastAsia="zh-CN"/>
        </w:rPr>
        <w:t xml:space="preserve">    投标截止时间结束后提交投标文件的投标人少于3家或者符合专业条件的投标人或对招标文件作出实质性响应的投标人不足3家的，招标人可采取竞争性谈判或单一来源采购方式进行项目发包。</w:t>
      </w:r>
    </w:p>
    <w:p w14:paraId="38D0BFDE">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color w:val="auto"/>
          <w:kern w:val="10"/>
          <w:szCs w:val="21"/>
          <w:highlight w:val="none"/>
          <w:lang w:val="en-US" w:eastAsia="zh-CN"/>
        </w:rPr>
      </w:pPr>
      <w:r>
        <w:rPr>
          <w:rFonts w:hint="eastAsia" w:ascii="宋体" w:hAnsi="宋体" w:cs="宋体"/>
          <w:color w:val="auto"/>
          <w:kern w:val="10"/>
          <w:szCs w:val="21"/>
          <w:highlight w:val="none"/>
          <w:lang w:val="en-US" w:eastAsia="zh-CN"/>
        </w:rPr>
        <w:t>参加竞争性谈判或单一来源采购方式的投标人必须符合下列条件：①、投标资格符合招标文件要求；②、对招标文件作出实质性响应。</w:t>
      </w:r>
    </w:p>
    <w:p w14:paraId="6CB16242">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b/>
          <w:bCs/>
          <w:color w:val="auto"/>
          <w:sz w:val="28"/>
          <w:highlight w:val="none"/>
        </w:rPr>
      </w:pPr>
      <w:bookmarkStart w:id="54" w:name="_Toc22926"/>
      <w:bookmarkStart w:id="55" w:name="_Toc21491"/>
      <w:r>
        <w:rPr>
          <w:rFonts w:hint="eastAsia" w:ascii="宋体" w:hAnsi="宋体" w:eastAsia="宋体" w:cs="宋体"/>
          <w:b/>
          <w:bCs/>
          <w:color w:val="auto"/>
          <w:sz w:val="28"/>
          <w:highlight w:val="none"/>
        </w:rPr>
        <w:t>六、合同的授予</w:t>
      </w:r>
      <w:bookmarkEnd w:id="54"/>
      <w:bookmarkEnd w:id="55"/>
    </w:p>
    <w:p w14:paraId="2EDC141E">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.合同授予标准</w:t>
      </w:r>
    </w:p>
    <w:p w14:paraId="282F2584">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
          <w:bCs/>
          <w:color w:val="auto"/>
          <w:sz w:val="21"/>
          <w:szCs w:val="21"/>
          <w:highlight w:val="none"/>
        </w:rPr>
      </w:pP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.1本招标工程的合同授予按本须知第</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条规定所确定的中标人。</w:t>
      </w:r>
    </w:p>
    <w:p w14:paraId="3811C16F">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rPr>
        <w:t>.合同协议书的签订</w:t>
      </w:r>
    </w:p>
    <w:p w14:paraId="65ADE3E6">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rPr>
        <w:t>.1中标通知书发放后3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日内，按照招标文件和中标人的投标文件订立书面合同。招标人和中标人不得再行订立背离合同实质性内容的其他协议。</w:t>
      </w:r>
    </w:p>
    <w:p w14:paraId="433C1E4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中标人如不按本</w:t>
      </w:r>
      <w:r>
        <w:rPr>
          <w:rFonts w:hint="eastAsia" w:ascii="宋体" w:hAnsi="宋体" w:cs="宋体"/>
          <w:color w:val="auto"/>
          <w:sz w:val="21"/>
          <w:szCs w:val="21"/>
          <w:highlight w:val="none"/>
          <w:lang w:eastAsia="zh-CN"/>
        </w:rPr>
        <w:t>投标人须知</w:t>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条的规定与招标人订立合同，则招标人将取消其中标资格，给招标人造成的损失超过投标担保数额的，还应当对超过部分予以赔偿，同时依法承担相应法律责任。</w:t>
      </w:r>
    </w:p>
    <w:p w14:paraId="6CA53D95">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highlight w:val="none"/>
          <w:lang w:val="en-US" w:eastAsia="zh-CN"/>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中标人应当按照合同约定履行义务，完成中标项目的实施，不得将中标项目转让（转包）给他人。</w:t>
      </w:r>
      <w:r>
        <w:rPr>
          <w:rFonts w:hint="eastAsia" w:ascii="宋体" w:hAnsi="宋体" w:eastAsia="宋体" w:cs="宋体"/>
          <w:color w:val="auto"/>
          <w:highlight w:val="none"/>
          <w:lang w:val="en-US" w:eastAsia="zh-CN"/>
        </w:rPr>
        <w:t xml:space="preserve"> </w:t>
      </w:r>
      <w:bookmarkStart w:id="56" w:name="_Toc31589_WPSOffice_Level1"/>
      <w:bookmarkStart w:id="57" w:name="_Toc3222"/>
      <w:r>
        <w:rPr>
          <w:rFonts w:hint="eastAsia" w:ascii="宋体" w:hAnsi="宋体" w:eastAsia="宋体" w:cs="宋体"/>
          <w:color w:val="auto"/>
          <w:highlight w:val="none"/>
          <w:lang w:val="en-US" w:eastAsia="zh-CN"/>
        </w:rPr>
        <w:t xml:space="preserve"> </w:t>
      </w:r>
    </w:p>
    <w:p w14:paraId="1A0FFB64">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七</w:t>
      </w:r>
      <w:r>
        <w:rPr>
          <w:rFonts w:hint="eastAsia" w:ascii="宋体" w:hAnsi="宋体" w:eastAsia="宋体" w:cs="宋体"/>
          <w:b/>
          <w:bCs/>
          <w:color w:val="auto"/>
          <w:sz w:val="28"/>
          <w:highlight w:val="none"/>
          <w:lang w:eastAsia="zh-CN"/>
        </w:rPr>
        <w:t>、</w:t>
      </w:r>
      <w:r>
        <w:rPr>
          <w:rFonts w:hint="eastAsia" w:ascii="宋体" w:hAnsi="宋体" w:eastAsia="宋体" w:cs="宋体"/>
          <w:b/>
          <w:bCs/>
          <w:color w:val="auto"/>
          <w:sz w:val="28"/>
          <w:highlight w:val="none"/>
        </w:rPr>
        <w:t>纪律和监督</w:t>
      </w:r>
    </w:p>
    <w:p w14:paraId="4D39E8B8">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32</w:t>
      </w:r>
      <w:r>
        <w:rPr>
          <w:rFonts w:hint="eastAsia" w:ascii="宋体" w:hAnsi="宋体" w:eastAsia="宋体" w:cs="宋体"/>
          <w:b/>
          <w:color w:val="auto"/>
          <w:sz w:val="21"/>
          <w:szCs w:val="21"/>
          <w:highlight w:val="none"/>
        </w:rPr>
        <w:t>. 对</w:t>
      </w:r>
      <w:r>
        <w:rPr>
          <w:rFonts w:hint="eastAsia" w:ascii="宋体" w:hAnsi="宋体" w:eastAsia="宋体" w:cs="宋体"/>
          <w:b/>
          <w:color w:val="auto"/>
          <w:sz w:val="21"/>
          <w:szCs w:val="21"/>
          <w:highlight w:val="none"/>
          <w:lang w:val="en-US" w:eastAsia="zh-CN"/>
        </w:rPr>
        <w:t>招标</w:t>
      </w:r>
      <w:r>
        <w:rPr>
          <w:rFonts w:hint="eastAsia" w:ascii="宋体" w:hAnsi="宋体" w:eastAsia="宋体" w:cs="宋体"/>
          <w:b/>
          <w:color w:val="auto"/>
          <w:sz w:val="21"/>
          <w:szCs w:val="21"/>
          <w:highlight w:val="none"/>
        </w:rPr>
        <w:t xml:space="preserve">人的纪律要求 </w:t>
      </w:r>
    </w:p>
    <w:p w14:paraId="4F26488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2</w:t>
      </w:r>
      <w:r>
        <w:rPr>
          <w:rFonts w:hint="eastAsia" w:ascii="宋体" w:hAnsi="宋体" w:eastAsia="宋体" w:cs="宋体"/>
          <w:color w:val="auto"/>
          <w:kern w:val="10"/>
          <w:sz w:val="21"/>
          <w:szCs w:val="21"/>
          <w:highlight w:val="none"/>
        </w:rPr>
        <w:t>.1</w:t>
      </w:r>
      <w:r>
        <w:rPr>
          <w:rFonts w:hint="eastAsia" w:ascii="宋体" w:hAnsi="宋体" w:eastAsia="宋体" w:cs="宋体"/>
          <w:color w:val="auto"/>
          <w:kern w:val="10"/>
          <w:sz w:val="21"/>
          <w:szCs w:val="21"/>
          <w:highlight w:val="none"/>
          <w:lang w:val="en-US" w:eastAsia="zh-CN"/>
        </w:rPr>
        <w:t>招标</w:t>
      </w:r>
      <w:r>
        <w:rPr>
          <w:rFonts w:hint="eastAsia" w:ascii="宋体" w:hAnsi="宋体" w:eastAsia="宋体" w:cs="宋体"/>
          <w:color w:val="auto"/>
          <w:kern w:val="10"/>
          <w:sz w:val="21"/>
          <w:szCs w:val="21"/>
          <w:highlight w:val="none"/>
        </w:rPr>
        <w:t xml:space="preserve">人不得泄漏招标投标活动中应当保密的情况和资料，不得与投标人串通损害国家利益，社会公共利益或者他人合法权益。 </w:t>
      </w:r>
    </w:p>
    <w:p w14:paraId="5551F485">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 xml:space="preserve">. 对投标人的纪律要求 </w:t>
      </w:r>
    </w:p>
    <w:p w14:paraId="7504D9C8">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3</w:t>
      </w:r>
      <w:r>
        <w:rPr>
          <w:rFonts w:hint="eastAsia" w:ascii="宋体" w:hAnsi="宋体" w:eastAsia="宋体" w:cs="宋体"/>
          <w:color w:val="auto"/>
          <w:kern w:val="10"/>
          <w:sz w:val="21"/>
          <w:szCs w:val="21"/>
          <w:highlight w:val="none"/>
        </w:rPr>
        <w:t>.1投标人不得相互串通投标或者与</w:t>
      </w:r>
      <w:r>
        <w:rPr>
          <w:rFonts w:hint="eastAsia" w:ascii="宋体" w:hAnsi="宋体" w:eastAsia="宋体" w:cs="宋体"/>
          <w:color w:val="auto"/>
          <w:kern w:val="10"/>
          <w:sz w:val="21"/>
          <w:szCs w:val="21"/>
          <w:highlight w:val="none"/>
          <w:lang w:val="en-US" w:eastAsia="zh-CN"/>
        </w:rPr>
        <w:t>招标</w:t>
      </w:r>
      <w:r>
        <w:rPr>
          <w:rFonts w:hint="eastAsia" w:ascii="宋体" w:hAnsi="宋体" w:eastAsia="宋体" w:cs="宋体"/>
          <w:color w:val="auto"/>
          <w:kern w:val="10"/>
          <w:sz w:val="21"/>
          <w:szCs w:val="21"/>
          <w:highlight w:val="none"/>
        </w:rPr>
        <w:t>人串通投标，不得向</w:t>
      </w:r>
      <w:r>
        <w:rPr>
          <w:rFonts w:hint="eastAsia" w:ascii="宋体" w:hAnsi="宋体" w:eastAsia="宋体" w:cs="宋体"/>
          <w:color w:val="auto"/>
          <w:kern w:val="10"/>
          <w:sz w:val="21"/>
          <w:szCs w:val="21"/>
          <w:highlight w:val="none"/>
          <w:lang w:val="en-US" w:eastAsia="zh-CN"/>
        </w:rPr>
        <w:t>招标</w:t>
      </w:r>
      <w:r>
        <w:rPr>
          <w:rFonts w:hint="eastAsia" w:ascii="宋体" w:hAnsi="宋体" w:eastAsia="宋体" w:cs="宋体"/>
          <w:color w:val="auto"/>
          <w:kern w:val="10"/>
          <w:sz w:val="21"/>
          <w:szCs w:val="21"/>
          <w:highlight w:val="none"/>
        </w:rPr>
        <w:t>人或者评标委员会成员行贿谋取中标，不得以他人名义投标或者以其他方式弄虚作假骗取中标；投标人不得以任何方式干扰、影响评标工作。</w:t>
      </w:r>
    </w:p>
    <w:p w14:paraId="7BDEB768">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 xml:space="preserve">. 对评标委员会成员的纪律要求 </w:t>
      </w:r>
    </w:p>
    <w:p w14:paraId="6CB3C107">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4</w:t>
      </w:r>
      <w:r>
        <w:rPr>
          <w:rFonts w:hint="eastAsia" w:ascii="宋体" w:hAnsi="宋体" w:eastAsia="宋体" w:cs="宋体"/>
          <w:color w:val="auto"/>
          <w:kern w:val="10"/>
          <w:sz w:val="21"/>
          <w:szCs w:val="21"/>
          <w:highlight w:val="none"/>
        </w:rPr>
        <w:t>.1评标委员会成员不得收受他人的财物或者其他好处，不得向他人透漏对投标文件的评审和比较、中标候选人的推荐情况以及评标有关的其他情况。</w:t>
      </w:r>
    </w:p>
    <w:p w14:paraId="03E470D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4</w:t>
      </w:r>
      <w:r>
        <w:rPr>
          <w:rFonts w:hint="eastAsia" w:ascii="宋体" w:hAnsi="宋体" w:eastAsia="宋体" w:cs="宋体"/>
          <w:color w:val="auto"/>
          <w:kern w:val="10"/>
          <w:sz w:val="21"/>
          <w:szCs w:val="21"/>
          <w:highlight w:val="none"/>
        </w:rPr>
        <w:t>.2在评标活动中，评标委员会成员不得擅离职守，影响评标程序正常进行，不得使用第</w:t>
      </w:r>
      <w:r>
        <w:rPr>
          <w:rFonts w:hint="eastAsia" w:ascii="宋体" w:hAnsi="宋体" w:cs="宋体"/>
          <w:color w:val="auto"/>
          <w:kern w:val="10"/>
          <w:sz w:val="21"/>
          <w:szCs w:val="21"/>
          <w:highlight w:val="none"/>
          <w:lang w:eastAsia="zh-CN"/>
        </w:rPr>
        <w:t>二</w:t>
      </w:r>
      <w:r>
        <w:rPr>
          <w:rFonts w:hint="eastAsia" w:ascii="宋体" w:hAnsi="宋体" w:eastAsia="宋体" w:cs="宋体"/>
          <w:color w:val="auto"/>
          <w:kern w:val="10"/>
          <w:sz w:val="21"/>
          <w:szCs w:val="21"/>
          <w:highlight w:val="none"/>
        </w:rPr>
        <w:t xml:space="preserve">章“评标办法”没有规定的评审因素和标准进行评标。 </w:t>
      </w:r>
    </w:p>
    <w:p w14:paraId="72153F7E">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35</w:t>
      </w:r>
      <w:r>
        <w:rPr>
          <w:rFonts w:hint="eastAsia" w:ascii="宋体" w:hAnsi="宋体" w:eastAsia="宋体" w:cs="宋体"/>
          <w:b/>
          <w:color w:val="auto"/>
          <w:sz w:val="21"/>
          <w:szCs w:val="21"/>
          <w:highlight w:val="none"/>
        </w:rPr>
        <w:t xml:space="preserve">. 对与评标活动有关的工作人员的纪律要求 </w:t>
      </w:r>
    </w:p>
    <w:p w14:paraId="27E68A89">
      <w:pPr>
        <w:adjustRightInd w:val="0"/>
        <w:snapToGrid w:val="0"/>
        <w:spacing w:line="440" w:lineRule="exact"/>
        <w:rPr>
          <w:rFonts w:hint="eastAsia" w:ascii="宋体"/>
          <w:color w:val="auto"/>
          <w:kern w:val="10"/>
          <w:szCs w:val="21"/>
          <w:highlight w:val="none"/>
        </w:rPr>
      </w:pPr>
      <w:r>
        <w:rPr>
          <w:rFonts w:hint="eastAsia" w:ascii="宋体" w:hAnsi="宋体" w:eastAsia="宋体" w:cs="宋体"/>
          <w:color w:val="auto"/>
          <w:kern w:val="10"/>
          <w:sz w:val="21"/>
          <w:szCs w:val="21"/>
          <w:highlight w:val="none"/>
          <w:lang w:val="en-US" w:eastAsia="zh-CN"/>
        </w:rPr>
        <w:t>35.1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r>
        <w:rPr>
          <w:rFonts w:hint="eastAsia" w:ascii="宋体"/>
          <w:color w:val="auto"/>
          <w:kern w:val="10"/>
          <w:szCs w:val="21"/>
          <w:highlight w:val="none"/>
        </w:rPr>
        <w:t>。</w:t>
      </w:r>
    </w:p>
    <w:p w14:paraId="5F5F9D3C">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b/>
          <w:bCs/>
          <w:color w:val="auto"/>
          <w:sz w:val="28"/>
          <w:highlight w:val="none"/>
        </w:rPr>
      </w:pPr>
      <w:bookmarkStart w:id="58" w:name="_Toc449028875"/>
      <w:r>
        <w:rPr>
          <w:rFonts w:hint="eastAsia" w:ascii="宋体" w:hAnsi="宋体" w:eastAsia="宋体" w:cs="宋体"/>
          <w:b/>
          <w:bCs/>
          <w:color w:val="auto"/>
          <w:sz w:val="28"/>
          <w:highlight w:val="none"/>
          <w:lang w:val="en-US" w:eastAsia="zh-CN"/>
        </w:rPr>
        <w:t>八、</w:t>
      </w:r>
      <w:r>
        <w:rPr>
          <w:rFonts w:hint="eastAsia" w:ascii="宋体" w:hAnsi="宋体" w:eastAsia="宋体" w:cs="宋体"/>
          <w:b/>
          <w:bCs/>
          <w:color w:val="auto"/>
          <w:sz w:val="28"/>
          <w:highlight w:val="none"/>
        </w:rPr>
        <w:t>质疑</w:t>
      </w:r>
      <w:bookmarkEnd w:id="58"/>
    </w:p>
    <w:p w14:paraId="1CD4C1C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36</w:t>
      </w:r>
      <w:r>
        <w:rPr>
          <w:rFonts w:hint="eastAsia" w:ascii="宋体" w:hAnsi="宋体" w:eastAsia="宋体" w:cs="宋体"/>
          <w:b/>
          <w:color w:val="auto"/>
          <w:sz w:val="21"/>
          <w:szCs w:val="21"/>
          <w:highlight w:val="none"/>
        </w:rPr>
        <w:t>. 询问、质疑</w:t>
      </w:r>
    </w:p>
    <w:p w14:paraId="2E4B5FF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36.1 投标人对招标活动事项有疑问的，可以向招标人提出询问，招标人将在三日内作出答复，但答复的内容不涉及商业秘密。</w:t>
      </w:r>
    </w:p>
    <w:p w14:paraId="0294DB2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36.2 </w:t>
      </w:r>
      <w:r>
        <w:rPr>
          <w:rFonts w:hint="eastAsia" w:ascii="宋体" w:hAnsi="宋体" w:eastAsia="宋体" w:cs="宋体"/>
          <w:color w:val="auto"/>
          <w:sz w:val="21"/>
          <w:szCs w:val="21"/>
          <w:highlight w:val="none"/>
        </w:rPr>
        <w:t>投标人和其他利害关系人认为本次招标活动违反法律、法规和规章规定的，有权向有关行政监督部门投诉。投诉应当有明确的请求和必要的证明材料。</w:t>
      </w:r>
    </w:p>
    <w:p w14:paraId="4AC960A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36.3</w:t>
      </w:r>
      <w:r>
        <w:rPr>
          <w:rFonts w:hint="eastAsia" w:ascii="宋体" w:hAnsi="宋体" w:eastAsia="宋体" w:cs="宋体"/>
          <w:color w:val="auto"/>
          <w:sz w:val="21"/>
          <w:szCs w:val="21"/>
          <w:highlight w:val="none"/>
        </w:rPr>
        <w:t>投标人或其他利害关系人对评标结果有异议的，应在公示期间提出。招标人将在收到异议之日起3日内作出答复；作出答复前，将暂停招标投标活动。</w:t>
      </w:r>
      <w:r>
        <w:rPr>
          <w:rFonts w:hint="eastAsia" w:ascii="宋体" w:hAnsi="宋体" w:eastAsia="宋体" w:cs="宋体"/>
          <w:b/>
          <w:bCs/>
          <w:color w:val="auto"/>
          <w:sz w:val="21"/>
          <w:szCs w:val="21"/>
          <w:highlight w:val="none"/>
          <w:lang w:val="en-US" w:eastAsia="zh-CN"/>
        </w:rPr>
        <w:t>注：</w:t>
      </w:r>
      <w:r>
        <w:rPr>
          <w:rFonts w:hint="eastAsia" w:ascii="宋体" w:hAnsi="宋体" w:eastAsia="宋体" w:cs="宋体"/>
          <w:b/>
          <w:bCs/>
          <w:color w:val="auto"/>
          <w:sz w:val="21"/>
          <w:szCs w:val="21"/>
          <w:highlight w:val="none"/>
        </w:rPr>
        <w:t>一份质疑（异议）函只能针对一个项目提出质疑（异议），且针对同一招标采购程序环节的质疑（异议）应当一次性提出</w:t>
      </w:r>
      <w:r>
        <w:rPr>
          <w:rFonts w:hint="eastAsia" w:ascii="宋体" w:hAnsi="宋体" w:eastAsia="宋体" w:cs="宋体"/>
          <w:b/>
          <w:bCs/>
          <w:color w:val="auto"/>
          <w:sz w:val="21"/>
          <w:szCs w:val="21"/>
          <w:highlight w:val="none"/>
          <w:lang w:eastAsia="zh-CN"/>
        </w:rPr>
        <w:t>。</w:t>
      </w:r>
    </w:p>
    <w:p w14:paraId="358F522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36.4参与投标的投标人对中标公告提出的质疑，负有举证的责任。投标人提出质疑应当提交质疑函和必要的证明材料。质疑函应当包括下列内容：</w:t>
      </w:r>
    </w:p>
    <w:p w14:paraId="1CBAEEF6">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（一）投标人的姓名或者名称、地址、邮编、联系人及联系电话；</w:t>
      </w:r>
    </w:p>
    <w:p w14:paraId="7763497A">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（二）质疑项目的名称、编号；</w:t>
      </w:r>
    </w:p>
    <w:p w14:paraId="2B5293B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（三）具体、明确的质疑事项和与质疑事项相关的请求；</w:t>
      </w:r>
    </w:p>
    <w:p w14:paraId="0CC942E4">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（四）事实依据；</w:t>
      </w:r>
    </w:p>
    <w:p w14:paraId="0F584D0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（五）必要的法律依据；</w:t>
      </w:r>
    </w:p>
    <w:p w14:paraId="615070B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（六）提出质疑的日期。</w:t>
      </w:r>
    </w:p>
    <w:p w14:paraId="07F11C0E">
      <w:pPr>
        <w:keepNext w:val="0"/>
        <w:keepLines w:val="0"/>
        <w:pageBreakBefore w:val="0"/>
        <w:widowControl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投标人为自然人的，应当由本人签字；投标人为法人或者其他组织的，应当由法定代表人、主要负责人，或者其授权代表签字或者盖章，并加盖公章。</w:t>
      </w:r>
    </w:p>
    <w:p w14:paraId="26A452B3">
      <w:pPr>
        <w:keepNext w:val="0"/>
        <w:keepLines w:val="0"/>
        <w:pageBreakBefore w:val="0"/>
        <w:widowControl w:val="0"/>
        <w:kinsoku/>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36.5</w:t>
      </w:r>
      <w:r>
        <w:rPr>
          <w:rFonts w:hint="eastAsia" w:ascii="宋体" w:hAnsi="宋体" w:eastAsia="宋体" w:cs="宋体"/>
          <w:color w:val="auto"/>
          <w:kern w:val="10"/>
          <w:sz w:val="21"/>
          <w:szCs w:val="21"/>
          <w:highlight w:val="none"/>
          <w:lang w:eastAsia="zh-CN"/>
        </w:rPr>
        <w:t>招标人</w:t>
      </w:r>
      <w:r>
        <w:rPr>
          <w:rFonts w:hint="eastAsia" w:ascii="宋体" w:hAnsi="宋体" w:eastAsia="宋体" w:cs="宋体"/>
          <w:color w:val="auto"/>
          <w:kern w:val="10"/>
          <w:sz w:val="21"/>
          <w:szCs w:val="21"/>
          <w:highlight w:val="none"/>
        </w:rPr>
        <w:t>或</w:t>
      </w:r>
      <w:r>
        <w:rPr>
          <w:rFonts w:hint="eastAsia" w:ascii="宋体" w:hAnsi="宋体" w:eastAsia="宋体" w:cs="宋体"/>
          <w:color w:val="auto"/>
          <w:kern w:val="10"/>
          <w:sz w:val="21"/>
          <w:szCs w:val="21"/>
          <w:highlight w:val="none"/>
          <w:lang w:eastAsia="zh-CN"/>
        </w:rPr>
        <w:t>招标代理机构</w:t>
      </w:r>
      <w:r>
        <w:rPr>
          <w:rFonts w:hint="eastAsia" w:ascii="宋体" w:hAnsi="宋体" w:eastAsia="宋体" w:cs="宋体"/>
          <w:color w:val="auto"/>
          <w:kern w:val="10"/>
          <w:sz w:val="21"/>
          <w:szCs w:val="21"/>
          <w:highlight w:val="none"/>
        </w:rPr>
        <w:t>在收到投标人的质疑函后，将审查质疑函的格式、内容以及所附的证明文件是否符合要求。如不符合，说明原因退回投标人；如符合要求，则接受该质疑函并向投标人出具受理证明</w:t>
      </w:r>
      <w:r>
        <w:rPr>
          <w:rFonts w:hint="eastAsia" w:ascii="宋体" w:hAnsi="宋体" w:eastAsia="宋体" w:cs="宋体"/>
          <w:color w:val="auto"/>
          <w:sz w:val="21"/>
          <w:szCs w:val="21"/>
          <w:highlight w:val="none"/>
          <w:lang w:val="en-US" w:eastAsia="zh-CN"/>
        </w:rPr>
        <w:t>。</w:t>
      </w:r>
    </w:p>
    <w:p w14:paraId="65F1D038">
      <w:pPr>
        <w:keepNext w:val="0"/>
        <w:keepLines w:val="0"/>
        <w:pageBreakBefore w:val="0"/>
        <w:widowControl w:val="0"/>
        <w:kinsoku/>
        <w:overflowPunct/>
        <w:topLinePunct w:val="0"/>
        <w:autoSpaceDE/>
        <w:autoSpaceDN/>
        <w:bidi w:val="0"/>
        <w:adjustRightInd/>
        <w:snapToGrid/>
        <w:spacing w:line="440" w:lineRule="exact"/>
        <w:jc w:val="lef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sz w:val="21"/>
          <w:szCs w:val="21"/>
          <w:highlight w:val="none"/>
          <w:lang w:val="en-US" w:eastAsia="zh-CN"/>
        </w:rPr>
        <w:t>36.6处理质疑的时间，从实际接受投标人质疑函的时间开始计算</w:t>
      </w:r>
      <w:r>
        <w:rPr>
          <w:rFonts w:hint="eastAsia" w:ascii="宋体" w:hAnsi="宋体" w:eastAsia="宋体" w:cs="宋体"/>
          <w:color w:val="auto"/>
          <w:kern w:val="10"/>
          <w:sz w:val="21"/>
          <w:szCs w:val="21"/>
          <w:highlight w:val="none"/>
        </w:rPr>
        <w:t>。</w:t>
      </w:r>
    </w:p>
    <w:p w14:paraId="2DFD0EC6">
      <w:pPr>
        <w:pStyle w:val="5"/>
        <w:spacing w:before="0" w:after="0"/>
        <w:rPr>
          <w:rFonts w:hint="eastAsia" w:ascii="宋体" w:hAnsi="宋体" w:eastAsia="宋体" w:cs="宋体"/>
          <w:color w:val="auto"/>
          <w:highlight w:val="none"/>
          <w:lang w:val="en-US" w:eastAsia="zh-CN"/>
        </w:rPr>
      </w:pPr>
    </w:p>
    <w:p w14:paraId="32EDDA19">
      <w:pPr>
        <w:pStyle w:val="5"/>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highlight w:val="none"/>
          <w:lang w:val="en-US" w:eastAsia="zh-CN"/>
        </w:rPr>
      </w:pPr>
      <w:bookmarkStart w:id="59" w:name="_Toc13234"/>
      <w:bookmarkStart w:id="60" w:name="_Toc21844"/>
      <w:r>
        <w:rPr>
          <w:rFonts w:hint="eastAsia" w:ascii="宋体" w:hAnsi="宋体" w:eastAsia="宋体" w:cs="宋体"/>
          <w:color w:val="auto"/>
          <w:highlight w:val="none"/>
          <w:lang w:val="en-US" w:eastAsia="zh-CN"/>
        </w:rPr>
        <w:t>第二章 评标办法</w:t>
      </w:r>
      <w:bookmarkEnd w:id="59"/>
      <w:bookmarkEnd w:id="60"/>
    </w:p>
    <w:p w14:paraId="4E420EF5">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1"/>
        <w:rPr>
          <w:rFonts w:hint="eastAsia" w:ascii="宋体" w:hAnsi="宋体" w:eastAsia="宋体" w:cs="宋体"/>
          <w:b/>
          <w:bCs/>
          <w:color w:val="auto"/>
          <w:sz w:val="24"/>
          <w:szCs w:val="24"/>
          <w:highlight w:val="none"/>
          <w:lang w:val="en-US" w:eastAsia="zh-CN"/>
        </w:rPr>
      </w:pPr>
      <w:bookmarkStart w:id="61" w:name="_Toc14912"/>
      <w:r>
        <w:rPr>
          <w:rFonts w:hint="eastAsia" w:ascii="宋体" w:hAnsi="宋体" w:eastAsia="宋体" w:cs="宋体"/>
          <w:b/>
          <w:bCs/>
          <w:color w:val="auto"/>
          <w:sz w:val="24"/>
          <w:szCs w:val="24"/>
          <w:highlight w:val="none"/>
          <w:lang w:val="en-US" w:eastAsia="zh-CN"/>
        </w:rPr>
        <w:t>一、总则</w:t>
      </w:r>
      <w:bookmarkEnd w:id="61"/>
    </w:p>
    <w:p w14:paraId="068C5033">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 本次评标采用</w:t>
      </w:r>
      <w:r>
        <w:rPr>
          <w:rFonts w:hint="eastAsia" w:ascii="宋体" w:hAnsi="宋体" w:cs="宋体"/>
          <w:b/>
          <w:bCs/>
          <w:color w:val="auto"/>
          <w:sz w:val="21"/>
          <w:szCs w:val="21"/>
          <w:highlight w:val="none"/>
          <w:lang w:val="en-US" w:eastAsia="zh-CN"/>
        </w:rPr>
        <w:t>综合评分法</w:t>
      </w:r>
    </w:p>
    <w:p w14:paraId="64AB08B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r>
        <w:rPr>
          <w:rFonts w:hint="eastAsia" w:ascii="宋体" w:hAnsi="宋体" w:cs="宋体"/>
          <w:color w:val="auto"/>
          <w:sz w:val="21"/>
          <w:szCs w:val="21"/>
          <w:highlight w:val="none"/>
          <w:lang w:val="en-US" w:eastAsia="zh-CN"/>
        </w:rPr>
        <w:t>综合评分法</w:t>
      </w:r>
      <w:r>
        <w:rPr>
          <w:rFonts w:hint="eastAsia" w:ascii="宋体" w:hAnsi="宋体" w:eastAsia="宋体" w:cs="宋体"/>
          <w:color w:val="auto"/>
          <w:sz w:val="21"/>
          <w:szCs w:val="21"/>
          <w:highlight w:val="none"/>
          <w:lang w:val="en-US" w:eastAsia="zh-CN"/>
        </w:rPr>
        <w:t>，评标委员会按照本章规定的评分标准进行打分，</w:t>
      </w:r>
      <w:r>
        <w:rPr>
          <w:rFonts w:hint="eastAsia" w:ascii="宋体" w:hAnsi="宋体" w:cs="宋体"/>
          <w:b/>
          <w:bCs/>
          <w:color w:val="auto"/>
          <w:szCs w:val="21"/>
          <w:highlight w:val="none"/>
        </w:rPr>
        <w:t>并按总得分由高到低顺序推荐</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名中标候选人，并标明排序</w:t>
      </w:r>
      <w:r>
        <w:rPr>
          <w:rFonts w:hint="eastAsia" w:ascii="宋体" w:hAnsi="宋体" w:eastAsia="宋体" w:cs="宋体"/>
          <w:color w:val="auto"/>
          <w:sz w:val="21"/>
          <w:szCs w:val="21"/>
          <w:highlight w:val="none"/>
          <w:lang w:val="en-US" w:eastAsia="zh-CN"/>
        </w:rPr>
        <w:t>。得分最高的为第一中标候选人，第二高的为第二中标候选人。</w:t>
      </w:r>
      <w:r>
        <w:rPr>
          <w:rFonts w:hint="eastAsia" w:ascii="宋体" w:hAnsi="宋体" w:eastAsia="宋体" w:cs="宋体"/>
          <w:b/>
          <w:bCs/>
          <w:color w:val="auto"/>
          <w:sz w:val="21"/>
          <w:szCs w:val="21"/>
          <w:highlight w:val="none"/>
        </w:rPr>
        <w:t>如总得分相等，以投标报价低的优先，投标报价仍相等，由评标委员会或招标人随机抽取确定排名，不得并列</w:t>
      </w:r>
      <w:r>
        <w:rPr>
          <w:rFonts w:hint="eastAsia" w:ascii="宋体" w:hAnsi="宋体" w:eastAsia="宋体" w:cs="宋体"/>
          <w:color w:val="auto"/>
          <w:sz w:val="21"/>
          <w:szCs w:val="21"/>
          <w:highlight w:val="none"/>
        </w:rPr>
        <w:t>。</w:t>
      </w:r>
    </w:p>
    <w:p w14:paraId="403526C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2．评标程序</w:t>
      </w:r>
    </w:p>
    <w:p w14:paraId="59C70429">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先对投标人报价</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以投标文件投标函中填写报价为准</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按计算标准计算得分，得分按照从高到低进行排序（如总得分相等，以投标报价低的优先，投标报价仍相等，由招标人</w:t>
      </w:r>
      <w:r>
        <w:rPr>
          <w:rFonts w:hint="eastAsia" w:ascii="宋体" w:hAnsi="宋体" w:eastAsia="宋体" w:cs="宋体"/>
          <w:b/>
          <w:bCs/>
          <w:color w:val="auto"/>
          <w:sz w:val="21"/>
          <w:szCs w:val="21"/>
          <w:highlight w:val="none"/>
          <w:lang w:val="en-US" w:eastAsia="zh-CN"/>
        </w:rPr>
        <w:t>或评标委员会</w:t>
      </w:r>
      <w:r>
        <w:rPr>
          <w:rFonts w:hint="eastAsia" w:ascii="宋体" w:hAnsi="宋体" w:eastAsia="宋体" w:cs="宋体"/>
          <w:b/>
          <w:bCs/>
          <w:color w:val="auto"/>
          <w:sz w:val="21"/>
          <w:szCs w:val="21"/>
          <w:highlight w:val="none"/>
        </w:rPr>
        <w:t>随机抽取确定排名，不得并列）。对排序前</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名的投标人投标文件进行评审并确定中标候选人。若排序前</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名的投标人</w:t>
      </w:r>
      <w:r>
        <w:rPr>
          <w:rFonts w:hint="eastAsia" w:ascii="宋体" w:hAnsi="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rPr>
        <w:t>文件评审不通过，则按得分排序递补至</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家投标人进行</w:t>
      </w:r>
      <w:r>
        <w:rPr>
          <w:rFonts w:hint="eastAsia" w:ascii="宋体" w:hAnsi="宋体" w:cs="宋体"/>
          <w:b/>
          <w:bCs/>
          <w:color w:val="auto"/>
          <w:sz w:val="21"/>
          <w:szCs w:val="21"/>
          <w:highlight w:val="none"/>
          <w:lang w:val="en-US" w:eastAsia="zh-CN"/>
        </w:rPr>
        <w:t>投标文件</w:t>
      </w:r>
      <w:r>
        <w:rPr>
          <w:rFonts w:hint="eastAsia" w:ascii="宋体" w:hAnsi="宋体" w:eastAsia="宋体" w:cs="宋体"/>
          <w:b/>
          <w:bCs/>
          <w:color w:val="auto"/>
          <w:sz w:val="21"/>
          <w:szCs w:val="21"/>
          <w:highlight w:val="none"/>
        </w:rPr>
        <w:t>评审</w:t>
      </w:r>
      <w:r>
        <w:rPr>
          <w:rFonts w:hint="eastAsia" w:ascii="宋体" w:hAnsi="宋体" w:eastAsia="宋体" w:cs="宋体"/>
          <w:b/>
          <w:bCs/>
          <w:color w:val="auto"/>
          <w:sz w:val="21"/>
          <w:szCs w:val="21"/>
          <w:highlight w:val="none"/>
          <w:lang w:eastAsia="zh-CN"/>
        </w:rPr>
        <w:t>。</w:t>
      </w:r>
    </w:p>
    <w:p w14:paraId="591D37D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2.1投标文件的初审</w:t>
      </w:r>
    </w:p>
    <w:p w14:paraId="29ADB920">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2.1.1资格性检查。依据法律法规和</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的规定，对投标文件中的资格证明</w:t>
      </w:r>
      <w:r>
        <w:rPr>
          <w:rFonts w:hint="eastAsia" w:ascii="宋体" w:hAnsi="宋体" w:eastAsia="宋体" w:cs="宋体"/>
          <w:color w:val="auto"/>
          <w:sz w:val="21"/>
          <w:szCs w:val="21"/>
          <w:highlight w:val="none"/>
          <w:lang w:val="en-US" w:eastAsia="zh-CN"/>
        </w:rPr>
        <w:t>材料</w:t>
      </w:r>
      <w:r>
        <w:rPr>
          <w:rFonts w:hint="eastAsia" w:ascii="宋体" w:hAnsi="宋体" w:eastAsia="宋体" w:cs="宋体"/>
          <w:color w:val="auto"/>
          <w:sz w:val="21"/>
          <w:szCs w:val="21"/>
          <w:highlight w:val="none"/>
        </w:rPr>
        <w:t>等进行审查，以确定投标人是否具备投标资格。</w:t>
      </w:r>
    </w:p>
    <w:p w14:paraId="0B195F56">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2.1.2符合性检查。依据</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的规定，从投标文件的有效性、完整性和对</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的响应程度进行审查，以确定投标人是否对</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的实质性要求作出响应。</w:t>
      </w:r>
    </w:p>
    <w:p w14:paraId="7593A8C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2.2投标文件的澄清</w:t>
      </w:r>
    </w:p>
    <w:p w14:paraId="11B3623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在评标过程中，评标委员会认为需要，可要求投标单位对投标文件中的有关问题进行澄清或提供补充说明及有关资料，投标单位应做出书面答复。书面答复中不得变更价格、供货（服务）期、自报质量等实质性内容。</w:t>
      </w:r>
    </w:p>
    <w:p w14:paraId="0684D5D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书面答复须经投标单位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14:paraId="79CAB15D">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bCs/>
          <w:color w:val="auto"/>
          <w:kern w:val="0"/>
          <w:sz w:val="21"/>
          <w:szCs w:val="21"/>
          <w:highlight w:val="none"/>
          <w:lang w:eastAsia="zh-CN"/>
        </w:rPr>
      </w:pPr>
      <w:r>
        <w:rPr>
          <w:rFonts w:hint="eastAsia" w:ascii="宋体" w:hAnsi="宋体" w:eastAsia="宋体" w:cs="宋体"/>
          <w:color w:val="auto"/>
          <w:sz w:val="21"/>
          <w:szCs w:val="21"/>
          <w:highlight w:val="none"/>
        </w:rPr>
        <w:t>2.2.3  招标人不接受投标单位主动提出的澄清。</w:t>
      </w:r>
    </w:p>
    <w:p w14:paraId="34335270">
      <w:pPr>
        <w:keepNext w:val="0"/>
        <w:keepLines w:val="0"/>
        <w:pageBreakBefore w:val="0"/>
        <w:widowControl w:val="0"/>
        <w:kinsoku/>
        <w:wordWrap/>
        <w:overflowPunct/>
        <w:topLinePunct w:val="0"/>
        <w:autoSpaceDE/>
        <w:autoSpaceDN/>
        <w:bidi w:val="0"/>
        <w:adjustRightInd/>
        <w:snapToGrid/>
        <w:spacing w:before="313" w:beforeLines="100"/>
        <w:jc w:val="center"/>
        <w:textAlignment w:val="auto"/>
        <w:outlineLvl w:val="1"/>
        <w:rPr>
          <w:rFonts w:hint="eastAsia" w:ascii="宋体"/>
          <w:b/>
          <w:color w:val="auto"/>
          <w:sz w:val="28"/>
          <w:szCs w:val="28"/>
          <w:highlight w:val="none"/>
        </w:rPr>
      </w:pPr>
      <w:bookmarkStart w:id="62" w:name="_Toc449028878"/>
      <w:bookmarkStart w:id="63" w:name="_Toc58430318"/>
      <w:bookmarkStart w:id="64" w:name="_Toc29779"/>
      <w:r>
        <w:rPr>
          <w:rFonts w:hint="eastAsia" w:ascii="宋体"/>
          <w:b/>
          <w:color w:val="auto"/>
          <w:sz w:val="28"/>
          <w:szCs w:val="28"/>
          <w:highlight w:val="none"/>
        </w:rPr>
        <w:t>二、投标文件初审</w:t>
      </w:r>
      <w:bookmarkEnd w:id="62"/>
      <w:bookmarkEnd w:id="63"/>
    </w:p>
    <w:p w14:paraId="60FE3D0D">
      <w:pPr>
        <w:ind w:firstLine="310" w:firstLineChars="147"/>
        <w:rPr>
          <w:rFonts w:hint="eastAsia" w:ascii="宋体"/>
          <w:b/>
          <w:color w:val="auto"/>
          <w:szCs w:val="21"/>
          <w:highlight w:val="none"/>
        </w:rPr>
      </w:pPr>
      <w:r>
        <w:rPr>
          <w:rFonts w:hint="eastAsia" w:ascii="宋体"/>
          <w:b/>
          <w:color w:val="auto"/>
          <w:szCs w:val="21"/>
          <w:highlight w:val="none"/>
        </w:rPr>
        <w:t>3.资格性审查:</w:t>
      </w:r>
    </w:p>
    <w:p w14:paraId="31119948">
      <w:pPr>
        <w:spacing w:line="400" w:lineRule="exact"/>
        <w:ind w:firstLine="308" w:firstLineChars="147"/>
        <w:rPr>
          <w:rFonts w:hint="eastAsia"/>
          <w:color w:val="auto"/>
          <w:szCs w:val="21"/>
          <w:highlight w:val="none"/>
        </w:rPr>
      </w:pPr>
      <w:r>
        <w:rPr>
          <w:rFonts w:hint="eastAsia" w:ascii="宋体"/>
          <w:color w:val="auto"/>
          <w:szCs w:val="21"/>
          <w:highlight w:val="none"/>
        </w:rPr>
        <w:t>3.1</w:t>
      </w:r>
      <w:r>
        <w:rPr>
          <w:rFonts w:hint="eastAsia"/>
          <w:color w:val="auto"/>
          <w:szCs w:val="21"/>
          <w:highlight w:val="none"/>
        </w:rPr>
        <w:t>评审细则</w:t>
      </w:r>
    </w:p>
    <w:tbl>
      <w:tblPr>
        <w:tblStyle w:val="45"/>
        <w:tblW w:w="100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35"/>
        <w:gridCol w:w="5296"/>
        <w:gridCol w:w="2757"/>
      </w:tblGrid>
      <w:tr w14:paraId="1697F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5" w:type="dxa"/>
            <w:noWrap w:val="0"/>
            <w:vAlign w:val="center"/>
          </w:tcPr>
          <w:p w14:paraId="7CC68F38">
            <w:pPr>
              <w:spacing w:line="320" w:lineRule="exact"/>
              <w:jc w:val="center"/>
              <w:rPr>
                <w:rFonts w:hint="eastAsia"/>
                <w:color w:val="auto"/>
                <w:highlight w:val="none"/>
              </w:rPr>
            </w:pPr>
            <w:r>
              <w:rPr>
                <w:rFonts w:hint="eastAsia" w:ascii="黑体" w:eastAsia="黑体" w:cs="黑体"/>
                <w:b/>
                <w:bCs/>
                <w:color w:val="auto"/>
                <w:szCs w:val="21"/>
                <w:highlight w:val="none"/>
              </w:rPr>
              <w:t>序号</w:t>
            </w:r>
          </w:p>
        </w:tc>
        <w:tc>
          <w:tcPr>
            <w:tcW w:w="6531" w:type="dxa"/>
            <w:gridSpan w:val="2"/>
            <w:noWrap w:val="0"/>
            <w:vAlign w:val="center"/>
          </w:tcPr>
          <w:p w14:paraId="7F5E48E7">
            <w:pPr>
              <w:spacing w:line="320" w:lineRule="exact"/>
              <w:jc w:val="center"/>
              <w:rPr>
                <w:rFonts w:hint="eastAsia"/>
                <w:color w:val="auto"/>
                <w:highlight w:val="none"/>
              </w:rPr>
            </w:pPr>
            <w:r>
              <w:rPr>
                <w:rFonts w:hint="eastAsia" w:ascii="宋体" w:hAnsi="宋体"/>
                <w:color w:val="auto"/>
                <w:szCs w:val="21"/>
                <w:highlight w:val="none"/>
              </w:rPr>
              <w:t>评审因素</w:t>
            </w:r>
          </w:p>
        </w:tc>
        <w:tc>
          <w:tcPr>
            <w:tcW w:w="2757" w:type="dxa"/>
            <w:noWrap w:val="0"/>
            <w:vAlign w:val="center"/>
          </w:tcPr>
          <w:p w14:paraId="52F81DF4">
            <w:pPr>
              <w:spacing w:line="320" w:lineRule="exact"/>
              <w:jc w:val="center"/>
              <w:rPr>
                <w:rFonts w:hint="eastAsia"/>
                <w:color w:val="auto"/>
                <w:highlight w:val="none"/>
              </w:rPr>
            </w:pPr>
            <w:r>
              <w:rPr>
                <w:rFonts w:hint="eastAsia" w:ascii="宋体" w:hAnsi="宋体"/>
                <w:color w:val="auto"/>
                <w:szCs w:val="21"/>
                <w:highlight w:val="none"/>
              </w:rPr>
              <w:t>评审标准</w:t>
            </w:r>
          </w:p>
        </w:tc>
      </w:tr>
      <w:tr w14:paraId="5D788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5" w:type="dxa"/>
            <w:noWrap w:val="0"/>
            <w:vAlign w:val="center"/>
          </w:tcPr>
          <w:p w14:paraId="0B9A4B5D">
            <w:pPr>
              <w:spacing w:line="32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1235" w:type="dxa"/>
            <w:noWrap w:val="0"/>
            <w:vAlign w:val="center"/>
          </w:tcPr>
          <w:p w14:paraId="3034F54A">
            <w:pPr>
              <w:spacing w:line="320" w:lineRule="exact"/>
              <w:jc w:val="center"/>
              <w:rPr>
                <w:rFonts w:hint="eastAsia" w:ascii="宋体" w:hAnsi="宋体"/>
                <w:color w:val="auto"/>
                <w:szCs w:val="21"/>
                <w:highlight w:val="none"/>
              </w:rPr>
            </w:pPr>
            <w:r>
              <w:rPr>
                <w:rFonts w:hint="eastAsia" w:ascii="宋体"/>
                <w:color w:val="auto"/>
                <w:szCs w:val="21"/>
                <w:highlight w:val="none"/>
              </w:rPr>
              <w:t>重要要求</w:t>
            </w:r>
          </w:p>
        </w:tc>
        <w:tc>
          <w:tcPr>
            <w:tcW w:w="5296" w:type="dxa"/>
            <w:noWrap w:val="0"/>
            <w:vAlign w:val="center"/>
          </w:tcPr>
          <w:p w14:paraId="79A3823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（1）法定代表人身份证明和本人有效身份证(或法定代表人授权委托书和委托代理人有效身份证)</w:t>
            </w:r>
          </w:p>
        </w:tc>
        <w:tc>
          <w:tcPr>
            <w:tcW w:w="2757" w:type="dxa"/>
            <w:noWrap w:val="0"/>
            <w:vAlign w:val="center"/>
          </w:tcPr>
          <w:p w14:paraId="2714234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olor w:val="auto"/>
                <w:szCs w:val="21"/>
                <w:highlight w:val="none"/>
              </w:rPr>
            </w:pPr>
            <w:r>
              <w:rPr>
                <w:rFonts w:hint="eastAsia"/>
                <w:color w:val="auto"/>
                <w:highlight w:val="none"/>
              </w:rPr>
              <w:t>检验电子标书。</w:t>
            </w:r>
          </w:p>
        </w:tc>
      </w:tr>
      <w:tr w14:paraId="206B4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5" w:type="dxa"/>
            <w:vMerge w:val="restart"/>
            <w:noWrap w:val="0"/>
            <w:vAlign w:val="center"/>
          </w:tcPr>
          <w:p w14:paraId="399706DB">
            <w:pPr>
              <w:spacing w:line="320" w:lineRule="exact"/>
              <w:jc w:val="center"/>
              <w:rPr>
                <w:rFonts w:hint="eastAsia" w:ascii="宋体" w:hAnsi="宋体"/>
                <w:color w:val="auto"/>
                <w:szCs w:val="21"/>
                <w:highlight w:val="none"/>
              </w:rPr>
            </w:pPr>
            <w:r>
              <w:rPr>
                <w:rFonts w:hint="eastAsia" w:ascii="宋体" w:hAnsi="宋体"/>
                <w:color w:val="auto"/>
                <w:szCs w:val="21"/>
                <w:highlight w:val="none"/>
              </w:rPr>
              <w:t>2</w:t>
            </w:r>
          </w:p>
        </w:tc>
        <w:tc>
          <w:tcPr>
            <w:tcW w:w="1235" w:type="dxa"/>
            <w:vMerge w:val="restart"/>
            <w:noWrap w:val="0"/>
            <w:vAlign w:val="center"/>
          </w:tcPr>
          <w:p w14:paraId="5C913C04">
            <w:pPr>
              <w:spacing w:line="320" w:lineRule="exact"/>
              <w:rPr>
                <w:rFonts w:hint="eastAsia" w:ascii="宋体" w:hAnsi="宋体"/>
                <w:color w:val="auto"/>
                <w:szCs w:val="21"/>
                <w:highlight w:val="none"/>
              </w:rPr>
            </w:pPr>
            <w:r>
              <w:rPr>
                <w:rFonts w:hint="eastAsia" w:ascii="宋体" w:hAnsi="宋体"/>
                <w:color w:val="auto"/>
                <w:szCs w:val="21"/>
                <w:highlight w:val="none"/>
              </w:rPr>
              <w:t>投标人应符合的基本资格条件</w:t>
            </w:r>
          </w:p>
        </w:tc>
        <w:tc>
          <w:tcPr>
            <w:tcW w:w="5296" w:type="dxa"/>
            <w:noWrap w:val="0"/>
            <w:vAlign w:val="center"/>
          </w:tcPr>
          <w:p w14:paraId="3C024E8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）具有为本项目提供相应服务的能力</w:t>
            </w:r>
          </w:p>
        </w:tc>
        <w:tc>
          <w:tcPr>
            <w:tcW w:w="2757" w:type="dxa"/>
            <w:noWrap w:val="0"/>
            <w:vAlign w:val="center"/>
          </w:tcPr>
          <w:p w14:paraId="607FD99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auto"/>
                <w:szCs w:val="21"/>
                <w:highlight w:val="none"/>
              </w:rPr>
            </w:pPr>
            <w:r>
              <w:rPr>
                <w:rFonts w:hint="eastAsia" w:ascii="宋体"/>
                <w:b/>
                <w:color w:val="auto"/>
                <w:szCs w:val="21"/>
                <w:highlight w:val="none"/>
              </w:rPr>
              <w:t>评审核验电子标书中的下列证书、证明材料：</w:t>
            </w:r>
          </w:p>
          <w:p w14:paraId="734641F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olor w:val="auto"/>
                <w:szCs w:val="21"/>
                <w:highlight w:val="none"/>
              </w:rPr>
            </w:pPr>
            <w:r>
              <w:rPr>
                <w:rFonts w:hint="eastAsia"/>
                <w:color w:val="auto"/>
                <w:highlight w:val="none"/>
              </w:rPr>
              <w:t>投标人有效的营业执照、税务登记证、组</w:t>
            </w:r>
            <w:r>
              <w:rPr>
                <w:rFonts w:hint="eastAsia" w:ascii="Times New Roman" w:hAnsi="Times New Roman" w:eastAsia="宋体" w:cs="Times New Roman"/>
                <w:color w:val="auto"/>
                <w:highlight w:val="none"/>
              </w:rPr>
              <w:t>织机构码证（或“三证合一证书”）</w:t>
            </w:r>
          </w:p>
        </w:tc>
      </w:tr>
      <w:tr w14:paraId="7F074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21878E8D">
            <w:pPr>
              <w:spacing w:line="320" w:lineRule="exact"/>
              <w:jc w:val="center"/>
              <w:rPr>
                <w:rFonts w:hint="eastAsia" w:ascii="宋体" w:hAnsi="宋体"/>
                <w:color w:val="auto"/>
                <w:szCs w:val="21"/>
                <w:highlight w:val="none"/>
              </w:rPr>
            </w:pPr>
          </w:p>
        </w:tc>
        <w:tc>
          <w:tcPr>
            <w:tcW w:w="1235" w:type="dxa"/>
            <w:vMerge w:val="continue"/>
            <w:noWrap w:val="0"/>
            <w:vAlign w:val="center"/>
          </w:tcPr>
          <w:p w14:paraId="7227E239">
            <w:pPr>
              <w:spacing w:line="320" w:lineRule="exact"/>
              <w:rPr>
                <w:rFonts w:hint="eastAsia" w:ascii="宋体" w:hAnsi="宋体"/>
                <w:color w:val="auto"/>
                <w:szCs w:val="21"/>
                <w:highlight w:val="none"/>
              </w:rPr>
            </w:pPr>
          </w:p>
        </w:tc>
        <w:tc>
          <w:tcPr>
            <w:tcW w:w="5296" w:type="dxa"/>
            <w:noWrap w:val="0"/>
            <w:vAlign w:val="center"/>
          </w:tcPr>
          <w:p w14:paraId="4520121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（3）拟派项目负责人证书</w:t>
            </w:r>
          </w:p>
        </w:tc>
        <w:tc>
          <w:tcPr>
            <w:tcW w:w="2757" w:type="dxa"/>
            <w:noWrap w:val="0"/>
            <w:vAlign w:val="center"/>
          </w:tcPr>
          <w:p w14:paraId="2E0E8AE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b/>
                <w:color w:val="auto"/>
                <w:szCs w:val="21"/>
                <w:highlight w:val="none"/>
              </w:rPr>
            </w:pPr>
            <w:r>
              <w:rPr>
                <w:rFonts w:hint="eastAsia"/>
                <w:color w:val="auto"/>
                <w:highlight w:val="none"/>
              </w:rPr>
              <w:t>检验电子标书</w:t>
            </w:r>
          </w:p>
        </w:tc>
      </w:tr>
      <w:tr w14:paraId="5B8A9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3DD7B0EC">
            <w:pPr>
              <w:spacing w:line="320" w:lineRule="exact"/>
              <w:jc w:val="center"/>
              <w:rPr>
                <w:rFonts w:hint="eastAsia" w:ascii="宋体" w:hAnsi="宋体"/>
                <w:color w:val="auto"/>
                <w:szCs w:val="21"/>
                <w:highlight w:val="none"/>
              </w:rPr>
            </w:pPr>
          </w:p>
        </w:tc>
        <w:tc>
          <w:tcPr>
            <w:tcW w:w="1235" w:type="dxa"/>
            <w:vMerge w:val="continue"/>
            <w:noWrap w:val="0"/>
            <w:vAlign w:val="center"/>
          </w:tcPr>
          <w:p w14:paraId="2744FACC">
            <w:pPr>
              <w:spacing w:line="320" w:lineRule="exact"/>
              <w:rPr>
                <w:rFonts w:hint="eastAsia" w:ascii="宋体" w:hAnsi="宋体"/>
                <w:color w:val="auto"/>
                <w:szCs w:val="21"/>
                <w:highlight w:val="none"/>
              </w:rPr>
            </w:pPr>
          </w:p>
        </w:tc>
        <w:tc>
          <w:tcPr>
            <w:tcW w:w="5296" w:type="dxa"/>
            <w:noWrap w:val="0"/>
            <w:vAlign w:val="center"/>
          </w:tcPr>
          <w:p w14:paraId="69BC9D2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项目人员配备表</w:t>
            </w:r>
          </w:p>
        </w:tc>
        <w:tc>
          <w:tcPr>
            <w:tcW w:w="2757" w:type="dxa"/>
            <w:noWrap w:val="0"/>
            <w:vAlign w:val="center"/>
          </w:tcPr>
          <w:p w14:paraId="68DD7B7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color w:val="auto"/>
                <w:highlight w:val="none"/>
              </w:rPr>
            </w:pPr>
            <w:r>
              <w:rPr>
                <w:rFonts w:hint="eastAsia"/>
                <w:color w:val="auto"/>
                <w:highlight w:val="none"/>
              </w:rPr>
              <w:t>格式见附件，检验电子标书</w:t>
            </w:r>
          </w:p>
        </w:tc>
      </w:tr>
      <w:tr w14:paraId="5EF37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40F8812C">
            <w:pPr>
              <w:spacing w:line="320" w:lineRule="exact"/>
              <w:jc w:val="center"/>
              <w:rPr>
                <w:rFonts w:hint="eastAsia" w:ascii="宋体" w:hAnsi="宋体"/>
                <w:color w:val="auto"/>
                <w:szCs w:val="21"/>
                <w:highlight w:val="none"/>
              </w:rPr>
            </w:pPr>
          </w:p>
        </w:tc>
        <w:tc>
          <w:tcPr>
            <w:tcW w:w="1235" w:type="dxa"/>
            <w:vMerge w:val="continue"/>
            <w:noWrap w:val="0"/>
            <w:vAlign w:val="center"/>
          </w:tcPr>
          <w:p w14:paraId="63886723">
            <w:pPr>
              <w:spacing w:line="320" w:lineRule="exact"/>
              <w:rPr>
                <w:rFonts w:hint="eastAsia" w:ascii="宋体" w:hAnsi="宋体"/>
                <w:color w:val="auto"/>
                <w:szCs w:val="21"/>
                <w:highlight w:val="none"/>
              </w:rPr>
            </w:pPr>
          </w:p>
        </w:tc>
        <w:tc>
          <w:tcPr>
            <w:tcW w:w="5296" w:type="dxa"/>
            <w:noWrap w:val="0"/>
            <w:vAlign w:val="center"/>
          </w:tcPr>
          <w:p w14:paraId="2A2A922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5</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投标人须提供法定代表人（或委托代理人）及拟派的上述项目负责人和项目组成员须持有社保部门出具的本单位为其缴纳的投标前近三个月的养老保险证明材料；投标人是事业单位的，须其主管部门出具证明（证明文件两个月内有效）；注：若投标人拟派的项目负责人为已退休人员，须同时提供①退休证明材料；②与投标人签订的返聘劳动合同；③项目负责人社保卡所在银行出具的退休工资流水；④银行出具的工资流水和返聘单位出具的工资表（加盖返聘单位公章，现聘用单位（投标人）所发工资）。</w:t>
            </w:r>
          </w:p>
        </w:tc>
        <w:tc>
          <w:tcPr>
            <w:tcW w:w="2757" w:type="dxa"/>
            <w:noWrap w:val="0"/>
            <w:vAlign w:val="center"/>
          </w:tcPr>
          <w:p w14:paraId="48FC561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color w:val="auto"/>
                <w:highlight w:val="none"/>
              </w:rPr>
            </w:pPr>
            <w:r>
              <w:rPr>
                <w:rFonts w:hint="eastAsia"/>
                <w:color w:val="auto"/>
                <w:highlight w:val="none"/>
              </w:rPr>
              <w:t>检验电子标书</w:t>
            </w:r>
          </w:p>
        </w:tc>
      </w:tr>
      <w:tr w14:paraId="646EF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25" w:type="dxa"/>
            <w:vMerge w:val="continue"/>
            <w:noWrap w:val="0"/>
            <w:vAlign w:val="center"/>
          </w:tcPr>
          <w:p w14:paraId="1E9B2A14">
            <w:pPr>
              <w:spacing w:line="320" w:lineRule="exact"/>
              <w:jc w:val="center"/>
              <w:rPr>
                <w:rFonts w:hint="eastAsia" w:ascii="宋体" w:hAnsi="宋体"/>
                <w:color w:val="auto"/>
                <w:szCs w:val="21"/>
                <w:highlight w:val="none"/>
              </w:rPr>
            </w:pPr>
          </w:p>
        </w:tc>
        <w:tc>
          <w:tcPr>
            <w:tcW w:w="1235" w:type="dxa"/>
            <w:vMerge w:val="continue"/>
            <w:noWrap w:val="0"/>
            <w:vAlign w:val="center"/>
          </w:tcPr>
          <w:p w14:paraId="2546461F">
            <w:pPr>
              <w:spacing w:line="320" w:lineRule="exact"/>
              <w:rPr>
                <w:rFonts w:hint="eastAsia" w:ascii="宋体" w:hAnsi="宋体"/>
                <w:color w:val="auto"/>
                <w:szCs w:val="21"/>
                <w:highlight w:val="none"/>
              </w:rPr>
            </w:pPr>
          </w:p>
        </w:tc>
        <w:tc>
          <w:tcPr>
            <w:tcW w:w="5296" w:type="dxa"/>
            <w:noWrap w:val="0"/>
            <w:vAlign w:val="center"/>
          </w:tcPr>
          <w:p w14:paraId="202375E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）投标函</w:t>
            </w:r>
          </w:p>
        </w:tc>
        <w:tc>
          <w:tcPr>
            <w:tcW w:w="2757" w:type="dxa"/>
            <w:noWrap w:val="0"/>
            <w:vAlign w:val="center"/>
          </w:tcPr>
          <w:p w14:paraId="3BC905C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color w:val="auto"/>
                <w:highlight w:val="none"/>
              </w:rPr>
            </w:pPr>
            <w:r>
              <w:rPr>
                <w:rFonts w:hint="eastAsia"/>
                <w:color w:val="auto"/>
                <w:highlight w:val="none"/>
              </w:rPr>
              <w:t>格式见附件，检验电子标书</w:t>
            </w:r>
          </w:p>
        </w:tc>
      </w:tr>
    </w:tbl>
    <w:p w14:paraId="609AB6C5">
      <w:pPr>
        <w:spacing w:line="400" w:lineRule="exact"/>
        <w:rPr>
          <w:rFonts w:hint="eastAsia" w:ascii="宋体" w:hAnsi="宋体"/>
          <w:b/>
          <w:color w:val="auto"/>
          <w:szCs w:val="21"/>
          <w:highlight w:val="none"/>
        </w:rPr>
      </w:pPr>
      <w:r>
        <w:rPr>
          <w:rFonts w:hint="eastAsia" w:ascii="宋体"/>
          <w:b/>
          <w:color w:val="auto"/>
          <w:szCs w:val="21"/>
          <w:highlight w:val="none"/>
          <w:lang w:val="en-US" w:eastAsia="zh-CN"/>
        </w:rPr>
        <w:t xml:space="preserve">3.2 </w:t>
      </w:r>
      <w:r>
        <w:rPr>
          <w:rFonts w:hint="eastAsia" w:ascii="宋体" w:hAnsi="宋体"/>
          <w:b/>
          <w:color w:val="auto"/>
          <w:szCs w:val="21"/>
          <w:highlight w:val="none"/>
        </w:rPr>
        <w:t>如评标专家在检验电子投标文件过程中，如果由于投标人自身原因导致评标专家无法查看并检验电子投标文件中相关资料的，否决其投标。即使投标人将原件携带至现场的，同样按否决投标处理。</w:t>
      </w:r>
    </w:p>
    <w:p w14:paraId="5DB09720">
      <w:pPr>
        <w:spacing w:line="440" w:lineRule="exact"/>
        <w:rPr>
          <w:rFonts w:hint="eastAsia" w:ascii="宋体"/>
          <w:b/>
          <w:color w:val="auto"/>
          <w:szCs w:val="21"/>
          <w:highlight w:val="none"/>
        </w:rPr>
      </w:pPr>
      <w:r>
        <w:rPr>
          <w:rFonts w:hint="eastAsia" w:ascii="宋体" w:hAnsi="宋体"/>
          <w:b/>
          <w:color w:val="auto"/>
          <w:szCs w:val="21"/>
          <w:highlight w:val="none"/>
        </w:rPr>
        <w:t>3.</w:t>
      </w:r>
      <w:r>
        <w:rPr>
          <w:rFonts w:hint="eastAsia" w:ascii="宋体" w:hAnsi="宋体"/>
          <w:b/>
          <w:color w:val="auto"/>
          <w:szCs w:val="21"/>
          <w:highlight w:val="none"/>
          <w:lang w:val="en-US" w:eastAsia="zh-CN"/>
        </w:rPr>
        <w:t>3</w:t>
      </w:r>
      <w:r>
        <w:rPr>
          <w:rFonts w:hint="eastAsia" w:ascii="宋体" w:hAnsi="宋体"/>
          <w:b/>
          <w:color w:val="auto"/>
          <w:szCs w:val="21"/>
          <w:highlight w:val="none"/>
        </w:rPr>
        <w:t>招标文件中资格审查及评标细则中涉及到的投标人需要提供企业的相关证书扫描件，如企业的资格证书、营业执照（或三证合一的有效证件）等可以提供公证件扫描件，公证件扫描件的效力等同于原件扫描件。交易活动资格审查和评标环节中，凡是要求提供相关证书或证明原件扫描件的，投标企业均可以提供带官方二维码的相关证书（证明）复印件扫描件替代原件扫描件，但投标企业自行承担复印件扫描件二维码不清晰，无法扫描，可能导致资格审查不通过的后果</w:t>
      </w:r>
      <w:r>
        <w:rPr>
          <w:rFonts w:hint="eastAsia" w:ascii="宋体"/>
          <w:b/>
          <w:color w:val="auto"/>
          <w:szCs w:val="21"/>
          <w:highlight w:val="none"/>
          <w:lang w:val="en-US" w:eastAsia="zh-CN"/>
        </w:rPr>
        <w:t xml:space="preserve">。 </w:t>
      </w:r>
    </w:p>
    <w:p w14:paraId="3E11B30C">
      <w:pPr>
        <w:spacing w:line="440" w:lineRule="exact"/>
        <w:ind w:firstLine="310" w:firstLineChars="147"/>
        <w:rPr>
          <w:rFonts w:hint="eastAsia" w:ascii="宋体"/>
          <w:b/>
          <w:color w:val="auto"/>
          <w:szCs w:val="21"/>
          <w:highlight w:val="none"/>
        </w:rPr>
      </w:pPr>
      <w:r>
        <w:rPr>
          <w:rFonts w:hint="eastAsia" w:ascii="宋体"/>
          <w:b/>
          <w:color w:val="auto"/>
          <w:szCs w:val="21"/>
          <w:highlight w:val="none"/>
        </w:rPr>
        <w:t>4.符合性审查</w:t>
      </w:r>
    </w:p>
    <w:p w14:paraId="52B4741C">
      <w:pPr>
        <w:spacing w:line="440" w:lineRule="exact"/>
        <w:ind w:firstLine="315" w:firstLineChars="150"/>
        <w:rPr>
          <w:rFonts w:hint="eastAsia" w:ascii="宋体"/>
          <w:color w:val="auto"/>
          <w:szCs w:val="21"/>
          <w:highlight w:val="none"/>
        </w:rPr>
      </w:pPr>
      <w:r>
        <w:rPr>
          <w:rFonts w:hint="eastAsia" w:ascii="宋体"/>
          <w:color w:val="auto"/>
          <w:szCs w:val="21"/>
          <w:highlight w:val="none"/>
        </w:rPr>
        <w:t>4．1评审细则</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5101"/>
      </w:tblGrid>
      <w:tr w14:paraId="21C10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1" w:type="dxa"/>
            <w:noWrap w:val="0"/>
            <w:vAlign w:val="center"/>
          </w:tcPr>
          <w:p w14:paraId="44B6CA4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eastAsia="黑体" w:cs="黑体"/>
                <w:b/>
                <w:bCs/>
                <w:color w:val="auto"/>
                <w:szCs w:val="21"/>
                <w:highlight w:val="none"/>
              </w:rPr>
            </w:pPr>
            <w:r>
              <w:rPr>
                <w:rFonts w:hint="eastAsia" w:ascii="黑体" w:eastAsia="黑体" w:cs="黑体"/>
                <w:b/>
                <w:bCs/>
                <w:color w:val="auto"/>
                <w:szCs w:val="21"/>
                <w:highlight w:val="none"/>
              </w:rPr>
              <w:t>序号</w:t>
            </w:r>
          </w:p>
        </w:tc>
        <w:tc>
          <w:tcPr>
            <w:tcW w:w="4135" w:type="dxa"/>
            <w:gridSpan w:val="2"/>
            <w:noWrap w:val="0"/>
            <w:vAlign w:val="center"/>
          </w:tcPr>
          <w:p w14:paraId="39163DA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eastAsia="黑体" w:cs="黑体"/>
                <w:b/>
                <w:bCs/>
                <w:color w:val="auto"/>
                <w:szCs w:val="21"/>
                <w:highlight w:val="none"/>
              </w:rPr>
            </w:pPr>
            <w:r>
              <w:rPr>
                <w:rFonts w:hint="eastAsia" w:ascii="黑体" w:eastAsia="黑体" w:cs="黑体"/>
                <w:b/>
                <w:bCs/>
                <w:color w:val="auto"/>
                <w:szCs w:val="21"/>
                <w:highlight w:val="none"/>
              </w:rPr>
              <w:t>审查因素</w:t>
            </w:r>
          </w:p>
        </w:tc>
        <w:tc>
          <w:tcPr>
            <w:tcW w:w="5101" w:type="dxa"/>
            <w:noWrap w:val="0"/>
            <w:vAlign w:val="center"/>
          </w:tcPr>
          <w:p w14:paraId="40130CA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eastAsia="黑体" w:cs="黑体"/>
                <w:b/>
                <w:bCs/>
                <w:color w:val="auto"/>
                <w:szCs w:val="21"/>
                <w:highlight w:val="none"/>
              </w:rPr>
            </w:pPr>
            <w:r>
              <w:rPr>
                <w:rFonts w:hint="eastAsia" w:ascii="黑体" w:eastAsia="黑体" w:cs="黑体"/>
                <w:b/>
                <w:bCs/>
                <w:color w:val="auto"/>
                <w:szCs w:val="21"/>
                <w:highlight w:val="none"/>
              </w:rPr>
              <w:t>审查内容</w:t>
            </w:r>
          </w:p>
        </w:tc>
      </w:tr>
      <w:tr w14:paraId="69728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731" w:type="dxa"/>
            <w:vMerge w:val="restart"/>
            <w:noWrap w:val="0"/>
            <w:vAlign w:val="center"/>
          </w:tcPr>
          <w:p w14:paraId="5E30E1A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color w:val="auto"/>
                <w:szCs w:val="21"/>
                <w:highlight w:val="none"/>
              </w:rPr>
            </w:pPr>
            <w:r>
              <w:rPr>
                <w:rFonts w:hint="eastAsia" w:ascii="宋体"/>
                <w:color w:val="auto"/>
                <w:szCs w:val="21"/>
                <w:highlight w:val="none"/>
              </w:rPr>
              <w:t>1</w:t>
            </w:r>
          </w:p>
        </w:tc>
        <w:tc>
          <w:tcPr>
            <w:tcW w:w="1204" w:type="dxa"/>
            <w:vMerge w:val="restart"/>
            <w:noWrap w:val="0"/>
            <w:vAlign w:val="center"/>
          </w:tcPr>
          <w:p w14:paraId="14328F5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仿宋_GB2312"/>
                <w:color w:val="auto"/>
                <w:szCs w:val="21"/>
                <w:highlight w:val="none"/>
                <w:lang w:val="zh-CN"/>
              </w:rPr>
            </w:pPr>
            <w:r>
              <w:rPr>
                <w:rFonts w:hint="eastAsia" w:ascii="宋体" w:cs="仿宋_GB2312"/>
                <w:color w:val="auto"/>
                <w:szCs w:val="21"/>
                <w:highlight w:val="none"/>
                <w:lang w:val="zh-CN"/>
              </w:rPr>
              <w:t>投标文件的有效性</w:t>
            </w:r>
          </w:p>
        </w:tc>
        <w:tc>
          <w:tcPr>
            <w:tcW w:w="2931" w:type="dxa"/>
            <w:noWrap w:val="0"/>
            <w:vAlign w:val="center"/>
          </w:tcPr>
          <w:p w14:paraId="0151183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仿宋_GB2312"/>
                <w:color w:val="auto"/>
                <w:szCs w:val="21"/>
                <w:highlight w:val="none"/>
                <w:lang w:val="zh-CN"/>
              </w:rPr>
            </w:pPr>
            <w:r>
              <w:rPr>
                <w:rFonts w:hint="eastAsia" w:ascii="宋体" w:cs="仿宋_GB2312"/>
                <w:color w:val="auto"/>
                <w:szCs w:val="21"/>
                <w:highlight w:val="none"/>
                <w:lang w:val="zh-CN"/>
              </w:rPr>
              <w:t>（1）投标文件签署</w:t>
            </w:r>
          </w:p>
        </w:tc>
        <w:tc>
          <w:tcPr>
            <w:tcW w:w="5101" w:type="dxa"/>
            <w:noWrap w:val="0"/>
            <w:vAlign w:val="center"/>
          </w:tcPr>
          <w:p w14:paraId="1DA41EB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仿宋_GB2312"/>
                <w:color w:val="auto"/>
                <w:szCs w:val="21"/>
                <w:highlight w:val="none"/>
                <w:lang w:val="zh-CN"/>
              </w:rPr>
            </w:pPr>
            <w:r>
              <w:rPr>
                <w:rFonts w:hint="eastAsia" w:ascii="宋体" w:cs="仿宋_GB2312"/>
                <w:color w:val="auto"/>
                <w:szCs w:val="21"/>
                <w:highlight w:val="none"/>
                <w:lang w:val="zh-CN"/>
              </w:rPr>
              <w:t>签字、盖章符合要求。</w:t>
            </w:r>
          </w:p>
        </w:tc>
      </w:tr>
      <w:tr w14:paraId="553F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31" w:type="dxa"/>
            <w:vMerge w:val="continue"/>
            <w:noWrap w:val="0"/>
            <w:vAlign w:val="center"/>
          </w:tcPr>
          <w:p w14:paraId="7905205E">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highlight w:val="none"/>
              </w:rPr>
            </w:pPr>
          </w:p>
        </w:tc>
        <w:tc>
          <w:tcPr>
            <w:tcW w:w="1204" w:type="dxa"/>
            <w:vMerge w:val="continue"/>
            <w:noWrap w:val="0"/>
            <w:vAlign w:val="center"/>
          </w:tcPr>
          <w:p w14:paraId="0C50280C">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highlight w:val="none"/>
              </w:rPr>
            </w:pPr>
          </w:p>
        </w:tc>
        <w:tc>
          <w:tcPr>
            <w:tcW w:w="2931" w:type="dxa"/>
            <w:noWrap w:val="0"/>
            <w:vAlign w:val="center"/>
          </w:tcPr>
          <w:p w14:paraId="3A2D0D4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仿宋_GB2312"/>
                <w:color w:val="auto"/>
                <w:szCs w:val="21"/>
                <w:highlight w:val="none"/>
                <w:lang w:val="zh-CN"/>
              </w:rPr>
            </w:pPr>
            <w:r>
              <w:rPr>
                <w:rFonts w:hint="eastAsia" w:ascii="宋体" w:cs="仿宋_GB2312"/>
                <w:color w:val="auto"/>
                <w:szCs w:val="21"/>
                <w:highlight w:val="none"/>
                <w:lang w:val="zh-CN"/>
              </w:rPr>
              <w:t>（2）投标方案</w:t>
            </w:r>
          </w:p>
        </w:tc>
        <w:tc>
          <w:tcPr>
            <w:tcW w:w="5101" w:type="dxa"/>
            <w:noWrap w:val="0"/>
            <w:vAlign w:val="center"/>
          </w:tcPr>
          <w:p w14:paraId="4924086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宋体"/>
                <w:color w:val="auto"/>
                <w:szCs w:val="21"/>
                <w:highlight w:val="none"/>
              </w:rPr>
            </w:pPr>
            <w:r>
              <w:rPr>
                <w:rFonts w:hint="eastAsia" w:ascii="宋体" w:hAnsi="宋体" w:cs="仿宋_GB2312"/>
                <w:color w:val="auto"/>
                <w:szCs w:val="21"/>
                <w:highlight w:val="none"/>
                <w:lang w:val="zh-CN"/>
              </w:rPr>
              <w:t>每个分包只能有一个方案投标。</w:t>
            </w:r>
          </w:p>
        </w:tc>
      </w:tr>
      <w:tr w14:paraId="3DA8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1" w:type="dxa"/>
            <w:vMerge w:val="continue"/>
            <w:noWrap w:val="0"/>
            <w:vAlign w:val="center"/>
          </w:tcPr>
          <w:p w14:paraId="3B748B3B">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highlight w:val="none"/>
              </w:rPr>
            </w:pPr>
          </w:p>
        </w:tc>
        <w:tc>
          <w:tcPr>
            <w:tcW w:w="1204" w:type="dxa"/>
            <w:vMerge w:val="continue"/>
            <w:noWrap w:val="0"/>
            <w:vAlign w:val="center"/>
          </w:tcPr>
          <w:p w14:paraId="58AA67A8">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highlight w:val="none"/>
              </w:rPr>
            </w:pPr>
          </w:p>
        </w:tc>
        <w:tc>
          <w:tcPr>
            <w:tcW w:w="2931" w:type="dxa"/>
            <w:noWrap w:val="0"/>
            <w:vAlign w:val="center"/>
          </w:tcPr>
          <w:p w14:paraId="16A8D7B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仿宋_GB2312"/>
                <w:color w:val="auto"/>
                <w:szCs w:val="21"/>
                <w:highlight w:val="none"/>
                <w:lang w:val="zh-CN"/>
              </w:rPr>
            </w:pPr>
            <w:r>
              <w:rPr>
                <w:rFonts w:hint="eastAsia" w:ascii="宋体"/>
                <w:color w:val="auto"/>
                <w:szCs w:val="21"/>
                <w:highlight w:val="none"/>
              </w:rPr>
              <w:t>（3）报价唯一</w:t>
            </w:r>
          </w:p>
        </w:tc>
        <w:tc>
          <w:tcPr>
            <w:tcW w:w="5101" w:type="dxa"/>
            <w:noWrap w:val="0"/>
            <w:vAlign w:val="center"/>
          </w:tcPr>
          <w:p w14:paraId="5B76B05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宋体"/>
                <w:color w:val="auto"/>
                <w:szCs w:val="21"/>
                <w:highlight w:val="none"/>
              </w:rPr>
            </w:pPr>
            <w:r>
              <w:rPr>
                <w:rFonts w:hint="eastAsia" w:ascii="宋体" w:cs="仿宋_GB2312"/>
                <w:color w:val="auto"/>
                <w:szCs w:val="21"/>
                <w:highlight w:val="none"/>
                <w:lang w:val="zh-CN"/>
              </w:rPr>
              <w:t>只能在限价范围内报价，</w:t>
            </w:r>
            <w:r>
              <w:rPr>
                <w:rFonts w:hint="eastAsia" w:ascii="宋体"/>
                <w:color w:val="auto"/>
                <w:szCs w:val="21"/>
                <w:highlight w:val="none"/>
              </w:rPr>
              <w:t>只能有一个有效报价，不得提交选择性报价。</w:t>
            </w:r>
          </w:p>
        </w:tc>
      </w:tr>
      <w:tr w14:paraId="6D9BF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31" w:type="dxa"/>
            <w:vMerge w:val="continue"/>
            <w:noWrap w:val="0"/>
            <w:vAlign w:val="center"/>
          </w:tcPr>
          <w:p w14:paraId="5BB5A752">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highlight w:val="none"/>
              </w:rPr>
            </w:pPr>
          </w:p>
        </w:tc>
        <w:tc>
          <w:tcPr>
            <w:tcW w:w="1204" w:type="dxa"/>
            <w:vMerge w:val="continue"/>
            <w:noWrap w:val="0"/>
            <w:vAlign w:val="center"/>
          </w:tcPr>
          <w:p w14:paraId="3D464BDC">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highlight w:val="none"/>
              </w:rPr>
            </w:pPr>
          </w:p>
        </w:tc>
        <w:tc>
          <w:tcPr>
            <w:tcW w:w="2931" w:type="dxa"/>
            <w:noWrap w:val="0"/>
            <w:vAlign w:val="center"/>
          </w:tcPr>
          <w:p w14:paraId="1570C2C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olor w:val="auto"/>
                <w:szCs w:val="21"/>
                <w:highlight w:val="none"/>
              </w:rPr>
            </w:pPr>
            <w:r>
              <w:rPr>
                <w:rFonts w:hint="eastAsia" w:ascii="宋体"/>
                <w:color w:val="auto"/>
                <w:szCs w:val="21"/>
                <w:highlight w:val="none"/>
              </w:rPr>
              <w:t xml:space="preserve"> (4) 投标文件的有效期</w:t>
            </w:r>
          </w:p>
        </w:tc>
        <w:tc>
          <w:tcPr>
            <w:tcW w:w="5101" w:type="dxa"/>
            <w:noWrap w:val="0"/>
            <w:vAlign w:val="center"/>
          </w:tcPr>
          <w:p w14:paraId="0A10476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仿宋_GB2312"/>
                <w:color w:val="auto"/>
                <w:szCs w:val="21"/>
                <w:highlight w:val="none"/>
                <w:lang w:val="zh-CN"/>
              </w:rPr>
            </w:pPr>
            <w:r>
              <w:rPr>
                <w:rFonts w:hint="eastAsia" w:ascii="宋体" w:cs="仿宋_GB2312"/>
                <w:color w:val="auto"/>
                <w:szCs w:val="21"/>
                <w:highlight w:val="none"/>
                <w:lang w:val="zh-CN"/>
              </w:rPr>
              <w:t>完全响应。</w:t>
            </w:r>
          </w:p>
        </w:tc>
      </w:tr>
      <w:tr w14:paraId="4B6B4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731" w:type="dxa"/>
            <w:vMerge w:val="restart"/>
            <w:noWrap w:val="0"/>
            <w:vAlign w:val="center"/>
          </w:tcPr>
          <w:p w14:paraId="4503882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color w:val="auto"/>
                <w:szCs w:val="21"/>
                <w:highlight w:val="none"/>
              </w:rPr>
            </w:pPr>
            <w:r>
              <w:rPr>
                <w:rFonts w:hint="eastAsia" w:ascii="宋体"/>
                <w:color w:val="auto"/>
                <w:szCs w:val="21"/>
                <w:highlight w:val="none"/>
              </w:rPr>
              <w:t>2</w:t>
            </w:r>
          </w:p>
        </w:tc>
        <w:tc>
          <w:tcPr>
            <w:tcW w:w="1204" w:type="dxa"/>
            <w:vMerge w:val="restart"/>
            <w:noWrap w:val="0"/>
            <w:vAlign w:val="center"/>
          </w:tcPr>
          <w:p w14:paraId="7F32534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仿宋_GB2312"/>
                <w:color w:val="auto"/>
                <w:szCs w:val="21"/>
                <w:highlight w:val="none"/>
                <w:lang w:val="zh-CN"/>
              </w:rPr>
            </w:pPr>
            <w:r>
              <w:rPr>
                <w:rFonts w:hint="eastAsia" w:ascii="宋体" w:cs="仿宋_GB2312"/>
                <w:color w:val="auto"/>
                <w:szCs w:val="21"/>
                <w:highlight w:val="none"/>
                <w:lang w:val="zh-CN"/>
              </w:rPr>
              <w:t>投标文件的完整性</w:t>
            </w:r>
          </w:p>
        </w:tc>
        <w:tc>
          <w:tcPr>
            <w:tcW w:w="2931" w:type="dxa"/>
            <w:noWrap w:val="0"/>
            <w:vAlign w:val="center"/>
          </w:tcPr>
          <w:p w14:paraId="5EF20D3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宋体"/>
                <w:color w:val="auto"/>
                <w:szCs w:val="21"/>
                <w:highlight w:val="none"/>
              </w:rPr>
            </w:pPr>
            <w:r>
              <w:rPr>
                <w:rFonts w:hint="eastAsia" w:ascii="宋体" w:cs="仿宋_GB2312"/>
                <w:color w:val="auto"/>
                <w:szCs w:val="21"/>
                <w:highlight w:val="none"/>
                <w:lang w:val="zh-CN"/>
              </w:rPr>
              <w:t>（5）投标文件份数</w:t>
            </w:r>
          </w:p>
        </w:tc>
        <w:tc>
          <w:tcPr>
            <w:tcW w:w="5101" w:type="dxa"/>
            <w:noWrap w:val="0"/>
            <w:vAlign w:val="center"/>
          </w:tcPr>
          <w:p w14:paraId="0504A0B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宋体"/>
                <w:color w:val="auto"/>
                <w:szCs w:val="21"/>
                <w:highlight w:val="none"/>
              </w:rPr>
            </w:pPr>
            <w:r>
              <w:rPr>
                <w:rFonts w:hint="eastAsia" w:ascii="宋体" w:hAnsi="宋体" w:cs="宋体"/>
                <w:color w:val="auto"/>
                <w:szCs w:val="21"/>
                <w:highlight w:val="none"/>
              </w:rPr>
              <w:t>网上递交的电子投标文件：一份</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p>
        </w:tc>
      </w:tr>
      <w:tr w14:paraId="2B6B6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14:paraId="54C11AB6">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highlight w:val="none"/>
              </w:rPr>
            </w:pPr>
          </w:p>
        </w:tc>
        <w:tc>
          <w:tcPr>
            <w:tcW w:w="1204" w:type="dxa"/>
            <w:vMerge w:val="continue"/>
            <w:noWrap w:val="0"/>
            <w:vAlign w:val="center"/>
          </w:tcPr>
          <w:p w14:paraId="068F4ED8">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highlight w:val="none"/>
              </w:rPr>
            </w:pPr>
          </w:p>
        </w:tc>
        <w:tc>
          <w:tcPr>
            <w:tcW w:w="2931" w:type="dxa"/>
            <w:noWrap w:val="0"/>
            <w:vAlign w:val="center"/>
          </w:tcPr>
          <w:p w14:paraId="5F71AFE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仿宋_GB2312"/>
                <w:color w:val="auto"/>
                <w:szCs w:val="21"/>
                <w:highlight w:val="none"/>
                <w:lang w:val="zh-CN"/>
              </w:rPr>
            </w:pPr>
            <w:r>
              <w:rPr>
                <w:rFonts w:hint="eastAsia" w:ascii="宋体" w:cs="仿宋_GB2312"/>
                <w:color w:val="auto"/>
                <w:szCs w:val="21"/>
                <w:highlight w:val="none"/>
                <w:lang w:val="zh-CN"/>
              </w:rPr>
              <w:t>（6）投标文件形式内容</w:t>
            </w:r>
          </w:p>
        </w:tc>
        <w:tc>
          <w:tcPr>
            <w:tcW w:w="5101" w:type="dxa"/>
            <w:noWrap w:val="0"/>
            <w:vAlign w:val="center"/>
          </w:tcPr>
          <w:p w14:paraId="253308E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仿宋_GB2312"/>
                <w:color w:val="auto"/>
                <w:szCs w:val="21"/>
                <w:highlight w:val="none"/>
                <w:lang w:val="zh-CN"/>
              </w:rPr>
            </w:pPr>
            <w:r>
              <w:rPr>
                <w:rFonts w:hint="eastAsia" w:ascii="宋体" w:cs="仿宋_GB2312"/>
                <w:color w:val="auto"/>
                <w:szCs w:val="21"/>
                <w:highlight w:val="none"/>
                <w:lang w:val="zh-CN"/>
              </w:rPr>
              <w:t>投标文件内容清晰、齐全无遗漏。</w:t>
            </w:r>
          </w:p>
        </w:tc>
      </w:tr>
    </w:tbl>
    <w:p w14:paraId="63A9902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rPr>
        <w:t>4.2资格审查及评分细则中涉及的有关证明材料及相关证书，电子投标文件中须按招标文件要求上传</w:t>
      </w:r>
      <w:r>
        <w:rPr>
          <w:rFonts w:hint="eastAsia" w:ascii="宋体" w:hAnsi="宋体"/>
          <w:b/>
          <w:color w:val="auto"/>
          <w:szCs w:val="21"/>
          <w:highlight w:val="none"/>
        </w:rPr>
        <w:t>扫描件</w:t>
      </w:r>
      <w:r>
        <w:rPr>
          <w:rFonts w:hint="eastAsia" w:ascii="宋体"/>
          <w:color w:val="auto"/>
          <w:szCs w:val="21"/>
          <w:highlight w:val="none"/>
        </w:rPr>
        <w:t>，以供审查。</w:t>
      </w:r>
    </w:p>
    <w:p w14:paraId="7F46A05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rPr>
        <w:t>4.3．评标委员会判定投标文件的响应性只根据投标文件本身的内容，而不寻求外部的证据，但投标有不真实不正确的内容时除外。</w:t>
      </w:r>
    </w:p>
    <w:p w14:paraId="12E29A7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bCs/>
          <w:color w:val="auto"/>
          <w:sz w:val="24"/>
          <w:szCs w:val="24"/>
          <w:highlight w:val="none"/>
        </w:rPr>
      </w:pPr>
      <w:r>
        <w:rPr>
          <w:rFonts w:hint="eastAsia" w:ascii="宋体"/>
          <w:color w:val="auto"/>
          <w:szCs w:val="21"/>
          <w:highlight w:val="none"/>
        </w:rPr>
        <w:t>4.4如果投标文件实质上没有响应招标文件的要求，评标委员会将予以拒绝，投标人不得通过修正或撤销不符合要求的偏离或保留，而使其投标成为实质上响应的投标。</w:t>
      </w:r>
    </w:p>
    <w:p w14:paraId="7D924252">
      <w:pPr>
        <w:keepNext w:val="0"/>
        <w:keepLines w:val="0"/>
        <w:pageBreakBefore w:val="0"/>
        <w:widowControl w:val="0"/>
        <w:kinsoku/>
        <w:wordWrap/>
        <w:overflowPunct/>
        <w:topLinePunct w:val="0"/>
        <w:autoSpaceDE/>
        <w:autoSpaceDN/>
        <w:bidi w:val="0"/>
        <w:adjustRightInd/>
        <w:snapToGrid/>
        <w:spacing w:before="313" w:beforeLines="100" w:line="440" w:lineRule="exact"/>
        <w:jc w:val="center"/>
        <w:textAlignment w:val="auto"/>
        <w:outlineLvl w:val="1"/>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投标文件的澄清和补正</w:t>
      </w:r>
      <w:bookmarkEnd w:id="64"/>
    </w:p>
    <w:p w14:paraId="4E35044F">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评审阶段，评委可能会要求有关投标人就其投标书中含义不明确、同类问题表述不一致或者有明显文字和计算错误的内容进行澄清。</w:t>
      </w:r>
      <w:r>
        <w:rPr>
          <w:rFonts w:hint="eastAsia" w:ascii="宋体" w:hAnsi="宋体" w:eastAsia="宋体" w:cs="宋体"/>
          <w:b/>
          <w:bCs/>
          <w:color w:val="auto"/>
          <w:sz w:val="21"/>
          <w:szCs w:val="21"/>
          <w:highlight w:val="none"/>
        </w:rPr>
        <w:t>如因投标人未参加开标导致开评标过程中无法澄清、说明或补正的，视同投标人放弃该权利。</w:t>
      </w:r>
    </w:p>
    <w:p w14:paraId="33FDDA61">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投标人的澄清、说明或者补</w:t>
      </w:r>
    </w:p>
    <w:p w14:paraId="267F1FA5">
      <w:pPr>
        <w:keepNext w:val="0"/>
        <w:keepLines w:val="0"/>
        <w:pageBreakBefore w:val="0"/>
        <w:widowControl w:val="0"/>
        <w:kinsoku/>
        <w:wordWrap/>
        <w:overflowPunct/>
        <w:topLinePunct w:val="0"/>
        <w:autoSpaceDE/>
        <w:autoSpaceDN/>
        <w:bidi w:val="0"/>
        <w:adjustRightInd/>
        <w:snapToGrid/>
        <w:spacing w:line="440" w:lineRule="exact"/>
        <w:ind w:firstLine="527" w:firstLineChars="250"/>
        <w:textAlignment w:val="auto"/>
        <w:rPr>
          <w:rFonts w:hint="eastAsia" w:ascii="宋体" w:hAnsi="宋体" w:eastAsia="宋体" w:cs="宋体"/>
          <w:color w:val="auto"/>
          <w:sz w:val="21"/>
          <w:szCs w:val="21"/>
          <w:highlight w:val="none"/>
        </w:rPr>
      </w:pPr>
      <w:r>
        <w:rPr>
          <w:rFonts w:hint="eastAsia" w:ascii="宋体" w:hAnsi="宋体" w:cs="宋体"/>
          <w:b/>
          <w:bCs/>
          <w:color w:val="auto"/>
          <w:szCs w:val="21"/>
          <w:highlight w:val="none"/>
          <w:lang w:val="en-US" w:eastAsia="zh-CN"/>
        </w:rPr>
        <w:t>本项目采用远程开标，具体操作方法详见服务指南&gt;交易须知&gt;开标大厅远程解密、质疑(异议)及回复以及评标过程中询标流程操作手册</w:t>
      </w:r>
      <w:r>
        <w:rPr>
          <w:rFonts w:hint="eastAsia" w:ascii="宋体" w:hAnsi="宋体" w:cs="宋体"/>
          <w:b/>
          <w:bCs/>
          <w:color w:val="auto"/>
          <w:szCs w:val="21"/>
          <w:highlight w:val="none"/>
        </w:rPr>
        <w:t>。</w:t>
      </w:r>
    </w:p>
    <w:p w14:paraId="23841C5D">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评委会修正错误的原则：</w:t>
      </w:r>
    </w:p>
    <w:p w14:paraId="1053594E">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如果数字表示的金额和用文字表示的金额不一致时，以文字表示的金额为准</w:t>
      </w:r>
      <w:r>
        <w:rPr>
          <w:rFonts w:hint="eastAsia" w:ascii="宋体" w:hAnsi="宋体" w:eastAsia="宋体" w:cs="宋体"/>
          <w:color w:val="auto"/>
          <w:sz w:val="21"/>
          <w:szCs w:val="21"/>
          <w:highlight w:val="none"/>
          <w:lang w:eastAsia="zh-CN"/>
        </w:rPr>
        <w:t>。</w:t>
      </w:r>
    </w:p>
    <w:p w14:paraId="2973CB46">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如果单价与数量的乘积和总价不一致，以单价为准，修正总价；当单价小数点有明显的错位时，评委会将以总价为准，并修正其单价；投标的数量与招标的数量不一致时，以招标数量为准。</w:t>
      </w:r>
    </w:p>
    <w:p w14:paraId="1138E099">
      <w:pPr>
        <w:keepNext w:val="0"/>
        <w:keepLines w:val="0"/>
        <w:pageBreakBefore w:val="0"/>
        <w:widowControl w:val="0"/>
        <w:kinsoku/>
        <w:wordWrap/>
        <w:overflowPunct/>
        <w:topLinePunct w:val="0"/>
        <w:autoSpaceDE/>
        <w:autoSpaceDN/>
        <w:bidi w:val="0"/>
        <w:adjustRightInd/>
        <w:snapToGrid/>
        <w:spacing w:line="440" w:lineRule="exact"/>
        <w:ind w:firstLine="403" w:firstLineChars="192"/>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评委会将按上述修正错误的方法调整投标文件中的投标报价，调整后的价格应对投标人具有约束力。无论投标人是接受或是拒绝调整后的价格，都应当由法定代表人（或委托代理人）签字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签章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予以确认。投标人拒绝对投标文件出现的错漏按上述原则进行修正、澄清、说明，评标委员会应当否决其投标。</w:t>
      </w:r>
    </w:p>
    <w:p w14:paraId="111B32F8">
      <w:pPr>
        <w:rPr>
          <w:rFonts w:hint="eastAsia" w:ascii="宋体" w:hAnsi="宋体" w:cs="宋体"/>
          <w:b/>
          <w:bCs/>
          <w:color w:val="auto"/>
          <w:sz w:val="24"/>
          <w:szCs w:val="24"/>
          <w:highlight w:val="none"/>
          <w:lang w:val="en-US" w:eastAsia="zh-CN"/>
        </w:rPr>
      </w:pPr>
      <w:bookmarkStart w:id="65" w:name="_Toc30419"/>
    </w:p>
    <w:p w14:paraId="49A6CEAA">
      <w:pPr>
        <w:keepNext w:val="0"/>
        <w:keepLines w:val="0"/>
        <w:pageBreakBefore w:val="0"/>
        <w:widowControl w:val="0"/>
        <w:kinsoku/>
        <w:wordWrap/>
        <w:overflowPunct/>
        <w:topLinePunct w:val="0"/>
        <w:autoSpaceDE/>
        <w:autoSpaceDN/>
        <w:bidi w:val="0"/>
        <w:adjustRightInd/>
        <w:snapToGrid/>
        <w:spacing w:before="313" w:beforeLines="100" w:line="440" w:lineRule="exact"/>
        <w:jc w:val="center"/>
        <w:textAlignment w:val="auto"/>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四、投标报价评分细则</w:t>
      </w:r>
      <w:bookmarkEnd w:id="65"/>
    </w:p>
    <w:tbl>
      <w:tblPr>
        <w:tblStyle w:val="45"/>
        <w:tblW w:w="9667"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49"/>
        <w:gridCol w:w="1842"/>
        <w:gridCol w:w="6067"/>
      </w:tblGrid>
      <w:tr w14:paraId="5A1E1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758" w:type="dxa"/>
            <w:gridSpan w:val="2"/>
            <w:vAlign w:val="center"/>
          </w:tcPr>
          <w:p w14:paraId="1460956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评审项</w:t>
            </w:r>
          </w:p>
        </w:tc>
        <w:tc>
          <w:tcPr>
            <w:tcW w:w="1842" w:type="dxa"/>
            <w:vAlign w:val="center"/>
          </w:tcPr>
          <w:p w14:paraId="2E66EDB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评审因素</w:t>
            </w:r>
          </w:p>
        </w:tc>
        <w:tc>
          <w:tcPr>
            <w:tcW w:w="6067" w:type="dxa"/>
            <w:vAlign w:val="center"/>
          </w:tcPr>
          <w:p w14:paraId="22D39B9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评审标准</w:t>
            </w:r>
          </w:p>
        </w:tc>
      </w:tr>
      <w:tr w14:paraId="5FC80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09" w:type="dxa"/>
            <w:vMerge w:val="restart"/>
            <w:vAlign w:val="center"/>
          </w:tcPr>
          <w:p w14:paraId="46BB242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49" w:type="dxa"/>
            <w:vMerge w:val="restart"/>
            <w:vAlign w:val="center"/>
          </w:tcPr>
          <w:p w14:paraId="4F9826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形式评审标准</w:t>
            </w:r>
          </w:p>
        </w:tc>
        <w:tc>
          <w:tcPr>
            <w:tcW w:w="1842" w:type="dxa"/>
            <w:vAlign w:val="center"/>
          </w:tcPr>
          <w:p w14:paraId="2BBC262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投标函签字盖章</w:t>
            </w:r>
          </w:p>
        </w:tc>
        <w:tc>
          <w:tcPr>
            <w:tcW w:w="6067" w:type="dxa"/>
            <w:vAlign w:val="center"/>
          </w:tcPr>
          <w:p w14:paraId="4DD0365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须按格式文件要求签字或盖章，否则经评委会一致认定</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rPr>
              <w:t>, 按照无效投标处理。</w:t>
            </w:r>
          </w:p>
        </w:tc>
      </w:tr>
      <w:tr w14:paraId="2A662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709" w:type="dxa"/>
            <w:vMerge w:val="continue"/>
            <w:vAlign w:val="center"/>
          </w:tcPr>
          <w:p w14:paraId="68D41E7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p>
        </w:tc>
        <w:tc>
          <w:tcPr>
            <w:tcW w:w="1049" w:type="dxa"/>
            <w:vMerge w:val="continue"/>
            <w:vAlign w:val="center"/>
          </w:tcPr>
          <w:p w14:paraId="5EB6DDC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p>
        </w:tc>
        <w:tc>
          <w:tcPr>
            <w:tcW w:w="1842" w:type="dxa"/>
            <w:vAlign w:val="center"/>
          </w:tcPr>
          <w:p w14:paraId="35F2077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投标文件格式</w:t>
            </w:r>
          </w:p>
        </w:tc>
        <w:tc>
          <w:tcPr>
            <w:tcW w:w="6067" w:type="dxa"/>
            <w:vAlign w:val="center"/>
          </w:tcPr>
          <w:p w14:paraId="2DA2E22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符合“投标文件格式”的要求，否则经评委会一致认定</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rPr>
              <w:t>,按照无效投标处理.</w:t>
            </w:r>
          </w:p>
        </w:tc>
      </w:tr>
      <w:tr w14:paraId="0D485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09" w:type="dxa"/>
            <w:vMerge w:val="continue"/>
            <w:vAlign w:val="center"/>
          </w:tcPr>
          <w:p w14:paraId="0F6B766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p>
        </w:tc>
        <w:tc>
          <w:tcPr>
            <w:tcW w:w="1049" w:type="dxa"/>
            <w:vMerge w:val="continue"/>
            <w:vAlign w:val="center"/>
          </w:tcPr>
          <w:p w14:paraId="2D64B55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p>
        </w:tc>
        <w:tc>
          <w:tcPr>
            <w:tcW w:w="1842" w:type="dxa"/>
            <w:vAlign w:val="center"/>
          </w:tcPr>
          <w:p w14:paraId="369A3E7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报价唯一</w:t>
            </w:r>
          </w:p>
        </w:tc>
        <w:tc>
          <w:tcPr>
            <w:tcW w:w="6067" w:type="dxa"/>
            <w:vAlign w:val="center"/>
          </w:tcPr>
          <w:p w14:paraId="0E620C5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只能有一个报价，否则按无效标处理</w:t>
            </w:r>
          </w:p>
        </w:tc>
      </w:tr>
      <w:tr w14:paraId="506BF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09" w:type="dxa"/>
            <w:vMerge w:val="continue"/>
            <w:vAlign w:val="center"/>
          </w:tcPr>
          <w:p w14:paraId="37040A3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p>
        </w:tc>
        <w:tc>
          <w:tcPr>
            <w:tcW w:w="1049" w:type="dxa"/>
            <w:vMerge w:val="continue"/>
            <w:vAlign w:val="center"/>
          </w:tcPr>
          <w:p w14:paraId="025AADE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p>
        </w:tc>
        <w:tc>
          <w:tcPr>
            <w:tcW w:w="1842" w:type="dxa"/>
            <w:vAlign w:val="center"/>
          </w:tcPr>
          <w:p w14:paraId="7CFA880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投标函的报价</w:t>
            </w:r>
          </w:p>
        </w:tc>
        <w:tc>
          <w:tcPr>
            <w:tcW w:w="6067" w:type="dxa"/>
            <w:vAlign w:val="center"/>
          </w:tcPr>
          <w:p w14:paraId="7E1DB2D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不高于最高限价</w:t>
            </w:r>
          </w:p>
        </w:tc>
      </w:tr>
      <w:tr w14:paraId="78A9E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09" w:type="dxa"/>
            <w:vAlign w:val="center"/>
          </w:tcPr>
          <w:p w14:paraId="69CF0CD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1049" w:type="dxa"/>
            <w:vAlign w:val="center"/>
          </w:tcPr>
          <w:p w14:paraId="038F436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投标报价评分</w:t>
            </w:r>
          </w:p>
          <w:p w14:paraId="4F8F846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rPr>
              <w:t>分）</w:t>
            </w:r>
          </w:p>
        </w:tc>
        <w:tc>
          <w:tcPr>
            <w:tcW w:w="7909" w:type="dxa"/>
            <w:gridSpan w:val="2"/>
            <w:vAlign w:val="center"/>
          </w:tcPr>
          <w:p w14:paraId="6A0149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eastAsia="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招标人设置投标报价最高限价</w:t>
            </w:r>
            <w:r>
              <w:rPr>
                <w:rFonts w:hint="eastAsia" w:ascii="宋体" w:hAnsi="宋体" w:cs="宋体"/>
                <w:color w:val="auto"/>
                <w:sz w:val="21"/>
                <w:szCs w:val="21"/>
                <w:highlight w:val="none"/>
                <w:lang w:val="en-US" w:eastAsia="zh-CN"/>
              </w:rPr>
              <w:t>为《收费标准》计算费用的100%（报价均保留两位小数，小数点后第三位将四舍五入进行修正）</w:t>
            </w:r>
            <w:r>
              <w:rPr>
                <w:rFonts w:hint="eastAsia" w:ascii="宋体" w:hAnsi="宋体" w:cs="宋体"/>
                <w:color w:val="auto"/>
                <w:sz w:val="21"/>
                <w:szCs w:val="21"/>
                <w:highlight w:val="none"/>
              </w:rPr>
              <w:t>，各投标人有效报价不得高于最高限价，否则，其投标文件按无效标处理。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投标报价不可以填报0或负数，否则按无效标处理</w:t>
            </w:r>
            <w:r>
              <w:rPr>
                <w:rFonts w:hint="eastAsia" w:ascii="宋体" w:hAnsi="宋体" w:cs="宋体"/>
                <w:color w:val="auto"/>
                <w:sz w:val="21"/>
                <w:szCs w:val="21"/>
                <w:highlight w:val="none"/>
                <w:lang w:eastAsia="zh-CN"/>
              </w:rPr>
              <w:t>）</w:t>
            </w:r>
          </w:p>
          <w:p w14:paraId="489FCF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color w:val="auto"/>
                <w:sz w:val="21"/>
                <w:szCs w:val="21"/>
                <w:highlight w:val="none"/>
              </w:rPr>
            </w:pPr>
            <w:r>
              <w:rPr>
                <w:rFonts w:hint="eastAsia" w:ascii="宋体"/>
                <w:color w:val="auto"/>
                <w:sz w:val="21"/>
                <w:szCs w:val="21"/>
                <w:highlight w:val="none"/>
              </w:rPr>
              <w:t>（2）评标基准值=所有有效投标人</w:t>
            </w:r>
            <w:r>
              <w:rPr>
                <w:rFonts w:hint="eastAsia" w:ascii="宋体"/>
                <w:color w:val="auto"/>
                <w:sz w:val="21"/>
                <w:szCs w:val="21"/>
                <w:highlight w:val="none"/>
                <w:lang w:val="en-US" w:eastAsia="zh-CN"/>
              </w:rPr>
              <w:t>投标</w:t>
            </w:r>
            <w:r>
              <w:rPr>
                <w:rFonts w:hint="eastAsia" w:ascii="宋体"/>
                <w:color w:val="auto"/>
                <w:sz w:val="21"/>
                <w:szCs w:val="21"/>
                <w:highlight w:val="none"/>
              </w:rPr>
              <w:t>报价的算术平均值（小数点后保留两位小数，小数点后第三位四舍五入）。</w:t>
            </w:r>
          </w:p>
          <w:p w14:paraId="68E18B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color w:val="auto"/>
                <w:sz w:val="21"/>
                <w:szCs w:val="21"/>
                <w:highlight w:val="none"/>
              </w:rPr>
            </w:pPr>
            <w:r>
              <w:rPr>
                <w:rFonts w:hint="eastAsia" w:ascii="宋体"/>
                <w:color w:val="auto"/>
                <w:sz w:val="21"/>
                <w:szCs w:val="21"/>
                <w:highlight w:val="none"/>
              </w:rPr>
              <w:t>（3）</w:t>
            </w:r>
            <w:r>
              <w:rPr>
                <w:rFonts w:hint="eastAsia" w:ascii="宋体"/>
                <w:color w:val="auto"/>
                <w:sz w:val="21"/>
                <w:szCs w:val="21"/>
                <w:highlight w:val="none"/>
                <w:lang w:val="en-US" w:eastAsia="zh-CN"/>
              </w:rPr>
              <w:t>计算报价偏差率</w:t>
            </w:r>
          </w:p>
          <w:p w14:paraId="13DC7E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color w:val="auto"/>
                <w:sz w:val="21"/>
                <w:szCs w:val="21"/>
                <w:highlight w:val="none"/>
              </w:rPr>
            </w:pPr>
            <w:r>
              <w:rPr>
                <w:rFonts w:hint="eastAsia" w:ascii="宋体"/>
                <w:color w:val="auto"/>
                <w:sz w:val="21"/>
                <w:szCs w:val="21"/>
                <w:highlight w:val="none"/>
                <w:lang w:val="en-US" w:eastAsia="zh-CN"/>
              </w:rPr>
              <w:t>①偏差率=|（投标报价-评标基准价）/评标基准价|×100%</w:t>
            </w:r>
          </w:p>
          <w:p w14:paraId="38EB46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color w:val="auto"/>
                <w:sz w:val="21"/>
                <w:szCs w:val="21"/>
                <w:highlight w:val="none"/>
              </w:rPr>
            </w:pPr>
            <w:r>
              <w:rPr>
                <w:rFonts w:hint="eastAsia" w:ascii="宋体"/>
                <w:color w:val="auto"/>
                <w:sz w:val="21"/>
                <w:szCs w:val="21"/>
                <w:highlight w:val="none"/>
                <w:lang w:val="en-US" w:eastAsia="zh-CN"/>
              </w:rPr>
              <w:t>（4）计算报价得分</w:t>
            </w:r>
          </w:p>
          <w:p w14:paraId="452F0B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color w:val="auto"/>
                <w:sz w:val="21"/>
                <w:szCs w:val="21"/>
                <w:highlight w:val="none"/>
              </w:rPr>
            </w:pPr>
            <w:r>
              <w:rPr>
                <w:rFonts w:hint="eastAsia" w:ascii="宋体"/>
                <w:color w:val="auto"/>
                <w:sz w:val="21"/>
                <w:szCs w:val="21"/>
                <w:highlight w:val="none"/>
                <w:lang w:val="en-US" w:eastAsia="zh-CN"/>
              </w:rPr>
              <w:t>①投标报价等于评标基准价的得满分。</w:t>
            </w:r>
          </w:p>
          <w:p w14:paraId="6813A5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color w:val="auto"/>
                <w:sz w:val="21"/>
                <w:szCs w:val="21"/>
                <w:highlight w:val="none"/>
              </w:rPr>
            </w:pPr>
            <w:r>
              <w:rPr>
                <w:rFonts w:hint="eastAsia" w:ascii="宋体"/>
                <w:color w:val="auto"/>
                <w:sz w:val="21"/>
                <w:szCs w:val="21"/>
                <w:highlight w:val="none"/>
                <w:lang w:val="en-US" w:eastAsia="zh-CN"/>
              </w:rPr>
              <w:t>②投标报价高于评标基准价的，投标报价得分=报价满分值-偏差率×100×1</w:t>
            </w:r>
          </w:p>
          <w:p w14:paraId="2D3C30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color w:val="auto"/>
                <w:sz w:val="21"/>
                <w:szCs w:val="21"/>
                <w:highlight w:val="none"/>
              </w:rPr>
            </w:pPr>
            <w:r>
              <w:rPr>
                <w:rFonts w:hint="eastAsia" w:ascii="宋体"/>
                <w:color w:val="auto"/>
                <w:sz w:val="21"/>
                <w:szCs w:val="21"/>
                <w:highlight w:val="none"/>
                <w:lang w:val="en-US" w:eastAsia="zh-CN"/>
              </w:rPr>
              <w:t>③投标报价低于评标基准价的，投标报价得分=报价满分值-偏差率×100×0.5</w:t>
            </w:r>
            <w:r>
              <w:rPr>
                <w:rFonts w:hint="eastAsia" w:ascii="宋体"/>
                <w:color w:val="auto"/>
                <w:sz w:val="21"/>
                <w:szCs w:val="21"/>
                <w:highlight w:val="none"/>
              </w:rPr>
              <w:t>。</w:t>
            </w:r>
          </w:p>
          <w:p w14:paraId="4CD4631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olor w:val="auto"/>
                <w:sz w:val="21"/>
                <w:szCs w:val="21"/>
                <w:highlight w:val="none"/>
              </w:rPr>
            </w:pPr>
            <w:r>
              <w:rPr>
                <w:rFonts w:hint="eastAsia" w:ascii="宋体"/>
                <w:color w:val="auto"/>
                <w:sz w:val="21"/>
                <w:szCs w:val="21"/>
                <w:highlight w:val="none"/>
              </w:rPr>
              <w:t>注：计算过程中，评标基准值、偏差率、报价得分均保留两位小数，小数点后第三位四舍五入。</w:t>
            </w:r>
          </w:p>
          <w:p w14:paraId="6C860AB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highlight w:val="none"/>
              </w:rPr>
            </w:pPr>
            <w:r>
              <w:rPr>
                <w:rFonts w:hint="eastAsia" w:ascii="宋体"/>
                <w:color w:val="auto"/>
                <w:sz w:val="21"/>
                <w:szCs w:val="21"/>
                <w:highlight w:val="none"/>
              </w:rPr>
              <w:t>本项分值由评标委员会计算。</w:t>
            </w:r>
          </w:p>
        </w:tc>
      </w:tr>
    </w:tbl>
    <w:p w14:paraId="1DD67D2D">
      <w:pPr>
        <w:keepNext w:val="0"/>
        <w:keepLines w:val="0"/>
        <w:pageBreakBefore w:val="0"/>
        <w:widowControl w:val="0"/>
        <w:kinsoku/>
        <w:wordWrap/>
        <w:overflowPunct/>
        <w:topLinePunct w:val="0"/>
        <w:autoSpaceDE/>
        <w:autoSpaceDN/>
        <w:bidi w:val="0"/>
        <w:adjustRightInd/>
        <w:snapToGrid/>
        <w:spacing w:before="313" w:beforeLines="100" w:line="360" w:lineRule="exact"/>
        <w:jc w:val="center"/>
        <w:textAlignment w:val="auto"/>
        <w:outlineLvl w:val="1"/>
        <w:rPr>
          <w:rFonts w:hint="eastAsia" w:ascii="宋体" w:hAnsi="宋体" w:eastAsia="宋体" w:cs="宋体"/>
          <w:b/>
          <w:bCs/>
          <w:color w:val="auto"/>
          <w:sz w:val="24"/>
          <w:szCs w:val="24"/>
          <w:highlight w:val="none"/>
        </w:rPr>
      </w:pPr>
      <w:bookmarkStart w:id="66" w:name="_Toc20318"/>
      <w:r>
        <w:rPr>
          <w:rFonts w:hint="eastAsia" w:ascii="宋体" w:hAnsi="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推荐中标候选人</w:t>
      </w:r>
      <w:bookmarkEnd w:id="66"/>
    </w:p>
    <w:p w14:paraId="1BD855F9">
      <w:pPr>
        <w:pStyle w:val="2"/>
        <w:keepNext w:val="0"/>
        <w:keepLines w:val="0"/>
        <w:pageBreakBefore w:val="0"/>
        <w:widowControl w:val="0"/>
        <w:kinsoku/>
        <w:wordWrap/>
        <w:overflowPunct/>
        <w:topLinePunct w:val="0"/>
        <w:autoSpaceDE/>
        <w:autoSpaceDN/>
        <w:bidi w:val="0"/>
        <w:adjustRightInd/>
        <w:spacing w:line="440" w:lineRule="exact"/>
        <w:ind w:right="0" w:rightChars="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评标</w:t>
      </w:r>
      <w:r>
        <w:rPr>
          <w:rFonts w:hint="eastAsia" w:ascii="宋体" w:hAnsi="宋体" w:eastAsia="宋体" w:cs="宋体"/>
          <w:color w:val="auto"/>
          <w:sz w:val="21"/>
          <w:szCs w:val="21"/>
          <w:highlight w:val="none"/>
          <w:lang w:val="en-US" w:eastAsia="zh-CN"/>
        </w:rPr>
        <w:t>小组先</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投标报价不高于投标限价的</w:t>
      </w:r>
      <w:r>
        <w:rPr>
          <w:rFonts w:hint="eastAsia" w:ascii="宋体" w:hAnsi="宋体" w:eastAsia="宋体" w:cs="宋体"/>
          <w:color w:val="auto"/>
          <w:sz w:val="21"/>
          <w:szCs w:val="21"/>
          <w:highlight w:val="none"/>
        </w:rPr>
        <w:t>投标人报价按计算标准计算得分，得分按照从高到低进行排序（如总得分相等，以投标报价低的优先，投标报价仍相等，由招标人</w:t>
      </w:r>
      <w:r>
        <w:rPr>
          <w:rFonts w:hint="eastAsia" w:ascii="宋体" w:hAnsi="宋体" w:eastAsia="宋体" w:cs="宋体"/>
          <w:color w:val="auto"/>
          <w:sz w:val="21"/>
          <w:szCs w:val="21"/>
          <w:highlight w:val="none"/>
          <w:lang w:val="en-US" w:eastAsia="zh-CN"/>
        </w:rPr>
        <w:t>或评标委员会</w:t>
      </w:r>
      <w:r>
        <w:rPr>
          <w:rFonts w:hint="eastAsia" w:ascii="宋体" w:hAnsi="宋体" w:eastAsia="宋体" w:cs="宋体"/>
          <w:color w:val="auto"/>
          <w:sz w:val="21"/>
          <w:szCs w:val="21"/>
          <w:highlight w:val="none"/>
        </w:rPr>
        <w:t>随机抽取确定排名，不得并列）。对排序前</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名的投标人</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文件进行评审并确定中标候选人。若排序前</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名的投标人</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文件评审不通过，则按得分排序递补至</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家投标人进行</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文件评审。</w:t>
      </w:r>
    </w:p>
    <w:p w14:paraId="2D219C1B">
      <w:pPr>
        <w:keepNext w:val="0"/>
        <w:keepLines w:val="0"/>
        <w:pageBreakBefore w:val="0"/>
        <w:widowControl w:val="0"/>
        <w:kinsoku/>
        <w:wordWrap/>
        <w:overflowPunct/>
        <w:topLinePunct w:val="0"/>
        <w:autoSpaceDE/>
        <w:autoSpaceDN/>
        <w:bidi w:val="0"/>
        <w:adjustRightInd/>
        <w:snapToGrid w:val="0"/>
        <w:spacing w:line="440" w:lineRule="exact"/>
        <w:ind w:right="0" w:rightChars="0" w:firstLine="570"/>
        <w:textAlignment w:val="auto"/>
        <w:rPr>
          <w:rFonts w:hint="eastAsia" w:ascii="宋体"/>
          <w:b/>
          <w:color w:val="auto"/>
          <w:szCs w:val="21"/>
          <w:highlight w:val="none"/>
        </w:rPr>
      </w:pPr>
      <w:r>
        <w:rPr>
          <w:rFonts w:hint="eastAsia" w:ascii="宋体"/>
          <w:b/>
          <w:color w:val="auto"/>
          <w:szCs w:val="21"/>
          <w:highlight w:val="none"/>
          <w:lang w:val="en-US" w:eastAsia="zh-CN"/>
        </w:rPr>
        <w:t>9.</w:t>
      </w:r>
      <w:r>
        <w:rPr>
          <w:rFonts w:hint="eastAsia" w:ascii="宋体" w:hAnsi="宋体"/>
          <w:b/>
          <w:color w:val="auto"/>
          <w:sz w:val="24"/>
          <w:highlight w:val="none"/>
        </w:rPr>
        <w:t xml:space="preserve"> </w:t>
      </w:r>
      <w:r>
        <w:rPr>
          <w:rFonts w:hint="eastAsia" w:ascii="宋体"/>
          <w:b/>
          <w:color w:val="auto"/>
          <w:szCs w:val="21"/>
          <w:highlight w:val="none"/>
        </w:rPr>
        <w:t>无效投标条款</w:t>
      </w:r>
    </w:p>
    <w:p w14:paraId="62BE0682">
      <w:pPr>
        <w:snapToGrid w:val="0"/>
        <w:spacing w:line="400" w:lineRule="exact"/>
        <w:ind w:firstLine="525" w:firstLineChars="250"/>
        <w:rPr>
          <w:rFonts w:hint="eastAsia" w:ascii="宋体" w:eastAsia="宋体" w:cs="宋体"/>
          <w:color w:val="auto"/>
          <w:szCs w:val="21"/>
          <w:highlight w:val="none"/>
          <w:lang w:eastAsia="zh-CN"/>
        </w:rPr>
      </w:pPr>
      <w:r>
        <w:rPr>
          <w:rFonts w:hint="eastAsia" w:ascii="宋体" w:cs="宋体"/>
          <w:color w:val="auto"/>
          <w:szCs w:val="21"/>
          <w:highlight w:val="none"/>
          <w:lang w:val="en-US" w:eastAsia="zh-CN"/>
        </w:rPr>
        <w:t>9</w:t>
      </w:r>
      <w:r>
        <w:rPr>
          <w:rFonts w:hint="eastAsia" w:ascii="宋体" w:cs="宋体"/>
          <w:color w:val="auto"/>
          <w:szCs w:val="21"/>
          <w:highlight w:val="none"/>
        </w:rPr>
        <w:t>.1投标文件有下列情形之一的,其投标文件拒收</w:t>
      </w:r>
      <w:r>
        <w:rPr>
          <w:rFonts w:hint="eastAsia" w:ascii="宋体" w:cs="宋体"/>
          <w:color w:val="auto"/>
          <w:szCs w:val="21"/>
          <w:highlight w:val="none"/>
          <w:lang w:eastAsia="zh-CN"/>
        </w:rPr>
        <w:t>：</w:t>
      </w:r>
    </w:p>
    <w:p w14:paraId="478800D3">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1</w:t>
      </w:r>
      <w:r>
        <w:rPr>
          <w:rFonts w:hint="eastAsia" w:ascii="宋体" w:hAnsi="宋体" w:eastAsia="宋体" w:cs="宋体"/>
          <w:b w:val="0"/>
          <w:bCs/>
          <w:color w:val="auto"/>
          <w:szCs w:val="21"/>
          <w:highlight w:val="none"/>
          <w:lang w:eastAsia="zh-CN"/>
        </w:rPr>
        <w:t>）未在开标截止时间前通过网上招标投标系统递交有效电子投标文件的，开标系统不予接收，投标将被拒绝。</w:t>
      </w:r>
    </w:p>
    <w:p w14:paraId="197DD240">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2）投标企业接到远程解密指令后，须在规定时间内解密。因投标人自身原因导致投标文件在规定时间内未能解密、解密失败或解密超时，投标文件无效；解密时间：从本项目投标截止时间开始计时，至完成投标文件解密时间，不得超过</w:t>
      </w:r>
      <w:r>
        <w:rPr>
          <w:rFonts w:hint="eastAsia" w:ascii="宋体" w:hAnsi="宋体" w:eastAsia="宋体" w:cs="宋体"/>
          <w:b w:val="0"/>
          <w:bCs/>
          <w:color w:val="auto"/>
          <w:szCs w:val="21"/>
          <w:highlight w:val="none"/>
          <w:lang w:val="en-US" w:eastAsia="zh-CN"/>
        </w:rPr>
        <w:t>3</w:t>
      </w:r>
      <w:r>
        <w:rPr>
          <w:rFonts w:hint="eastAsia" w:ascii="宋体" w:hAnsi="宋体" w:eastAsia="宋体" w:cs="宋体"/>
          <w:b w:val="0"/>
          <w:bCs/>
          <w:color w:val="auto"/>
          <w:szCs w:val="21"/>
          <w:highlight w:val="none"/>
          <w:lang w:eastAsia="zh-CN"/>
        </w:rPr>
        <w:t>0分钟，否则投标文件将被拒绝。</w:t>
      </w:r>
    </w:p>
    <w:p w14:paraId="74A3DC8C">
      <w:pPr>
        <w:snapToGrid w:val="0"/>
        <w:spacing w:line="400" w:lineRule="exact"/>
        <w:ind w:firstLine="525" w:firstLineChars="250"/>
        <w:rPr>
          <w:rFonts w:hint="eastAsia" w:ascii="宋体" w:hAnsi="Times New Roman" w:eastAsia="宋体" w:cs="宋体"/>
          <w:color w:val="auto"/>
          <w:szCs w:val="21"/>
          <w:highlight w:val="none"/>
          <w:lang w:eastAsia="zh-CN"/>
        </w:rPr>
      </w:pPr>
      <w:r>
        <w:rPr>
          <w:rFonts w:hint="eastAsia" w:ascii="宋体" w:hAnsi="Times New Roman" w:eastAsia="宋体" w:cs="宋体"/>
          <w:color w:val="auto"/>
          <w:szCs w:val="21"/>
          <w:highlight w:val="none"/>
          <w:lang w:val="en-US" w:eastAsia="zh-CN"/>
        </w:rPr>
        <w:t>9</w:t>
      </w:r>
      <w:r>
        <w:rPr>
          <w:rFonts w:hint="eastAsia" w:ascii="宋体" w:hAnsi="Times New Roman" w:eastAsia="宋体" w:cs="宋体"/>
          <w:color w:val="auto"/>
          <w:szCs w:val="21"/>
          <w:highlight w:val="none"/>
          <w:lang w:eastAsia="zh-CN"/>
        </w:rPr>
        <w:t>.2 投标人有下列情形之一的,资格审查后其投标作无效投标处理：</w:t>
      </w:r>
    </w:p>
    <w:p w14:paraId="1B1D6993">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(1)投标人为本项目提供招标代理服务的；</w:t>
      </w:r>
    </w:p>
    <w:p w14:paraId="126D240C">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(2)投标人与在本项目代理机构存在相互任职或工作的；</w:t>
      </w:r>
    </w:p>
    <w:p w14:paraId="459DB034">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(3)评标专家无法查看并检验电子投标文件中相关资料的；</w:t>
      </w:r>
    </w:p>
    <w:p w14:paraId="25FE51C0">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(4)联合体投标未提交联合体协议的；</w:t>
      </w:r>
    </w:p>
    <w:p w14:paraId="26ED93DC">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(5)</w:t>
      </w:r>
      <w:r>
        <w:rPr>
          <w:rFonts w:hint="eastAsia" w:ascii="宋体" w:hAnsi="宋体" w:eastAsia="宋体" w:cs="宋体"/>
          <w:b w:val="0"/>
          <w:bCs/>
          <w:color w:val="auto"/>
          <w:szCs w:val="21"/>
          <w:highlight w:val="none"/>
          <w:lang w:val="en-US" w:eastAsia="zh-CN"/>
        </w:rPr>
        <w:t>被责令停产停业的；</w:t>
      </w:r>
    </w:p>
    <w:p w14:paraId="185A7153">
      <w:pPr>
        <w:snapToGrid w:val="0"/>
        <w:spacing w:line="440" w:lineRule="exact"/>
        <w:ind w:right="-212" w:rightChars="-101" w:firstLine="420" w:firstLineChars="200"/>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eastAsia="zh-CN"/>
        </w:rPr>
        <w:t>(6)</w:t>
      </w:r>
      <w:r>
        <w:rPr>
          <w:rFonts w:hint="eastAsia" w:ascii="宋体" w:hAnsi="宋体" w:eastAsia="宋体" w:cs="宋体"/>
          <w:b w:val="0"/>
          <w:bCs/>
          <w:color w:val="auto"/>
          <w:szCs w:val="21"/>
          <w:highlight w:val="none"/>
          <w:lang w:val="en-US" w:eastAsia="zh-CN"/>
        </w:rPr>
        <w:t>被暂停或取消参与政府采购项目资格的；</w:t>
      </w:r>
    </w:p>
    <w:p w14:paraId="1729B442">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(7)</w:t>
      </w:r>
      <w:r>
        <w:rPr>
          <w:rFonts w:hint="eastAsia" w:ascii="宋体" w:hAnsi="宋体" w:eastAsia="宋体" w:cs="宋体"/>
          <w:b w:val="0"/>
          <w:bCs/>
          <w:color w:val="auto"/>
          <w:szCs w:val="21"/>
          <w:highlight w:val="none"/>
          <w:lang w:val="en-US" w:eastAsia="zh-CN"/>
        </w:rPr>
        <w:t>投标人单位负责人为同一人或者存在直接控股、管理关系的不同单位的；</w:t>
      </w:r>
    </w:p>
    <w:p w14:paraId="360473C5">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(8)保证金不按第二章“投标人须知”及其前附表要求提交投标保证金的；</w:t>
      </w:r>
    </w:p>
    <w:p w14:paraId="18F42FC9">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(9)投标人基本资格条件和特定资格条件中有一项及以上不符合要求的；</w:t>
      </w:r>
    </w:p>
    <w:p w14:paraId="2EE6A9D0">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(10)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4CF61F88">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(11)投标人单方面出现其他投标人材料的；</w:t>
      </w:r>
    </w:p>
    <w:p w14:paraId="24A30557">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(12)其它情形，经评标委员会委提出按无效投标处理；</w:t>
      </w:r>
    </w:p>
    <w:p w14:paraId="2607D000">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(13)招标文件规定的其它无效投标情形。</w:t>
      </w:r>
    </w:p>
    <w:p w14:paraId="719A569B">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val="en-US" w:eastAsia="zh-CN"/>
        </w:rPr>
        <w:t>9</w:t>
      </w:r>
      <w:r>
        <w:rPr>
          <w:rFonts w:hint="eastAsia" w:ascii="宋体" w:hAnsi="宋体" w:cs="宋体"/>
          <w:b w:val="0"/>
          <w:bCs/>
          <w:color w:val="auto"/>
          <w:szCs w:val="21"/>
          <w:highlight w:val="none"/>
          <w:lang w:eastAsia="zh-CN"/>
        </w:rPr>
        <w:t>.3 投标人有下列情形之一的,符合性审查后其投标按无效投标处理：</w:t>
      </w:r>
    </w:p>
    <w:p w14:paraId="39CA70E3">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(1)投标文件签字、盖章不全，经评标委员会一致认定对开评标内容有实质性影响的；</w:t>
      </w:r>
    </w:p>
    <w:p w14:paraId="4DFA380D">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(2)未按规定的格式填写导致实质性内容不全以及实质上不响应，或者关键字迹模糊、无法辨认的；</w:t>
      </w:r>
    </w:p>
    <w:p w14:paraId="531B4917">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(3)同一投标人提交两个以上不同的投标文件或者投标报价，但招标文件规定提交备选方案的除外；</w:t>
      </w:r>
    </w:p>
    <w:p w14:paraId="478E67AE">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(4)投标文件没有对招标文件的实质性要求和条件作出响应；</w:t>
      </w:r>
    </w:p>
    <w:p w14:paraId="57126E66">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 xml:space="preserve">(5)投标报价超出规定的投标限价或公布的采购预算的或投标人的投标报价各项单价高于招标文件给定的单价最高限价； </w:t>
      </w:r>
    </w:p>
    <w:p w14:paraId="0ABE2C5D">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(6)不按评标委员会要求澄清、说明或补正的，或者评标委员会根据招标文件的规定对</w:t>
      </w:r>
      <w:r>
        <w:rPr>
          <w:rFonts w:hint="eastAsia" w:ascii="宋体" w:hAnsi="宋体" w:cs="宋体"/>
          <w:b w:val="0"/>
          <w:bCs/>
          <w:color w:val="auto"/>
          <w:szCs w:val="21"/>
          <w:highlight w:val="none"/>
          <w:lang w:val="en-US" w:eastAsia="zh-CN"/>
        </w:rPr>
        <w:t>投标</w:t>
      </w:r>
      <w:r>
        <w:rPr>
          <w:rFonts w:hint="eastAsia" w:ascii="宋体" w:hAnsi="宋体" w:cs="宋体"/>
          <w:b w:val="0"/>
          <w:bCs/>
          <w:color w:val="auto"/>
          <w:szCs w:val="21"/>
          <w:highlight w:val="none"/>
          <w:lang w:eastAsia="zh-CN"/>
        </w:rPr>
        <w:t>文件的计算错误进行修正后，投标人不接受修正的投标报价的；</w:t>
      </w:r>
    </w:p>
    <w:p w14:paraId="250B220D">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lang w:val="en-US" w:eastAsia="zh-CN"/>
        </w:rPr>
        <w:t>7</w:t>
      </w:r>
      <w:r>
        <w:rPr>
          <w:rFonts w:hint="eastAsia" w:ascii="宋体" w:hAnsi="宋体" w:cs="宋体"/>
          <w:b w:val="0"/>
          <w:bCs/>
          <w:color w:val="auto"/>
          <w:szCs w:val="21"/>
          <w:highlight w:val="none"/>
          <w:lang w:eastAsia="zh-CN"/>
        </w:rPr>
        <w:t>)其它情形，经评标委员会委提出按无效投标处理的；</w:t>
      </w:r>
    </w:p>
    <w:p w14:paraId="65D34F3C">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lang w:val="en-US" w:eastAsia="zh-CN"/>
        </w:rPr>
        <w:t>8</w:t>
      </w:r>
      <w:r>
        <w:rPr>
          <w:rFonts w:hint="eastAsia" w:ascii="宋体" w:hAnsi="宋体" w:cs="宋体"/>
          <w:b w:val="0"/>
          <w:bCs/>
          <w:color w:val="auto"/>
          <w:szCs w:val="21"/>
          <w:highlight w:val="none"/>
          <w:lang w:eastAsia="zh-CN"/>
        </w:rPr>
        <w:t>)投标文件含有招标人不能接受的附加条件的；</w:t>
      </w:r>
    </w:p>
    <w:p w14:paraId="43292335">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lang w:val="en-US" w:eastAsia="zh-CN"/>
        </w:rPr>
        <w:t>9</w:t>
      </w:r>
      <w:r>
        <w:rPr>
          <w:rFonts w:hint="eastAsia" w:ascii="宋体" w:hAnsi="宋体" w:cs="宋体"/>
          <w:b w:val="0"/>
          <w:bCs/>
          <w:color w:val="auto"/>
          <w:szCs w:val="21"/>
          <w:highlight w:val="none"/>
          <w:lang w:eastAsia="zh-CN"/>
        </w:rPr>
        <w:t>)招标文件规定的其它无效投标情形。</w:t>
      </w:r>
    </w:p>
    <w:p w14:paraId="6A75F892">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val="en-US" w:eastAsia="zh-CN"/>
        </w:rPr>
        <w:t>9</w:t>
      </w:r>
      <w:r>
        <w:rPr>
          <w:rFonts w:hint="eastAsia" w:ascii="宋体" w:hAnsi="宋体" w:cs="宋体"/>
          <w:b w:val="0"/>
          <w:bCs/>
          <w:color w:val="auto"/>
          <w:szCs w:val="21"/>
          <w:highlight w:val="none"/>
          <w:lang w:eastAsia="zh-CN"/>
        </w:rPr>
        <w:t>.4 投标人有下列情形之一的, 详细评审后其投标按无效投标处理：</w:t>
      </w:r>
    </w:p>
    <w:p w14:paraId="185F4F60">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(1)投标产品不符合必须强制执行的国家标准的；</w:t>
      </w:r>
    </w:p>
    <w:p w14:paraId="556521D5">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(2)投标人有串通投标、弄虚作假、行贿等违法行为；</w:t>
      </w:r>
    </w:p>
    <w:p w14:paraId="7BE964DB">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(3)投标文件含有违反国家法律、法规的内容，或附有招标人不能接受的条件的；</w:t>
      </w:r>
    </w:p>
    <w:p w14:paraId="303DB013">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4</w:t>
      </w:r>
      <w:r>
        <w:rPr>
          <w:rFonts w:hint="eastAsia" w:ascii="宋体" w:hAnsi="宋体" w:eastAsia="宋体" w:cs="宋体"/>
          <w:b w:val="0"/>
          <w:bCs/>
          <w:color w:val="auto"/>
          <w:szCs w:val="21"/>
          <w:highlight w:val="none"/>
          <w:lang w:eastAsia="zh-CN"/>
        </w:rPr>
        <w:t>)报价明显低于其他投标人，且不能证明报价合理性的投标无效；</w:t>
      </w:r>
    </w:p>
    <w:p w14:paraId="2851407C">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5</w:t>
      </w:r>
      <w:r>
        <w:rPr>
          <w:rFonts w:hint="eastAsia" w:ascii="宋体" w:hAnsi="宋体" w:eastAsia="宋体" w:cs="宋体"/>
          <w:b w:val="0"/>
          <w:bCs/>
          <w:color w:val="auto"/>
          <w:szCs w:val="21"/>
          <w:highlight w:val="none"/>
          <w:lang w:eastAsia="zh-CN"/>
        </w:rPr>
        <w:t>)拒不确认评标委员会评审修正的投标无效；</w:t>
      </w:r>
    </w:p>
    <w:p w14:paraId="767B61D0">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6</w:t>
      </w:r>
      <w:r>
        <w:rPr>
          <w:rFonts w:hint="eastAsia" w:ascii="宋体" w:hAnsi="宋体" w:eastAsia="宋体" w:cs="宋体"/>
          <w:b w:val="0"/>
          <w:bCs/>
          <w:color w:val="auto"/>
          <w:szCs w:val="21"/>
          <w:highlight w:val="none"/>
          <w:lang w:eastAsia="zh-CN"/>
        </w:rPr>
        <w:t>)其它情形，经评标委员会委提出按无效投标处理的；</w:t>
      </w:r>
    </w:p>
    <w:p w14:paraId="0A5A1B4A">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7</w:t>
      </w:r>
      <w:r>
        <w:rPr>
          <w:rFonts w:hint="eastAsia" w:ascii="宋体" w:hAnsi="宋体" w:eastAsia="宋体" w:cs="宋体"/>
          <w:b w:val="0"/>
          <w:bCs/>
          <w:color w:val="auto"/>
          <w:szCs w:val="21"/>
          <w:highlight w:val="none"/>
          <w:lang w:eastAsia="zh-CN"/>
        </w:rPr>
        <w:t>)招标文件规定的其它无效投标情形。</w:t>
      </w:r>
    </w:p>
    <w:p w14:paraId="063810C8">
      <w:pPr>
        <w:rPr>
          <w:rFonts w:hint="eastAsia"/>
          <w:color w:val="auto"/>
          <w:highlight w:val="none"/>
        </w:rPr>
      </w:pPr>
    </w:p>
    <w:bookmarkEnd w:id="56"/>
    <w:bookmarkEnd w:id="57"/>
    <w:p w14:paraId="3F25F4D6">
      <w:pPr>
        <w:pStyle w:val="5"/>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sz w:val="44"/>
          <w:szCs w:val="44"/>
          <w:highlight w:val="none"/>
          <w:lang w:val="en-US" w:eastAsia="zh-CN"/>
        </w:rPr>
      </w:pPr>
      <w:bookmarkStart w:id="67" w:name="_Toc29967"/>
      <w:bookmarkStart w:id="68" w:name="_Toc3848"/>
      <w:r>
        <w:rPr>
          <w:rFonts w:hint="eastAsia" w:ascii="宋体" w:hAnsi="宋体" w:eastAsia="宋体" w:cs="宋体"/>
          <w:color w:val="auto"/>
          <w:sz w:val="44"/>
          <w:szCs w:val="44"/>
          <w:highlight w:val="none"/>
          <w:lang w:val="en-US" w:eastAsia="zh-CN"/>
        </w:rPr>
        <w:t>第三章 合同条款</w:t>
      </w:r>
      <w:bookmarkEnd w:id="67"/>
      <w:bookmarkEnd w:id="68"/>
    </w:p>
    <w:p w14:paraId="1F207759">
      <w:pPr>
        <w:rPr>
          <w:rFonts w:hint="eastAsia" w:ascii="宋体" w:hAnsi="宋体" w:eastAsia="宋体" w:cs="宋体"/>
          <w:color w:val="auto"/>
          <w:highlight w:val="none"/>
        </w:rPr>
      </w:pPr>
    </w:p>
    <w:p w14:paraId="1AB93262">
      <w:pPr>
        <w:keepNext w:val="0"/>
        <w:keepLines w:val="0"/>
        <w:widowControl w:val="0"/>
        <w:suppressLineNumbers w:val="0"/>
        <w:spacing w:before="304" w:beforeLines="100" w:beforeAutospacing="0" w:after="304" w:afterLines="100" w:afterAutospacing="0" w:line="400" w:lineRule="exact"/>
        <w:ind w:left="0" w:right="0"/>
        <w:jc w:val="center"/>
        <w:outlineLvl w:val="1"/>
        <w:rPr>
          <w:rFonts w:hint="default" w:ascii="汉仪大黑简" w:hAnsi="汉仪大黑简" w:eastAsia="汉仪大黑简" w:cs="汉仪大黑简"/>
          <w:b w:val="0"/>
          <w:color w:val="auto"/>
          <w:kern w:val="2"/>
          <w:sz w:val="28"/>
          <w:szCs w:val="28"/>
          <w:highlight w:val="none"/>
        </w:rPr>
      </w:pPr>
      <w:r>
        <w:rPr>
          <w:rFonts w:hint="default" w:ascii="汉仪大黑简" w:hAnsi="汉仪大黑简" w:eastAsia="汉仪大黑简" w:cs="汉仪大黑简"/>
          <w:b w:val="0"/>
          <w:color w:val="auto"/>
          <w:kern w:val="2"/>
          <w:sz w:val="28"/>
          <w:szCs w:val="28"/>
          <w:highlight w:val="none"/>
          <w:lang w:val="en-US" w:eastAsia="zh-CN" w:bidi="ar"/>
        </w:rPr>
        <w:t>安徽省建设工程造价咨询合同（ＷＦ－2014－05）</w:t>
      </w:r>
    </w:p>
    <w:p w14:paraId="054CC86A">
      <w:pPr>
        <w:keepNext w:val="0"/>
        <w:keepLines w:val="0"/>
        <w:widowControl w:val="0"/>
        <w:suppressLineNumbers w:val="0"/>
        <w:spacing w:before="153" w:beforeLines="50" w:beforeAutospacing="0" w:after="153" w:afterLines="50" w:afterAutospacing="0" w:line="400" w:lineRule="exact"/>
        <w:ind w:left="0" w:right="0"/>
        <w:jc w:val="center"/>
        <w:outlineLvl w:val="2"/>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第一部分  合同协议书</w:t>
      </w:r>
    </w:p>
    <w:p w14:paraId="02891F4F">
      <w:pPr>
        <w:keepNext w:val="0"/>
        <w:keepLines w:val="0"/>
        <w:widowControl w:val="0"/>
        <w:suppressLineNumbers w:val="0"/>
        <w:adjustRightInd w:val="0"/>
        <w:snapToGrid w:val="0"/>
        <w:spacing w:before="153" w:beforeLines="50" w:beforeAutospacing="0" w:after="0" w:afterAutospacing="0"/>
        <w:ind w:left="0" w:right="0"/>
        <w:jc w:val="left"/>
        <w:rPr>
          <w:rFonts w:hint="default" w:ascii="宋体" w:hAnsi="宋体" w:eastAsia="宋体" w:cs="宋体"/>
          <w:b w:val="0"/>
          <w:color w:val="auto"/>
          <w:kern w:val="2"/>
          <w:sz w:val="24"/>
          <w:szCs w:val="24"/>
          <w:highlight w:val="none"/>
          <w:lang w:val="en-US"/>
        </w:rPr>
      </w:pPr>
      <w:r>
        <w:rPr>
          <w:rFonts w:hint="eastAsia" w:ascii="宋体" w:hAnsi="宋体" w:eastAsia="宋体" w:cs="宋体"/>
          <w:b w:val="0"/>
          <w:color w:val="auto"/>
          <w:kern w:val="2"/>
          <w:sz w:val="24"/>
          <w:szCs w:val="24"/>
          <w:highlight w:val="none"/>
          <w:lang w:val="en-US" w:eastAsia="zh-CN" w:bidi="ar"/>
        </w:rPr>
        <w:t>委托人（全称）：</w:t>
      </w:r>
      <w:r>
        <w:rPr>
          <w:rFonts w:hint="eastAsia" w:ascii="宋体" w:hAnsi="宋体" w:eastAsia="宋体" w:cs="宋体"/>
          <w:b w:val="0"/>
          <w:color w:val="auto"/>
          <w:kern w:val="2"/>
          <w:sz w:val="24"/>
          <w:szCs w:val="24"/>
          <w:highlight w:val="none"/>
          <w:u w:val="single"/>
          <w:lang w:val="en-US" w:eastAsia="zh-CN" w:bidi="ar"/>
        </w:rPr>
        <w:t xml:space="preserve">滁州市园林景观管理中心      </w:t>
      </w:r>
      <w:r>
        <w:rPr>
          <w:rFonts w:hint="eastAsia" w:ascii="宋体" w:hAnsi="宋体" w:cs="宋体"/>
          <w:b w:val="0"/>
          <w:color w:val="auto"/>
          <w:kern w:val="2"/>
          <w:sz w:val="24"/>
          <w:szCs w:val="24"/>
          <w:highlight w:val="none"/>
          <w:u w:val="single"/>
          <w:lang w:val="en-US" w:eastAsia="zh-CN" w:bidi="ar"/>
        </w:rPr>
        <w:t xml:space="preserve">                             </w:t>
      </w:r>
    </w:p>
    <w:p w14:paraId="79FF0C5A">
      <w:pPr>
        <w:keepNext w:val="0"/>
        <w:keepLines w:val="0"/>
        <w:widowControl w:val="0"/>
        <w:suppressLineNumbers w:val="0"/>
        <w:adjustRightInd w:val="0"/>
        <w:snapToGrid w:val="0"/>
        <w:spacing w:before="153" w:beforeLines="50" w:beforeAutospacing="0" w:after="0" w:afterAutospacing="0"/>
        <w:ind w:left="0" w:right="0"/>
        <w:jc w:val="left"/>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lang w:val="en-US" w:eastAsia="zh-CN" w:bidi="ar"/>
        </w:rPr>
        <w:t>受托人（全称）：</w:t>
      </w:r>
      <w:r>
        <w:rPr>
          <w:rFonts w:hint="eastAsia" w:ascii="宋体" w:hAnsi="宋体" w:eastAsia="宋体" w:cs="宋体"/>
          <w:b w:val="0"/>
          <w:color w:val="auto"/>
          <w:kern w:val="2"/>
          <w:sz w:val="24"/>
          <w:szCs w:val="24"/>
          <w:highlight w:val="none"/>
          <w:u w:val="single"/>
          <w:lang w:val="en-US" w:eastAsia="zh-CN" w:bidi="ar"/>
        </w:rPr>
        <w:t xml:space="preserve"> </w:t>
      </w:r>
      <w:r>
        <w:rPr>
          <w:rFonts w:hint="eastAsia" w:ascii="宋体" w:hAnsi="宋体" w:cs="宋体"/>
          <w:b w:val="0"/>
          <w:color w:val="auto"/>
          <w:kern w:val="2"/>
          <w:sz w:val="24"/>
          <w:szCs w:val="24"/>
          <w:highlight w:val="none"/>
          <w:u w:val="single"/>
          <w:lang w:val="en-US" w:eastAsia="zh-CN" w:bidi="ar"/>
        </w:rPr>
        <w:t xml:space="preserve"> </w:t>
      </w:r>
      <w:r>
        <w:rPr>
          <w:rFonts w:hint="eastAsia" w:ascii="宋体" w:hAnsi="宋体" w:eastAsia="宋体" w:cs="宋体"/>
          <w:b w:val="0"/>
          <w:color w:val="auto"/>
          <w:kern w:val="2"/>
          <w:sz w:val="24"/>
          <w:szCs w:val="24"/>
          <w:highlight w:val="none"/>
          <w:u w:val="single"/>
          <w:lang w:val="en-US" w:eastAsia="zh-CN" w:bidi="ar"/>
        </w:rPr>
        <w:t xml:space="preserve">                                </w:t>
      </w:r>
    </w:p>
    <w:p w14:paraId="5E24DF9B">
      <w:pPr>
        <w:keepNext w:val="0"/>
        <w:keepLines w:val="0"/>
        <w:widowControl w:val="0"/>
        <w:suppressLineNumbers w:val="0"/>
        <w:spacing w:before="0" w:beforeAutospacing="0" w:after="0" w:afterAutospacing="0"/>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根据《中华人民共和国民法典》及有关法律规定，遵循平等、自愿、公平和诚实信用的原则，双方就</w:t>
      </w:r>
      <w:r>
        <w:rPr>
          <w:rFonts w:hint="eastAsia" w:ascii="宋体" w:hAnsi="宋体" w:cs="宋体"/>
          <w:color w:val="auto"/>
          <w:kern w:val="2"/>
          <w:sz w:val="24"/>
          <w:szCs w:val="24"/>
          <w:highlight w:val="none"/>
          <w:u w:val="single"/>
          <w:lang w:val="en-US" w:eastAsia="zh-CN" w:bidi="ar"/>
        </w:rPr>
        <w:t>城南绿廊公园水体清淤项目工程量清单及最高投标限价编制服务项目（二次）</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及有关事项协商一致，共同达成如下协议：</w:t>
      </w:r>
    </w:p>
    <w:p w14:paraId="6C6B7DEA">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一、工程概况</w:t>
      </w:r>
    </w:p>
    <w:p w14:paraId="61CB2C0F">
      <w:pPr>
        <w:keepNext w:val="0"/>
        <w:keepLines w:val="0"/>
        <w:widowControl w:val="0"/>
        <w:suppressLineNumbers w:val="0"/>
        <w:spacing w:before="153" w:beforeLines="50" w:beforeAutospacing="0" w:after="0" w:afterAutospacing="0" w:line="400" w:lineRule="exact"/>
        <w:ind w:left="0" w:right="0" w:firstLine="470" w:firstLineChars="196"/>
        <w:jc w:val="left"/>
        <w:rPr>
          <w:rFonts w:hint="eastAsia" w:ascii="宋体" w:hAnsi="宋体" w:cs="宋体"/>
          <w:color w:val="auto"/>
          <w:kern w:val="2"/>
          <w:sz w:val="24"/>
          <w:szCs w:val="24"/>
          <w:highlight w:val="none"/>
          <w:u w:val="single"/>
          <w:lang w:val="en-US" w:eastAsia="zh-CN" w:bidi="ar"/>
        </w:rPr>
      </w:pPr>
      <w:r>
        <w:rPr>
          <w:rFonts w:hint="eastAsia" w:ascii="宋体" w:hAnsi="宋体" w:eastAsia="宋体" w:cs="宋体"/>
          <w:color w:val="auto"/>
          <w:kern w:val="2"/>
          <w:sz w:val="24"/>
          <w:szCs w:val="24"/>
          <w:highlight w:val="none"/>
          <w:lang w:val="en-US" w:eastAsia="zh-CN" w:bidi="ar"/>
        </w:rPr>
        <w:t xml:space="preserve">1. </w:t>
      </w:r>
      <w:r>
        <w:rPr>
          <w:rFonts w:hint="eastAsia" w:ascii="宋体" w:hAnsi="宋体" w:eastAsia="宋体" w:cs="宋体"/>
          <w:bCs w:val="0"/>
          <w:color w:val="auto"/>
          <w:kern w:val="2"/>
          <w:sz w:val="24"/>
          <w:szCs w:val="24"/>
          <w:highlight w:val="none"/>
          <w:lang w:val="en-US" w:eastAsia="zh-CN" w:bidi="ar"/>
        </w:rPr>
        <w:t>工程名称</w:t>
      </w:r>
      <w:r>
        <w:rPr>
          <w:rFonts w:hint="eastAsia" w:ascii="宋体" w:hAnsi="宋体" w:eastAsia="宋体" w:cs="宋体"/>
          <w:color w:val="auto"/>
          <w:kern w:val="2"/>
          <w:sz w:val="24"/>
          <w:szCs w:val="24"/>
          <w:highlight w:val="none"/>
          <w:lang w:val="en-US" w:eastAsia="zh-CN" w:bidi="ar"/>
        </w:rPr>
        <w:t>：</w:t>
      </w:r>
      <w:r>
        <w:rPr>
          <w:rFonts w:hint="eastAsia" w:ascii="宋体" w:hAnsi="宋体" w:cs="宋体"/>
          <w:color w:val="auto"/>
          <w:kern w:val="2"/>
          <w:sz w:val="24"/>
          <w:szCs w:val="24"/>
          <w:highlight w:val="none"/>
          <w:u w:val="single"/>
          <w:lang w:val="en-US" w:eastAsia="zh-CN" w:bidi="ar"/>
        </w:rPr>
        <w:t>城南绿廊公园水体清淤项目工程量清单及最高投标限价编制服务项目（二次）</w:t>
      </w:r>
    </w:p>
    <w:p w14:paraId="32D08296">
      <w:pPr>
        <w:keepNext w:val="0"/>
        <w:keepLines w:val="0"/>
        <w:widowControl w:val="0"/>
        <w:suppressLineNumbers w:val="0"/>
        <w:spacing w:before="153" w:beforeLines="50" w:beforeAutospacing="0" w:after="0" w:afterAutospacing="0" w:line="400" w:lineRule="exact"/>
        <w:ind w:left="0" w:right="0" w:firstLine="470" w:firstLineChars="196"/>
        <w:jc w:val="left"/>
        <w:rPr>
          <w:rFonts w:hint="eastAsia" w:ascii="宋体" w:hAnsi="宋体" w:eastAsia="宋体" w:cs="宋体"/>
          <w:bCs w:val="0"/>
          <w:color w:val="auto"/>
          <w:kern w:val="2"/>
          <w:sz w:val="24"/>
          <w:szCs w:val="24"/>
          <w:highlight w:val="none"/>
        </w:rPr>
      </w:pPr>
      <w:r>
        <w:rPr>
          <w:rFonts w:hint="eastAsia" w:ascii="宋体" w:hAnsi="宋体" w:eastAsia="宋体" w:cs="宋体"/>
          <w:color w:val="auto"/>
          <w:kern w:val="2"/>
          <w:sz w:val="24"/>
          <w:szCs w:val="24"/>
          <w:highlight w:val="none"/>
          <w:u w:val="none"/>
          <w:lang w:val="en-US" w:eastAsia="zh-CN" w:bidi="ar"/>
        </w:rPr>
        <w:t>2. 工程地点：</w:t>
      </w:r>
      <w:r>
        <w:rPr>
          <w:rFonts w:hint="eastAsia" w:ascii="宋体" w:hAnsi="宋体" w:cs="宋体"/>
          <w:color w:val="auto"/>
          <w:kern w:val="2"/>
          <w:sz w:val="24"/>
          <w:szCs w:val="24"/>
          <w:highlight w:val="none"/>
          <w:u w:val="single"/>
          <w:lang w:val="en-US" w:eastAsia="zh-CN" w:bidi="ar"/>
        </w:rPr>
        <w:t>滁州市</w:t>
      </w:r>
    </w:p>
    <w:p w14:paraId="7BCB6CBE">
      <w:pPr>
        <w:keepNext w:val="0"/>
        <w:keepLines w:val="0"/>
        <w:widowControl w:val="0"/>
        <w:suppressLineNumbers w:val="0"/>
        <w:spacing w:before="153" w:beforeLines="50" w:beforeAutospacing="0" w:after="0" w:afterAutospacing="0" w:line="400" w:lineRule="exact"/>
        <w:ind w:left="0" w:right="0" w:firstLine="470" w:firstLineChars="196"/>
        <w:jc w:val="left"/>
        <w:rPr>
          <w:rFonts w:hint="eastAsia" w:ascii="宋体" w:hAnsi="宋体" w:eastAsia="宋体" w:cs="宋体"/>
          <w:bCs w:val="0"/>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3. </w:t>
      </w:r>
      <w:r>
        <w:rPr>
          <w:rFonts w:hint="eastAsia" w:ascii="宋体" w:hAnsi="宋体" w:eastAsia="宋体" w:cs="宋体"/>
          <w:bCs w:val="0"/>
          <w:color w:val="auto"/>
          <w:kern w:val="2"/>
          <w:sz w:val="24"/>
          <w:szCs w:val="24"/>
          <w:highlight w:val="none"/>
          <w:lang w:val="en-US" w:eastAsia="zh-CN" w:bidi="ar"/>
        </w:rPr>
        <w:t>工程规模：</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lang w:val="en-US" w:eastAsia="zh-CN" w:bidi="ar"/>
        </w:rPr>
        <w:t>。</w:t>
      </w:r>
    </w:p>
    <w:p w14:paraId="1FFD75C0">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二、咨询业务范围</w:t>
      </w:r>
    </w:p>
    <w:p w14:paraId="65066C61">
      <w:pPr>
        <w:keepNext w:val="0"/>
        <w:keepLines w:val="0"/>
        <w:widowControl w:val="0"/>
        <w:suppressLineNumbers w:val="0"/>
        <w:spacing w:before="153" w:beforeLines="50" w:beforeAutospacing="0" w:after="0" w:afterAutospacing="0" w:line="400" w:lineRule="exact"/>
        <w:ind w:left="0" w:right="0" w:firstLine="470" w:firstLineChars="196"/>
        <w:jc w:val="left"/>
        <w:rPr>
          <w:rFonts w:hint="eastAsia" w:ascii="宋体" w:hAnsi="宋体" w:eastAsia="宋体" w:cs="宋体"/>
          <w:bCs w:val="0"/>
          <w:color w:val="auto"/>
          <w:kern w:val="2"/>
          <w:sz w:val="24"/>
          <w:szCs w:val="24"/>
          <w:highlight w:val="none"/>
          <w:u w:val="single"/>
          <w:lang w:val="en-US" w:eastAsia="zh-CN" w:bidi="ar"/>
        </w:rPr>
      </w:pPr>
      <w:r>
        <w:rPr>
          <w:rFonts w:hint="eastAsia" w:ascii="宋体" w:hAnsi="宋体" w:eastAsia="宋体" w:cs="宋体"/>
          <w:bCs w:val="0"/>
          <w:color w:val="auto"/>
          <w:kern w:val="2"/>
          <w:sz w:val="24"/>
          <w:szCs w:val="24"/>
          <w:highlight w:val="none"/>
          <w:u w:val="single"/>
          <w:lang w:val="en-US" w:eastAsia="zh-CN" w:bidi="ar"/>
        </w:rPr>
        <w:t>工程量清单及最高投标限价编制服务</w:t>
      </w:r>
    </w:p>
    <w:p w14:paraId="23FD6909">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三、咨询期限</w:t>
      </w:r>
    </w:p>
    <w:p w14:paraId="1D56BA86">
      <w:pPr>
        <w:keepNext w:val="0"/>
        <w:keepLines w:val="0"/>
        <w:widowControl w:val="0"/>
        <w:suppressLineNumbers w:val="0"/>
        <w:spacing w:before="153" w:beforeLines="50" w:beforeAutospacing="0" w:after="0" w:afterAutospacing="0" w:line="400" w:lineRule="exact"/>
        <w:ind w:left="0" w:right="0" w:firstLine="470" w:firstLineChars="196"/>
        <w:jc w:val="left"/>
        <w:rPr>
          <w:rFonts w:hint="eastAsia" w:ascii="宋体" w:hAnsi="宋体" w:eastAsia="宋体" w:cs="宋体"/>
          <w:bCs w:val="0"/>
          <w:color w:val="auto"/>
          <w:kern w:val="2"/>
          <w:sz w:val="24"/>
          <w:szCs w:val="24"/>
          <w:highlight w:val="none"/>
          <w:lang w:val="en-US" w:eastAsia="zh-CN" w:bidi="ar"/>
        </w:rPr>
      </w:pPr>
      <w:r>
        <w:rPr>
          <w:rFonts w:hint="eastAsia" w:ascii="宋体" w:hAnsi="宋体" w:eastAsia="宋体" w:cs="宋体"/>
          <w:bCs w:val="0"/>
          <w:color w:val="auto"/>
          <w:kern w:val="2"/>
          <w:sz w:val="24"/>
          <w:szCs w:val="24"/>
          <w:highlight w:val="none"/>
          <w:lang w:val="en-US" w:eastAsia="zh-CN" w:bidi="ar"/>
        </w:rPr>
        <w:t>领取图纸之日起</w:t>
      </w:r>
      <w:r>
        <w:rPr>
          <w:rFonts w:hint="eastAsia" w:ascii="宋体" w:hAnsi="宋体" w:eastAsia="宋体" w:cs="宋体"/>
          <w:bCs w:val="0"/>
          <w:color w:val="auto"/>
          <w:kern w:val="2"/>
          <w:sz w:val="24"/>
          <w:szCs w:val="24"/>
          <w:highlight w:val="none"/>
          <w:u w:val="single"/>
          <w:lang w:val="en-US" w:eastAsia="zh-CN" w:bidi="ar"/>
        </w:rPr>
        <w:t xml:space="preserve"> </w:t>
      </w:r>
      <w:r>
        <w:rPr>
          <w:rFonts w:hint="eastAsia" w:ascii="宋体" w:hAnsi="宋体" w:cs="宋体"/>
          <w:bCs w:val="0"/>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lang w:val="en-US" w:eastAsia="zh-CN" w:bidi="ar"/>
        </w:rPr>
        <w:t>日内完成工程量清单和最高投标限价的编制及备案工作。</w:t>
      </w:r>
    </w:p>
    <w:p w14:paraId="5DA37E0F">
      <w:pPr>
        <w:keepNext w:val="0"/>
        <w:keepLines w:val="0"/>
        <w:widowControl w:val="0"/>
        <w:suppressLineNumbers w:val="0"/>
        <w:spacing w:before="153" w:beforeLines="50" w:beforeAutospacing="0" w:after="0" w:afterAutospacing="0" w:line="400" w:lineRule="exact"/>
        <w:ind w:left="0" w:right="0" w:firstLine="470" w:firstLineChars="196"/>
        <w:jc w:val="left"/>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lang w:val="en-US" w:eastAsia="zh-CN" w:bidi="ar"/>
        </w:rPr>
        <w:t>计划开始日期：</w:t>
      </w:r>
      <w:r>
        <w:rPr>
          <w:rFonts w:hint="eastAsia" w:ascii="宋体" w:hAnsi="宋体" w:eastAsia="宋体" w:cs="宋体"/>
          <w:bCs w:val="0"/>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lang w:val="en-US" w:eastAsia="zh-CN" w:bidi="ar"/>
        </w:rPr>
        <w:t>年</w:t>
      </w:r>
      <w:r>
        <w:rPr>
          <w:rFonts w:hint="eastAsia" w:ascii="宋体" w:hAnsi="宋体" w:eastAsia="宋体" w:cs="宋体"/>
          <w:bCs w:val="0"/>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lang w:val="en-US" w:eastAsia="zh-CN" w:bidi="ar"/>
        </w:rPr>
        <w:t>月</w:t>
      </w:r>
      <w:r>
        <w:rPr>
          <w:rFonts w:hint="eastAsia" w:ascii="宋体" w:hAnsi="宋体" w:eastAsia="宋体" w:cs="宋体"/>
          <w:bCs w:val="0"/>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lang w:val="en-US" w:eastAsia="zh-CN" w:bidi="ar"/>
        </w:rPr>
        <w:t>日。</w:t>
      </w:r>
    </w:p>
    <w:p w14:paraId="1AE40EF5">
      <w:pPr>
        <w:keepNext w:val="0"/>
        <w:keepLines w:val="0"/>
        <w:widowControl w:val="0"/>
        <w:suppressLineNumbers w:val="0"/>
        <w:spacing w:before="153" w:beforeLines="50" w:beforeAutospacing="0" w:after="0" w:afterAutospacing="0" w:line="400" w:lineRule="exact"/>
        <w:ind w:left="0" w:right="0" w:firstLine="470" w:firstLineChars="196"/>
        <w:jc w:val="left"/>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lang w:val="en-US" w:eastAsia="zh-CN" w:bidi="ar"/>
        </w:rPr>
        <w:t>计划结束日期：</w:t>
      </w:r>
      <w:r>
        <w:rPr>
          <w:rFonts w:hint="eastAsia" w:ascii="宋体" w:hAnsi="宋体" w:eastAsia="宋体" w:cs="宋体"/>
          <w:bCs w:val="0"/>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lang w:val="en-US" w:eastAsia="zh-CN" w:bidi="ar"/>
        </w:rPr>
        <w:t>年</w:t>
      </w:r>
      <w:r>
        <w:rPr>
          <w:rFonts w:hint="eastAsia" w:ascii="宋体" w:hAnsi="宋体" w:eastAsia="宋体" w:cs="宋体"/>
          <w:bCs w:val="0"/>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lang w:val="en-US" w:eastAsia="zh-CN" w:bidi="ar"/>
        </w:rPr>
        <w:t>月</w:t>
      </w:r>
      <w:r>
        <w:rPr>
          <w:rFonts w:hint="eastAsia" w:ascii="宋体" w:hAnsi="宋体" w:eastAsia="宋体" w:cs="宋体"/>
          <w:bCs w:val="0"/>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lang w:val="en-US" w:eastAsia="zh-CN" w:bidi="ar"/>
        </w:rPr>
        <w:t>日。</w:t>
      </w:r>
    </w:p>
    <w:p w14:paraId="63D1DD2E">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四、质量标准</w:t>
      </w:r>
    </w:p>
    <w:p w14:paraId="73B69814">
      <w:pPr>
        <w:keepNext w:val="0"/>
        <w:keepLines w:val="0"/>
        <w:widowControl w:val="0"/>
        <w:suppressLineNumbers w:val="0"/>
        <w:spacing w:before="153" w:beforeLines="50" w:beforeAutospacing="0" w:after="0" w:afterAutospacing="0" w:line="400" w:lineRule="exact"/>
        <w:ind w:left="0" w:right="0" w:firstLine="470" w:firstLineChars="196"/>
        <w:jc w:val="left"/>
        <w:rPr>
          <w:rFonts w:hint="eastAsia" w:ascii="宋体" w:hAnsi="宋体" w:eastAsia="宋体" w:cs="宋体"/>
          <w:bCs w:val="0"/>
          <w:color w:val="auto"/>
          <w:kern w:val="2"/>
          <w:sz w:val="24"/>
          <w:szCs w:val="24"/>
          <w:highlight w:val="none"/>
          <w:lang w:val="en-US" w:eastAsia="zh-CN" w:bidi="ar"/>
        </w:rPr>
      </w:pPr>
      <w:r>
        <w:rPr>
          <w:rFonts w:hint="eastAsia" w:ascii="宋体" w:hAnsi="宋体" w:eastAsia="宋体" w:cs="宋体"/>
          <w:bCs w:val="0"/>
          <w:color w:val="auto"/>
          <w:kern w:val="2"/>
          <w:sz w:val="24"/>
          <w:szCs w:val="24"/>
          <w:highlight w:val="none"/>
          <w:lang w:val="en-US" w:eastAsia="zh-CN" w:bidi="ar"/>
        </w:rPr>
        <w:t>符合《建设工程造价咨询成果文件质量标准》（CECA/GCF2012）</w:t>
      </w:r>
      <w:r>
        <w:rPr>
          <w:rFonts w:hint="eastAsia" w:ascii="宋体" w:hAnsi="宋体" w:cs="宋体"/>
          <w:bCs w:val="0"/>
          <w:color w:val="auto"/>
          <w:kern w:val="2"/>
          <w:sz w:val="24"/>
          <w:szCs w:val="24"/>
          <w:highlight w:val="none"/>
          <w:lang w:val="en-US" w:eastAsia="zh-CN" w:bidi="ar"/>
        </w:rPr>
        <w:t>。</w:t>
      </w:r>
    </w:p>
    <w:p w14:paraId="5C787948">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 xml:space="preserve">五、咨询酬金 </w:t>
      </w:r>
    </w:p>
    <w:p w14:paraId="1FB289B2">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支付方式：</w:t>
      </w:r>
      <w:r>
        <w:rPr>
          <w:rFonts w:hint="eastAsia" w:ascii="宋体" w:hAnsi="宋体" w:eastAsia="宋体" w:cs="宋体"/>
          <w:b/>
          <w:bCs/>
          <w:color w:val="auto"/>
          <w:kern w:val="2"/>
          <w:sz w:val="24"/>
          <w:szCs w:val="24"/>
          <w:highlight w:val="none"/>
          <w:lang w:val="en-US" w:eastAsia="zh-CN" w:bidi="ar"/>
        </w:rPr>
        <w:t>施工招标完成后支付至合同价款的80%，工程竣工验收后支付合同价款的剩余费用（计算基数以施工中标价减去暂列金额、暂估价为准）。如项目因故调整未招标，则以最高投标限价乘以《滁州市关于规范政府和国有资金投资建设工程招标评标基准价的通知》中J值的最大值为计费基数，按照合同价款的50%作为最终结算价。（注：发包人在政府资金调度会批准且发票送达后完成支付）。</w:t>
      </w:r>
    </w:p>
    <w:p w14:paraId="1D6093F3">
      <w:pPr>
        <w:keepNext w:val="0"/>
        <w:keepLines w:val="0"/>
        <w:widowControl w:val="0"/>
        <w:suppressLineNumbers w:val="0"/>
        <w:spacing w:before="153" w:beforeLines="50" w:beforeAutospacing="0" w:after="0" w:afterAutospacing="0" w:line="400" w:lineRule="exact"/>
        <w:ind w:left="0" w:right="0" w:firstLine="720" w:firstLineChars="3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费率，《收费标准》计算费用的</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w:t>
      </w:r>
    </w:p>
    <w:p w14:paraId="70F01EE9">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六、履约保证金</w:t>
      </w:r>
    </w:p>
    <w:p w14:paraId="6C0957B0">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color w:val="auto"/>
          <w:kern w:val="0"/>
          <w:sz w:val="24"/>
          <w:szCs w:val="24"/>
          <w:highlight w:val="none"/>
        </w:rPr>
      </w:pPr>
      <w:r>
        <w:rPr>
          <w:rFonts w:hint="eastAsia" w:ascii="宋体" w:hAnsi="宋体" w:cs="宋体"/>
          <w:b w:val="0"/>
          <w:bCs w:val="0"/>
          <w:color w:val="auto"/>
          <w:kern w:val="2"/>
          <w:sz w:val="24"/>
          <w:szCs w:val="24"/>
          <w:highlight w:val="none"/>
          <w:lang w:val="en-US" w:eastAsia="zh-CN" w:bidi="ar"/>
        </w:rPr>
        <w:t xml:space="preserve"> 本项目不需要缴纳履约保证金</w:t>
      </w:r>
      <w:r>
        <w:rPr>
          <w:rFonts w:hint="eastAsia" w:ascii="宋体" w:hAnsi="宋体" w:eastAsia="宋体" w:cs="宋体"/>
          <w:b w:val="0"/>
          <w:bCs w:val="0"/>
          <w:color w:val="auto"/>
          <w:kern w:val="2"/>
          <w:sz w:val="24"/>
          <w:szCs w:val="24"/>
          <w:highlight w:val="none"/>
          <w:lang w:val="en-US" w:eastAsia="zh-CN" w:bidi="ar"/>
        </w:rPr>
        <w:t>。</w:t>
      </w:r>
    </w:p>
    <w:p w14:paraId="0313D4AC">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七、合同文件构成</w:t>
      </w:r>
    </w:p>
    <w:p w14:paraId="0467C1B3">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本协议书与下列文件一起构成造价咨询合同文件：</w:t>
      </w:r>
    </w:p>
    <w:p w14:paraId="7C6A99DB">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中标通知书（如果有）；</w:t>
      </w:r>
    </w:p>
    <w:p w14:paraId="2BE3FEED">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2"/>
          <w:sz w:val="24"/>
          <w:szCs w:val="24"/>
          <w:highlight w:val="none"/>
          <w:lang w:val="en-US" w:eastAsia="zh-CN" w:bidi="ar"/>
        </w:rPr>
        <w:t xml:space="preserve">投标函及其附录（如果有）； </w:t>
      </w:r>
    </w:p>
    <w:p w14:paraId="131AB3E3">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2"/>
          <w:sz w:val="24"/>
          <w:szCs w:val="24"/>
          <w:highlight w:val="none"/>
          <w:lang w:val="en-US" w:eastAsia="zh-CN" w:bidi="ar"/>
        </w:rPr>
        <w:t>通用合同条款；</w:t>
      </w:r>
    </w:p>
    <w:p w14:paraId="4B1087FE">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2"/>
          <w:sz w:val="24"/>
          <w:szCs w:val="24"/>
          <w:highlight w:val="none"/>
          <w:lang w:val="en-US" w:eastAsia="zh-CN" w:bidi="ar"/>
        </w:rPr>
        <w:t>专用合同条款。</w:t>
      </w:r>
    </w:p>
    <w:p w14:paraId="183B3E33">
      <w:pPr>
        <w:keepNext w:val="0"/>
        <w:keepLines w:val="0"/>
        <w:widowControl w:val="0"/>
        <w:suppressLineNumbers w:val="0"/>
        <w:autoSpaceDE w:val="0"/>
        <w:autoSpaceDN w:val="0"/>
        <w:adjustRightInd w:val="0"/>
        <w:spacing w:before="153" w:beforeLines="5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在合同订立及履行过程中形成的与合同有关的文件均构成合同文件组成部分。</w:t>
      </w:r>
    </w:p>
    <w:p w14:paraId="1008414D">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上述各项合同文件包括合同当事人就该项合同文件所作出的补充和修改，属于同一类内容的文件，应以最新签署的为准。</w:t>
      </w:r>
    </w:p>
    <w:p w14:paraId="1387D53E">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八、词语含义</w:t>
      </w:r>
    </w:p>
    <w:p w14:paraId="16D16D48">
      <w:pPr>
        <w:keepNext w:val="0"/>
        <w:keepLines w:val="0"/>
        <w:widowControl w:val="0"/>
        <w:suppressLineNumbers w:val="0"/>
        <w:spacing w:before="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本协议书中词语含义与第二部分通用合同条款中赋予的含义相同。</w:t>
      </w:r>
    </w:p>
    <w:p w14:paraId="4C2D7D87">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九、本合同于</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lang w:val="en-US" w:eastAsia="zh-CN" w:bidi="ar"/>
        </w:rPr>
        <w:t>年</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lang w:val="en-US" w:eastAsia="zh-CN" w:bidi="ar"/>
        </w:rPr>
        <w:t>月</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lang w:val="en-US" w:eastAsia="zh-CN" w:bidi="ar"/>
        </w:rPr>
        <w:t>日签订。</w:t>
      </w:r>
    </w:p>
    <w:p w14:paraId="3AFA8BC9">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十、签订地点</w:t>
      </w:r>
    </w:p>
    <w:p w14:paraId="5093C671">
      <w:pPr>
        <w:keepNext w:val="0"/>
        <w:keepLines w:val="0"/>
        <w:widowControl w:val="0"/>
        <w:suppressLineNumbers w:val="0"/>
        <w:spacing w:before="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bCs w:val="0"/>
          <w:color w:val="auto"/>
          <w:kern w:val="2"/>
          <w:sz w:val="24"/>
          <w:szCs w:val="24"/>
          <w:highlight w:val="none"/>
          <w:lang w:val="en-US" w:eastAsia="zh-CN" w:bidi="ar"/>
        </w:rPr>
        <w:t>本合同在</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b w:val="0"/>
          <w:color w:val="auto"/>
          <w:kern w:val="2"/>
          <w:sz w:val="24"/>
          <w:szCs w:val="24"/>
          <w:highlight w:val="none"/>
          <w:u w:val="single"/>
          <w:lang w:val="en-US" w:eastAsia="zh-CN" w:bidi="ar"/>
        </w:rPr>
        <w:t>滁州市园林景观管理中心</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签订。</w:t>
      </w:r>
    </w:p>
    <w:p w14:paraId="79039180">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十一、补充协议</w:t>
      </w:r>
    </w:p>
    <w:p w14:paraId="7AD6BE1C">
      <w:pPr>
        <w:keepNext w:val="0"/>
        <w:keepLines w:val="0"/>
        <w:widowControl w:val="0"/>
        <w:suppressLineNumbers w:val="0"/>
        <w:spacing w:before="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合同未尽事宜，合同当事人另行签订补充协议，补充协议是合同的组成部分。</w:t>
      </w:r>
    </w:p>
    <w:p w14:paraId="63F7719F">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十二、合同生效</w:t>
      </w:r>
    </w:p>
    <w:p w14:paraId="4F83DD4A">
      <w:pPr>
        <w:keepNext w:val="0"/>
        <w:keepLines w:val="0"/>
        <w:widowControl w:val="0"/>
        <w:suppressLineNumbers w:val="0"/>
        <w:spacing w:before="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本合同自</w:t>
      </w:r>
      <w:r>
        <w:rPr>
          <w:rFonts w:hint="eastAsia" w:ascii="宋体" w:hAnsi="宋体" w:cs="宋体"/>
          <w:color w:val="auto"/>
          <w:kern w:val="2"/>
          <w:sz w:val="24"/>
          <w:szCs w:val="24"/>
          <w:highlight w:val="none"/>
          <w:u w:val="single"/>
          <w:lang w:val="en-US" w:eastAsia="zh-CN" w:bidi="ar"/>
        </w:rPr>
        <w:t>甲乙双方盖章后</w:t>
      </w:r>
      <w:r>
        <w:rPr>
          <w:rFonts w:hint="eastAsia" w:ascii="宋体" w:hAnsi="宋体" w:eastAsia="宋体" w:cs="宋体"/>
          <w:color w:val="auto"/>
          <w:kern w:val="2"/>
          <w:sz w:val="24"/>
          <w:szCs w:val="24"/>
          <w:highlight w:val="none"/>
          <w:lang w:val="en-US" w:eastAsia="zh-CN" w:bidi="ar"/>
        </w:rPr>
        <w:t>生效。</w:t>
      </w:r>
    </w:p>
    <w:p w14:paraId="2AF75075">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十三、合同份数</w:t>
      </w:r>
    </w:p>
    <w:p w14:paraId="6411AA19">
      <w:pPr>
        <w:keepNext w:val="0"/>
        <w:keepLines w:val="0"/>
        <w:widowControl w:val="0"/>
        <w:suppressLineNumbers w:val="0"/>
        <w:spacing w:before="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本合同一式</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cs="宋体"/>
          <w:color w:val="auto"/>
          <w:kern w:val="2"/>
          <w:sz w:val="24"/>
          <w:szCs w:val="24"/>
          <w:highlight w:val="none"/>
          <w:u w:val="single"/>
          <w:lang w:val="en-US" w:eastAsia="zh-CN" w:bidi="ar"/>
        </w:rPr>
        <w:t>4</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份，均具有同等法律效力，委托人</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cs="宋体"/>
          <w:color w:val="auto"/>
          <w:kern w:val="2"/>
          <w:sz w:val="24"/>
          <w:szCs w:val="24"/>
          <w:highlight w:val="none"/>
          <w:u w:val="single"/>
          <w:lang w:val="en-US" w:eastAsia="zh-CN" w:bidi="ar"/>
        </w:rPr>
        <w:t>2</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份，受托人</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cs="宋体"/>
          <w:color w:val="auto"/>
          <w:kern w:val="2"/>
          <w:sz w:val="24"/>
          <w:szCs w:val="24"/>
          <w:highlight w:val="none"/>
          <w:u w:val="single"/>
          <w:lang w:val="en-US" w:eastAsia="zh-CN" w:bidi="ar"/>
        </w:rPr>
        <w:t>2</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份。</w:t>
      </w:r>
    </w:p>
    <w:p w14:paraId="30DE53EB">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lang w:val="en-US" w:eastAsia="zh-CN" w:bidi="ar"/>
        </w:rPr>
        <w:t xml:space="preserve"> </w:t>
      </w:r>
    </w:p>
    <w:p w14:paraId="631BB8ED">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委托人：  （公章）                       受托人：  （公章）</w:t>
      </w:r>
    </w:p>
    <w:p w14:paraId="6310F0DA">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7EED1143">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0FB85B8D">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法定代表人或其委托代理人：              法定代表人或其委托代理人：</w:t>
      </w:r>
    </w:p>
    <w:p w14:paraId="2DE921B2">
      <w:pPr>
        <w:keepNext w:val="0"/>
        <w:keepLines w:val="0"/>
        <w:widowControl w:val="0"/>
        <w:suppressLineNumbers w:val="0"/>
        <w:spacing w:before="0" w:beforeAutospacing="0" w:after="0" w:afterAutospacing="0" w:line="400" w:lineRule="exact"/>
        <w:ind w:left="0" w:right="0" w:firstLine="960" w:firstLineChars="4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（签字）                               （签字）</w:t>
      </w:r>
    </w:p>
    <w:p w14:paraId="569BF31A">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08998B14">
      <w:pPr>
        <w:keepNext w:val="0"/>
        <w:keepLines w:val="0"/>
        <w:widowControl w:val="0"/>
        <w:suppressLineNumbers w:val="0"/>
        <w:spacing w:before="153" w:beforeLines="5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地    址：</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地    址：</w:t>
      </w:r>
      <w:r>
        <w:rPr>
          <w:rFonts w:hint="eastAsia" w:ascii="宋体" w:hAnsi="宋体" w:eastAsia="宋体" w:cs="宋体"/>
          <w:color w:val="auto"/>
          <w:kern w:val="2"/>
          <w:sz w:val="24"/>
          <w:szCs w:val="24"/>
          <w:highlight w:val="none"/>
          <w:u w:val="single"/>
          <w:lang w:val="en-US" w:eastAsia="zh-CN" w:bidi="ar"/>
        </w:rPr>
        <w:t xml:space="preserve">                </w:t>
      </w:r>
    </w:p>
    <w:p w14:paraId="4057472B">
      <w:pPr>
        <w:keepNext w:val="0"/>
        <w:keepLines w:val="0"/>
        <w:widowControl w:val="0"/>
        <w:suppressLineNumbers w:val="0"/>
        <w:spacing w:before="153" w:beforeLines="5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邮政编码：</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邮政编码：</w:t>
      </w:r>
      <w:r>
        <w:rPr>
          <w:rFonts w:hint="eastAsia" w:ascii="宋体" w:hAnsi="宋体" w:eastAsia="宋体" w:cs="宋体"/>
          <w:color w:val="auto"/>
          <w:kern w:val="2"/>
          <w:sz w:val="24"/>
          <w:szCs w:val="24"/>
          <w:highlight w:val="none"/>
          <w:u w:val="single"/>
          <w:lang w:val="en-US" w:eastAsia="zh-CN" w:bidi="ar"/>
        </w:rPr>
        <w:t xml:space="preserve">                  </w:t>
      </w:r>
    </w:p>
    <w:p w14:paraId="4BF31FE9">
      <w:pPr>
        <w:keepNext w:val="0"/>
        <w:keepLines w:val="0"/>
        <w:widowControl w:val="0"/>
        <w:suppressLineNumbers w:val="0"/>
        <w:spacing w:before="153" w:beforeLines="5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电    话：</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电    话：</w:t>
      </w:r>
      <w:r>
        <w:rPr>
          <w:rFonts w:hint="eastAsia" w:ascii="宋体" w:hAnsi="宋体" w:eastAsia="宋体" w:cs="宋体"/>
          <w:color w:val="auto"/>
          <w:kern w:val="2"/>
          <w:sz w:val="24"/>
          <w:szCs w:val="24"/>
          <w:highlight w:val="none"/>
          <w:u w:val="single"/>
          <w:lang w:val="en-US" w:eastAsia="zh-CN" w:bidi="ar"/>
        </w:rPr>
        <w:t xml:space="preserve">                  </w:t>
      </w:r>
    </w:p>
    <w:p w14:paraId="668B16AA">
      <w:pPr>
        <w:keepNext w:val="0"/>
        <w:keepLines w:val="0"/>
        <w:widowControl w:val="0"/>
        <w:suppressLineNumbers w:val="0"/>
        <w:spacing w:before="153" w:beforeLines="5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传    真：</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传    真：</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w:t>
      </w:r>
    </w:p>
    <w:p w14:paraId="4EDA71CF">
      <w:pPr>
        <w:keepNext w:val="0"/>
        <w:keepLines w:val="0"/>
        <w:widowControl w:val="0"/>
        <w:suppressLineNumbers w:val="0"/>
        <w:spacing w:before="153" w:beforeLines="5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电子信箱：</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电子信箱：</w:t>
      </w:r>
      <w:r>
        <w:rPr>
          <w:rFonts w:hint="eastAsia" w:ascii="宋体" w:hAnsi="宋体" w:eastAsia="宋体" w:cs="宋体"/>
          <w:color w:val="auto"/>
          <w:kern w:val="2"/>
          <w:sz w:val="24"/>
          <w:szCs w:val="24"/>
          <w:highlight w:val="none"/>
          <w:u w:val="single"/>
          <w:lang w:val="en-US" w:eastAsia="zh-CN" w:bidi="ar"/>
        </w:rPr>
        <w:t xml:space="preserve">                  </w:t>
      </w:r>
    </w:p>
    <w:p w14:paraId="0C610547">
      <w:pPr>
        <w:keepNext w:val="0"/>
        <w:keepLines w:val="0"/>
        <w:widowControl w:val="0"/>
        <w:suppressLineNumbers w:val="0"/>
        <w:spacing w:before="153" w:beforeLines="50" w:beforeAutospacing="0" w:after="0" w:afterAutospacing="0" w:line="400" w:lineRule="exact"/>
        <w:ind w:left="0" w:right="0"/>
        <w:jc w:val="left"/>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开户银行：</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开户银行：</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w:t>
      </w:r>
    </w:p>
    <w:p w14:paraId="0A0B3F9F">
      <w:pPr>
        <w:keepNext w:val="0"/>
        <w:keepLines w:val="0"/>
        <w:widowControl w:val="0"/>
        <w:suppressLineNumbers w:val="0"/>
        <w:spacing w:before="153" w:beforeLines="5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账    号：</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账    号：</w:t>
      </w:r>
      <w:r>
        <w:rPr>
          <w:rFonts w:hint="eastAsia" w:ascii="宋体" w:hAnsi="宋体" w:eastAsia="宋体" w:cs="宋体"/>
          <w:color w:val="auto"/>
          <w:kern w:val="2"/>
          <w:sz w:val="24"/>
          <w:szCs w:val="24"/>
          <w:highlight w:val="none"/>
          <w:u w:val="single"/>
          <w:lang w:val="en-US" w:eastAsia="zh-CN" w:bidi="ar"/>
        </w:rPr>
        <w:t xml:space="preserve">                                    </w:t>
      </w:r>
    </w:p>
    <w:p w14:paraId="0AB9A65D">
      <w:pPr>
        <w:keepNext w:val="0"/>
        <w:keepLines w:val="0"/>
        <w:widowControl w:val="0"/>
        <w:suppressLineNumbers w:val="0"/>
        <w:spacing w:before="0" w:beforeLines="50" w:beforeAutospacing="0" w:after="0" w:afterLines="3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7359ECEF">
      <w:pPr>
        <w:keepNext w:val="0"/>
        <w:keepLines w:val="0"/>
        <w:widowControl w:val="0"/>
        <w:suppressLineNumbers w:val="0"/>
        <w:spacing w:before="0" w:beforeLines="50" w:beforeAutospacing="0" w:after="0" w:afterLines="3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05DC2AC0">
      <w:pPr>
        <w:keepNext w:val="0"/>
        <w:keepLines w:val="0"/>
        <w:widowControl w:val="0"/>
        <w:suppressLineNumbers w:val="0"/>
        <w:spacing w:before="153" w:beforeLines="50" w:beforeAutospacing="0" w:after="153" w:afterLines="50" w:afterAutospacing="0" w:line="400" w:lineRule="exact"/>
        <w:ind w:left="0" w:right="0" w:firstLine="0" w:firstLineChars="0"/>
        <w:jc w:val="center"/>
        <w:outlineLvl w:val="2"/>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lang w:val="en-US" w:eastAsia="zh-CN" w:bidi="ar"/>
        </w:rPr>
        <w:br w:type="page"/>
      </w:r>
      <w:r>
        <w:rPr>
          <w:rFonts w:hint="eastAsia" w:ascii="宋体" w:hAnsi="宋体" w:eastAsia="宋体" w:cs="宋体"/>
          <w:b/>
          <w:bCs/>
          <w:color w:val="auto"/>
          <w:kern w:val="2"/>
          <w:sz w:val="24"/>
          <w:szCs w:val="24"/>
          <w:highlight w:val="none"/>
          <w:lang w:val="en-US" w:eastAsia="zh-CN" w:bidi="ar"/>
        </w:rPr>
        <w:t>第二部分  通用合同条款</w:t>
      </w:r>
    </w:p>
    <w:p w14:paraId="655CAF52">
      <w:pPr>
        <w:pStyle w:val="6"/>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w:t>
      </w:r>
      <w:bookmarkStart w:id="69" w:name="_Toc303538973"/>
      <w:bookmarkEnd w:id="69"/>
      <w:bookmarkStart w:id="70" w:name="_Toc303538975"/>
      <w:bookmarkEnd w:id="70"/>
      <w:bookmarkStart w:id="71" w:name="_Toc303538972"/>
      <w:bookmarkEnd w:id="71"/>
      <w:bookmarkStart w:id="72" w:name="_Toc303538976"/>
      <w:bookmarkEnd w:id="72"/>
      <w:bookmarkStart w:id="73" w:name="_Toc303538974"/>
      <w:bookmarkEnd w:id="73"/>
      <w:bookmarkStart w:id="74" w:name="_Toc296346528"/>
      <w:bookmarkStart w:id="75" w:name="_Toc296503027"/>
      <w:r>
        <w:rPr>
          <w:rFonts w:hint="eastAsia" w:ascii="宋体" w:hAnsi="宋体" w:eastAsia="宋体" w:cs="宋体"/>
          <w:b w:val="0"/>
          <w:color w:val="auto"/>
          <w:sz w:val="24"/>
          <w:szCs w:val="24"/>
          <w:highlight w:val="none"/>
        </w:rPr>
        <w:t xml:space="preserve"> 一般约定</w:t>
      </w:r>
      <w:bookmarkEnd w:id="74"/>
      <w:bookmarkEnd w:id="75"/>
    </w:p>
    <w:p w14:paraId="0DFBE77C">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76" w:name="_Toc296503028"/>
      <w:bookmarkStart w:id="77" w:name="_Toc296346529"/>
      <w:bookmarkStart w:id="78" w:name="_Toc337558728"/>
      <w:bookmarkStart w:id="79" w:name="_Toc407261895"/>
      <w:r>
        <w:rPr>
          <w:rFonts w:hint="eastAsia" w:ascii="宋体" w:hAnsi="宋体" w:eastAsia="宋体" w:cs="宋体"/>
          <w:color w:val="auto"/>
          <w:sz w:val="24"/>
          <w:szCs w:val="24"/>
          <w:highlight w:val="none"/>
        </w:rPr>
        <w:t>1.1 词语定义</w:t>
      </w:r>
      <w:bookmarkEnd w:id="76"/>
      <w:bookmarkEnd w:id="77"/>
      <w:bookmarkEnd w:id="78"/>
      <w:r>
        <w:rPr>
          <w:rFonts w:hint="eastAsia" w:ascii="宋体" w:hAnsi="宋体" w:eastAsia="宋体" w:cs="宋体"/>
          <w:color w:val="auto"/>
          <w:sz w:val="24"/>
          <w:szCs w:val="24"/>
          <w:highlight w:val="none"/>
        </w:rPr>
        <w:t>与解释</w:t>
      </w:r>
      <w:bookmarkEnd w:id="79"/>
    </w:p>
    <w:p w14:paraId="6B03375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合同协议书、通用合同条款、专用合同条款中的下列词语具有本款所赋予的含义：</w:t>
      </w:r>
    </w:p>
    <w:p w14:paraId="7BF38898">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委托人：是指与咨询人签订合同协议书的当事人及取得该当事人资格的合法继承人。</w:t>
      </w:r>
    </w:p>
    <w:p w14:paraId="189DC1D9">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咨询人：是指与委托人签订合同协议书的，具有相应工程造价咨询资质的当事人及取得该当事人资格的合法继承人。</w:t>
      </w:r>
    </w:p>
    <w:p w14:paraId="401A1499">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第三人：是指除委托人、咨询人以外与本咨询业务有关的当事人。</w:t>
      </w:r>
    </w:p>
    <w:p w14:paraId="23445B4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 工程造价咨询：是指咨询人接受委托人的委托，运用工程造价的专业技能，为建设项目决策、设计、交易、实施、结算等各个阶段工程计价和工程造价管理提供的有偿服务。</w:t>
      </w:r>
    </w:p>
    <w:p w14:paraId="297DD858">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1.1.5 工程造价咨询成果文件：是指咨询人在承担工程造价咨询业务时，为委托人出具的具有法律责任，反映各阶段工程造价确定与控制成果的文件。包括：投资估算书、设计概算书、施工图预算书、竣工结算书、工程量清单、招标控制价、工程计量与支付、工程索赔、工程造价鉴定意见书等文件。 </w:t>
      </w:r>
    </w:p>
    <w:p w14:paraId="0A8E35A4">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 综合误差率：是指工程造价咨询成果文件中审查出的编制错误的累计金额与最终修正后造价总额的比率。</w:t>
      </w:r>
    </w:p>
    <w:p w14:paraId="769ED89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1.1.7 酬金：是指咨询人履行本合同义务，委托人按照本合同约定给付咨询人的金额。</w:t>
      </w:r>
    </w:p>
    <w:p w14:paraId="6671FAEF">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1.1.8 费用：是指不包含在酬金之内应由委托人承担的经济支出。</w:t>
      </w:r>
    </w:p>
    <w:p w14:paraId="375769F5">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1.1.9 书面形式：是指合同书、信件和数据电文等可以有形地表现所载内容的形式。</w:t>
      </w:r>
    </w:p>
    <w:p w14:paraId="382D1515">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80" w:name="_Toc296503029"/>
      <w:bookmarkStart w:id="81" w:name="_Toc337558729"/>
      <w:bookmarkStart w:id="82" w:name="_Toc407261896"/>
      <w:bookmarkStart w:id="83" w:name="_Toc296346530"/>
      <w:r>
        <w:rPr>
          <w:rFonts w:hint="eastAsia" w:ascii="宋体" w:hAnsi="宋体" w:eastAsia="宋体" w:cs="宋体"/>
          <w:color w:val="auto"/>
          <w:sz w:val="24"/>
          <w:szCs w:val="24"/>
          <w:highlight w:val="none"/>
        </w:rPr>
        <w:t>1.2 语言文字</w:t>
      </w:r>
      <w:bookmarkEnd w:id="80"/>
      <w:bookmarkEnd w:id="81"/>
      <w:bookmarkEnd w:id="82"/>
      <w:bookmarkEnd w:id="83"/>
    </w:p>
    <w:p w14:paraId="7EB4D68A">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合同以中国的汉语简体文字编写、解释和说明。合同当事人在专用合同条款中约定使用两种以上语言时，汉语为优先解释和说明合同的语言。</w:t>
      </w:r>
    </w:p>
    <w:p w14:paraId="3D9C3E29">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84" w:name="_Toc337558730"/>
      <w:bookmarkStart w:id="85" w:name="_Toc296346531"/>
      <w:bookmarkStart w:id="86" w:name="_Toc296503030"/>
      <w:bookmarkStart w:id="87" w:name="_Toc407261897"/>
      <w:r>
        <w:rPr>
          <w:rFonts w:hint="eastAsia" w:ascii="宋体" w:hAnsi="宋体" w:eastAsia="宋体" w:cs="宋体"/>
          <w:color w:val="auto"/>
          <w:sz w:val="24"/>
          <w:szCs w:val="24"/>
          <w:highlight w:val="none"/>
        </w:rPr>
        <w:t>1.3 法律</w:t>
      </w:r>
      <w:bookmarkEnd w:id="84"/>
      <w:bookmarkEnd w:id="85"/>
      <w:bookmarkEnd w:id="86"/>
      <w:bookmarkEnd w:id="87"/>
    </w:p>
    <w:p w14:paraId="6E211FE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合同所称法律是指中华人民共和国法律、行政法规、部门规章，以及本省地方性法规、规章等。</w:t>
      </w:r>
    </w:p>
    <w:p w14:paraId="32849A1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合同当事人可以在专用合同条款中约定合同适用的其他规范性文件。</w:t>
      </w:r>
    </w:p>
    <w:p w14:paraId="18948736">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88" w:name="_Toc407261898"/>
      <w:r>
        <w:rPr>
          <w:rFonts w:hint="eastAsia" w:ascii="宋体" w:hAnsi="宋体" w:eastAsia="宋体" w:cs="宋体"/>
          <w:color w:val="auto"/>
          <w:sz w:val="24"/>
          <w:szCs w:val="24"/>
          <w:highlight w:val="none"/>
        </w:rPr>
        <w:t>1.4 标准和规范</w:t>
      </w:r>
      <w:bookmarkEnd w:id="88"/>
    </w:p>
    <w:p w14:paraId="4802845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适用于工程造价咨询的国家标准、行业标准、本省地方性标准，以及相应的规范、规程等，合同当事人有特别要求的，应在专用合同条款中约定。</w:t>
      </w:r>
    </w:p>
    <w:p w14:paraId="6B1F8263">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89" w:name="_Toc407261899"/>
      <w:r>
        <w:rPr>
          <w:rFonts w:hint="eastAsia" w:ascii="宋体" w:hAnsi="宋体" w:eastAsia="宋体" w:cs="宋体"/>
          <w:color w:val="auto"/>
          <w:sz w:val="24"/>
          <w:szCs w:val="24"/>
          <w:highlight w:val="none"/>
        </w:rPr>
        <w:t>1</w:t>
      </w:r>
      <w:bookmarkStart w:id="90" w:name="_Toc296346532"/>
      <w:bookmarkStart w:id="91" w:name="_Toc296503031"/>
      <w:bookmarkStart w:id="92" w:name="_Toc337558731"/>
      <w:r>
        <w:rPr>
          <w:rFonts w:hint="eastAsia" w:ascii="宋体" w:hAnsi="宋体" w:eastAsia="宋体" w:cs="宋体"/>
          <w:color w:val="auto"/>
          <w:sz w:val="24"/>
          <w:szCs w:val="24"/>
          <w:highlight w:val="none"/>
        </w:rPr>
        <w:t>.5 合同文件的优先顺序</w:t>
      </w:r>
      <w:bookmarkEnd w:id="89"/>
    </w:p>
    <w:bookmarkEnd w:id="90"/>
    <w:bookmarkEnd w:id="91"/>
    <w:bookmarkEnd w:id="92"/>
    <w:p w14:paraId="2E8DF5A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组成合同的各项文件应互相解释，互为说明。除专用合同条款另有约定外，解释合同文件的优先顺序如下：</w:t>
      </w:r>
    </w:p>
    <w:p w14:paraId="5D7972BF">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合同协议书；</w:t>
      </w:r>
    </w:p>
    <w:p w14:paraId="7FA5135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中标通知书（如果有）；</w:t>
      </w:r>
    </w:p>
    <w:p w14:paraId="6B7D68FE">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sz w:val="24"/>
          <w:szCs w:val="24"/>
          <w:highlight w:val="none"/>
        </w:rPr>
        <w:t>投标函及其附录（如果有）；</w:t>
      </w:r>
    </w:p>
    <w:p w14:paraId="3574D11A">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sz w:val="24"/>
          <w:szCs w:val="24"/>
          <w:highlight w:val="none"/>
        </w:rPr>
        <w:t>专用合同条款；</w:t>
      </w:r>
    </w:p>
    <w:p w14:paraId="612E66C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（5）</w:t>
      </w:r>
      <w:r>
        <w:rPr>
          <w:rFonts w:hint="eastAsia" w:ascii="宋体" w:hAnsi="宋体" w:eastAsia="宋体" w:cs="宋体"/>
          <w:color w:val="auto"/>
          <w:sz w:val="24"/>
          <w:szCs w:val="24"/>
          <w:highlight w:val="none"/>
        </w:rPr>
        <w:t>通用合同条款。</w:t>
      </w:r>
    </w:p>
    <w:p w14:paraId="76082301">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上述各项合同文件包括合同当事人就该项合同文件所作出的补充和修改，属于同一类内容的文件，应以最新签署的为准。</w:t>
      </w:r>
    </w:p>
    <w:p w14:paraId="75B3BAA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在合同订立及履行过程中形成的与合同有关的文件均构成合同文件组成部分，并根据其性质确定优先解释顺序。</w:t>
      </w:r>
    </w:p>
    <w:p w14:paraId="2DE4FB41">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93" w:name="_Toc351203502"/>
      <w:bookmarkStart w:id="94" w:name="_Toc407261900"/>
      <w:r>
        <w:rPr>
          <w:rFonts w:hint="eastAsia" w:ascii="宋体" w:hAnsi="宋体" w:eastAsia="宋体" w:cs="宋体"/>
          <w:color w:val="auto"/>
          <w:sz w:val="24"/>
          <w:szCs w:val="24"/>
          <w:highlight w:val="none"/>
        </w:rPr>
        <w:t>1</w:t>
      </w:r>
      <w:bookmarkStart w:id="95" w:name="_Toc337558733"/>
      <w:bookmarkStart w:id="96" w:name="_Toc296346534"/>
      <w:bookmarkStart w:id="97" w:name="_Toc296503033"/>
      <w:r>
        <w:rPr>
          <w:rFonts w:hint="eastAsia" w:ascii="宋体" w:hAnsi="宋体" w:eastAsia="宋体" w:cs="宋体"/>
          <w:color w:val="auto"/>
          <w:sz w:val="24"/>
          <w:szCs w:val="24"/>
          <w:highlight w:val="none"/>
        </w:rPr>
        <w:t>.6 联络</w:t>
      </w:r>
      <w:bookmarkEnd w:id="93"/>
      <w:bookmarkEnd w:id="94"/>
    </w:p>
    <w:bookmarkEnd w:id="95"/>
    <w:bookmarkEnd w:id="96"/>
    <w:bookmarkEnd w:id="97"/>
    <w:p w14:paraId="39AB8AB4">
      <w:pPr>
        <w:pageBreakBefore w:val="0"/>
        <w:widowControl w:val="0"/>
        <w:kinsoku/>
        <w:wordWrap/>
        <w:overflowPunct/>
        <w:topLinePunct w:val="0"/>
        <w:autoSpaceDE w:val="0"/>
        <w:autoSpaceDN w:val="0"/>
        <w:bidi w:val="0"/>
        <w:adjustRightInd w:val="0"/>
        <w:snapToGrid/>
        <w:spacing w:beforeLines="0" w:afterLines="0" w:line="49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1.6.1</w:t>
      </w:r>
      <w:r>
        <w:rPr>
          <w:rFonts w:hint="eastAsia" w:ascii="宋体" w:hAnsi="宋体" w:eastAsia="宋体" w:cs="宋体"/>
          <w:color w:val="auto"/>
          <w:kern w:val="0"/>
          <w:sz w:val="24"/>
          <w:szCs w:val="24"/>
          <w:highlight w:val="none"/>
        </w:rPr>
        <w:t xml:space="preserve"> 与合同有关的通知、批准、证明、证书、指示、指令、要求、请求、同意、意见、确定和决定等，均应采用书面形式，并应在合同约定的期限内送达接收人和送达地点。</w:t>
      </w:r>
    </w:p>
    <w:p w14:paraId="2F70B389">
      <w:pPr>
        <w:pageBreakBefore w:val="0"/>
        <w:widowControl w:val="0"/>
        <w:kinsoku/>
        <w:wordWrap/>
        <w:overflowPunct/>
        <w:topLinePunct w:val="0"/>
        <w:autoSpaceDE w:val="0"/>
        <w:autoSpaceDN w:val="0"/>
        <w:bidi w:val="0"/>
        <w:adjustRightInd w:val="0"/>
        <w:snapToGrid/>
        <w:spacing w:beforeLines="0" w:afterLines="0" w:line="49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1.6.2</w:t>
      </w:r>
      <w:r>
        <w:rPr>
          <w:rFonts w:hint="eastAsia" w:ascii="宋体" w:hAnsi="宋体" w:eastAsia="宋体" w:cs="宋体"/>
          <w:color w:val="auto"/>
          <w:kern w:val="0"/>
          <w:sz w:val="24"/>
          <w:szCs w:val="24"/>
          <w:highlight w:val="none"/>
        </w:rPr>
        <w:t xml:space="preserve"> 委托人和咨询人应在专用合同条款中约定各自的送达接收人、送达地点、电子邮箱。任何一方合同当事人指定的接收人或送达地点或电子邮箱发生变动的，应提前3天以书面形式通知对方。</w:t>
      </w:r>
    </w:p>
    <w:p w14:paraId="5FD7D849">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w:t>
      </w:r>
      <w:r>
        <w:rPr>
          <w:rFonts w:hint="eastAsia" w:ascii="宋体" w:hAnsi="宋体" w:eastAsia="宋体" w:cs="宋体"/>
          <w:color w:val="auto"/>
          <w:kern w:val="0"/>
          <w:sz w:val="24"/>
          <w:szCs w:val="24"/>
          <w:highlight w:val="none"/>
        </w:rPr>
        <w:t xml:space="preserve"> 委托人和咨询人应当及时签收另一方送达至送达地点和指定接收人的来往信函。拒不签收的，由此增加的费用和延误的咨询期限由拒绝接收一方承担。</w:t>
      </w:r>
    </w:p>
    <w:p w14:paraId="6E9285BE">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98" w:name="_Toc407261901"/>
      <w:r>
        <w:rPr>
          <w:rFonts w:hint="eastAsia" w:ascii="宋体" w:hAnsi="宋体" w:eastAsia="宋体" w:cs="宋体"/>
          <w:color w:val="auto"/>
          <w:sz w:val="24"/>
          <w:szCs w:val="24"/>
          <w:highlight w:val="none"/>
        </w:rPr>
        <w:t>1.7 守法诚信</w:t>
      </w:r>
      <w:bookmarkEnd w:id="98"/>
    </w:p>
    <w:p w14:paraId="24B9E2A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人从事工程造价咨询活动，应当遵循独立、客观、公正、诚实信用的原则，不得损害社会公共利益和他人的合法权益。除委托人书面同意外，咨询人及其工程造价专业人员不得从与实施工程造价咨询业务有关的第三人处获得任何经济利益。</w:t>
      </w:r>
    </w:p>
    <w:p w14:paraId="2415EEBD">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99" w:name="_Toc407261902"/>
      <w:r>
        <w:rPr>
          <w:rFonts w:hint="eastAsia" w:ascii="宋体" w:hAnsi="宋体" w:eastAsia="宋体" w:cs="宋体"/>
          <w:color w:val="auto"/>
          <w:sz w:val="24"/>
          <w:szCs w:val="24"/>
          <w:highlight w:val="none"/>
        </w:rPr>
        <w:t>1.8 保密</w:t>
      </w:r>
      <w:bookmarkEnd w:id="99"/>
    </w:p>
    <w:p w14:paraId="521AD795">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双方不得泄露对方申明的保密资料，亦不得泄露与实施工程造价咨询业务有关的第三人所提供的保密资料，保密事项在专用合同条款中约定。</w:t>
      </w:r>
    </w:p>
    <w:p w14:paraId="408ADD0D">
      <w:pPr>
        <w:pStyle w:val="6"/>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00" w:name="_Toc407261903"/>
      <w:r>
        <w:rPr>
          <w:rFonts w:hint="eastAsia" w:ascii="宋体" w:hAnsi="宋体" w:eastAsia="宋体" w:cs="宋体"/>
          <w:b w:val="0"/>
          <w:color w:val="auto"/>
          <w:sz w:val="24"/>
          <w:szCs w:val="24"/>
          <w:highlight w:val="none"/>
        </w:rPr>
        <w:t>2. 委托人</w:t>
      </w:r>
      <w:bookmarkEnd w:id="100"/>
    </w:p>
    <w:p w14:paraId="32109BEF">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01" w:name="_Toc407261904"/>
      <w:r>
        <w:rPr>
          <w:rFonts w:hint="eastAsia" w:ascii="宋体" w:hAnsi="宋体" w:eastAsia="宋体" w:cs="宋体"/>
          <w:color w:val="auto"/>
          <w:sz w:val="24"/>
          <w:szCs w:val="24"/>
          <w:highlight w:val="none"/>
        </w:rPr>
        <w:t>2.1 委托人代表</w:t>
      </w:r>
      <w:bookmarkEnd w:id="101"/>
    </w:p>
    <w:p w14:paraId="47740712">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应授权一名熟悉工程情况的代表，负责与咨询人联系。委托人应在专用合同条款中明确委托人代表的姓名、职务、联系方式及授权范围等事项。委托人代表经委托人授权后代表委托人履行合同。委托人更换委托人代表的，应提前7天书面通知咨询人。</w:t>
      </w:r>
    </w:p>
    <w:p w14:paraId="3D6B548F">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02" w:name="_Toc407261905"/>
      <w:r>
        <w:rPr>
          <w:rFonts w:hint="eastAsia" w:ascii="宋体" w:hAnsi="宋体" w:eastAsia="宋体" w:cs="宋体"/>
          <w:color w:val="auto"/>
          <w:sz w:val="24"/>
          <w:szCs w:val="24"/>
          <w:highlight w:val="none"/>
        </w:rPr>
        <w:t>2.2 提供资料</w:t>
      </w:r>
      <w:bookmarkEnd w:id="102"/>
    </w:p>
    <w:p w14:paraId="23BCC9C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委托人向咨询人提供的工程造价咨询所需要的资料名称及提供时间在专用合同条款中约定，委托人对其提供资料的真实性、准确性和完整性负责。</w:t>
      </w:r>
    </w:p>
    <w:p w14:paraId="2102C50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履行过程中，咨询人需要委托人和第三人提供工程造价咨询所需要的最新资料的，除专用合同条款另有约定外，委托人应尽其努力在相应咨询工作开展前的合理期限内提供，合理期限应以不影响咨询人的正常咨询工作为限。</w:t>
      </w:r>
    </w:p>
    <w:p w14:paraId="1B676D76">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委托人未能按合同约定及时向咨询人提供咨询资料的，由委托人承担由此增加的费用和延误的咨询期限。</w:t>
      </w:r>
    </w:p>
    <w:p w14:paraId="2996AE61">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03" w:name="_Toc407261906"/>
      <w:r>
        <w:rPr>
          <w:rFonts w:hint="eastAsia" w:ascii="宋体" w:hAnsi="宋体" w:eastAsia="宋体" w:cs="宋体"/>
          <w:color w:val="auto"/>
          <w:sz w:val="24"/>
          <w:szCs w:val="24"/>
          <w:highlight w:val="none"/>
        </w:rPr>
        <w:t>2.3 提供工作条件</w:t>
      </w:r>
      <w:bookmarkEnd w:id="103"/>
    </w:p>
    <w:p w14:paraId="31CA174A">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 委托人应负责与本工程造价咨询业务有关的第三人的协调，为咨询人履行本合同提供必要的外部条件。</w:t>
      </w:r>
    </w:p>
    <w:p w14:paraId="3D4D4A7C">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 咨询人接受委托实施施工阶段全过程造价管理咨询工作的，委托人应当在施工现场为咨询人提供必要的办公用房、办公家具，供咨询人使用。</w:t>
      </w:r>
    </w:p>
    <w:p w14:paraId="2176EB3D">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04" w:name="_Toc407261907"/>
      <w:r>
        <w:rPr>
          <w:rFonts w:hint="eastAsia" w:ascii="宋体" w:hAnsi="宋体" w:eastAsia="宋体" w:cs="宋体"/>
          <w:color w:val="auto"/>
          <w:sz w:val="24"/>
          <w:szCs w:val="24"/>
          <w:highlight w:val="none"/>
        </w:rPr>
        <w:t>2.4 答复</w:t>
      </w:r>
      <w:bookmarkEnd w:id="104"/>
    </w:p>
    <w:p w14:paraId="55E5F95E">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委托人应在专用合同条款约定的时间内，对咨询人以书面形式提交并要求作出决定的事宜，给予书面答复。委托人逾期未答复，影响咨询工作正常开展的，由委托人承担由此增加的费用和延误的咨询期限。</w:t>
      </w:r>
    </w:p>
    <w:p w14:paraId="27BC5E7C">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 除专用合同条款另有约定外，对咨询人以书面形式提交并要求第三人作出决定的事宜，由委托人送达第三人，第三人在合理期限内未答复，影响咨询工作正常开展的，由委托人承担由此增加的费用和延误的咨询期限。</w:t>
      </w:r>
    </w:p>
    <w:p w14:paraId="639DC94C">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05" w:name="_Toc407261908"/>
      <w:r>
        <w:rPr>
          <w:rFonts w:hint="eastAsia" w:ascii="宋体" w:hAnsi="宋体" w:eastAsia="宋体" w:cs="宋体"/>
          <w:color w:val="auto"/>
          <w:sz w:val="24"/>
          <w:szCs w:val="24"/>
          <w:highlight w:val="none"/>
        </w:rPr>
        <w:t>2.5 支付酬金</w:t>
      </w:r>
      <w:bookmarkEnd w:id="105"/>
    </w:p>
    <w:p w14:paraId="45129F3F">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委托人应按合同约定，向咨询人支付酬金。</w:t>
      </w:r>
    </w:p>
    <w:p w14:paraId="73CAEB3B">
      <w:pPr>
        <w:pStyle w:val="6"/>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06" w:name="_Toc407261909"/>
      <w:r>
        <w:rPr>
          <w:rFonts w:hint="eastAsia" w:ascii="宋体" w:hAnsi="宋体" w:eastAsia="宋体" w:cs="宋体"/>
          <w:b w:val="0"/>
          <w:color w:val="auto"/>
          <w:sz w:val="24"/>
          <w:szCs w:val="24"/>
          <w:highlight w:val="none"/>
        </w:rPr>
        <w:t>3. 咨询人</w:t>
      </w:r>
      <w:bookmarkEnd w:id="106"/>
    </w:p>
    <w:p w14:paraId="4CDDE96D">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07" w:name="_Toc383940899"/>
      <w:bookmarkStart w:id="108" w:name="_Toc384137544"/>
      <w:bookmarkStart w:id="109" w:name="_Toc389663475"/>
      <w:bookmarkStart w:id="110" w:name="_Toc407261910"/>
      <w:bookmarkStart w:id="111" w:name="_Toc389602818"/>
      <w:bookmarkStart w:id="112" w:name="_Toc384026373"/>
      <w:r>
        <w:rPr>
          <w:rFonts w:hint="eastAsia" w:ascii="宋体" w:hAnsi="宋体" w:eastAsia="宋体" w:cs="宋体"/>
          <w:color w:val="auto"/>
          <w:sz w:val="24"/>
          <w:szCs w:val="24"/>
          <w:highlight w:val="none"/>
        </w:rPr>
        <w:t>3.1 咨询人的一般义务</w:t>
      </w:r>
      <w:bookmarkEnd w:id="107"/>
      <w:bookmarkEnd w:id="108"/>
      <w:bookmarkEnd w:id="109"/>
      <w:bookmarkEnd w:id="110"/>
      <w:bookmarkEnd w:id="111"/>
      <w:bookmarkEnd w:id="112"/>
    </w:p>
    <w:p w14:paraId="1D279C1E">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 向委托人提供与工程造价咨询业务有关的资料，包括工程造价咨询企业资质证书、承担本合同咨询业务的工程造价专业人员任命文件、工程造价咨询实施方案等。</w:t>
      </w:r>
    </w:p>
    <w:p w14:paraId="24F9FAB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 踏勘现场，了解情况，收集、整理工程造价咨询项目有关的基础资料和编制依据，进行有效性、合规性核对，保证工程计价基础资料和编制依据的全面性、真实性和有效性。</w:t>
      </w:r>
    </w:p>
    <w:p w14:paraId="355C9D2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3.1.3 按照咨询合同约定的工作范围和内容，编制、审核、审定工程造价咨询成果文件，并在专用合同条款约定的时间内，向委托人提交符合国家、行业规定及合同约定的工程造价咨询成果文件。</w:t>
      </w:r>
    </w:p>
    <w:p w14:paraId="19C133E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3.1.4 组织咨询服务回访，听取委托人对服务质量的评价意见，及时进行总结，提出相应的改进措施。</w:t>
      </w:r>
    </w:p>
    <w:p w14:paraId="1AD10FF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3.1.5 收集工程造价咨询业务中形成的工程造价咨询过程文件和工程造价咨询成果文件，整理立卷后建立档案。</w:t>
      </w:r>
    </w:p>
    <w:p w14:paraId="05C45D8E">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13" w:name="_Toc407261911"/>
      <w:r>
        <w:rPr>
          <w:rFonts w:hint="eastAsia" w:ascii="宋体" w:hAnsi="宋体" w:eastAsia="宋体" w:cs="宋体"/>
          <w:color w:val="auto"/>
          <w:sz w:val="24"/>
          <w:szCs w:val="24"/>
          <w:highlight w:val="none"/>
        </w:rPr>
        <w:t>3.2 项目负责人</w:t>
      </w:r>
      <w:bookmarkEnd w:id="113"/>
    </w:p>
    <w:p w14:paraId="53DF10D1">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应是咨询人正式聘用，并取得造价工程师注册证书的人员。咨询人应在专用合同条款中明确其任命的咨询项目负责人的姓名、身份证号、注册执业证书编号、联系方式及授权范围等事项，项目负责人经咨询人授权后代表咨询人履行合同。</w:t>
      </w:r>
    </w:p>
    <w:p w14:paraId="54272911">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14" w:name="_Toc384137546"/>
      <w:bookmarkStart w:id="115" w:name="_Toc383940901"/>
      <w:bookmarkStart w:id="116" w:name="_Toc407261912"/>
      <w:bookmarkStart w:id="117" w:name="_Toc389602820"/>
      <w:bookmarkStart w:id="118" w:name="_Toc389663477"/>
      <w:bookmarkStart w:id="119" w:name="_Toc384026375"/>
      <w:r>
        <w:rPr>
          <w:rFonts w:hint="eastAsia" w:ascii="宋体" w:hAnsi="宋体" w:eastAsia="宋体" w:cs="宋体"/>
          <w:color w:val="auto"/>
          <w:sz w:val="24"/>
          <w:szCs w:val="24"/>
          <w:highlight w:val="none"/>
        </w:rPr>
        <w:t>3.3 工程造价专业人员</w:t>
      </w:r>
      <w:bookmarkEnd w:id="114"/>
      <w:bookmarkEnd w:id="115"/>
      <w:bookmarkEnd w:id="116"/>
      <w:bookmarkEnd w:id="117"/>
      <w:bookmarkEnd w:id="118"/>
      <w:bookmarkEnd w:id="119"/>
    </w:p>
    <w:p w14:paraId="39253029">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除专用合同条款另有约定外，咨询人应当在本合同签订后的7天内，提交任命的承担本合同咨询业务的工程造价专业人员注册证书和资格证书，以及为工程造价专业人员缴纳的社会保险有效证明，供委托人核验。咨询人违反约定的，应按照专用合同条款的约定，承担违约责任。</w:t>
      </w:r>
    </w:p>
    <w:p w14:paraId="2BEE090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 在合同履行过程中，工程造价专业人员应保持相对稳定，以保证咨询工作正常进行。咨询人更换工程造价专业人员时，应提前7天书面通知委托人，并征得委托人书面同意。未经委托人书面同意，咨询人不得擅自更换工程造价专业人员。咨询人擅自更换工程造价专业人员的，应按照专用合同条款的约定，承担违约责任。</w:t>
      </w:r>
    </w:p>
    <w:p w14:paraId="58A9F1B1">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 咨询人承担施工阶段全过程造价管理咨询业务的，应安排工程造价专业人员进驻施工现场，且每月在施工现场时间不得少于专用合同条款约定的天数。工程造价专业人员</w:t>
      </w:r>
      <w:r>
        <w:rPr>
          <w:rFonts w:hint="eastAsia" w:ascii="宋体" w:hAnsi="宋体" w:eastAsia="宋体" w:cs="宋体"/>
          <w:color w:val="auto"/>
          <w:kern w:val="0"/>
          <w:sz w:val="24"/>
          <w:szCs w:val="24"/>
          <w:highlight w:val="none"/>
        </w:rPr>
        <w:t>确需离开施工现场时，应征得委托人同意。</w:t>
      </w:r>
      <w:r>
        <w:rPr>
          <w:rFonts w:hint="eastAsia" w:ascii="宋体" w:hAnsi="宋体" w:eastAsia="宋体" w:cs="宋体"/>
          <w:color w:val="auto"/>
          <w:sz w:val="24"/>
          <w:szCs w:val="24"/>
          <w:highlight w:val="none"/>
        </w:rPr>
        <w:t>咨询人违反约定的，应按照专用合同条款的约定，承担违约责任。</w:t>
      </w:r>
    </w:p>
    <w:p w14:paraId="0AEF6BDC">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3.3.4 委托人要求咨询人撤换不能按照合同约定履行职责及义务的工程造价专业人员的，咨询人应当撤换。咨询人无正当理由拒绝撤换的，应按照专用合同条款的约定，承担违约责任。</w:t>
      </w:r>
    </w:p>
    <w:p w14:paraId="1DA684C6">
      <w:pPr>
        <w:pStyle w:val="6"/>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20" w:name="_Toc407261913"/>
      <w:r>
        <w:rPr>
          <w:rFonts w:hint="eastAsia" w:ascii="宋体" w:hAnsi="宋体" w:eastAsia="宋体" w:cs="宋体"/>
          <w:b w:val="0"/>
          <w:color w:val="auto"/>
          <w:sz w:val="24"/>
          <w:szCs w:val="24"/>
          <w:highlight w:val="none"/>
        </w:rPr>
        <w:t>4. 咨询业务范围和工作内容</w:t>
      </w:r>
      <w:bookmarkEnd w:id="120"/>
    </w:p>
    <w:p w14:paraId="26B814E1">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21" w:name="_Toc407261914"/>
      <w:r>
        <w:rPr>
          <w:rFonts w:hint="eastAsia" w:ascii="宋体" w:hAnsi="宋体" w:eastAsia="宋体" w:cs="宋体"/>
          <w:color w:val="auto"/>
          <w:sz w:val="24"/>
          <w:szCs w:val="24"/>
          <w:highlight w:val="none"/>
        </w:rPr>
        <w:t>4.1 咨询业务范围</w:t>
      </w:r>
      <w:bookmarkEnd w:id="121"/>
    </w:p>
    <w:p w14:paraId="72CC49A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合同当事人应在合同协议书中约定选择下列工程造价咨询业务中的一项或数项业务，并可在合同协议书中约定其他工程造价咨询业务。</w:t>
      </w:r>
    </w:p>
    <w:p w14:paraId="353AAD98">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投资估算的编制或审核；</w:t>
      </w:r>
    </w:p>
    <w:p w14:paraId="2D368DB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设计概算的编制或审核；</w:t>
      </w:r>
    </w:p>
    <w:p w14:paraId="48C86A69">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sz w:val="24"/>
          <w:szCs w:val="24"/>
          <w:highlight w:val="none"/>
        </w:rPr>
        <w:t>施工图预算的编制或审核；</w:t>
      </w:r>
    </w:p>
    <w:p w14:paraId="63C751E8">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sz w:val="24"/>
          <w:szCs w:val="24"/>
          <w:highlight w:val="none"/>
        </w:rPr>
        <w:t>工程量清单的编制或审核；</w:t>
      </w:r>
    </w:p>
    <w:p w14:paraId="6526AC4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（5）</w:t>
      </w:r>
      <w:r>
        <w:rPr>
          <w:rFonts w:hint="eastAsia" w:ascii="宋体" w:hAnsi="宋体" w:eastAsia="宋体" w:cs="宋体"/>
          <w:color w:val="auto"/>
          <w:sz w:val="24"/>
          <w:szCs w:val="24"/>
          <w:highlight w:val="none"/>
        </w:rPr>
        <w:t>招标控制价的编制或审核；</w:t>
      </w:r>
    </w:p>
    <w:p w14:paraId="135C89F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（6）</w:t>
      </w:r>
      <w:r>
        <w:rPr>
          <w:rFonts w:hint="eastAsia" w:ascii="宋体" w:hAnsi="宋体" w:eastAsia="宋体" w:cs="宋体"/>
          <w:color w:val="auto"/>
          <w:sz w:val="24"/>
          <w:szCs w:val="24"/>
          <w:highlight w:val="none"/>
        </w:rPr>
        <w:t>投标报价的编制；</w:t>
      </w:r>
    </w:p>
    <w:p w14:paraId="798A498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（7）</w:t>
      </w:r>
      <w:r>
        <w:rPr>
          <w:rFonts w:hint="eastAsia" w:ascii="宋体" w:hAnsi="宋体" w:eastAsia="宋体" w:cs="宋体"/>
          <w:color w:val="auto"/>
          <w:sz w:val="24"/>
          <w:szCs w:val="24"/>
          <w:highlight w:val="none"/>
        </w:rPr>
        <w:t>工程结算的编制或审核；</w:t>
      </w:r>
    </w:p>
    <w:p w14:paraId="17D1085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（8）</w:t>
      </w:r>
      <w:r>
        <w:rPr>
          <w:rFonts w:hint="eastAsia" w:ascii="宋体" w:hAnsi="宋体" w:eastAsia="宋体" w:cs="宋体"/>
          <w:color w:val="auto"/>
          <w:sz w:val="24"/>
          <w:szCs w:val="24"/>
          <w:highlight w:val="none"/>
        </w:rPr>
        <w:t>竣工决算的编制或审核；</w:t>
      </w:r>
    </w:p>
    <w:p w14:paraId="09936E5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（9）</w:t>
      </w:r>
      <w:r>
        <w:rPr>
          <w:rFonts w:hint="eastAsia" w:ascii="宋体" w:hAnsi="宋体" w:eastAsia="宋体" w:cs="宋体"/>
          <w:color w:val="auto"/>
          <w:sz w:val="24"/>
          <w:szCs w:val="24"/>
          <w:highlight w:val="none"/>
        </w:rPr>
        <w:t>施工阶段全过程造价管理咨询；</w:t>
      </w:r>
    </w:p>
    <w:p w14:paraId="5A68B45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（10）</w:t>
      </w:r>
      <w:r>
        <w:rPr>
          <w:rFonts w:hint="eastAsia" w:ascii="宋体" w:hAnsi="宋体" w:eastAsia="宋体" w:cs="宋体"/>
          <w:color w:val="auto"/>
          <w:sz w:val="24"/>
          <w:szCs w:val="24"/>
          <w:highlight w:val="none"/>
        </w:rPr>
        <w:t>工程造价鉴定。</w:t>
      </w:r>
    </w:p>
    <w:p w14:paraId="213D188B">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22" w:name="_Toc407261915"/>
      <w:r>
        <w:rPr>
          <w:rFonts w:hint="eastAsia" w:ascii="宋体" w:hAnsi="宋体" w:eastAsia="宋体" w:cs="宋体"/>
          <w:color w:val="auto"/>
          <w:sz w:val="24"/>
          <w:szCs w:val="24"/>
          <w:highlight w:val="none"/>
        </w:rPr>
        <w:t>4.2 咨询工作内容</w:t>
      </w:r>
      <w:bookmarkEnd w:id="122"/>
    </w:p>
    <w:p w14:paraId="7355BC84">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工程造价咨询工作内容，由合同当事人在专用合同条款中约定。</w:t>
      </w:r>
    </w:p>
    <w:p w14:paraId="77C82277">
      <w:pPr>
        <w:pStyle w:val="6"/>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23" w:name="_Toc407261916"/>
      <w:bookmarkStart w:id="124" w:name="_Toc337558772"/>
      <w:bookmarkStart w:id="125" w:name="_Toc296503073"/>
      <w:bookmarkStart w:id="126" w:name="_Toc296346574"/>
      <w:r>
        <w:rPr>
          <w:rFonts w:hint="eastAsia" w:ascii="宋体" w:hAnsi="宋体" w:eastAsia="宋体" w:cs="宋体"/>
          <w:b w:val="0"/>
          <w:color w:val="auto"/>
          <w:sz w:val="24"/>
          <w:szCs w:val="24"/>
          <w:highlight w:val="none"/>
        </w:rPr>
        <w:t>5. 咨询期限</w:t>
      </w:r>
      <w:bookmarkEnd w:id="123"/>
    </w:p>
    <w:bookmarkEnd w:id="124"/>
    <w:bookmarkEnd w:id="125"/>
    <w:bookmarkEnd w:id="126"/>
    <w:p w14:paraId="5B826E85">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27" w:name="_Toc407261917"/>
      <w:r>
        <w:rPr>
          <w:rFonts w:hint="eastAsia" w:ascii="宋体" w:hAnsi="宋体" w:eastAsia="宋体" w:cs="宋体"/>
          <w:color w:val="auto"/>
          <w:sz w:val="24"/>
          <w:szCs w:val="24"/>
          <w:highlight w:val="none"/>
        </w:rPr>
        <w:t>5.1 咨询期限开始</w:t>
      </w:r>
      <w:bookmarkEnd w:id="127"/>
    </w:p>
    <w:p w14:paraId="23FA80A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咨询人应按照合同约定的时间开展咨询工作，因委托人提供咨询资料延后等原因，导致咨询工作未能按照计划开始日期开展的，咨询开始日期和结束日期相应顺延。</w:t>
      </w:r>
    </w:p>
    <w:p w14:paraId="287E2243">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28" w:name="_Toc407261918"/>
      <w:r>
        <w:rPr>
          <w:rFonts w:hint="eastAsia" w:ascii="宋体" w:hAnsi="宋体" w:eastAsia="宋体" w:cs="宋体"/>
          <w:color w:val="auto"/>
          <w:sz w:val="24"/>
          <w:szCs w:val="24"/>
          <w:highlight w:val="none"/>
        </w:rPr>
        <w:t>5.2 咨询期限延误</w:t>
      </w:r>
      <w:bookmarkEnd w:id="128"/>
    </w:p>
    <w:p w14:paraId="4C382315">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5.2.1 因委托人原因导致咨询期限延误</w:t>
      </w:r>
    </w:p>
    <w:p w14:paraId="0207DB51">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在合同履行过程中，因下列情况导致咨询期限延误和费用增加的，由委托人承担由此延误的期限和增加的费用：</w:t>
      </w:r>
    </w:p>
    <w:p w14:paraId="2662291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委托人未能按合同约定向咨询人提供工程造价咨询所需要的资料或所提供咨询资料不符合合同约定的；</w:t>
      </w:r>
    </w:p>
    <w:p w14:paraId="71253A5C">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委托人未能按合同约定提供咨询工作条件，影响咨询工作正常开展的；</w:t>
      </w:r>
    </w:p>
    <w:p w14:paraId="61ECDE5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sz w:val="24"/>
          <w:szCs w:val="24"/>
          <w:highlight w:val="none"/>
        </w:rPr>
        <w:t>委托人未能在合理期限内对咨询人以书面形式提交并要求作出决定的事宜，给予书面答复，影响咨询工作正常开展的；</w:t>
      </w:r>
    </w:p>
    <w:p w14:paraId="0994980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sz w:val="24"/>
          <w:szCs w:val="24"/>
          <w:highlight w:val="none"/>
        </w:rPr>
        <w:t>委托人未能按合同约定分段支付酬金的；</w:t>
      </w:r>
    </w:p>
    <w:p w14:paraId="6317110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（5）</w:t>
      </w:r>
      <w:r>
        <w:rPr>
          <w:rFonts w:hint="eastAsia" w:ascii="宋体" w:hAnsi="宋体" w:eastAsia="宋体" w:cs="宋体"/>
          <w:color w:val="auto"/>
          <w:sz w:val="24"/>
          <w:szCs w:val="24"/>
          <w:highlight w:val="none"/>
        </w:rPr>
        <w:t>工程暂停施工或工期延误，影响咨询工作正常开展的；</w:t>
      </w:r>
    </w:p>
    <w:p w14:paraId="5B700578">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（6）</w:t>
      </w:r>
      <w:r>
        <w:rPr>
          <w:rFonts w:hint="eastAsia" w:ascii="宋体" w:hAnsi="宋体" w:eastAsia="宋体" w:cs="宋体"/>
          <w:color w:val="auto"/>
          <w:sz w:val="24"/>
          <w:szCs w:val="24"/>
          <w:highlight w:val="none"/>
        </w:rPr>
        <w:t>专用合同条款中约定的其他情形。</w:t>
      </w:r>
    </w:p>
    <w:p w14:paraId="67396E8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5.2.2 因咨询人原因导致咨询期限延误</w:t>
      </w:r>
    </w:p>
    <w:p w14:paraId="11BE2C0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bookmarkStart w:id="129" w:name="_Toc296346577"/>
      <w:bookmarkStart w:id="130" w:name="_Toc296503076"/>
      <w:r>
        <w:rPr>
          <w:rFonts w:hint="eastAsia" w:ascii="宋体" w:hAnsi="宋体" w:eastAsia="宋体" w:cs="宋体"/>
          <w:color w:val="auto"/>
          <w:sz w:val="24"/>
          <w:szCs w:val="24"/>
          <w:highlight w:val="none"/>
        </w:rPr>
        <w:t>因</w:t>
      </w:r>
      <w:bookmarkEnd w:id="129"/>
      <w:bookmarkEnd w:id="130"/>
      <w:r>
        <w:rPr>
          <w:rFonts w:hint="eastAsia" w:ascii="宋体" w:hAnsi="宋体" w:eastAsia="宋体" w:cs="宋体"/>
          <w:color w:val="auto"/>
          <w:sz w:val="24"/>
          <w:szCs w:val="24"/>
          <w:highlight w:val="none"/>
        </w:rPr>
        <w:t>咨询人原因造成咨询期限延误的，咨询人应承担由此给委托人造成的损失，合同双方可在专用合同条款中约定逾期完成咨询业务违约金的计算方法和逾期完成咨询业务违约金的上限。咨询人支付逾期完成咨询业务违约金后，不免除咨询人继续完成咨询业务的义务。</w:t>
      </w:r>
    </w:p>
    <w:p w14:paraId="2A9BB65C">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5.2.3 因第三人原因导致咨询期限延误</w:t>
      </w:r>
    </w:p>
    <w:p w14:paraId="00AA026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在合同履行过程中，因下列情况导致咨询期限延误和费用增加的，由委托人承担由此延误的期限和增加的费用：</w:t>
      </w:r>
    </w:p>
    <w:p w14:paraId="15BF3AD6">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第三人未能在合理期限内提供工程造价咨询所需要的资料或所提供咨询资料不符合合同约定的；</w:t>
      </w:r>
    </w:p>
    <w:p w14:paraId="607769BA">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第三人未能在合理期限内对咨询人以书面形式提交并要求作出决定的事宜，给予书面答复，影响咨询工作正常开展的；</w:t>
      </w:r>
    </w:p>
    <w:p w14:paraId="4E3AB06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sz w:val="24"/>
          <w:szCs w:val="24"/>
          <w:highlight w:val="none"/>
        </w:rPr>
        <w:t>专用合同条款中约定的其他情形。</w:t>
      </w:r>
    </w:p>
    <w:p w14:paraId="01E0B9A0">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31" w:name="_Toc407261919"/>
      <w:r>
        <w:rPr>
          <w:rFonts w:hint="eastAsia" w:ascii="宋体" w:hAnsi="宋体" w:eastAsia="宋体" w:cs="宋体"/>
          <w:color w:val="auto"/>
          <w:sz w:val="24"/>
          <w:szCs w:val="24"/>
          <w:highlight w:val="none"/>
        </w:rPr>
        <w:t>5.3 工程造价咨询成果文件交付期限</w:t>
      </w:r>
      <w:bookmarkEnd w:id="131"/>
    </w:p>
    <w:p w14:paraId="6C308B72">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5.3.1 咨询人应在合同约定的期限内完成咨询工作，并按专用合同条款约定的份数,向委托人提交工程造价咨询成果文件。除专用合同条款另有约定外，委托人应在收到咨询人提交的工程造价咨询成果文件后14天内完成确认。委托人对工程造价咨询成果文件有异议的，咨询人应进行复核；经复核确实存在误差的，咨询人应修正，并提交修正后的工程造价咨询成果文件。委托人逾期未确认也未提出修改意见的, 工程造价咨询成果文件视为已被认可。</w:t>
      </w:r>
    </w:p>
    <w:p w14:paraId="7FA2A2F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5.3.2 在施工阶段全过程造价管理咨询工作中，因咨询人原因未能在合理的期限内完成工程计量与支付、合同价款调整等文件编制或审核，给委托人造成损失的，应按照专用合同条款的约定，承担违约责任。</w:t>
      </w:r>
    </w:p>
    <w:p w14:paraId="6448BF12">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5.3.3 咨询人提交的工程造价咨询成果文件需要第三人共同确认的，确因特殊原因不能共同签署时，咨询人应单独出具工程造价咨询成果文件，并承担相应法律责任。</w:t>
      </w:r>
    </w:p>
    <w:p w14:paraId="42DEAC64">
      <w:pPr>
        <w:pStyle w:val="6"/>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32" w:name="_Toc407261920"/>
      <w:r>
        <w:rPr>
          <w:rFonts w:hint="eastAsia" w:ascii="宋体" w:hAnsi="宋体" w:eastAsia="宋体" w:cs="宋体"/>
          <w:b w:val="0"/>
          <w:color w:val="auto"/>
          <w:sz w:val="24"/>
          <w:szCs w:val="24"/>
          <w:highlight w:val="none"/>
        </w:rPr>
        <w:t>6. 咨询质量</w:t>
      </w:r>
      <w:bookmarkEnd w:id="132"/>
    </w:p>
    <w:p w14:paraId="07CA2DDB">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33" w:name="_Toc407261921"/>
      <w:r>
        <w:rPr>
          <w:rFonts w:hint="eastAsia" w:ascii="宋体" w:hAnsi="宋体" w:eastAsia="宋体" w:cs="宋体"/>
          <w:color w:val="auto"/>
          <w:sz w:val="24"/>
          <w:szCs w:val="24"/>
          <w:highlight w:val="none"/>
        </w:rPr>
        <w:t>6.1 质量要求</w:t>
      </w:r>
      <w:bookmarkEnd w:id="133"/>
    </w:p>
    <w:p w14:paraId="238FDA35">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bookmarkStart w:id="134" w:name="_Toc337558760"/>
      <w:r>
        <w:rPr>
          <w:rFonts w:hint="eastAsia" w:ascii="宋体" w:hAnsi="宋体" w:eastAsia="宋体" w:cs="宋体"/>
          <w:color w:val="auto"/>
          <w:sz w:val="24"/>
          <w:szCs w:val="24"/>
          <w:highlight w:val="none"/>
        </w:rPr>
        <w:t>咨询人出具的工程造价咨询成果文件质量应符合现行国家或行业工程计价有关规定、标准、规范的要求。</w:t>
      </w:r>
    </w:p>
    <w:p w14:paraId="4DA0F549">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委托人要求的工程造价咨询成果文件质量标准高于现行国家或行业标准的，应在专用合同条款中约定具体的质量标准，并相应增加咨询酬金。</w:t>
      </w:r>
    </w:p>
    <w:p w14:paraId="39D0435F">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35" w:name="_Toc407261922"/>
      <w:r>
        <w:rPr>
          <w:rFonts w:hint="eastAsia" w:ascii="宋体" w:hAnsi="宋体" w:eastAsia="宋体" w:cs="宋体"/>
          <w:color w:val="auto"/>
          <w:sz w:val="24"/>
          <w:szCs w:val="24"/>
          <w:highlight w:val="none"/>
        </w:rPr>
        <w:t>6.2 质量保证措施</w:t>
      </w:r>
      <w:bookmarkEnd w:id="135"/>
    </w:p>
    <w:bookmarkEnd w:id="134"/>
    <w:p w14:paraId="2B8963D6">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咨询人应建立相应的质量管理体系，并通过计划管理、流程控制保证工程造价咨询成果文件质量。</w:t>
      </w:r>
    </w:p>
    <w:p w14:paraId="0A572D18">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36" w:name="_Toc407261923"/>
      <w:r>
        <w:rPr>
          <w:rFonts w:hint="eastAsia" w:ascii="宋体" w:hAnsi="宋体" w:eastAsia="宋体" w:cs="宋体"/>
          <w:color w:val="auto"/>
          <w:sz w:val="24"/>
          <w:szCs w:val="24"/>
          <w:highlight w:val="none"/>
        </w:rPr>
        <w:t>6.3 质量不合格处理</w:t>
      </w:r>
      <w:bookmarkEnd w:id="136"/>
    </w:p>
    <w:p w14:paraId="7CA38444">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咨询人原因造成工程造价咨询成果文件质量未达到合同约定标准的，委托人有权要求咨询人采取补救措施，直至达到本合同要求的质量标准，并可根据工程造价咨询成果文件综合误差率相应减少咨询酬金。委托人已支付全部酬金的，有权要求咨询人退还相应减少的酬金。减少酬金计算方法在专用合同条款中约定。</w:t>
      </w:r>
    </w:p>
    <w:p w14:paraId="13273F28">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因咨询人原因造成工程造价咨询成果文件质量未达到合同约定标准给委托人造成损失的，咨询人应承担违约责任，合同双方可在专用合同条款中约定因质量不合格产生的损失赔偿额的计算方法。</w:t>
      </w:r>
    </w:p>
    <w:p w14:paraId="14E20092">
      <w:pPr>
        <w:pStyle w:val="6"/>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37" w:name="_Toc407261924"/>
      <w:r>
        <w:rPr>
          <w:rFonts w:hint="eastAsia" w:ascii="宋体" w:hAnsi="宋体" w:eastAsia="宋体" w:cs="宋体"/>
          <w:b w:val="0"/>
          <w:color w:val="auto"/>
          <w:sz w:val="24"/>
          <w:szCs w:val="24"/>
          <w:highlight w:val="none"/>
        </w:rPr>
        <w:t>7. 咨询酬金</w:t>
      </w:r>
      <w:bookmarkEnd w:id="137"/>
    </w:p>
    <w:p w14:paraId="78DCD3B7">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38" w:name="_Toc407261925"/>
      <w:r>
        <w:rPr>
          <w:rFonts w:hint="eastAsia" w:ascii="宋体" w:hAnsi="宋体" w:eastAsia="宋体" w:cs="宋体"/>
          <w:color w:val="auto"/>
          <w:sz w:val="24"/>
          <w:szCs w:val="24"/>
          <w:highlight w:val="none"/>
        </w:rPr>
        <w:t>7.1 酬金计算方式</w:t>
      </w:r>
      <w:bookmarkEnd w:id="138"/>
    </w:p>
    <w:p w14:paraId="5EDA37EC">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除专用合同条款另有约定外，合同当事人应在</w:t>
      </w:r>
      <w:r>
        <w:rPr>
          <w:rFonts w:hint="eastAsia" w:ascii="宋体" w:hAnsi="宋体" w:eastAsia="宋体" w:cs="宋体"/>
          <w:color w:val="auto"/>
          <w:kern w:val="0"/>
          <w:sz w:val="24"/>
          <w:szCs w:val="24"/>
          <w:highlight w:val="none"/>
        </w:rPr>
        <w:t>合同协议书或</w:t>
      </w:r>
      <w:r>
        <w:rPr>
          <w:rFonts w:hint="eastAsia" w:ascii="宋体" w:hAnsi="宋体" w:eastAsia="宋体" w:cs="宋体"/>
          <w:color w:val="auto"/>
          <w:sz w:val="24"/>
          <w:szCs w:val="24"/>
          <w:highlight w:val="none"/>
        </w:rPr>
        <w:t>专用合同条款</w:t>
      </w:r>
      <w:r>
        <w:rPr>
          <w:rFonts w:hint="eastAsia" w:ascii="宋体" w:hAnsi="宋体" w:eastAsia="宋体" w:cs="宋体"/>
          <w:color w:val="auto"/>
          <w:kern w:val="0"/>
          <w:sz w:val="24"/>
          <w:szCs w:val="24"/>
          <w:highlight w:val="none"/>
        </w:rPr>
        <w:t>中选择下列</w:t>
      </w:r>
      <w:r>
        <w:rPr>
          <w:rFonts w:hint="eastAsia" w:ascii="宋体" w:hAnsi="宋体" w:eastAsia="宋体" w:cs="宋体"/>
          <w:color w:val="auto"/>
          <w:sz w:val="24"/>
          <w:szCs w:val="24"/>
          <w:highlight w:val="none"/>
        </w:rPr>
        <w:t>酬金计算方式之一：</w:t>
      </w:r>
    </w:p>
    <w:p w14:paraId="797C89D6">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7.1.1 固定酬金</w:t>
      </w:r>
    </w:p>
    <w:p w14:paraId="336D71F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合同当事人在合同协议书中约定咨询酬金金额。</w:t>
      </w:r>
    </w:p>
    <w:p w14:paraId="6CA7FF9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7.1.2 基本酬金加绩效酬金</w:t>
      </w:r>
    </w:p>
    <w:p w14:paraId="3EE0C8B2">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合同当事人可以在专用合同条款中约定按以下计算方式确定委托人支付给咨询人的基本酬金和绩效酬金金额：</w:t>
      </w:r>
    </w:p>
    <w:p w14:paraId="71F35D3A">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以咨询人编审的工程造价咨询成果文件总价为基数，乘以专用合同条款约定的基本酬金比例，计算确定基本酬金金额。</w:t>
      </w:r>
    </w:p>
    <w:p w14:paraId="49D659A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（2）委托人除支付咨询人基本酬金外，如咨询人审核的工程造价成果文件有审减（增）额的，可以审减（增）额为基数，乘以专用合同条款约定的绩效酬金比例，计算确定绩效酬金金额。</w:t>
      </w:r>
    </w:p>
    <w:p w14:paraId="03852151">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39" w:name="_Toc407261926"/>
      <w:r>
        <w:rPr>
          <w:rFonts w:hint="eastAsia" w:ascii="宋体" w:hAnsi="宋体" w:eastAsia="宋体" w:cs="宋体"/>
          <w:color w:val="auto"/>
          <w:sz w:val="24"/>
          <w:szCs w:val="24"/>
          <w:highlight w:val="none"/>
        </w:rPr>
        <w:t>7.2 预付酬金</w:t>
      </w:r>
      <w:bookmarkEnd w:id="139"/>
    </w:p>
    <w:p w14:paraId="0478164C">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合同期限超过6个月的咨询业务，委托人应预付咨询人酬金，预付酬金的支付比例或金额、支付期限在专用合同条款中约定。预付酬金应用于支付承担本合同咨询业务的工程造价专业人员工资。委托人逾期支付预付酬金的，应按照专用合同条款的约定，承担违约责任。</w:t>
      </w:r>
    </w:p>
    <w:p w14:paraId="580CB918">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40" w:name="_Toc407261927"/>
      <w:r>
        <w:rPr>
          <w:rFonts w:hint="eastAsia" w:ascii="宋体" w:hAnsi="宋体" w:eastAsia="宋体" w:cs="宋体"/>
          <w:color w:val="auto"/>
          <w:sz w:val="24"/>
          <w:szCs w:val="24"/>
          <w:highlight w:val="none"/>
        </w:rPr>
        <w:t>7.3 酬金分段结算与支付</w:t>
      </w:r>
      <w:bookmarkEnd w:id="140"/>
    </w:p>
    <w:p w14:paraId="502B566A">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7.3.1合同当事人应在</w:t>
      </w:r>
      <w:r>
        <w:rPr>
          <w:rFonts w:hint="eastAsia" w:ascii="宋体" w:hAnsi="宋体" w:eastAsia="宋体" w:cs="宋体"/>
          <w:color w:val="auto"/>
          <w:kern w:val="0"/>
          <w:sz w:val="24"/>
          <w:szCs w:val="24"/>
          <w:highlight w:val="none"/>
        </w:rPr>
        <w:t>专用合同条款中约定</w:t>
      </w:r>
      <w:r>
        <w:rPr>
          <w:rFonts w:hint="eastAsia" w:ascii="宋体" w:hAnsi="宋体" w:eastAsia="宋体" w:cs="宋体"/>
          <w:color w:val="auto"/>
          <w:sz w:val="24"/>
          <w:szCs w:val="24"/>
          <w:highlight w:val="none"/>
        </w:rPr>
        <w:t>酬金分段结算与支付的比例或金额。咨询人应</w:t>
      </w:r>
      <w:r>
        <w:rPr>
          <w:rFonts w:hint="eastAsia" w:ascii="宋体" w:hAnsi="宋体" w:eastAsia="宋体" w:cs="宋体"/>
          <w:color w:val="auto"/>
          <w:kern w:val="0"/>
          <w:sz w:val="24"/>
          <w:szCs w:val="24"/>
          <w:highlight w:val="none"/>
        </w:rPr>
        <w:t>按照专用合同条款约定的</w:t>
      </w:r>
      <w:r>
        <w:rPr>
          <w:rFonts w:hint="eastAsia" w:ascii="宋体" w:hAnsi="宋体" w:eastAsia="宋体" w:cs="宋体"/>
          <w:color w:val="auto"/>
          <w:sz w:val="24"/>
          <w:szCs w:val="24"/>
          <w:highlight w:val="none"/>
        </w:rPr>
        <w:t>期限或咨询业务进度节点向委托人提交酬金分段结算与支付申请书。</w:t>
      </w:r>
    </w:p>
    <w:p w14:paraId="615BF83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7.3.2 </w:t>
      </w:r>
      <w:r>
        <w:rPr>
          <w:rFonts w:hint="eastAsia" w:ascii="宋体" w:hAnsi="宋体" w:eastAsia="宋体" w:cs="宋体"/>
          <w:color w:val="auto"/>
          <w:kern w:val="0"/>
          <w:sz w:val="24"/>
          <w:szCs w:val="24"/>
          <w:highlight w:val="none"/>
        </w:rPr>
        <w:t>除专用合同条款另有约定外，</w:t>
      </w:r>
      <w:r>
        <w:rPr>
          <w:rFonts w:hint="eastAsia" w:ascii="宋体" w:hAnsi="宋体" w:eastAsia="宋体" w:cs="宋体"/>
          <w:color w:val="auto"/>
          <w:sz w:val="24"/>
          <w:szCs w:val="24"/>
          <w:highlight w:val="none"/>
        </w:rPr>
        <w:t>委托人应自收到咨询人提交的酬金分段结算与支付申请书之日起14天内审核确认，</w:t>
      </w:r>
      <w:r>
        <w:rPr>
          <w:rFonts w:hint="eastAsia" w:ascii="宋体" w:hAnsi="宋体" w:eastAsia="宋体" w:cs="宋体"/>
          <w:color w:val="auto"/>
          <w:kern w:val="0"/>
          <w:sz w:val="24"/>
          <w:szCs w:val="24"/>
          <w:highlight w:val="none"/>
        </w:rPr>
        <w:t>并完成</w:t>
      </w:r>
      <w:r>
        <w:rPr>
          <w:rFonts w:hint="eastAsia" w:ascii="宋体" w:hAnsi="宋体" w:eastAsia="宋体" w:cs="宋体"/>
          <w:color w:val="auto"/>
          <w:sz w:val="24"/>
          <w:szCs w:val="24"/>
          <w:highlight w:val="none"/>
        </w:rPr>
        <w:t>支付。委托人逾期支付的，按照中国人民银行发布的同期同类贷款基准利率支付违约金。</w:t>
      </w:r>
    </w:p>
    <w:p w14:paraId="168743B8">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41" w:name="_Toc407261928"/>
      <w:r>
        <w:rPr>
          <w:rFonts w:hint="eastAsia" w:ascii="宋体" w:hAnsi="宋体" w:eastAsia="宋体" w:cs="宋体"/>
          <w:color w:val="auto"/>
          <w:sz w:val="24"/>
          <w:szCs w:val="24"/>
          <w:highlight w:val="none"/>
        </w:rPr>
        <w:t>7.4 酬金结清与支付</w:t>
      </w:r>
      <w:bookmarkEnd w:id="141"/>
    </w:p>
    <w:p w14:paraId="531D9AA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7.4.1 除专用合同条款另有约定外，咨询人应自提交的工程造价咨询成果文件经委托人确认后14天内，向委托人提交酬金结清与支付申请书。</w:t>
      </w:r>
    </w:p>
    <w:p w14:paraId="3169112F">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7.4.2 除专用合同条款另有约定外，委托人应自收到咨询人提交的酬金结清与支付申请书之日起14天内审核确认，委托人逾期未审核确认也未提出异议的, 酬金结清与支付申请视为已被认可。</w:t>
      </w:r>
    </w:p>
    <w:p w14:paraId="5DB34EF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7.4.3 除专用合同条款另有约定外，委托人应自审核确认酬金结清与支付申请书之日起14天内</w:t>
      </w:r>
      <w:r>
        <w:rPr>
          <w:rFonts w:hint="eastAsia" w:ascii="宋体" w:hAnsi="宋体" w:eastAsia="宋体" w:cs="宋体"/>
          <w:color w:val="auto"/>
          <w:kern w:val="0"/>
          <w:sz w:val="24"/>
          <w:szCs w:val="24"/>
          <w:highlight w:val="none"/>
        </w:rPr>
        <w:t>将结清未支付的</w:t>
      </w:r>
      <w:r>
        <w:rPr>
          <w:rFonts w:hint="eastAsia" w:ascii="宋体" w:hAnsi="宋体" w:eastAsia="宋体" w:cs="宋体"/>
          <w:color w:val="auto"/>
          <w:sz w:val="24"/>
          <w:szCs w:val="24"/>
          <w:highlight w:val="none"/>
        </w:rPr>
        <w:t>酬金</w:t>
      </w:r>
      <w:r>
        <w:rPr>
          <w:rFonts w:hint="eastAsia" w:ascii="宋体" w:hAnsi="宋体" w:eastAsia="宋体" w:cs="宋体"/>
          <w:color w:val="auto"/>
          <w:kern w:val="0"/>
          <w:sz w:val="24"/>
          <w:szCs w:val="24"/>
          <w:highlight w:val="none"/>
        </w:rPr>
        <w:t>一次性支付给咨询人</w:t>
      </w:r>
      <w:r>
        <w:rPr>
          <w:rFonts w:hint="eastAsia" w:ascii="宋体" w:hAnsi="宋体" w:eastAsia="宋体" w:cs="宋体"/>
          <w:color w:val="auto"/>
          <w:sz w:val="24"/>
          <w:szCs w:val="24"/>
          <w:highlight w:val="none"/>
        </w:rPr>
        <w:t>。委托人逾期支付的，按照中国人民银行发布的同期同类贷款基准利率支付违约金。</w:t>
      </w:r>
    </w:p>
    <w:p w14:paraId="1B068B4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7.4.4 委托人对咨询人提交的酬金结清与支付申请书有异议时，应当在收到咨询人提交的酬金结清与支付申请书后14天内，以书面形式向咨询人发出异议通知。无异议部分的款项应按期支付，有异议部分的款项按照第10条〔争议解决〕的约定处理。</w:t>
      </w:r>
    </w:p>
    <w:p w14:paraId="6629DA2A">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42" w:name="_Toc407261929"/>
      <w:r>
        <w:rPr>
          <w:rFonts w:hint="eastAsia" w:ascii="宋体" w:hAnsi="宋体" w:eastAsia="宋体" w:cs="宋体"/>
          <w:color w:val="auto"/>
          <w:sz w:val="24"/>
          <w:szCs w:val="24"/>
          <w:highlight w:val="none"/>
        </w:rPr>
        <w:t>7.5 费用支付</w:t>
      </w:r>
      <w:bookmarkEnd w:id="142"/>
    </w:p>
    <w:p w14:paraId="63CBC82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因工程建设需要，由咨询人配合委托人组织的外出询价、考察以及聘请相关专家等发生的费用由委托人支付。</w:t>
      </w:r>
    </w:p>
    <w:p w14:paraId="57AE7377">
      <w:pPr>
        <w:pStyle w:val="6"/>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43" w:name="_Toc407261930"/>
      <w:r>
        <w:rPr>
          <w:rFonts w:hint="eastAsia" w:ascii="宋体" w:hAnsi="宋体" w:eastAsia="宋体" w:cs="宋体"/>
          <w:b w:val="0"/>
          <w:color w:val="auto"/>
          <w:sz w:val="24"/>
          <w:szCs w:val="24"/>
          <w:highlight w:val="none"/>
        </w:rPr>
        <w:t>8. 变更</w:t>
      </w:r>
      <w:bookmarkEnd w:id="143"/>
    </w:p>
    <w:p w14:paraId="1E094717">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44" w:name="_Toc407261931"/>
      <w:bookmarkStart w:id="145" w:name="_Toc296503084"/>
      <w:bookmarkStart w:id="146" w:name="_Toc337558788"/>
      <w:bookmarkStart w:id="147" w:name="_Toc296346585"/>
      <w:r>
        <w:rPr>
          <w:rFonts w:hint="eastAsia" w:ascii="宋体" w:hAnsi="宋体" w:eastAsia="宋体" w:cs="宋体"/>
          <w:color w:val="auto"/>
          <w:sz w:val="24"/>
          <w:szCs w:val="24"/>
          <w:highlight w:val="none"/>
        </w:rPr>
        <w:t>8.1 变更的范围</w:t>
      </w:r>
      <w:bookmarkEnd w:id="144"/>
    </w:p>
    <w:bookmarkEnd w:id="145"/>
    <w:bookmarkEnd w:id="146"/>
    <w:bookmarkEnd w:id="147"/>
    <w:p w14:paraId="1A7AACA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合同履行过程中发生以下情形的，应按照本条约定进行变更：</w:t>
      </w:r>
    </w:p>
    <w:p w14:paraId="70DF9484">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扩大或缩小工程规模的；</w:t>
      </w:r>
    </w:p>
    <w:p w14:paraId="77571FA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增加或减少咨询业务范围和工作内容的；</w:t>
      </w:r>
    </w:p>
    <w:p w14:paraId="026DDA0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sz w:val="24"/>
          <w:szCs w:val="24"/>
          <w:highlight w:val="none"/>
        </w:rPr>
        <w:t>提高或降低咨询质量标准的；</w:t>
      </w:r>
    </w:p>
    <w:p w14:paraId="1808882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sz w:val="24"/>
          <w:szCs w:val="24"/>
          <w:highlight w:val="none"/>
        </w:rPr>
        <w:t>专用合同条款中约定的其他情形。</w:t>
      </w:r>
    </w:p>
    <w:p w14:paraId="7ED7AED1">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48" w:name="_Toc407261932"/>
      <w:r>
        <w:rPr>
          <w:rFonts w:hint="eastAsia" w:ascii="宋体" w:hAnsi="宋体" w:eastAsia="宋体" w:cs="宋体"/>
          <w:color w:val="auto"/>
          <w:sz w:val="24"/>
          <w:szCs w:val="24"/>
          <w:highlight w:val="none"/>
        </w:rPr>
        <w:t>8.2 变更引起的咨询酬金和期限调整</w:t>
      </w:r>
      <w:bookmarkEnd w:id="148"/>
    </w:p>
    <w:p w14:paraId="27493BE4">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8.2.1 变更引起的咨询酬金和期限调整，由咨询人根据变更导致咨询工作量变化大小，与委托人协商后</w:t>
      </w:r>
      <w:r>
        <w:rPr>
          <w:rFonts w:hint="eastAsia" w:ascii="宋体" w:hAnsi="宋体" w:eastAsia="宋体" w:cs="宋体"/>
          <w:color w:val="auto"/>
          <w:kern w:val="0"/>
          <w:sz w:val="24"/>
          <w:szCs w:val="24"/>
          <w:highlight w:val="none"/>
        </w:rPr>
        <w:t>做可共同接受的修改。</w:t>
      </w:r>
      <w:r>
        <w:rPr>
          <w:rFonts w:hint="eastAsia" w:ascii="宋体" w:hAnsi="宋体" w:eastAsia="宋体" w:cs="宋体"/>
          <w:color w:val="auto"/>
          <w:sz w:val="24"/>
          <w:szCs w:val="24"/>
          <w:highlight w:val="none"/>
        </w:rPr>
        <w:t>合同当事人也可在专用合同条款中约定变更引起的咨询酬金和期限调整的计算方法。</w:t>
      </w:r>
    </w:p>
    <w:p w14:paraId="4092142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8.2.2 咨询人应在收到委托人下达的变更指示后14天内，向委托人提交变更引起的咨询酬金和期限调整申请。委托人应在咨询人提交申请后14天内审批完毕。委托人逾期未完成审批或未提出异议的，视为认可咨询人提交的变更申请。</w:t>
      </w:r>
    </w:p>
    <w:p w14:paraId="3CEE2169">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49" w:name="_Toc407261933"/>
      <w:r>
        <w:rPr>
          <w:rFonts w:hint="eastAsia" w:ascii="宋体" w:hAnsi="宋体" w:eastAsia="宋体" w:cs="宋体"/>
          <w:color w:val="auto"/>
          <w:sz w:val="24"/>
          <w:szCs w:val="24"/>
          <w:highlight w:val="none"/>
        </w:rPr>
        <w:t>8.3 咨询人的合理化建议</w:t>
      </w:r>
      <w:bookmarkEnd w:id="149"/>
    </w:p>
    <w:p w14:paraId="1DF98536">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咨询人可以向委托人提出合理化建议并说明实施该建议对工程造价和工期的影响。</w:t>
      </w:r>
    </w:p>
    <w:p w14:paraId="704CCD6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理化建议降低了工程造价或者提高了工程经济效益，使委托人受益的，委托人可对咨询人给予奖励。除专用合同条款另有约定外，合理化建议的奖励金额，以合理化建议给委托人带来的受益额为基数，乘以专用合同条款约定的奖励金额的比率计算确定。</w:t>
      </w:r>
    </w:p>
    <w:p w14:paraId="5D3A4FE2">
      <w:pPr>
        <w:pStyle w:val="6"/>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50" w:name="_Toc407261934"/>
      <w:r>
        <w:rPr>
          <w:rFonts w:hint="eastAsia" w:ascii="宋体" w:hAnsi="宋体" w:eastAsia="宋体" w:cs="宋体"/>
          <w:b w:val="0"/>
          <w:color w:val="auto"/>
          <w:sz w:val="24"/>
          <w:szCs w:val="24"/>
          <w:highlight w:val="none"/>
        </w:rPr>
        <w:t>9. 违约</w:t>
      </w:r>
      <w:bookmarkEnd w:id="150"/>
    </w:p>
    <w:p w14:paraId="2CD6B6BE">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51" w:name="_Toc407261935"/>
      <w:r>
        <w:rPr>
          <w:rFonts w:hint="eastAsia" w:ascii="宋体" w:hAnsi="宋体" w:eastAsia="宋体" w:cs="宋体"/>
          <w:color w:val="auto"/>
          <w:sz w:val="24"/>
          <w:szCs w:val="24"/>
          <w:highlight w:val="none"/>
        </w:rPr>
        <w:t>9.1 委托人违约</w:t>
      </w:r>
      <w:bookmarkEnd w:id="151"/>
    </w:p>
    <w:p w14:paraId="48539F0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未能按照合同约定履行合同义务的，咨询人可向委托人发出通知，要求委托人采取有效措施纠正违约行为。委托人应承担因其违约给咨询人增加的费用和延误的咨询期限，并按专用合同条款的约定承担违约责任。</w:t>
      </w:r>
    </w:p>
    <w:p w14:paraId="709A54A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委托人收到咨询人通知后56天内仍不纠正其违约行为且影响咨询工作正常开展的，咨询人有权解除合同。委托人应在解除合同后28天内按专用合同条款的约定完成已完咨询业务酬金结算和付款。合同当事人未能就解除合同后的结清达成一致的，按照第10条〔争议解决〕的约定处理。</w:t>
      </w:r>
    </w:p>
    <w:p w14:paraId="79DBA1DF">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52" w:name="_Toc407261936"/>
      <w:r>
        <w:rPr>
          <w:rFonts w:hint="eastAsia" w:ascii="宋体" w:hAnsi="宋体" w:eastAsia="宋体" w:cs="宋体"/>
          <w:color w:val="auto"/>
          <w:sz w:val="24"/>
          <w:szCs w:val="24"/>
          <w:highlight w:val="none"/>
        </w:rPr>
        <w:t>9.2 咨询人违约</w:t>
      </w:r>
      <w:bookmarkEnd w:id="152"/>
    </w:p>
    <w:p w14:paraId="4D127DE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人未能按照合同约定履行合同义务的，委托人可向咨询人发出整改通知，要求其在指定的合理期限内改正。咨询人应承担因其违约行为而增加的费用和延误的咨询期限，并按专用合同条款的约定承担违约责任。</w:t>
      </w:r>
    </w:p>
    <w:p w14:paraId="54D12C26">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委托人发出整改通知后，咨询人在指定的合理期限内仍不纠正违约行为，委托人有权解除合同。合同当事人应在解除合同后28天内按专用合同条款的约定完成已完咨询业务酬金结算和付款。合同当事人未能就解除合同后的结清达成一致的，按照第10条〔争议解决〕的约定处理。</w:t>
      </w:r>
    </w:p>
    <w:p w14:paraId="03E8F136">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53" w:name="_Toc407261937"/>
      <w:r>
        <w:rPr>
          <w:rFonts w:hint="eastAsia" w:ascii="宋体" w:hAnsi="宋体" w:eastAsia="宋体" w:cs="宋体"/>
          <w:color w:val="auto"/>
          <w:sz w:val="24"/>
          <w:szCs w:val="24"/>
          <w:highlight w:val="none"/>
        </w:rPr>
        <w:t>9.3 第三人造成的违约</w:t>
      </w:r>
      <w:bookmarkEnd w:id="153"/>
    </w:p>
    <w:p w14:paraId="4522CD96">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在合同履行过程中，一方当事人因第三人的原因造成违约的，应当向对方当事人承担违约责任。一方当事人和第三人之间的纠纷，依照法律规定或者按照约定解决。</w:t>
      </w:r>
    </w:p>
    <w:p w14:paraId="2B3865A5">
      <w:pPr>
        <w:pStyle w:val="6"/>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54" w:name="_Toc407261938"/>
      <w:r>
        <w:rPr>
          <w:rFonts w:hint="eastAsia" w:ascii="宋体" w:hAnsi="宋体" w:eastAsia="宋体" w:cs="宋体"/>
          <w:b w:val="0"/>
          <w:color w:val="auto"/>
          <w:sz w:val="24"/>
          <w:szCs w:val="24"/>
          <w:highlight w:val="none"/>
        </w:rPr>
        <w:t>10. 争议解决</w:t>
      </w:r>
      <w:bookmarkEnd w:id="154"/>
    </w:p>
    <w:p w14:paraId="6E7CCF0F">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55" w:name="_Toc407261939"/>
      <w:bookmarkStart w:id="156" w:name="_Toc337558841"/>
      <w:bookmarkStart w:id="157" w:name="_Toc296346648"/>
      <w:bookmarkStart w:id="158" w:name="_Toc296503147"/>
      <w:r>
        <w:rPr>
          <w:rFonts w:hint="eastAsia" w:ascii="宋体" w:hAnsi="宋体" w:eastAsia="宋体" w:cs="宋体"/>
          <w:color w:val="auto"/>
          <w:sz w:val="24"/>
          <w:szCs w:val="24"/>
          <w:highlight w:val="none"/>
        </w:rPr>
        <w:t>10.1 和解</w:t>
      </w:r>
      <w:bookmarkEnd w:id="155"/>
    </w:p>
    <w:bookmarkEnd w:id="156"/>
    <w:bookmarkEnd w:id="157"/>
    <w:bookmarkEnd w:id="158"/>
    <w:p w14:paraId="38BC54B9">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合同当事人可以就争议自行和解，自行和解达成协议的经双方签字并盖章后作为合同补充文件，双方均应遵照执行。</w:t>
      </w:r>
    </w:p>
    <w:p w14:paraId="7C1CBA2D">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59" w:name="_Toc407261940"/>
      <w:r>
        <w:rPr>
          <w:rFonts w:hint="eastAsia" w:ascii="宋体" w:hAnsi="宋体" w:eastAsia="宋体" w:cs="宋体"/>
          <w:color w:val="auto"/>
          <w:sz w:val="24"/>
          <w:szCs w:val="24"/>
          <w:highlight w:val="none"/>
        </w:rPr>
        <w:t>10</w:t>
      </w:r>
      <w:bookmarkStart w:id="160" w:name="_Toc296503148"/>
      <w:bookmarkStart w:id="161" w:name="_Toc337558842"/>
      <w:bookmarkStart w:id="162" w:name="_Toc296346649"/>
      <w:r>
        <w:rPr>
          <w:rFonts w:hint="eastAsia" w:ascii="宋体" w:hAnsi="宋体" w:eastAsia="宋体" w:cs="宋体"/>
          <w:color w:val="auto"/>
          <w:sz w:val="24"/>
          <w:szCs w:val="24"/>
          <w:highlight w:val="none"/>
        </w:rPr>
        <w:t>.2 调解</w:t>
      </w:r>
      <w:bookmarkEnd w:id="159"/>
    </w:p>
    <w:bookmarkEnd w:id="160"/>
    <w:bookmarkEnd w:id="161"/>
    <w:bookmarkEnd w:id="162"/>
    <w:p w14:paraId="2DE3B59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合同当事人可以就争议请求工程造价管理部门、行业协会或其他第三方进行调解，调解达成协议的，经双方签字并盖章后作为合同补充文件，双方均应遵照执行。</w:t>
      </w:r>
    </w:p>
    <w:p w14:paraId="7F47D95E">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63" w:name="_Toc407261941"/>
      <w:r>
        <w:rPr>
          <w:rFonts w:hint="eastAsia" w:ascii="宋体" w:hAnsi="宋体" w:eastAsia="宋体" w:cs="宋体"/>
          <w:color w:val="auto"/>
          <w:sz w:val="24"/>
          <w:szCs w:val="24"/>
          <w:highlight w:val="none"/>
        </w:rPr>
        <w:t>10.3 仲裁或诉讼</w:t>
      </w:r>
      <w:bookmarkEnd w:id="163"/>
    </w:p>
    <w:p w14:paraId="0432A6E8">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因合同及合同有关事项产生的争议，合同当事人可以在专用合同条款中约定下列任意一种方式解决争议：</w:t>
      </w:r>
    </w:p>
    <w:p w14:paraId="71374EC1">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向约定的仲裁委员会申请仲裁；</w:t>
      </w:r>
    </w:p>
    <w:p w14:paraId="4228C71C">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向有管辖权的人民法院起诉。</w:t>
      </w:r>
    </w:p>
    <w:p w14:paraId="1B69A1D9">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64" w:name="_Toc407261942"/>
      <w:r>
        <w:rPr>
          <w:rFonts w:hint="eastAsia" w:ascii="宋体" w:hAnsi="宋体" w:eastAsia="宋体" w:cs="宋体"/>
          <w:color w:val="auto"/>
          <w:sz w:val="24"/>
          <w:szCs w:val="24"/>
          <w:highlight w:val="none"/>
        </w:rPr>
        <w:t>10.4 争议解决条款效力</w:t>
      </w:r>
      <w:bookmarkEnd w:id="164"/>
    </w:p>
    <w:p w14:paraId="071205E4">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b/>
          <w:color w:val="auto"/>
          <w:kern w:val="44"/>
          <w:sz w:val="24"/>
          <w:szCs w:val="24"/>
          <w:highlight w:val="none"/>
        </w:rPr>
      </w:pPr>
      <w:r>
        <w:rPr>
          <w:rFonts w:hint="eastAsia" w:ascii="宋体" w:hAnsi="宋体" w:eastAsia="宋体" w:cs="宋体"/>
          <w:color w:val="auto"/>
          <w:sz w:val="24"/>
          <w:szCs w:val="24"/>
          <w:highlight w:val="none"/>
        </w:rPr>
        <w:t>合同有关争议解决的条款独立存在，合同的变更、解除、终止、无效或者被撤销均不影响其效力。</w:t>
      </w:r>
    </w:p>
    <w:p w14:paraId="3E4C436E">
      <w:pPr>
        <w:keepNext w:val="0"/>
        <w:keepLines w:val="0"/>
        <w:widowControl w:val="0"/>
        <w:suppressLineNumbers w:val="0"/>
        <w:spacing w:before="153" w:beforeLines="50" w:beforeAutospacing="0" w:after="153" w:afterLines="50" w:afterAutospacing="0" w:line="400" w:lineRule="exact"/>
        <w:ind w:left="0" w:right="0"/>
        <w:jc w:val="center"/>
        <w:outlineLvl w:val="2"/>
        <w:rPr>
          <w:rFonts w:hint="eastAsia" w:ascii="宋体" w:hAnsi="宋体" w:eastAsia="宋体" w:cs="宋体"/>
          <w:b/>
          <w:bCs/>
          <w:color w:val="auto"/>
          <w:kern w:val="2"/>
          <w:sz w:val="24"/>
          <w:szCs w:val="24"/>
          <w:highlight w:val="none"/>
          <w:lang w:val="en-US" w:eastAsia="zh-CN" w:bidi="ar"/>
        </w:rPr>
      </w:pPr>
    </w:p>
    <w:p w14:paraId="44222BCE">
      <w:pPr>
        <w:keepNext w:val="0"/>
        <w:keepLines w:val="0"/>
        <w:widowControl w:val="0"/>
        <w:suppressLineNumbers w:val="0"/>
        <w:spacing w:before="153" w:beforeLines="50" w:beforeAutospacing="0" w:after="153" w:afterLines="50" w:afterAutospacing="0" w:line="400" w:lineRule="exact"/>
        <w:ind w:left="0" w:right="0"/>
        <w:jc w:val="center"/>
        <w:outlineLvl w:val="2"/>
        <w:rPr>
          <w:rFonts w:hint="eastAsia" w:ascii="宋体" w:hAnsi="宋体" w:eastAsia="宋体" w:cs="宋体"/>
          <w:b/>
          <w:bCs/>
          <w:color w:val="auto"/>
          <w:kern w:val="2"/>
          <w:sz w:val="24"/>
          <w:szCs w:val="24"/>
          <w:highlight w:val="none"/>
          <w:lang w:val="en-US" w:eastAsia="zh-CN" w:bidi="ar"/>
        </w:rPr>
      </w:pPr>
    </w:p>
    <w:p w14:paraId="7255436F">
      <w:pPr>
        <w:keepNext w:val="0"/>
        <w:keepLines w:val="0"/>
        <w:widowControl w:val="0"/>
        <w:suppressLineNumbers w:val="0"/>
        <w:spacing w:before="153" w:beforeLines="50" w:beforeAutospacing="0" w:after="153" w:afterLines="50" w:afterAutospacing="0" w:line="400" w:lineRule="exact"/>
        <w:ind w:left="0" w:right="0"/>
        <w:jc w:val="center"/>
        <w:outlineLvl w:val="2"/>
        <w:rPr>
          <w:rFonts w:hint="eastAsia" w:ascii="宋体" w:hAnsi="宋体" w:eastAsia="宋体" w:cs="宋体"/>
          <w:b/>
          <w:bCs/>
          <w:color w:val="auto"/>
          <w:kern w:val="2"/>
          <w:sz w:val="24"/>
          <w:szCs w:val="24"/>
          <w:highlight w:val="none"/>
          <w:lang w:val="en-US" w:eastAsia="zh-CN" w:bidi="ar"/>
        </w:rPr>
      </w:pPr>
    </w:p>
    <w:p w14:paraId="4A6FDB30">
      <w:pPr>
        <w:keepNext w:val="0"/>
        <w:keepLines w:val="0"/>
        <w:widowControl w:val="0"/>
        <w:suppressLineNumbers w:val="0"/>
        <w:spacing w:before="153" w:beforeLines="50" w:beforeAutospacing="0" w:after="153" w:afterLines="50" w:afterAutospacing="0" w:line="400" w:lineRule="exact"/>
        <w:ind w:left="0" w:right="0"/>
        <w:jc w:val="center"/>
        <w:outlineLvl w:val="2"/>
        <w:rPr>
          <w:rFonts w:hint="eastAsia" w:ascii="宋体" w:hAnsi="宋体" w:eastAsia="宋体" w:cs="宋体"/>
          <w:b/>
          <w:bCs/>
          <w:color w:val="auto"/>
          <w:kern w:val="2"/>
          <w:sz w:val="24"/>
          <w:szCs w:val="24"/>
          <w:highlight w:val="none"/>
          <w:lang w:val="en-US" w:eastAsia="zh-CN" w:bidi="ar"/>
        </w:rPr>
      </w:pPr>
    </w:p>
    <w:p w14:paraId="040EFF5A">
      <w:pPr>
        <w:keepNext w:val="0"/>
        <w:keepLines w:val="0"/>
        <w:widowControl w:val="0"/>
        <w:suppressLineNumbers w:val="0"/>
        <w:spacing w:before="153" w:beforeLines="50" w:beforeAutospacing="0" w:after="153" w:afterLines="50" w:afterAutospacing="0" w:line="400" w:lineRule="exact"/>
        <w:ind w:left="0" w:right="0"/>
        <w:jc w:val="center"/>
        <w:outlineLvl w:val="2"/>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第三部分  专用合同条款</w:t>
      </w:r>
    </w:p>
    <w:p w14:paraId="06ED47D5">
      <w:pPr>
        <w:keepNext w:val="0"/>
        <w:keepLines w:val="0"/>
        <w:widowControl w:val="0"/>
        <w:suppressLineNumbers w:val="0"/>
        <w:spacing w:before="153" w:beforeLines="50" w:beforeAutospacing="0" w:after="153" w:afterLines="50" w:afterAutospacing="0" w:line="400" w:lineRule="exact"/>
        <w:ind w:left="0" w:right="0"/>
        <w:jc w:val="both"/>
        <w:outlineLvl w:val="2"/>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 xml:space="preserve"> </w:t>
      </w:r>
    </w:p>
    <w:p w14:paraId="169CF46A">
      <w:pPr>
        <w:pStyle w:val="6"/>
        <w:pageBreakBefore w:val="0"/>
        <w:kinsoku/>
        <w:wordWrap/>
        <w:overflowPunct/>
        <w:topLinePunct w:val="0"/>
        <w:bidi w:val="0"/>
        <w:snapToGrid/>
        <w:spacing w:beforeLines="0" w:afterLines="0" w:line="500" w:lineRule="exac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w:t>
      </w:r>
      <w:bookmarkStart w:id="165" w:name="_Toc297048342"/>
      <w:bookmarkStart w:id="166" w:name="_Toc296347155"/>
      <w:bookmarkStart w:id="167" w:name="_Toc297120456"/>
      <w:bookmarkStart w:id="168" w:name="_Toc296346657"/>
      <w:bookmarkStart w:id="169" w:name="_Toc296891196"/>
      <w:bookmarkStart w:id="170" w:name="_Toc292559866"/>
      <w:bookmarkStart w:id="171" w:name="_Toc296503156"/>
      <w:bookmarkStart w:id="172" w:name="_Toc296890984"/>
      <w:bookmarkStart w:id="173" w:name="_Toc292559361"/>
      <w:bookmarkStart w:id="174" w:name="_Toc296944495"/>
      <w:r>
        <w:rPr>
          <w:rFonts w:hint="eastAsia" w:ascii="宋体" w:hAnsi="宋体" w:eastAsia="宋体" w:cs="宋体"/>
          <w:b w:val="0"/>
          <w:color w:val="auto"/>
          <w:sz w:val="24"/>
          <w:szCs w:val="24"/>
          <w:highlight w:val="none"/>
        </w:rPr>
        <w:t>. 一般约定</w:t>
      </w:r>
    </w:p>
    <w:bookmarkEnd w:id="165"/>
    <w:bookmarkEnd w:id="166"/>
    <w:bookmarkEnd w:id="167"/>
    <w:bookmarkEnd w:id="168"/>
    <w:bookmarkEnd w:id="169"/>
    <w:bookmarkEnd w:id="170"/>
    <w:bookmarkEnd w:id="171"/>
    <w:bookmarkEnd w:id="172"/>
    <w:bookmarkEnd w:id="173"/>
    <w:bookmarkEnd w:id="174"/>
    <w:p w14:paraId="4FC78582">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1.3法律</w:t>
      </w:r>
    </w:p>
    <w:p w14:paraId="1AD4BA60">
      <w:pPr>
        <w:pageBreakBefore w:val="0"/>
        <w:kinsoku/>
        <w:wordWrap/>
        <w:overflowPunct/>
        <w:topLinePunct w:val="0"/>
        <w:autoSpaceDE w:val="0"/>
        <w:autoSpaceDN w:val="0"/>
        <w:bidi w:val="0"/>
        <w:adjustRightInd w:val="0"/>
        <w:snapToGrid/>
        <w:spacing w:beforeLines="0" w:afterLines="0" w:line="500" w:lineRule="exact"/>
        <w:ind w:left="596" w:leftChars="28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适用于合同的其他规范性文件：</w:t>
      </w:r>
      <w:r>
        <w:rPr>
          <w:rFonts w:hint="eastAsia" w:ascii="宋体" w:hAnsi="宋体" w:eastAsia="宋体" w:cs="宋体"/>
          <w:color w:val="auto"/>
          <w:sz w:val="24"/>
          <w:szCs w:val="24"/>
          <w:highlight w:val="none"/>
          <w:u w:val="single"/>
        </w:rPr>
        <w:t xml:space="preserve">/　　　　　　　 </w:t>
      </w:r>
    </w:p>
    <w:p w14:paraId="71CB6F6B">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 标准和规范</w:t>
      </w:r>
    </w:p>
    <w:p w14:paraId="385D7F9A">
      <w:pPr>
        <w:pageBreakBefore w:val="0"/>
        <w:kinsoku/>
        <w:wordWrap/>
        <w:overflowPunct/>
        <w:topLinePunct w:val="0"/>
        <w:bidi w:val="0"/>
        <w:snapToGrid/>
        <w:spacing w:beforeLines="0" w:afterLines="0" w:line="500" w:lineRule="exact"/>
        <w:ind w:left="596" w:leftChars="28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适用于工程造价咨询的标准规范包括：</w:t>
      </w:r>
      <w:r>
        <w:rPr>
          <w:rFonts w:hint="eastAsia" w:ascii="宋体" w:hAnsi="宋体" w:eastAsia="宋体" w:cs="宋体"/>
          <w:color w:val="auto"/>
          <w:sz w:val="24"/>
          <w:szCs w:val="24"/>
          <w:highlight w:val="none"/>
          <w:u w:val="single"/>
        </w:rPr>
        <w:t>现行行业工程计价有关规程、标准等</w:t>
      </w:r>
      <w:r>
        <w:rPr>
          <w:rFonts w:hint="eastAsia" w:ascii="宋体" w:hAnsi="宋体" w:eastAsia="宋体" w:cs="宋体"/>
          <w:color w:val="auto"/>
          <w:sz w:val="24"/>
          <w:szCs w:val="24"/>
          <w:highlight w:val="none"/>
        </w:rPr>
        <w:t>。</w:t>
      </w:r>
    </w:p>
    <w:p w14:paraId="6FE27432">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 合同文件的优先顺序</w:t>
      </w:r>
    </w:p>
    <w:p w14:paraId="4B280383">
      <w:pPr>
        <w:pageBreakBefore w:val="0"/>
        <w:kinsoku/>
        <w:wordWrap/>
        <w:overflowPunct/>
        <w:topLinePunct w:val="0"/>
        <w:bidi w:val="0"/>
        <w:snapToGrid/>
        <w:spacing w:beforeLines="0" w:afterLines="0"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合同文件组成及优先顺序为：</w:t>
      </w:r>
      <w:r>
        <w:rPr>
          <w:rFonts w:hint="eastAsia" w:ascii="宋体" w:hAnsi="宋体" w:eastAsia="宋体" w:cs="宋体"/>
          <w:color w:val="auto"/>
          <w:sz w:val="24"/>
          <w:szCs w:val="24"/>
          <w:highlight w:val="none"/>
          <w:u w:val="single"/>
        </w:rPr>
        <w:t>执行通用合同条款</w:t>
      </w:r>
      <w:r>
        <w:rPr>
          <w:rFonts w:hint="eastAsia" w:ascii="宋体" w:hAnsi="宋体" w:eastAsia="宋体" w:cs="宋体"/>
          <w:color w:val="auto"/>
          <w:sz w:val="24"/>
          <w:szCs w:val="24"/>
          <w:highlight w:val="none"/>
        </w:rPr>
        <w:t>。</w:t>
      </w:r>
    </w:p>
    <w:p w14:paraId="720E3695">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1.6 联络</w:t>
      </w:r>
    </w:p>
    <w:p w14:paraId="7285C354">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1.6.1</w:t>
      </w:r>
      <w:r>
        <w:rPr>
          <w:rFonts w:hint="eastAsia" w:ascii="宋体" w:hAnsi="宋体" w:eastAsia="宋体" w:cs="宋体"/>
          <w:color w:val="auto"/>
          <w:kern w:val="0"/>
          <w:sz w:val="24"/>
          <w:szCs w:val="24"/>
          <w:highlight w:val="none"/>
        </w:rPr>
        <w:t>委托人和咨询人应当在</w:t>
      </w:r>
      <w:r>
        <w:rPr>
          <w:rFonts w:hint="eastAsia" w:ascii="宋体" w:hAnsi="宋体" w:eastAsia="宋体" w:cs="宋体"/>
          <w:color w:val="auto"/>
          <w:sz w:val="24"/>
          <w:szCs w:val="24"/>
          <w:highlight w:val="none"/>
          <w:u w:val="single"/>
        </w:rPr>
        <w:t xml:space="preserve">3  </w:t>
      </w:r>
      <w:r>
        <w:rPr>
          <w:rFonts w:hint="eastAsia" w:ascii="宋体" w:hAnsi="宋体" w:eastAsia="宋体" w:cs="宋体"/>
          <w:color w:val="auto"/>
          <w:kern w:val="0"/>
          <w:sz w:val="24"/>
          <w:szCs w:val="24"/>
          <w:highlight w:val="none"/>
        </w:rPr>
        <w:t>天内将与合同有关的通知、批准、证明、证书、指示、指令、要求、请求、同意、意见、确定和决定等书面函件送达对方当事人。</w:t>
      </w:r>
    </w:p>
    <w:p w14:paraId="53E9189E">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1.6.2</w:t>
      </w:r>
      <w:r>
        <w:rPr>
          <w:rFonts w:hint="eastAsia" w:ascii="宋体" w:hAnsi="宋体" w:eastAsia="宋体" w:cs="宋体"/>
          <w:color w:val="auto"/>
          <w:kern w:val="0"/>
          <w:sz w:val="24"/>
          <w:szCs w:val="24"/>
          <w:highlight w:val="none"/>
        </w:rPr>
        <w:t xml:space="preserve"> 委托人接收文件的地点：</w:t>
      </w:r>
      <w:r>
        <w:rPr>
          <w:rFonts w:hint="eastAsia" w:ascii="宋体" w:hAnsi="宋体" w:eastAsia="宋体" w:cs="宋体"/>
          <w:color w:val="auto"/>
          <w:kern w:val="0"/>
          <w:sz w:val="24"/>
          <w:szCs w:val="24"/>
          <w:highlight w:val="none"/>
          <w:u w:val="single"/>
        </w:rPr>
        <w:t xml:space="preserve">滁州市园林景观管理中心 </w:t>
      </w:r>
      <w:r>
        <w:rPr>
          <w:rFonts w:hint="eastAsia" w:ascii="宋体" w:hAnsi="宋体" w:eastAsia="宋体" w:cs="宋体"/>
          <w:color w:val="auto"/>
          <w:kern w:val="0"/>
          <w:sz w:val="24"/>
          <w:szCs w:val="24"/>
          <w:highlight w:val="none"/>
        </w:rPr>
        <w:t>；</w:t>
      </w:r>
    </w:p>
    <w:p w14:paraId="03BE986C">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委托人指定的接收人为：</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68C79F24">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委托人指定的电子邮箱：</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58DECF52">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咨询人接收文件的地点：</w:t>
      </w:r>
      <w:r>
        <w:rPr>
          <w:rFonts w:hint="eastAsia" w:ascii="宋体" w:hAnsi="宋体" w:eastAsia="宋体" w:cs="宋体"/>
          <w:color w:val="auto"/>
          <w:sz w:val="24"/>
          <w:szCs w:val="24"/>
          <w:highlight w:val="none"/>
          <w:u w:val="single"/>
        </w:rPr>
        <w:t>　　　　　　　　　　　 　　</w:t>
      </w:r>
      <w:r>
        <w:rPr>
          <w:rFonts w:hint="eastAsia" w:ascii="宋体" w:hAnsi="宋体" w:eastAsia="宋体" w:cs="宋体"/>
          <w:color w:val="auto"/>
          <w:kern w:val="0"/>
          <w:sz w:val="24"/>
          <w:szCs w:val="24"/>
          <w:highlight w:val="none"/>
        </w:rPr>
        <w:t>；</w:t>
      </w:r>
    </w:p>
    <w:p w14:paraId="791F6D76">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咨询人指定的接收人为：</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415DED37">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咨询</w:t>
      </w:r>
      <w:r>
        <w:rPr>
          <w:rFonts w:hint="eastAsia" w:ascii="宋体" w:hAnsi="宋体" w:eastAsia="宋体" w:cs="宋体"/>
          <w:color w:val="auto"/>
          <w:sz w:val="24"/>
          <w:szCs w:val="24"/>
          <w:highlight w:val="none"/>
        </w:rPr>
        <w:t>人</w:t>
      </w:r>
      <w:r>
        <w:rPr>
          <w:rFonts w:hint="eastAsia" w:ascii="宋体" w:hAnsi="宋体" w:eastAsia="宋体" w:cs="宋体"/>
          <w:color w:val="auto"/>
          <w:kern w:val="0"/>
          <w:sz w:val="24"/>
          <w:szCs w:val="24"/>
          <w:highlight w:val="none"/>
        </w:rPr>
        <w:t>指定的电子邮箱：</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575D4E32">
      <w:pPr>
        <w:pStyle w:val="6"/>
        <w:pageBreakBefore w:val="0"/>
        <w:kinsoku/>
        <w:wordWrap/>
        <w:overflowPunct/>
        <w:topLinePunct w:val="0"/>
        <w:bidi w:val="0"/>
        <w:snapToGrid/>
        <w:spacing w:beforeLines="0" w:afterLines="0" w:line="500" w:lineRule="exact"/>
        <w:textAlignment w:val="auto"/>
        <w:rPr>
          <w:rFonts w:hint="eastAsia" w:ascii="宋体" w:hAnsi="宋体" w:eastAsia="宋体" w:cs="宋体"/>
          <w:b w:val="0"/>
          <w:color w:val="auto"/>
          <w:sz w:val="24"/>
          <w:szCs w:val="24"/>
          <w:highlight w:val="none"/>
        </w:rPr>
      </w:pPr>
      <w:bookmarkStart w:id="175" w:name="_Toc407261945"/>
      <w:bookmarkStart w:id="176" w:name="_Toc351203634"/>
      <w:r>
        <w:rPr>
          <w:rFonts w:hint="eastAsia" w:ascii="宋体" w:hAnsi="宋体" w:eastAsia="宋体" w:cs="宋体"/>
          <w:b w:val="0"/>
          <w:color w:val="auto"/>
          <w:sz w:val="24"/>
          <w:szCs w:val="24"/>
          <w:highlight w:val="none"/>
        </w:rPr>
        <w:t>2</w:t>
      </w:r>
      <w:bookmarkStart w:id="177" w:name="_Toc297048343"/>
      <w:bookmarkStart w:id="178" w:name="_Toc296890985"/>
      <w:bookmarkStart w:id="179" w:name="_Toc292559362"/>
      <w:bookmarkStart w:id="180" w:name="_Toc296944496"/>
      <w:bookmarkStart w:id="181" w:name="_Toc296503157"/>
      <w:bookmarkStart w:id="182" w:name="_Toc296347156"/>
      <w:bookmarkStart w:id="183" w:name="_Toc296346658"/>
      <w:bookmarkStart w:id="184" w:name="_Toc296891197"/>
      <w:bookmarkStart w:id="185" w:name="_Toc292559867"/>
      <w:bookmarkStart w:id="186" w:name="_Toc297120457"/>
      <w:r>
        <w:rPr>
          <w:rFonts w:hint="eastAsia" w:ascii="宋体" w:hAnsi="宋体" w:eastAsia="宋体" w:cs="宋体"/>
          <w:b w:val="0"/>
          <w:color w:val="auto"/>
          <w:sz w:val="24"/>
          <w:szCs w:val="24"/>
          <w:highlight w:val="none"/>
        </w:rPr>
        <w:t>. 委托人</w:t>
      </w:r>
      <w:bookmarkEnd w:id="175"/>
      <w:bookmarkEnd w:id="176"/>
    </w:p>
    <w:bookmarkEnd w:id="177"/>
    <w:bookmarkEnd w:id="178"/>
    <w:bookmarkEnd w:id="179"/>
    <w:bookmarkEnd w:id="180"/>
    <w:bookmarkEnd w:id="181"/>
    <w:bookmarkEnd w:id="182"/>
    <w:bookmarkEnd w:id="183"/>
    <w:bookmarkEnd w:id="184"/>
    <w:bookmarkEnd w:id="185"/>
    <w:bookmarkEnd w:id="186"/>
    <w:p w14:paraId="431DAB7A">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 委托人代表</w:t>
      </w:r>
    </w:p>
    <w:p w14:paraId="292A781C">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5CEE9206">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19E6FD76">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0DD45C99">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      </w:t>
      </w:r>
      <w:r>
        <w:rPr>
          <w:rFonts w:hint="eastAsia" w:ascii="宋体" w:hAnsi="宋体" w:eastAsia="宋体" w:cs="宋体"/>
          <w:color w:val="auto"/>
          <w:sz w:val="24"/>
          <w:szCs w:val="24"/>
          <w:highlight w:val="none"/>
        </w:rPr>
        <w:t>；</w:t>
      </w:r>
    </w:p>
    <w:p w14:paraId="27F954E6">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17225B3F">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xml:space="preserve">滁州市园林景观管理中心                 </w:t>
      </w:r>
      <w:r>
        <w:rPr>
          <w:rFonts w:hint="eastAsia" w:ascii="宋体" w:hAnsi="宋体" w:eastAsia="宋体" w:cs="宋体"/>
          <w:color w:val="auto"/>
          <w:sz w:val="24"/>
          <w:szCs w:val="24"/>
          <w:highlight w:val="none"/>
        </w:rPr>
        <w:t>。</w:t>
      </w:r>
    </w:p>
    <w:p w14:paraId="4A7C8274">
      <w:pPr>
        <w:pageBreakBefore w:val="0"/>
        <w:kinsoku/>
        <w:wordWrap/>
        <w:overflowPunct/>
        <w:topLinePunct w:val="0"/>
        <w:bidi w:val="0"/>
        <w:snapToGrid/>
        <w:spacing w:beforeLines="0" w:afterLines="0" w:line="500" w:lineRule="exac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委托人对委托人代表的授权范围如下</w:t>
      </w:r>
      <w:r>
        <w:rPr>
          <w:rFonts w:hint="eastAsia" w:ascii="宋体" w:hAnsi="宋体" w:eastAsia="宋体" w:cs="宋体"/>
          <w:color w:val="auto"/>
          <w:sz w:val="24"/>
          <w:szCs w:val="24"/>
          <w:highlight w:val="none"/>
          <w:u w:val="single"/>
        </w:rPr>
        <w:t>负责本工程工程量清单和最高投标限价编制及资料收集、提供、协调、沟通、确认、备案等相关事宜</w:t>
      </w:r>
      <w:r>
        <w:rPr>
          <w:rFonts w:hint="eastAsia" w:ascii="宋体" w:hAnsi="宋体" w:eastAsia="宋体" w:cs="宋体"/>
          <w:color w:val="auto"/>
          <w:sz w:val="24"/>
          <w:szCs w:val="24"/>
          <w:highlight w:val="none"/>
        </w:rPr>
        <w:t>。</w:t>
      </w:r>
    </w:p>
    <w:p w14:paraId="28049F0F">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 提供资料</w:t>
      </w:r>
    </w:p>
    <w:p w14:paraId="2546D962">
      <w:pPr>
        <w:pageBreakBefore w:val="0"/>
        <w:kinsoku/>
        <w:wordWrap/>
        <w:overflowPunct/>
        <w:topLinePunct w:val="0"/>
        <w:bidi w:val="0"/>
        <w:snapToGrid/>
        <w:spacing w:beforeLines="0" w:afterLines="0" w:line="500" w:lineRule="exac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委托人向咨询人提供的资料包括：</w:t>
      </w:r>
      <w:r>
        <w:rPr>
          <w:rFonts w:hint="eastAsia" w:ascii="宋体" w:hAnsi="宋体" w:eastAsia="宋体" w:cs="宋体"/>
          <w:color w:val="auto"/>
          <w:sz w:val="24"/>
          <w:szCs w:val="24"/>
          <w:highlight w:val="none"/>
          <w:u w:val="single"/>
        </w:rPr>
        <w:t xml:space="preserve">本工程招标文件、图审后的设计图纸、设计答疑等 </w:t>
      </w:r>
      <w:r>
        <w:rPr>
          <w:rFonts w:hint="eastAsia" w:ascii="宋体" w:hAnsi="宋体" w:eastAsia="宋体" w:cs="宋体"/>
          <w:color w:val="auto"/>
          <w:sz w:val="24"/>
          <w:szCs w:val="24"/>
          <w:highlight w:val="none"/>
        </w:rPr>
        <w:t>。</w:t>
      </w:r>
    </w:p>
    <w:p w14:paraId="2C3797DC">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委托人向咨询人提供资料的期限为：</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w:t>
      </w:r>
    </w:p>
    <w:p w14:paraId="7B7DD51B">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关于委托人向咨询人提供资料的特别约定：</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sz w:val="24"/>
          <w:szCs w:val="24"/>
          <w:highlight w:val="none"/>
        </w:rPr>
        <w:t>。</w:t>
      </w:r>
    </w:p>
    <w:p w14:paraId="6DA36F36">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2.4 答复</w:t>
      </w:r>
    </w:p>
    <w:p w14:paraId="1A6E7854">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委托人对咨询人以书面形式提交并要求作出决定事宜的答复期限为：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EADE501">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 关于咨询人以书面形式提交并要求第三人作出决定的事宜，由委托人送达第三人的特别约定：</w:t>
      </w:r>
      <w:r>
        <w:rPr>
          <w:rFonts w:hint="eastAsia" w:ascii="宋体" w:hAnsi="宋体" w:eastAsia="宋体" w:cs="宋体"/>
          <w:color w:val="auto"/>
          <w:sz w:val="24"/>
          <w:szCs w:val="24"/>
          <w:highlight w:val="none"/>
          <w:u w:val="single"/>
        </w:rPr>
        <w:t xml:space="preserve">   执行合同通用条款   </w:t>
      </w:r>
      <w:r>
        <w:rPr>
          <w:rFonts w:hint="eastAsia" w:ascii="宋体" w:hAnsi="宋体" w:eastAsia="宋体" w:cs="宋体"/>
          <w:color w:val="auto"/>
          <w:sz w:val="24"/>
          <w:szCs w:val="24"/>
          <w:highlight w:val="none"/>
        </w:rPr>
        <w:t>。</w:t>
      </w:r>
    </w:p>
    <w:p w14:paraId="3208F3E9">
      <w:pPr>
        <w:pStyle w:val="6"/>
        <w:pageBreakBefore w:val="0"/>
        <w:kinsoku/>
        <w:wordWrap/>
        <w:overflowPunct/>
        <w:topLinePunct w:val="0"/>
        <w:bidi w:val="0"/>
        <w:snapToGrid/>
        <w:spacing w:beforeLines="0" w:afterLines="0" w:line="500" w:lineRule="exact"/>
        <w:textAlignment w:val="auto"/>
        <w:rPr>
          <w:rFonts w:hint="eastAsia" w:ascii="宋体" w:hAnsi="宋体" w:eastAsia="宋体" w:cs="宋体"/>
          <w:b w:val="0"/>
          <w:color w:val="auto"/>
          <w:sz w:val="24"/>
          <w:szCs w:val="24"/>
          <w:highlight w:val="none"/>
        </w:rPr>
      </w:pPr>
      <w:bookmarkStart w:id="187" w:name="_Toc407261946"/>
      <w:r>
        <w:rPr>
          <w:rFonts w:hint="eastAsia" w:ascii="宋体" w:hAnsi="宋体" w:eastAsia="宋体" w:cs="宋体"/>
          <w:b w:val="0"/>
          <w:color w:val="auto"/>
          <w:sz w:val="24"/>
          <w:szCs w:val="24"/>
          <w:highlight w:val="none"/>
        </w:rPr>
        <w:t>3. 咨询人</w:t>
      </w:r>
      <w:bookmarkEnd w:id="187"/>
    </w:p>
    <w:p w14:paraId="5DACDD1D">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3.2 项目负责人</w:t>
      </w:r>
    </w:p>
    <w:p w14:paraId="7E80ACA6">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rPr>
        <w:t>；</w:t>
      </w:r>
    </w:p>
    <w:p w14:paraId="36CC1C70">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4858F69">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造价工程师注册证书号：</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5BEF31FE">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3C8D5C5E">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252F330E">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4F2693BA">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咨询人对项目负责人的授权范围如下：</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6817801B">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3.3 工程造价专业人员</w:t>
      </w:r>
    </w:p>
    <w:p w14:paraId="3E496598">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咨询人提交工程造价专业人员任命文件及其注册证书或资格证书的期限：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A516864">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咨询人未提交</w:t>
      </w:r>
      <w:r>
        <w:rPr>
          <w:rFonts w:hint="eastAsia" w:ascii="宋体" w:hAnsi="宋体" w:eastAsia="宋体" w:cs="宋体"/>
          <w:color w:val="auto"/>
          <w:sz w:val="24"/>
          <w:szCs w:val="24"/>
          <w:highlight w:val="none"/>
        </w:rPr>
        <w:t>为工程造价专业人员缴纳的社会保险有效证明</w:t>
      </w:r>
      <w:r>
        <w:rPr>
          <w:rFonts w:hint="eastAsia" w:ascii="宋体" w:hAnsi="宋体" w:eastAsia="宋体" w:cs="宋体"/>
          <w:color w:val="auto"/>
          <w:kern w:val="0"/>
          <w:sz w:val="24"/>
          <w:szCs w:val="24"/>
          <w:highlight w:val="none"/>
        </w:rPr>
        <w:t>的违约责任：</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52343F2">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3.3.2 咨询人擅自更换工程造价专业人员的违约责任：</w:t>
      </w:r>
      <w:r>
        <w:rPr>
          <w:rFonts w:hint="eastAsia" w:ascii="宋体" w:hAnsi="宋体" w:eastAsia="宋体" w:cs="宋体"/>
          <w:color w:val="auto"/>
          <w:sz w:val="24"/>
          <w:szCs w:val="24"/>
          <w:highlight w:val="none"/>
          <w:u w:val="single"/>
        </w:rPr>
        <w:t xml:space="preserve">   /</w:t>
      </w:r>
    </w:p>
    <w:p w14:paraId="7E547338">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 咨询人安排的工程造价专业人员</w:t>
      </w:r>
      <w:r>
        <w:rPr>
          <w:rFonts w:hint="eastAsia" w:ascii="宋体" w:hAnsi="宋体" w:eastAsia="宋体" w:cs="宋体"/>
          <w:color w:val="auto"/>
          <w:kern w:val="0"/>
          <w:sz w:val="24"/>
          <w:szCs w:val="24"/>
          <w:highlight w:val="none"/>
        </w:rPr>
        <w:t>每月在施工现场的时间要求：</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3518C76A">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工程造价专业人员</w:t>
      </w:r>
      <w:r>
        <w:rPr>
          <w:rFonts w:hint="eastAsia" w:ascii="宋体" w:hAnsi="宋体" w:eastAsia="宋体" w:cs="宋体"/>
          <w:color w:val="auto"/>
          <w:kern w:val="0"/>
          <w:sz w:val="24"/>
          <w:szCs w:val="24"/>
          <w:highlight w:val="none"/>
        </w:rPr>
        <w:t>未经批准，擅自离开施工现场的违约责任：</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18ACDC2">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3.3.4 咨询人无正当理由拒绝撤换工程造价专业人员的违约责任：</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rPr>
        <w:t>。</w:t>
      </w:r>
    </w:p>
    <w:p w14:paraId="43EA864A">
      <w:pPr>
        <w:pStyle w:val="6"/>
        <w:pageBreakBefore w:val="0"/>
        <w:kinsoku/>
        <w:wordWrap/>
        <w:overflowPunct/>
        <w:topLinePunct w:val="0"/>
        <w:bidi w:val="0"/>
        <w:snapToGrid/>
        <w:spacing w:beforeLines="0" w:afterLines="0" w:line="500" w:lineRule="exact"/>
        <w:textAlignment w:val="auto"/>
        <w:rPr>
          <w:rFonts w:hint="eastAsia" w:ascii="宋体" w:hAnsi="宋体" w:eastAsia="宋体" w:cs="宋体"/>
          <w:b w:val="0"/>
          <w:color w:val="auto"/>
          <w:sz w:val="24"/>
          <w:szCs w:val="24"/>
          <w:highlight w:val="none"/>
        </w:rPr>
      </w:pPr>
      <w:bookmarkStart w:id="188" w:name="_Toc407261947"/>
      <w:r>
        <w:rPr>
          <w:rFonts w:hint="eastAsia" w:ascii="宋体" w:hAnsi="宋体" w:eastAsia="宋体" w:cs="宋体"/>
          <w:b w:val="0"/>
          <w:color w:val="auto"/>
          <w:sz w:val="24"/>
          <w:szCs w:val="24"/>
          <w:highlight w:val="none"/>
        </w:rPr>
        <w:t>4. 咨询业务范围和工作内容</w:t>
      </w:r>
      <w:bookmarkEnd w:id="188"/>
    </w:p>
    <w:p w14:paraId="351F3BED">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4.2 咨询工作内容</w:t>
      </w:r>
    </w:p>
    <w:p w14:paraId="17F9BFFC">
      <w:pPr>
        <w:pageBreakBefore w:val="0"/>
        <w:kinsoku/>
        <w:wordWrap/>
        <w:overflowPunct/>
        <w:topLinePunct w:val="0"/>
        <w:bidi w:val="0"/>
        <w:snapToGrid/>
        <w:spacing w:beforeLines="0" w:afterLines="0" w:line="500" w:lineRule="exact"/>
        <w:ind w:left="596" w:leftChars="284"/>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工程造价咨询工作内容包括：</w:t>
      </w:r>
      <w:r>
        <w:rPr>
          <w:rFonts w:hint="eastAsia" w:ascii="宋体" w:hAnsi="宋体" w:eastAsia="宋体" w:cs="宋体"/>
          <w:color w:val="auto"/>
          <w:sz w:val="24"/>
          <w:szCs w:val="24"/>
          <w:highlight w:val="none"/>
          <w:u w:val="single"/>
        </w:rPr>
        <w:t>工程量清单和最高投标限价编制</w:t>
      </w:r>
      <w:r>
        <w:rPr>
          <w:rFonts w:hint="eastAsia" w:ascii="宋体" w:hAnsi="宋体" w:eastAsia="宋体" w:cs="宋体"/>
          <w:color w:val="auto"/>
          <w:sz w:val="24"/>
          <w:szCs w:val="24"/>
          <w:highlight w:val="none"/>
        </w:rPr>
        <w:t>。</w:t>
      </w:r>
    </w:p>
    <w:p w14:paraId="73537F58">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5.2 咨询期限延误</w:t>
      </w:r>
    </w:p>
    <w:p w14:paraId="1AE94BB9">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5.2.1 因委托人原因导致咨询期限延误</w:t>
      </w:r>
    </w:p>
    <w:p w14:paraId="4701073E">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（6）</w:t>
      </w:r>
      <w:r>
        <w:rPr>
          <w:rFonts w:hint="eastAsia" w:ascii="宋体" w:hAnsi="宋体" w:eastAsia="宋体" w:cs="宋体"/>
          <w:color w:val="auto"/>
          <w:sz w:val="24"/>
          <w:szCs w:val="24"/>
          <w:highlight w:val="none"/>
        </w:rPr>
        <w:t>因委托人原因导致咨询期限延误的其他情形：</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2521674E">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bookmarkStart w:id="189" w:name="_Toc300934970"/>
      <w:bookmarkStart w:id="190" w:name="_Toc297123518"/>
      <w:bookmarkStart w:id="191" w:name="_Toc303539127"/>
      <w:bookmarkStart w:id="192" w:name="_Toc297216177"/>
      <w:bookmarkStart w:id="193" w:name="_Toc304295548"/>
      <w:r>
        <w:rPr>
          <w:rFonts w:hint="eastAsia" w:ascii="宋体" w:hAnsi="宋体" w:eastAsia="宋体" w:cs="宋体"/>
          <w:color w:val="auto"/>
          <w:sz w:val="24"/>
          <w:szCs w:val="24"/>
          <w:highlight w:val="none"/>
        </w:rPr>
        <w:t>5.2.2 因咨询人原因导致咨询期限延误</w:t>
      </w:r>
    </w:p>
    <w:p w14:paraId="7569551E">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w:t>
      </w:r>
      <w:bookmarkStart w:id="194" w:name="_Toc312677487"/>
      <w:bookmarkStart w:id="195" w:name="_Toc312678013"/>
      <w:bookmarkStart w:id="196" w:name="_Toc318581170"/>
      <w:r>
        <w:rPr>
          <w:rFonts w:hint="eastAsia" w:ascii="宋体" w:hAnsi="宋体" w:eastAsia="宋体" w:cs="宋体"/>
          <w:color w:val="auto"/>
          <w:sz w:val="24"/>
          <w:szCs w:val="24"/>
          <w:highlight w:val="none"/>
        </w:rPr>
        <w:t>咨询人原因造成咨询期限延误，逾期完成咨询业务违约金的计算方法为：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bookmarkEnd w:id="189"/>
      <w:bookmarkEnd w:id="190"/>
      <w:bookmarkEnd w:id="191"/>
      <w:bookmarkEnd w:id="192"/>
      <w:bookmarkEnd w:id="193"/>
      <w:bookmarkEnd w:id="194"/>
      <w:bookmarkEnd w:id="195"/>
    </w:p>
    <w:bookmarkEnd w:id="196"/>
    <w:p w14:paraId="14275F5D">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因咨询人原因造成咨询期限延误，</w:t>
      </w:r>
      <w:bookmarkStart w:id="197" w:name="_Toc312678014"/>
      <w:bookmarkStart w:id="198" w:name="_Toc318581171"/>
      <w:r>
        <w:rPr>
          <w:rFonts w:hint="eastAsia" w:ascii="宋体" w:hAnsi="宋体" w:eastAsia="宋体" w:cs="宋体"/>
          <w:color w:val="auto"/>
          <w:sz w:val="24"/>
          <w:szCs w:val="24"/>
          <w:highlight w:val="none"/>
        </w:rPr>
        <w:t>逾期完成咨询业务违约金的上限：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bookmarkEnd w:id="197"/>
    <w:bookmarkEnd w:id="198"/>
    <w:p w14:paraId="0C36F7D9">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5.2.3 因第三人原因导致咨询期限延误</w:t>
      </w:r>
    </w:p>
    <w:p w14:paraId="0346B837">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sz w:val="24"/>
          <w:szCs w:val="24"/>
          <w:highlight w:val="none"/>
        </w:rPr>
        <w:t>因第三人原因导致咨询期限延误的其他情形：</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B5E6C63">
      <w:pPr>
        <w:pageBreakBefore w:val="0"/>
        <w:kinsoku/>
        <w:wordWrap/>
        <w:overflowPunct/>
        <w:topLinePunct w:val="0"/>
        <w:bidi w:val="0"/>
        <w:snapToGrid/>
        <w:spacing w:beforeLines="0" w:afterLines="0" w:line="500" w:lineRule="exact"/>
        <w:ind w:firstLine="241" w:firstLineChars="1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5.3 工程造价咨询成果文件交付期限</w:t>
      </w:r>
    </w:p>
    <w:p w14:paraId="613328BE">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5.3.1咨询人向委托人提交工程造价咨询成果文件的份数</w:t>
      </w:r>
      <w:r>
        <w:rPr>
          <w:rFonts w:hint="eastAsia" w:ascii="宋体" w:hAnsi="宋体" w:eastAsia="宋体" w:cs="宋体"/>
          <w:color w:val="auto"/>
          <w:sz w:val="24"/>
          <w:szCs w:val="24"/>
          <w:highlight w:val="none"/>
          <w:u w:val="single"/>
        </w:rPr>
        <w:t xml:space="preserve">各捌份 </w:t>
      </w:r>
      <w:r>
        <w:rPr>
          <w:rFonts w:hint="eastAsia" w:ascii="宋体" w:hAnsi="宋体" w:eastAsia="宋体" w:cs="宋体"/>
          <w:color w:val="auto"/>
          <w:sz w:val="24"/>
          <w:szCs w:val="24"/>
          <w:highlight w:val="none"/>
        </w:rPr>
        <w:t>。</w:t>
      </w:r>
    </w:p>
    <w:p w14:paraId="70D4412C">
      <w:pPr>
        <w:keepNext w:val="0"/>
        <w:keepLines w:val="0"/>
        <w:pageBreakBefore w:val="0"/>
        <w:widowControl w:val="0"/>
        <w:kinsoku/>
        <w:wordWrap w:val="0"/>
        <w:overflowPunct/>
        <w:topLinePunct w:val="0"/>
        <w:autoSpaceDE/>
        <w:autoSpaceDN/>
        <w:bidi w:val="0"/>
        <w:adjustRightInd/>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委托人在收到咨询人提交的工程造价咨询成果文件后确认或提出修改意见的期限：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7CF3AA1">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5.3.2因咨询人原因未能在合理的期限内完成工程计量与支付、合同价款调整等文件编制或审核，给委托人造成损失的违约责任</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EBC9106">
      <w:pPr>
        <w:pStyle w:val="6"/>
        <w:pageBreakBefore w:val="0"/>
        <w:kinsoku/>
        <w:wordWrap/>
        <w:overflowPunct/>
        <w:topLinePunct w:val="0"/>
        <w:bidi w:val="0"/>
        <w:snapToGrid/>
        <w:spacing w:beforeLines="0" w:afterLines="0" w:line="500" w:lineRule="exact"/>
        <w:textAlignment w:val="auto"/>
        <w:rPr>
          <w:rFonts w:hint="eastAsia" w:ascii="宋体" w:hAnsi="宋体" w:eastAsia="宋体" w:cs="宋体"/>
          <w:b w:val="0"/>
          <w:color w:val="auto"/>
          <w:sz w:val="24"/>
          <w:szCs w:val="24"/>
          <w:highlight w:val="none"/>
        </w:rPr>
      </w:pPr>
      <w:bookmarkStart w:id="199" w:name="_Toc407261949"/>
      <w:r>
        <w:rPr>
          <w:rFonts w:hint="eastAsia" w:ascii="宋体" w:hAnsi="宋体" w:eastAsia="宋体" w:cs="宋体"/>
          <w:b w:val="0"/>
          <w:color w:val="auto"/>
          <w:sz w:val="24"/>
          <w:szCs w:val="24"/>
          <w:highlight w:val="none"/>
        </w:rPr>
        <w:t>6. 咨询质量</w:t>
      </w:r>
      <w:bookmarkEnd w:id="199"/>
    </w:p>
    <w:p w14:paraId="6563F6B8">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6.1 质量要求</w:t>
      </w:r>
    </w:p>
    <w:p w14:paraId="54E0CF19">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工程造价咨询成果文件质量标准：</w:t>
      </w:r>
      <w:r>
        <w:rPr>
          <w:rFonts w:hint="eastAsia" w:ascii="宋体" w:hAnsi="宋体" w:eastAsia="宋体" w:cs="宋体"/>
          <w:color w:val="auto"/>
          <w:sz w:val="24"/>
          <w:szCs w:val="24"/>
          <w:highlight w:val="none"/>
          <w:u w:val="single"/>
        </w:rPr>
        <w:t xml:space="preserve">《建设工程造价咨询成果文件质量标准》（CECA/GCF2012） </w:t>
      </w:r>
      <w:r>
        <w:rPr>
          <w:rFonts w:hint="eastAsia" w:ascii="宋体" w:hAnsi="宋体" w:eastAsia="宋体" w:cs="宋体"/>
          <w:color w:val="auto"/>
          <w:sz w:val="24"/>
          <w:szCs w:val="24"/>
          <w:highlight w:val="none"/>
        </w:rPr>
        <w:t>。</w:t>
      </w:r>
    </w:p>
    <w:p w14:paraId="6B9F96F3">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6.3 质量不合格处理</w:t>
      </w:r>
    </w:p>
    <w:p w14:paraId="1E113E2D">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因咨询人原因造成工程造价咨询成果文件质量未达到合同约定标准，委托人相应减少咨询酬金的计算方法为：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A5488C9">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因咨询人原因造成工程造价咨询成果文件质量不合格产生的损失赔偿额的计算方法为：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C7FCD9C">
      <w:pPr>
        <w:pStyle w:val="6"/>
        <w:pageBreakBefore w:val="0"/>
        <w:kinsoku/>
        <w:wordWrap/>
        <w:overflowPunct/>
        <w:topLinePunct w:val="0"/>
        <w:bidi w:val="0"/>
        <w:snapToGrid/>
        <w:spacing w:beforeLines="0" w:afterLines="0" w:line="500" w:lineRule="exact"/>
        <w:textAlignment w:val="auto"/>
        <w:rPr>
          <w:rFonts w:hint="eastAsia" w:ascii="宋体" w:hAnsi="宋体" w:eastAsia="宋体" w:cs="宋体"/>
          <w:b w:val="0"/>
          <w:color w:val="auto"/>
          <w:sz w:val="24"/>
          <w:szCs w:val="24"/>
          <w:highlight w:val="none"/>
        </w:rPr>
      </w:pPr>
      <w:bookmarkStart w:id="200" w:name="_Toc407261950"/>
      <w:r>
        <w:rPr>
          <w:rFonts w:hint="eastAsia" w:ascii="宋体" w:hAnsi="宋体" w:eastAsia="宋体" w:cs="宋体"/>
          <w:b w:val="0"/>
          <w:color w:val="auto"/>
          <w:sz w:val="24"/>
          <w:szCs w:val="24"/>
          <w:highlight w:val="none"/>
        </w:rPr>
        <w:t>7. 咨询酬金</w:t>
      </w:r>
      <w:bookmarkEnd w:id="200"/>
    </w:p>
    <w:p w14:paraId="392DD593">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7.1 酬金计算方式</w:t>
      </w:r>
    </w:p>
    <w:p w14:paraId="0D7D82FE">
      <w:pPr>
        <w:pageBreakBefore w:val="0"/>
        <w:widowControl/>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咨询酬金其他计算方式：</w:t>
      </w:r>
      <w:r>
        <w:rPr>
          <w:rFonts w:hint="eastAsia" w:ascii="宋体" w:hAnsi="宋体" w:eastAsia="宋体" w:cs="宋体"/>
          <w:color w:val="auto"/>
          <w:sz w:val="24"/>
          <w:szCs w:val="24"/>
          <w:highlight w:val="none"/>
          <w:u w:val="single"/>
        </w:rPr>
        <w:t>工程量清单和最高投标限价编制费用=【施工中标价-（暂列金+暂估价）】*相应费率*</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%。请款时暂列金和暂估价均需扣除相应税金。</w:t>
      </w:r>
    </w:p>
    <w:p w14:paraId="06A3BE20">
      <w:pPr>
        <w:pageBreakBefore w:val="0"/>
        <w:kinsoku/>
        <w:wordWrap/>
        <w:overflowPunct/>
        <w:topLinePunct w:val="0"/>
        <w:bidi w:val="0"/>
        <w:snapToGrid/>
        <w:spacing w:beforeLines="0" w:afterLines="0" w:line="5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7.1.2 基本酬金加绩效酬金</w:t>
      </w:r>
    </w:p>
    <w:p w14:paraId="56DB8ADE">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基本酬金比率：</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4F0A5F30">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绩效酬金比率：</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450FD761">
      <w:pPr>
        <w:pageBreakBefore w:val="0"/>
        <w:kinsoku/>
        <w:wordWrap/>
        <w:overflowPunct/>
        <w:topLinePunct w:val="0"/>
        <w:bidi w:val="0"/>
        <w:snapToGrid/>
        <w:spacing w:beforeLines="0" w:afterLines="0"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7.2 预付酬金</w:t>
      </w:r>
    </w:p>
    <w:p w14:paraId="656E8B3A">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预付酬金支付比例或金额：</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09D463A">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预付酬金支付期限：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2033A01B">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委托人逾期支付预付酬金的违约金的计算方式：</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6564B95B">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7.3.1 酬金分段结算与支付的比例或金额：</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7E379F7">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咨询人提交酬金分段结算与支付申请书的期限：</w:t>
      </w:r>
      <w:r>
        <w:rPr>
          <w:rFonts w:hint="eastAsia" w:ascii="宋体" w:hAnsi="宋体" w:eastAsia="宋体" w:cs="宋体"/>
          <w:color w:val="auto"/>
          <w:sz w:val="24"/>
          <w:szCs w:val="24"/>
          <w:highlight w:val="none"/>
          <w:u w:val="single"/>
        </w:rPr>
        <w:t xml:space="preserve">             </w:t>
      </w:r>
    </w:p>
    <w:p w14:paraId="54AA5FB8">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7.3.2 委托人审核确认酬金分段结算与支付申请书并完成酬金支付的期限：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F48DEC3">
      <w:pPr>
        <w:pageBreakBefore w:val="0"/>
        <w:kinsoku/>
        <w:wordWrap/>
        <w:overflowPunct/>
        <w:topLinePunct w:val="0"/>
        <w:bidi w:val="0"/>
        <w:snapToGrid/>
        <w:spacing w:beforeLines="0" w:afterLines="0"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7.4 酬金结清与支付</w:t>
      </w:r>
    </w:p>
    <w:p w14:paraId="19E2B2EA">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7.4.1 咨询人提交酬金结清与支付申请书的期限：</w:t>
      </w:r>
      <w:r>
        <w:rPr>
          <w:rFonts w:hint="eastAsia" w:ascii="宋体" w:hAnsi="宋体" w:eastAsia="宋体" w:cs="宋体"/>
          <w:color w:val="auto"/>
          <w:sz w:val="24"/>
          <w:szCs w:val="24"/>
          <w:highlight w:val="none"/>
          <w:u w:val="single"/>
        </w:rPr>
        <w:t xml:space="preserve">     /      </w:t>
      </w:r>
    </w:p>
    <w:p w14:paraId="41311E55">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7.4.2 委托人审核确认酬金结清与支付申请书的期限：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DF8C182">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7.4.3 委托人完成酬金支付的期限：</w:t>
      </w:r>
      <w:r>
        <w:rPr>
          <w:rFonts w:hint="eastAsia" w:ascii="宋体" w:hAnsi="宋体" w:eastAsia="宋体" w:cs="宋体"/>
          <w:color w:val="auto"/>
          <w:sz w:val="24"/>
          <w:szCs w:val="24"/>
          <w:highlight w:val="none"/>
          <w:u w:val="single"/>
          <w:lang w:val="en-US" w:eastAsia="zh-CN"/>
        </w:rPr>
        <w:t>施工招标完成后支付至合同价款的80%，工程竣工验收后支付合同价款的剩余费用（计算基数以施工中标价减去暂列金额、暂估价为准）。如项目因故调整未招标，则以最高投标限价乘以《滁州市关于规范政府和国有资金投资建设工程招标评标基准价的通知》中J值的最大值为计费基数，按照合同价款的50%作为最终结算价。（注：发包人在政府资金调度会批准且发票送达后完成支付）。</w:t>
      </w:r>
    </w:p>
    <w:p w14:paraId="2A90F6C9">
      <w:pPr>
        <w:pStyle w:val="6"/>
        <w:pageBreakBefore w:val="0"/>
        <w:kinsoku/>
        <w:wordWrap/>
        <w:overflowPunct/>
        <w:topLinePunct w:val="0"/>
        <w:bidi w:val="0"/>
        <w:snapToGrid/>
        <w:spacing w:beforeLines="0" w:afterLines="0" w:line="500" w:lineRule="exact"/>
        <w:jc w:val="left"/>
        <w:textAlignment w:val="auto"/>
        <w:rPr>
          <w:rFonts w:hint="eastAsia" w:ascii="宋体" w:hAnsi="宋体" w:eastAsia="宋体" w:cs="宋体"/>
          <w:b w:val="0"/>
          <w:color w:val="auto"/>
          <w:sz w:val="24"/>
          <w:szCs w:val="24"/>
          <w:highlight w:val="none"/>
        </w:rPr>
      </w:pPr>
      <w:bookmarkStart w:id="201" w:name="_Toc407261951"/>
      <w:r>
        <w:rPr>
          <w:rFonts w:hint="eastAsia" w:ascii="宋体" w:hAnsi="宋体" w:eastAsia="宋体" w:cs="宋体"/>
          <w:b w:val="0"/>
          <w:color w:val="auto"/>
          <w:sz w:val="24"/>
          <w:szCs w:val="24"/>
          <w:highlight w:val="none"/>
        </w:rPr>
        <w:t>8. 变更</w:t>
      </w:r>
      <w:bookmarkEnd w:id="201"/>
    </w:p>
    <w:p w14:paraId="35D1A2C9">
      <w:pPr>
        <w:pageBreakBefore w:val="0"/>
        <w:kinsoku/>
        <w:wordWrap/>
        <w:overflowPunct/>
        <w:topLinePunct w:val="0"/>
        <w:bidi w:val="0"/>
        <w:snapToGrid/>
        <w:spacing w:beforeLines="0" w:afterLines="0"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8.1 变更的范围</w:t>
      </w:r>
    </w:p>
    <w:p w14:paraId="64F21B60">
      <w:pPr>
        <w:pageBreakBefore w:val="0"/>
        <w:kinsoku/>
        <w:wordWrap/>
        <w:overflowPunct/>
        <w:topLinePunct w:val="0"/>
        <w:bidi w:val="0"/>
        <w:snapToGrid/>
        <w:spacing w:beforeLines="0" w:afterLines="0" w:line="500" w:lineRule="exact"/>
        <w:ind w:firstLine="6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sz w:val="24"/>
          <w:szCs w:val="24"/>
          <w:highlight w:val="none"/>
        </w:rPr>
        <w:t>变更的其他情形：</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5898997">
      <w:pPr>
        <w:pageBreakBefore w:val="0"/>
        <w:kinsoku/>
        <w:wordWrap/>
        <w:overflowPunct/>
        <w:topLinePunct w:val="0"/>
        <w:bidi w:val="0"/>
        <w:snapToGrid/>
        <w:spacing w:beforeLines="0" w:afterLines="0"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8.2 变更引起的咨询酬金和期限调整</w:t>
      </w:r>
    </w:p>
    <w:p w14:paraId="7DCAB260">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8.2.1 变更引起咨询酬金调整的计算方法: </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C63B523">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变更引起咨询期限调整的计算方法: </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748C2E4">
      <w:pPr>
        <w:pageBreakBefore w:val="0"/>
        <w:kinsoku/>
        <w:wordWrap/>
        <w:overflowPunct/>
        <w:topLinePunct w:val="0"/>
        <w:bidi w:val="0"/>
        <w:snapToGrid/>
        <w:spacing w:beforeLines="0" w:afterLines="0"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8.3 咨询人的合理化建议</w:t>
      </w:r>
    </w:p>
    <w:p w14:paraId="39F9E69D">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合理化建议奖励金额的比率：</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CA08277">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合理化建议奖励的其他计算方法：</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A8905BC">
      <w:pPr>
        <w:pStyle w:val="6"/>
        <w:pageBreakBefore w:val="0"/>
        <w:kinsoku/>
        <w:wordWrap/>
        <w:overflowPunct/>
        <w:topLinePunct w:val="0"/>
        <w:bidi w:val="0"/>
        <w:snapToGrid/>
        <w:spacing w:beforeLines="0" w:afterLines="0" w:line="500" w:lineRule="exact"/>
        <w:jc w:val="left"/>
        <w:textAlignment w:val="auto"/>
        <w:rPr>
          <w:rFonts w:hint="eastAsia" w:ascii="宋体" w:hAnsi="宋体" w:eastAsia="宋体" w:cs="宋体"/>
          <w:b w:val="0"/>
          <w:color w:val="auto"/>
          <w:sz w:val="24"/>
          <w:szCs w:val="24"/>
          <w:highlight w:val="none"/>
        </w:rPr>
      </w:pPr>
      <w:bookmarkStart w:id="202" w:name="_Toc407261952"/>
      <w:r>
        <w:rPr>
          <w:rFonts w:hint="eastAsia" w:ascii="宋体" w:hAnsi="宋体" w:eastAsia="宋体" w:cs="宋体"/>
          <w:b w:val="0"/>
          <w:color w:val="auto"/>
          <w:sz w:val="24"/>
          <w:szCs w:val="24"/>
          <w:highlight w:val="none"/>
        </w:rPr>
        <w:t>9. 违约</w:t>
      </w:r>
      <w:bookmarkEnd w:id="202"/>
    </w:p>
    <w:p w14:paraId="16C80E4C">
      <w:pPr>
        <w:pageBreakBefore w:val="0"/>
        <w:kinsoku/>
        <w:wordWrap/>
        <w:overflowPunct/>
        <w:topLinePunct w:val="0"/>
        <w:bidi w:val="0"/>
        <w:snapToGrid/>
        <w:spacing w:beforeLines="0" w:afterLines="0"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9.1 委托人违约</w:t>
      </w:r>
    </w:p>
    <w:p w14:paraId="64384182">
      <w:pPr>
        <w:pageBreakBefore w:val="0"/>
        <w:kinsoku/>
        <w:wordWrap/>
        <w:overflowPunct/>
        <w:topLinePunct w:val="0"/>
        <w:bidi w:val="0"/>
        <w:snapToGrid/>
        <w:spacing w:before="120" w:beforeLines="0" w:after="120" w:afterLines="0" w:line="5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关于委托人违约解除合同的特别约定：</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w:t>
      </w:r>
    </w:p>
    <w:p w14:paraId="48F570A5">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因委托人违约解除合同的，关于已完咨询业务酬金结算和付款的约定：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F1910F4">
      <w:pPr>
        <w:pageBreakBefore w:val="0"/>
        <w:kinsoku/>
        <w:wordWrap/>
        <w:overflowPunct/>
        <w:topLinePunct w:val="0"/>
        <w:bidi w:val="0"/>
        <w:snapToGrid/>
        <w:spacing w:beforeLines="0" w:afterLines="0"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9.2 咨询人违约</w:t>
      </w:r>
    </w:p>
    <w:p w14:paraId="104B66E7">
      <w:pPr>
        <w:pageBreakBefore w:val="0"/>
        <w:kinsoku/>
        <w:wordWrap/>
        <w:overflowPunct/>
        <w:topLinePunct w:val="0"/>
        <w:bidi w:val="0"/>
        <w:snapToGrid/>
        <w:spacing w:before="120" w:beforeLines="0" w:after="120" w:afterLines="0" w:line="5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关于咨询人违约解除合同的特别约定：</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w:t>
      </w:r>
    </w:p>
    <w:p w14:paraId="2A7A4214">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因咨询人违约解除合同的，关于已完咨询业务酬金结算和付款的约定：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3CFA3439">
      <w:pPr>
        <w:pStyle w:val="6"/>
        <w:pageBreakBefore w:val="0"/>
        <w:kinsoku/>
        <w:wordWrap/>
        <w:overflowPunct/>
        <w:topLinePunct w:val="0"/>
        <w:bidi w:val="0"/>
        <w:snapToGrid/>
        <w:spacing w:beforeLines="0" w:afterLines="0" w:line="500" w:lineRule="exact"/>
        <w:jc w:val="left"/>
        <w:textAlignment w:val="auto"/>
        <w:rPr>
          <w:rFonts w:hint="eastAsia" w:ascii="宋体" w:hAnsi="宋体" w:eastAsia="宋体" w:cs="宋体"/>
          <w:b w:val="0"/>
          <w:color w:val="auto"/>
          <w:sz w:val="24"/>
          <w:szCs w:val="24"/>
          <w:highlight w:val="none"/>
        </w:rPr>
      </w:pPr>
      <w:bookmarkStart w:id="203" w:name="_Toc407261953"/>
      <w:r>
        <w:rPr>
          <w:rFonts w:hint="eastAsia" w:ascii="宋体" w:hAnsi="宋体" w:eastAsia="宋体" w:cs="宋体"/>
          <w:b w:val="0"/>
          <w:color w:val="auto"/>
          <w:sz w:val="24"/>
          <w:szCs w:val="24"/>
          <w:highlight w:val="none"/>
        </w:rPr>
        <w:t>10. 争议解决</w:t>
      </w:r>
      <w:bookmarkEnd w:id="203"/>
    </w:p>
    <w:p w14:paraId="27DF95CD">
      <w:pPr>
        <w:pageBreakBefore w:val="0"/>
        <w:kinsoku/>
        <w:wordWrap/>
        <w:overflowPunct/>
        <w:topLinePunct w:val="0"/>
        <w:bidi w:val="0"/>
        <w:snapToGrid/>
        <w:spacing w:beforeLines="0" w:afterLines="0"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10.3 仲裁或诉讼</w:t>
      </w:r>
    </w:p>
    <w:p w14:paraId="597A863F">
      <w:pPr>
        <w:pageBreakBefore w:val="0"/>
        <w:kinsoku/>
        <w:wordWrap/>
        <w:overflowPunct/>
        <w:topLinePunct w:val="0"/>
        <w:bidi w:val="0"/>
        <w:snapToGrid/>
        <w:spacing w:beforeLines="0" w:after="12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因合同及合同有关事项发生的争议，按下列第</w:t>
      </w:r>
      <w:r>
        <w:rPr>
          <w:rFonts w:hint="eastAsia" w:ascii="宋体" w:hAnsi="宋体" w:eastAsia="宋体" w:cs="宋体"/>
          <w:color w:val="auto"/>
          <w:sz w:val="24"/>
          <w:szCs w:val="24"/>
          <w:highlight w:val="none"/>
          <w:u w:val="single"/>
        </w:rPr>
        <w:t xml:space="preserve"> （1） </w:t>
      </w:r>
      <w:r>
        <w:rPr>
          <w:rFonts w:hint="eastAsia" w:ascii="宋体" w:hAnsi="宋体" w:eastAsia="宋体" w:cs="宋体"/>
          <w:color w:val="auto"/>
          <w:sz w:val="24"/>
          <w:szCs w:val="24"/>
          <w:highlight w:val="none"/>
        </w:rPr>
        <w:t>种方式解决：</w:t>
      </w:r>
    </w:p>
    <w:p w14:paraId="2683F420">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u w:val="single"/>
        </w:rPr>
        <w:t xml:space="preserve">     滁州市        </w:t>
      </w:r>
      <w:r>
        <w:rPr>
          <w:rFonts w:hint="eastAsia" w:ascii="宋体" w:hAnsi="宋体" w:eastAsia="宋体" w:cs="宋体"/>
          <w:color w:val="auto"/>
          <w:sz w:val="24"/>
          <w:szCs w:val="24"/>
          <w:highlight w:val="none"/>
        </w:rPr>
        <w:t>仲裁委员会申请仲裁；</w:t>
      </w:r>
    </w:p>
    <w:p w14:paraId="00B9D8C0">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人民法院起诉。</w:t>
      </w:r>
    </w:p>
    <w:p w14:paraId="48DA52B3">
      <w:pPr>
        <w:pStyle w:val="6"/>
        <w:pageBreakBefore w:val="0"/>
        <w:kinsoku/>
        <w:wordWrap/>
        <w:overflowPunct/>
        <w:topLinePunct w:val="0"/>
        <w:bidi w:val="0"/>
        <w:snapToGrid/>
        <w:spacing w:beforeLines="0" w:afterLines="0" w:line="500" w:lineRule="exact"/>
        <w:jc w:val="left"/>
        <w:textAlignment w:val="auto"/>
        <w:rPr>
          <w:rFonts w:hint="eastAsia" w:ascii="宋体" w:hAnsi="宋体" w:eastAsia="宋体" w:cs="宋体"/>
          <w:b w:val="0"/>
          <w:color w:val="auto"/>
          <w:sz w:val="24"/>
          <w:szCs w:val="24"/>
          <w:highlight w:val="none"/>
        </w:rPr>
      </w:pPr>
      <w:bookmarkStart w:id="204" w:name="_Toc407261954"/>
      <w:r>
        <w:rPr>
          <w:rFonts w:hint="eastAsia" w:ascii="宋体" w:hAnsi="宋体" w:eastAsia="宋体" w:cs="宋体"/>
          <w:b w:val="0"/>
          <w:color w:val="auto"/>
          <w:sz w:val="24"/>
          <w:szCs w:val="24"/>
          <w:highlight w:val="none"/>
        </w:rPr>
        <w:t>11. 补充条款</w:t>
      </w:r>
      <w:bookmarkEnd w:id="204"/>
    </w:p>
    <w:p w14:paraId="6CFE2224">
      <w:pPr>
        <w:pageBreakBefore w:val="0"/>
        <w:widowControl/>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1、严格执行《工程量清单及最高限价编制管理办法》规定。</w:t>
      </w:r>
    </w:p>
    <w:p w14:paraId="1F00AE2D">
      <w:pPr>
        <w:pageBreakBefore w:val="0"/>
        <w:widowControl/>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2、咨询人须为本项目预留足够人员并驻场服务，确保服务质量及不耽误项目建设进度。咨询人中标后须按照委托人要求及时完成工程量清单及最高限价编制，并积极配合委托人开展工程的招投标工作。</w:t>
      </w:r>
    </w:p>
    <w:p w14:paraId="35110F9E">
      <w:pPr>
        <w:pageBreakBefore w:val="0"/>
        <w:widowControl/>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3、工程量清单最高投标限价编制及复核过程中，咨询人应与委托人充分及时沟通，及时踏勘项目现场，以使清单项目特征描述尽可能详尽,满足委托人要求。</w:t>
      </w:r>
    </w:p>
    <w:p w14:paraId="2F7EB75C">
      <w:pPr>
        <w:pageBreakBefore w:val="0"/>
        <w:widowControl/>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4、当完成工程量清单及最高投标限价编制及复核时，投标人根据自己的工作经验向委托人提出有关造价及工作管理等方面的建议性意见。</w:t>
      </w:r>
    </w:p>
    <w:p w14:paraId="4CAC39A4">
      <w:pPr>
        <w:pageBreakBefore w:val="0"/>
        <w:widowControl/>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工程量清单最高投标限价编制严格按照国家、省、市及行业主管部门规定的最新计价规范、办法、政策性调整及现行定额计算，材料价格按滁州市工程造价信息最新一期，对没有的价格参见本市级部分的价格或通过市场询价确定，提供主要材料和设备询价单，咨询品牌不应少于3家。</w:t>
      </w:r>
    </w:p>
    <w:p w14:paraId="7CE35D23">
      <w:pPr>
        <w:pageBreakBefore w:val="0"/>
        <w:widowControl/>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6、委托人安排的其他合理事项，咨询人应予以配合完成；咨询人有错、漏项的必须及时配合补充编制、复审。否则业主有权上报有关主管部门给予处罚。</w:t>
      </w:r>
    </w:p>
    <w:p w14:paraId="68821887">
      <w:pPr>
        <w:pageBreakBefore w:val="0"/>
        <w:widowControl/>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7、根据委托人安排，通知中标单位项目负责人及编制人员到场开会，如有一次不到场，每一次处以5000元违约金。</w:t>
      </w:r>
    </w:p>
    <w:p w14:paraId="1E3E31F8">
      <w:pPr>
        <w:pageBreakBefore w:val="0"/>
        <w:widowControl/>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8、本项目在实施过程中可能存在减少（或增加）楼层导致的编制工作量减少（或增加）时，咨询人须无条件配合工作。</w:t>
      </w:r>
    </w:p>
    <w:p w14:paraId="0F69A945">
      <w:pPr>
        <w:pageBreakBefore w:val="0"/>
        <w:kinsoku/>
        <w:wordWrap/>
        <w:overflowPunct/>
        <w:topLinePunct w:val="0"/>
        <w:bidi w:val="0"/>
        <w:snapToGrid/>
        <w:spacing w:beforeLines="0" w:afterLines="0" w:line="500" w:lineRule="exact"/>
        <w:textAlignment w:val="auto"/>
        <w:rPr>
          <w:rFonts w:hint="eastAsia" w:ascii="仿宋_GB2312" w:hAnsi="仿宋_GB2312" w:eastAsia="仿宋_GB2312" w:cs="仿宋_GB2312"/>
          <w:color w:val="auto"/>
          <w:sz w:val="30"/>
          <w:szCs w:val="30"/>
          <w:highlight w:val="none"/>
        </w:rPr>
      </w:pPr>
    </w:p>
    <w:p w14:paraId="711E9D09">
      <w:pPr>
        <w:pStyle w:val="2"/>
        <w:pageBreakBefore w:val="0"/>
        <w:kinsoku/>
        <w:wordWrap/>
        <w:overflowPunct/>
        <w:topLinePunct w:val="0"/>
        <w:bidi w:val="0"/>
        <w:snapToGrid/>
        <w:spacing w:beforeLines="0" w:afterLines="0" w:line="500" w:lineRule="exact"/>
        <w:textAlignment w:val="auto"/>
        <w:rPr>
          <w:rFonts w:hint="eastAsia" w:ascii="仿宋_GB2312" w:hAnsi="仿宋_GB2312" w:eastAsia="仿宋_GB2312" w:cs="仿宋_GB2312"/>
          <w:color w:val="auto"/>
          <w:sz w:val="30"/>
          <w:szCs w:val="30"/>
          <w:highlight w:val="none"/>
        </w:rPr>
      </w:pPr>
    </w:p>
    <w:p w14:paraId="7261B75D">
      <w:pPr>
        <w:pageBreakBefore w:val="0"/>
        <w:kinsoku/>
        <w:wordWrap/>
        <w:overflowPunct/>
        <w:topLinePunct w:val="0"/>
        <w:bidi w:val="0"/>
        <w:snapToGrid/>
        <w:spacing w:beforeLines="0" w:afterLines="0" w:line="500" w:lineRule="exact"/>
        <w:textAlignment w:val="auto"/>
        <w:rPr>
          <w:rFonts w:hint="eastAsia" w:ascii="仿宋_GB2312" w:hAnsi="仿宋_GB2312" w:eastAsia="仿宋_GB2312" w:cs="仿宋_GB2312"/>
          <w:color w:val="auto"/>
          <w:sz w:val="30"/>
          <w:szCs w:val="30"/>
          <w:highlight w:val="none"/>
        </w:rPr>
      </w:pPr>
    </w:p>
    <w:p w14:paraId="2AF2BF51">
      <w:pPr>
        <w:pStyle w:val="2"/>
        <w:spacing w:beforeLines="0" w:afterLines="0"/>
        <w:rPr>
          <w:rFonts w:hint="eastAsia" w:ascii="仿宋_GB2312" w:hAnsi="仿宋_GB2312" w:eastAsia="仿宋_GB2312" w:cs="仿宋_GB2312"/>
          <w:color w:val="auto"/>
          <w:sz w:val="30"/>
          <w:szCs w:val="30"/>
          <w:highlight w:val="none"/>
        </w:rPr>
      </w:pPr>
    </w:p>
    <w:p w14:paraId="232E2E76">
      <w:pPr>
        <w:spacing w:beforeLines="0" w:afterLines="0"/>
        <w:rPr>
          <w:rFonts w:hint="eastAsia" w:ascii="仿宋_GB2312" w:hAnsi="仿宋_GB2312" w:eastAsia="仿宋_GB2312" w:cs="仿宋_GB2312"/>
          <w:color w:val="auto"/>
          <w:sz w:val="30"/>
          <w:szCs w:val="30"/>
          <w:highlight w:val="none"/>
        </w:rPr>
      </w:pPr>
    </w:p>
    <w:p w14:paraId="6AC15FD6">
      <w:pPr>
        <w:keepNext w:val="0"/>
        <w:keepLines w:val="0"/>
        <w:widowControl w:val="0"/>
        <w:suppressLineNumbers w:val="0"/>
        <w:spacing w:before="0" w:beforeAutospacing="0" w:after="0" w:afterAutospacing="0"/>
        <w:ind w:left="0" w:right="0"/>
        <w:jc w:val="both"/>
        <w:rPr>
          <w:color w:val="auto"/>
          <w:highlight w:val="none"/>
        </w:rPr>
      </w:pPr>
    </w:p>
    <w:p w14:paraId="099B5ADB">
      <w:pPr>
        <w:pStyle w:val="5"/>
        <w:spacing w:before="0" w:after="0"/>
        <w:rPr>
          <w:rFonts w:hint="eastAsia" w:ascii="宋体" w:hAnsi="宋体" w:eastAsia="宋体" w:cs="宋体"/>
          <w:color w:val="auto"/>
          <w:highlight w:val="none"/>
          <w:lang w:val="en-US" w:eastAsia="zh-CN"/>
        </w:rPr>
      </w:pPr>
    </w:p>
    <w:p w14:paraId="164B5F6C">
      <w:pPr>
        <w:rPr>
          <w:rFonts w:hint="eastAsia" w:ascii="宋体" w:hAnsi="宋体" w:eastAsia="宋体" w:cs="宋体"/>
          <w:b/>
          <w:bCs/>
          <w:color w:val="auto"/>
          <w:kern w:val="2"/>
          <w:sz w:val="28"/>
          <w:szCs w:val="28"/>
          <w:highlight w:val="none"/>
        </w:rPr>
      </w:pPr>
      <w:r>
        <w:rPr>
          <w:rFonts w:hint="eastAsia" w:ascii="宋体" w:hAnsi="宋体" w:eastAsia="宋体" w:cs="宋体"/>
          <w:b/>
          <w:bCs/>
          <w:color w:val="auto"/>
          <w:kern w:val="2"/>
          <w:sz w:val="28"/>
          <w:szCs w:val="28"/>
          <w:highlight w:val="none"/>
        </w:rPr>
        <w:br w:type="page"/>
      </w:r>
    </w:p>
    <w:p w14:paraId="092A411A">
      <w:pPr>
        <w:pStyle w:val="2"/>
        <w:widowControl/>
        <w:rPr>
          <w:rFonts w:hint="eastAsia" w:ascii="宋体" w:hAnsi="宋体" w:eastAsia="宋体" w:cs="宋体"/>
          <w:b/>
          <w:bCs/>
          <w:color w:val="auto"/>
          <w:kern w:val="2"/>
          <w:sz w:val="28"/>
          <w:szCs w:val="28"/>
          <w:highlight w:val="none"/>
        </w:rPr>
        <w:sectPr>
          <w:footerReference r:id="rId6" w:type="default"/>
          <w:pgSz w:w="12242" w:h="15842"/>
          <w:pgMar w:top="935" w:right="1106" w:bottom="936" w:left="1259" w:header="680" w:footer="680" w:gutter="0"/>
          <w:pgNumType w:fmt="decimal" w:start="1"/>
          <w:cols w:space="0" w:num="1"/>
          <w:docGrid w:type="lines" w:linePitch="318" w:charSpace="0"/>
        </w:sectPr>
      </w:pPr>
    </w:p>
    <w:p w14:paraId="1BCE9008">
      <w:pPr>
        <w:pStyle w:val="2"/>
        <w:widowControl/>
        <w:rPr>
          <w:rFonts w:hint="eastAsia" w:ascii="宋体" w:hAnsi="宋体" w:eastAsia="宋体" w:cs="宋体"/>
          <w:b/>
          <w:bCs/>
          <w:color w:val="auto"/>
          <w:kern w:val="2"/>
          <w:sz w:val="28"/>
          <w:szCs w:val="28"/>
          <w:highlight w:val="none"/>
        </w:rPr>
      </w:pPr>
      <w:r>
        <w:rPr>
          <w:rFonts w:hint="eastAsia" w:ascii="宋体" w:hAnsi="宋体" w:eastAsia="宋体" w:cs="宋体"/>
          <w:b/>
          <w:bCs/>
          <w:color w:val="auto"/>
          <w:kern w:val="2"/>
          <w:sz w:val="28"/>
          <w:szCs w:val="28"/>
          <w:highlight w:val="none"/>
        </w:rPr>
        <w:t>附表</w:t>
      </w:r>
    </w:p>
    <w:p w14:paraId="1729D2A0">
      <w:pPr>
        <w:jc w:val="right"/>
        <w:rPr>
          <w:rFonts w:hint="default"/>
          <w:color w:val="auto"/>
          <w:highlight w:val="none"/>
        </w:rPr>
      </w:pPr>
      <w:r>
        <w:rPr>
          <w:rFonts w:hint="default"/>
          <w:color w:val="auto"/>
          <w:highlight w:val="none"/>
          <w:lang w:val="en-US" w:eastAsia="zh-CN"/>
        </w:rPr>
        <w:t>费率：‰</w:t>
      </w:r>
    </w:p>
    <w:tbl>
      <w:tblPr>
        <w:tblStyle w:val="45"/>
        <w:tblW w:w="14038" w:type="dxa"/>
        <w:tblInd w:w="1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716"/>
        <w:gridCol w:w="448"/>
        <w:gridCol w:w="1683"/>
        <w:gridCol w:w="755"/>
        <w:gridCol w:w="630"/>
        <w:gridCol w:w="1115"/>
        <w:gridCol w:w="558"/>
        <w:gridCol w:w="537"/>
        <w:gridCol w:w="60"/>
        <w:gridCol w:w="478"/>
        <w:gridCol w:w="72"/>
        <w:gridCol w:w="466"/>
        <w:gridCol w:w="46"/>
        <w:gridCol w:w="492"/>
        <w:gridCol w:w="510"/>
        <w:gridCol w:w="28"/>
        <w:gridCol w:w="516"/>
        <w:gridCol w:w="18"/>
        <w:gridCol w:w="3"/>
        <w:gridCol w:w="681"/>
        <w:gridCol w:w="4226"/>
      </w:tblGrid>
      <w:tr w14:paraId="30FC7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340" w:hRule="atLeast"/>
        </w:trPr>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473F8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序号</w:t>
            </w:r>
          </w:p>
        </w:tc>
        <w:tc>
          <w:tcPr>
            <w:tcW w:w="213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C8900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咨询项目</w:t>
            </w: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2586F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收费</w:t>
            </w:r>
          </w:p>
          <w:p w14:paraId="519CCC0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基础</w:t>
            </w:r>
          </w:p>
        </w:tc>
        <w:tc>
          <w:tcPr>
            <w:tcW w:w="174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A956A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工程类型</w:t>
            </w:r>
          </w:p>
        </w:tc>
        <w:tc>
          <w:tcPr>
            <w:tcW w:w="446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6D4DA1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单位工程金额(万元)</w:t>
            </w:r>
          </w:p>
        </w:tc>
        <w:tc>
          <w:tcPr>
            <w:tcW w:w="4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F050C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服务内容</w:t>
            </w:r>
          </w:p>
        </w:tc>
      </w:tr>
      <w:tr w14:paraId="56C65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atLeast"/>
        </w:trPr>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D4E0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4515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BAF2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03D4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CC3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100</w:t>
            </w:r>
          </w:p>
          <w:p w14:paraId="5FF5FA3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以内</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90BB2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200</w:t>
            </w:r>
          </w:p>
          <w:p w14:paraId="60E3DC4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以内</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C2576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500</w:t>
            </w:r>
          </w:p>
          <w:p w14:paraId="589B5E4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以内</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CD9F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1000</w:t>
            </w:r>
          </w:p>
          <w:p w14:paraId="617628A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以内</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F209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2000</w:t>
            </w:r>
          </w:p>
          <w:p w14:paraId="571DFF4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以内</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ACE2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5000</w:t>
            </w:r>
          </w:p>
          <w:p w14:paraId="3F323D2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以内</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3E314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10000</w:t>
            </w:r>
          </w:p>
          <w:p w14:paraId="43B8438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以内</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C09AB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10000</w:t>
            </w:r>
          </w:p>
          <w:p w14:paraId="03A274B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以上</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D2CA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75B4D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350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一</w:t>
            </w:r>
          </w:p>
        </w:tc>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56AE5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可行性项目投资估算</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143A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估算价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3FEE1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AAD8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44346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C0CD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1.7</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9FEC0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1.5</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962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1.3</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275C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1.1</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2E63F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0.9</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C344F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0.7</w:t>
            </w:r>
          </w:p>
        </w:tc>
        <w:tc>
          <w:tcPr>
            <w:tcW w:w="4226" w:type="dxa"/>
            <w:vMerge w:val="restart"/>
            <w:tcBorders>
              <w:top w:val="nil"/>
              <w:left w:val="single" w:color="000000" w:sz="4" w:space="0"/>
              <w:bottom w:val="single" w:color="000000" w:sz="4" w:space="0"/>
              <w:right w:val="single" w:color="000000" w:sz="4" w:space="0"/>
            </w:tcBorders>
            <w:shd w:val="clear" w:color="auto" w:fill="auto"/>
            <w:vAlign w:val="center"/>
          </w:tcPr>
          <w:p w14:paraId="35B09B1A">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调查、收集资料，完成和出具投资估算或可行性经济评价报告</w:t>
            </w:r>
          </w:p>
        </w:tc>
      </w:tr>
      <w:tr w14:paraId="3F50C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C9E3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二</w:t>
            </w:r>
          </w:p>
        </w:tc>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2EABA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项目经济评价</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94AF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估算价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4337E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6F6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A16D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0693F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1.8</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39370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05FE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CDA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7ACA6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E9170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0.8</w:t>
            </w:r>
          </w:p>
        </w:tc>
        <w:tc>
          <w:tcPr>
            <w:tcW w:w="4226" w:type="dxa"/>
            <w:vMerge w:val="continue"/>
            <w:tcBorders>
              <w:top w:val="nil"/>
              <w:left w:val="single" w:color="000000" w:sz="4" w:space="0"/>
              <w:bottom w:val="single" w:color="000000" w:sz="4" w:space="0"/>
              <w:right w:val="single" w:color="000000" w:sz="4" w:space="0"/>
            </w:tcBorders>
            <w:shd w:val="clear" w:color="auto" w:fill="auto"/>
            <w:vAlign w:val="center"/>
          </w:tcPr>
          <w:p w14:paraId="43CF0BC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61D23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4"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4E0A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三</w:t>
            </w:r>
          </w:p>
        </w:tc>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8627A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工程项目设计概算</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E70B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概算价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519E4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CA7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D4C5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0CA10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2FA44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1.8</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D92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4877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FA067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6959E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F4C6">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收集资料，根据初步设计图计算或复核工程量进行工料分析，出具工程概算书或审核报告</w:t>
            </w:r>
          </w:p>
        </w:tc>
      </w:tr>
      <w:tr w14:paraId="1E1A8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716" w:type="dxa"/>
            <w:vMerge w:val="restart"/>
            <w:tcBorders>
              <w:top w:val="nil"/>
              <w:left w:val="single" w:color="000000" w:sz="4" w:space="0"/>
              <w:bottom w:val="single" w:color="000000" w:sz="4" w:space="0"/>
              <w:right w:val="single" w:color="000000" w:sz="4" w:space="0"/>
            </w:tcBorders>
            <w:shd w:val="clear" w:color="auto" w:fill="auto"/>
            <w:vAlign w:val="center"/>
          </w:tcPr>
          <w:p w14:paraId="65498BF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四</w:t>
            </w:r>
          </w:p>
        </w:tc>
        <w:tc>
          <w:tcPr>
            <w:tcW w:w="448" w:type="dxa"/>
            <w:vMerge w:val="restart"/>
            <w:tcBorders>
              <w:top w:val="nil"/>
              <w:left w:val="single" w:color="000000" w:sz="4" w:space="0"/>
              <w:bottom w:val="single" w:color="000000" w:sz="4" w:space="0"/>
              <w:right w:val="single" w:color="000000" w:sz="4" w:space="0"/>
            </w:tcBorders>
            <w:shd w:val="clear" w:color="auto" w:fill="auto"/>
            <w:vAlign w:val="center"/>
          </w:tcPr>
          <w:p w14:paraId="79F54EA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定</w:t>
            </w:r>
          </w:p>
          <w:p w14:paraId="4083A75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额</w:t>
            </w:r>
          </w:p>
          <w:p w14:paraId="4C934E5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计</w:t>
            </w:r>
          </w:p>
          <w:p w14:paraId="00470BD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价</w:t>
            </w:r>
          </w:p>
        </w:tc>
        <w:tc>
          <w:tcPr>
            <w:tcW w:w="1683" w:type="dxa"/>
            <w:vMerge w:val="restart"/>
            <w:tcBorders>
              <w:top w:val="nil"/>
              <w:left w:val="single" w:color="000000" w:sz="4" w:space="0"/>
              <w:bottom w:val="single" w:color="000000" w:sz="4" w:space="0"/>
              <w:right w:val="single" w:color="000000" w:sz="4" w:space="0"/>
            </w:tcBorders>
            <w:shd w:val="clear" w:color="auto" w:fill="auto"/>
            <w:vAlign w:val="center"/>
          </w:tcPr>
          <w:p w14:paraId="48FB96C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工程预算、结算、标底编制</w:t>
            </w:r>
          </w:p>
        </w:tc>
        <w:tc>
          <w:tcPr>
            <w:tcW w:w="755" w:type="dxa"/>
            <w:vMerge w:val="restart"/>
            <w:tcBorders>
              <w:top w:val="nil"/>
              <w:left w:val="single" w:color="000000" w:sz="4" w:space="0"/>
              <w:bottom w:val="single" w:color="000000" w:sz="4" w:space="0"/>
              <w:right w:val="single" w:color="000000" w:sz="4" w:space="0"/>
            </w:tcBorders>
            <w:shd w:val="clear" w:color="auto" w:fill="auto"/>
            <w:vAlign w:val="center"/>
          </w:tcPr>
          <w:p w14:paraId="6F8195B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工程造价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414B0">
            <w:pPr>
              <w:keepNext w:val="0"/>
              <w:keepLines w:val="0"/>
              <w:widowControl w:val="0"/>
              <w:suppressLineNumbers w:val="0"/>
              <w:adjustRightInd w:val="0"/>
              <w:snapToGrid w:val="0"/>
              <w:spacing w:before="0" w:beforeAutospacing="0" w:after="0" w:afterAutospacing="0"/>
              <w:ind w:left="0" w:right="0" w:firstLine="720" w:firstLineChars="40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建筑工程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1CD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4</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7E7EA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3.6</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E2B92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3.2</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ED311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2.8</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CF21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7C1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2.3</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561C9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2.1</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24AF2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1.9</w:t>
            </w:r>
          </w:p>
        </w:tc>
        <w:tc>
          <w:tcPr>
            <w:tcW w:w="4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9900A8">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收集资料，根据施工图或施工技术规范计算工程量，进行工料分析，</w:t>
            </w:r>
          </w:p>
          <w:p w14:paraId="74C02264">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完成计价，出具工程概算书或工程结算书</w:t>
            </w:r>
          </w:p>
        </w:tc>
      </w:tr>
      <w:tr w14:paraId="1074A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06C2875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567AD91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3408767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4D292F0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EC29D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安装工程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8FE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4.2</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326BB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3.8</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2B510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3.3</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ED373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FDB7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C23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2.4</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DC27F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2.2</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A133A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2.0</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F50C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40D20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716" w:type="dxa"/>
            <w:vMerge w:val="restart"/>
            <w:tcBorders>
              <w:top w:val="nil"/>
              <w:left w:val="single" w:color="000000" w:sz="4" w:space="0"/>
              <w:bottom w:val="single" w:color="000000" w:sz="4" w:space="0"/>
              <w:right w:val="single" w:color="000000" w:sz="4" w:space="0"/>
            </w:tcBorders>
            <w:shd w:val="clear" w:color="auto" w:fill="auto"/>
            <w:vAlign w:val="center"/>
          </w:tcPr>
          <w:p w14:paraId="3A75C7D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五</w:t>
            </w: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03FECA2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restart"/>
            <w:tcBorders>
              <w:top w:val="nil"/>
              <w:left w:val="single" w:color="000000" w:sz="4" w:space="0"/>
              <w:bottom w:val="single" w:color="000000" w:sz="4" w:space="0"/>
              <w:right w:val="single" w:color="000000" w:sz="4" w:space="0"/>
            </w:tcBorders>
            <w:shd w:val="clear" w:color="auto" w:fill="auto"/>
            <w:vAlign w:val="center"/>
          </w:tcPr>
          <w:p w14:paraId="05CFCDC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工程预算、结算、标底审核</w:t>
            </w:r>
          </w:p>
        </w:tc>
        <w:tc>
          <w:tcPr>
            <w:tcW w:w="755" w:type="dxa"/>
            <w:vMerge w:val="restart"/>
            <w:tcBorders>
              <w:top w:val="nil"/>
              <w:left w:val="single" w:color="000000" w:sz="4" w:space="0"/>
              <w:bottom w:val="single" w:color="000000" w:sz="4" w:space="0"/>
              <w:right w:val="single" w:color="000000" w:sz="4" w:space="0"/>
            </w:tcBorders>
            <w:shd w:val="clear" w:color="auto" w:fill="auto"/>
            <w:vAlign w:val="center"/>
          </w:tcPr>
          <w:p w14:paraId="7A98042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工程造价</w:t>
            </w:r>
          </w:p>
        </w:tc>
        <w:tc>
          <w:tcPr>
            <w:tcW w:w="630" w:type="dxa"/>
            <w:vMerge w:val="restart"/>
            <w:tcBorders>
              <w:top w:val="nil"/>
              <w:left w:val="single" w:color="000000" w:sz="4" w:space="0"/>
              <w:bottom w:val="single" w:color="000000" w:sz="4" w:space="0"/>
              <w:right w:val="single" w:color="000000" w:sz="4" w:space="0"/>
            </w:tcBorders>
            <w:shd w:val="clear" w:color="auto" w:fill="auto"/>
            <w:vAlign w:val="center"/>
          </w:tcPr>
          <w:p w14:paraId="137BB55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w:t>
            </w:r>
          </w:p>
          <w:p w14:paraId="26DBE8D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基本收费</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AEE9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建筑工程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B6C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3.0</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0A475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2.6</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28E4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2.1</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FE6E7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A3E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29C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F3CB9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F90A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0.9</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BDB4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1E7E3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38F10DF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6A40640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0269BF4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397DF5B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30" w:type="dxa"/>
            <w:vMerge w:val="continue"/>
            <w:tcBorders>
              <w:top w:val="nil"/>
              <w:left w:val="single" w:color="000000" w:sz="4" w:space="0"/>
              <w:bottom w:val="single" w:color="000000" w:sz="4" w:space="0"/>
              <w:right w:val="single" w:color="000000" w:sz="4" w:space="0"/>
            </w:tcBorders>
            <w:shd w:val="clear" w:color="auto" w:fill="auto"/>
            <w:vAlign w:val="center"/>
          </w:tcPr>
          <w:p w14:paraId="290BF4D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2EA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安装工程</w:t>
            </w:r>
          </w:p>
        </w:tc>
        <w:tc>
          <w:tcPr>
            <w:tcW w:w="558" w:type="dxa"/>
            <w:tcBorders>
              <w:top w:val="single" w:color="000000" w:sz="4" w:space="0"/>
              <w:left w:val="single" w:color="000000" w:sz="4" w:space="0"/>
              <w:bottom w:val="nil"/>
              <w:right w:val="single" w:color="000000" w:sz="4" w:space="0"/>
            </w:tcBorders>
            <w:shd w:val="clear" w:color="auto" w:fill="auto"/>
            <w:vAlign w:val="center"/>
          </w:tcPr>
          <w:p w14:paraId="73CA5D0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3.2</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B6C89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2.8</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F987B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2.3</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F2392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1.8</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7AD0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D36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A78D2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AC4E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16A6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6F716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6A38BAE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09441E6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5CCFDB1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6062091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2D36AE">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(2)审核增减额</w:t>
            </w:r>
          </w:p>
        </w:tc>
        <w:tc>
          <w:tcPr>
            <w:tcW w:w="446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8DFC0C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5%</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49C6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08825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4" w:hRule="atLeast"/>
        </w:trPr>
        <w:tc>
          <w:tcPr>
            <w:tcW w:w="716" w:type="dxa"/>
            <w:vMerge w:val="restart"/>
            <w:tcBorders>
              <w:top w:val="nil"/>
              <w:left w:val="single" w:color="000000" w:sz="4" w:space="0"/>
              <w:bottom w:val="single" w:color="000000" w:sz="4" w:space="0"/>
              <w:right w:val="single" w:color="000000" w:sz="4" w:space="0"/>
            </w:tcBorders>
            <w:shd w:val="clear" w:color="auto" w:fill="auto"/>
            <w:vAlign w:val="center"/>
          </w:tcPr>
          <w:p w14:paraId="2FCBF31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六</w:t>
            </w:r>
          </w:p>
        </w:tc>
        <w:tc>
          <w:tcPr>
            <w:tcW w:w="448" w:type="dxa"/>
            <w:vMerge w:val="restart"/>
            <w:tcBorders>
              <w:top w:val="nil"/>
              <w:left w:val="single" w:color="000000" w:sz="4" w:space="0"/>
              <w:bottom w:val="single" w:color="000000" w:sz="4" w:space="0"/>
              <w:right w:val="single" w:color="000000" w:sz="4" w:space="0"/>
            </w:tcBorders>
            <w:shd w:val="clear" w:color="auto" w:fill="auto"/>
            <w:vAlign w:val="center"/>
          </w:tcPr>
          <w:p w14:paraId="3C8AFFC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清</w:t>
            </w:r>
          </w:p>
          <w:p w14:paraId="05FB0C2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单</w:t>
            </w:r>
          </w:p>
          <w:p w14:paraId="719FD38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计</w:t>
            </w:r>
          </w:p>
          <w:p w14:paraId="0E3B41A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价</w:t>
            </w:r>
          </w:p>
        </w:tc>
        <w:tc>
          <w:tcPr>
            <w:tcW w:w="1683" w:type="dxa"/>
            <w:vMerge w:val="restart"/>
            <w:tcBorders>
              <w:top w:val="nil"/>
              <w:left w:val="single" w:color="000000" w:sz="4" w:space="0"/>
              <w:bottom w:val="single" w:color="000000" w:sz="4" w:space="0"/>
              <w:right w:val="single" w:color="000000" w:sz="4" w:space="0"/>
            </w:tcBorders>
            <w:shd w:val="clear" w:color="auto" w:fill="auto"/>
            <w:vAlign w:val="center"/>
          </w:tcPr>
          <w:p w14:paraId="79AD1D4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工程量清单编制</w:t>
            </w:r>
          </w:p>
        </w:tc>
        <w:tc>
          <w:tcPr>
            <w:tcW w:w="755" w:type="dxa"/>
            <w:vMerge w:val="restart"/>
            <w:tcBorders>
              <w:top w:val="nil"/>
              <w:left w:val="single" w:color="000000" w:sz="4" w:space="0"/>
              <w:bottom w:val="single" w:color="000000" w:sz="4" w:space="0"/>
              <w:right w:val="single" w:color="000000" w:sz="4" w:space="0"/>
            </w:tcBorders>
            <w:shd w:val="clear" w:color="auto" w:fill="auto"/>
            <w:vAlign w:val="center"/>
          </w:tcPr>
          <w:p w14:paraId="68E557C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中标价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7E99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建筑工程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C369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4.8</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71E2C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4.3</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41766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3.8</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8216F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3.4</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A6AF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B618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2.8</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7850C">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2.5</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1FDB69">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2.3</w:t>
            </w:r>
          </w:p>
        </w:tc>
        <w:tc>
          <w:tcPr>
            <w:tcW w:w="4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510497">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color w:val="auto"/>
                <w:kern w:val="2"/>
                <w:sz w:val="18"/>
                <w:szCs w:val="18"/>
                <w:highlight w:val="none"/>
              </w:rPr>
            </w:pPr>
            <w:r>
              <w:rPr>
                <w:rFonts w:hint="default" w:ascii="Times New Roman" w:hAnsi="Times New Roman" w:eastAsia="宋体" w:cs="Times New Roman"/>
                <w:color w:val="auto"/>
                <w:kern w:val="2"/>
                <w:sz w:val="18"/>
                <w:szCs w:val="18"/>
                <w:highlight w:val="none"/>
                <w:lang w:val="en-US" w:eastAsia="zh-CN" w:bidi="ar"/>
              </w:rPr>
              <w:t>1</w:t>
            </w:r>
            <w:r>
              <w:rPr>
                <w:rFonts w:hint="eastAsia" w:ascii="宋体" w:hAnsi="宋体" w:eastAsia="宋体" w:cs="宋体"/>
                <w:color w:val="auto"/>
                <w:kern w:val="2"/>
                <w:sz w:val="18"/>
                <w:szCs w:val="18"/>
                <w:highlight w:val="none"/>
                <w:lang w:val="en-US" w:eastAsia="zh-CN" w:bidi="ar"/>
              </w:rPr>
              <w:t>、工程量清单编制。根据“计价规范”及施工图编制拟建工程的分部分项项目、措施项目、项目编码、项目名称、单位和数量明细清单；</w:t>
            </w:r>
          </w:p>
          <w:p w14:paraId="19D24ECF">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color w:val="auto"/>
                <w:kern w:val="2"/>
                <w:sz w:val="18"/>
                <w:szCs w:val="18"/>
                <w:highlight w:val="none"/>
              </w:rPr>
            </w:pPr>
            <w:r>
              <w:rPr>
                <w:rFonts w:hint="default" w:ascii="Times New Roman" w:hAnsi="Times New Roman" w:eastAsia="宋体" w:cs="Times New Roman"/>
                <w:color w:val="auto"/>
                <w:kern w:val="2"/>
                <w:sz w:val="18"/>
                <w:szCs w:val="18"/>
                <w:highlight w:val="none"/>
                <w:lang w:val="en-US" w:eastAsia="zh-CN" w:bidi="ar"/>
              </w:rPr>
              <w:t>2</w:t>
            </w:r>
            <w:r>
              <w:rPr>
                <w:rFonts w:hint="eastAsia" w:ascii="宋体" w:hAnsi="宋体" w:eastAsia="宋体" w:cs="宋体"/>
                <w:color w:val="auto"/>
                <w:kern w:val="2"/>
                <w:sz w:val="18"/>
                <w:szCs w:val="18"/>
                <w:highlight w:val="none"/>
                <w:lang w:val="en-US" w:eastAsia="zh-CN" w:bidi="ar"/>
              </w:rPr>
              <w:t>、控制价</w:t>
            </w:r>
            <w:r>
              <w:rPr>
                <w:rFonts w:hint="default" w:ascii="Times New Roman" w:hAnsi="Times New Roman" w:eastAsia="宋体" w:cs="Times New Roman"/>
                <w:color w:val="auto"/>
                <w:kern w:val="2"/>
                <w:sz w:val="18"/>
                <w:szCs w:val="18"/>
                <w:highlight w:val="none"/>
                <w:lang w:val="en-US" w:eastAsia="zh-CN" w:bidi="ar"/>
              </w:rPr>
              <w:t>(</w:t>
            </w:r>
            <w:r>
              <w:rPr>
                <w:rFonts w:hint="eastAsia" w:ascii="宋体" w:hAnsi="宋体" w:eastAsia="宋体" w:cs="宋体"/>
                <w:color w:val="auto"/>
                <w:kern w:val="2"/>
                <w:sz w:val="18"/>
                <w:szCs w:val="18"/>
                <w:highlight w:val="none"/>
                <w:lang w:val="en-US" w:eastAsia="zh-CN" w:bidi="ar"/>
              </w:rPr>
              <w:t>标底价</w:t>
            </w:r>
            <w:r>
              <w:rPr>
                <w:rFonts w:hint="default" w:ascii="Times New Roman" w:hAnsi="Times New Roman" w:eastAsia="宋体" w:cs="Times New Roman"/>
                <w:color w:val="auto"/>
                <w:kern w:val="2"/>
                <w:sz w:val="18"/>
                <w:szCs w:val="18"/>
                <w:highlight w:val="none"/>
                <w:lang w:val="en-US" w:eastAsia="zh-CN" w:bidi="ar"/>
              </w:rPr>
              <w:t>)</w:t>
            </w:r>
            <w:r>
              <w:rPr>
                <w:rFonts w:hint="eastAsia" w:ascii="宋体" w:hAnsi="宋体" w:eastAsia="宋体" w:cs="宋体"/>
                <w:color w:val="auto"/>
                <w:kern w:val="2"/>
                <w:sz w:val="18"/>
                <w:szCs w:val="18"/>
                <w:highlight w:val="none"/>
                <w:lang w:val="en-US" w:eastAsia="zh-CN" w:bidi="ar"/>
              </w:rPr>
              <w:t>应根据招标文件及提供的工程量清单，进行分部分项综合单价分析、措施项目分析，各项合价、总价等，完成工程量清单所需的全部费用；</w:t>
            </w:r>
          </w:p>
          <w:p w14:paraId="52A183B1">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color w:val="auto"/>
                <w:kern w:val="2"/>
                <w:sz w:val="18"/>
                <w:szCs w:val="18"/>
                <w:highlight w:val="none"/>
              </w:rPr>
            </w:pPr>
            <w:r>
              <w:rPr>
                <w:rFonts w:hint="default" w:ascii="Times New Roman" w:hAnsi="Times New Roman" w:eastAsia="宋体" w:cs="Times New Roman"/>
                <w:color w:val="auto"/>
                <w:kern w:val="2"/>
                <w:sz w:val="18"/>
                <w:szCs w:val="18"/>
                <w:highlight w:val="none"/>
                <w:lang w:val="en-US" w:eastAsia="zh-CN" w:bidi="ar"/>
              </w:rPr>
              <w:t>3</w:t>
            </w:r>
            <w:r>
              <w:rPr>
                <w:rFonts w:hint="eastAsia" w:ascii="宋体" w:hAnsi="宋体" w:eastAsia="宋体" w:cs="宋体"/>
                <w:color w:val="auto"/>
                <w:kern w:val="2"/>
                <w:sz w:val="18"/>
                <w:szCs w:val="18"/>
                <w:highlight w:val="none"/>
                <w:lang w:val="en-US" w:eastAsia="zh-CN" w:bidi="ar"/>
              </w:rPr>
              <w:t>、工程结算编制，根据合同条款及投标报价、工程实施过程是发生的设计变更、现场签证、设备的价格变化及建筑经济政策的变化行编制；</w:t>
            </w:r>
          </w:p>
          <w:p w14:paraId="592B7445">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18"/>
                <w:szCs w:val="18"/>
                <w:highlight w:val="none"/>
                <w:lang w:val="en-US" w:eastAsia="zh-CN" w:bidi="ar"/>
              </w:rPr>
              <w:t>4</w:t>
            </w:r>
            <w:r>
              <w:rPr>
                <w:rFonts w:hint="eastAsia" w:ascii="宋体" w:hAnsi="宋体" w:eastAsia="宋体" w:cs="宋体"/>
                <w:color w:val="auto"/>
                <w:kern w:val="2"/>
                <w:sz w:val="18"/>
                <w:szCs w:val="18"/>
                <w:highlight w:val="none"/>
                <w:lang w:val="en-US" w:eastAsia="zh-CN" w:bidi="ar"/>
              </w:rPr>
              <w:t>、工程结算审核，可提供的工程结算资料，特别是综合单价的分析、设计变更及经济签证进行真实性、合理性审核；</w:t>
            </w:r>
          </w:p>
        </w:tc>
      </w:tr>
      <w:tr w14:paraId="00442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62EA065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25A4CE9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4663A88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5570575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51646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安装工程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B320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5.0</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A73C7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4.6</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30F82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4.0</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B107F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3.6</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0041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3.1</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52C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2.9</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37A751">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2.6</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EE9A1B">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2.4</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1909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36739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6F90B38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58C7C61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restart"/>
            <w:tcBorders>
              <w:top w:val="nil"/>
              <w:left w:val="single" w:color="000000" w:sz="4" w:space="0"/>
              <w:bottom w:val="single" w:color="000000" w:sz="4" w:space="0"/>
              <w:right w:val="single" w:color="000000" w:sz="4" w:space="0"/>
            </w:tcBorders>
            <w:shd w:val="clear" w:color="auto" w:fill="auto"/>
            <w:vAlign w:val="center"/>
          </w:tcPr>
          <w:p w14:paraId="27392C7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控制价(标底价)</w:t>
            </w:r>
          </w:p>
        </w:tc>
        <w:tc>
          <w:tcPr>
            <w:tcW w:w="755" w:type="dxa"/>
            <w:vMerge w:val="restart"/>
            <w:tcBorders>
              <w:top w:val="nil"/>
              <w:left w:val="single" w:color="000000" w:sz="4" w:space="0"/>
              <w:bottom w:val="single" w:color="000000" w:sz="4" w:space="0"/>
              <w:right w:val="single" w:color="000000" w:sz="4" w:space="0"/>
            </w:tcBorders>
            <w:shd w:val="clear" w:color="auto" w:fill="auto"/>
            <w:vAlign w:val="center"/>
          </w:tcPr>
          <w:p w14:paraId="7487DBF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中标价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31AED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建筑工程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24AD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2.0</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B0A6B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1.8</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36349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E822B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571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1.3</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2E3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28D746">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1.1</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ACCFDE">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3033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66C63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7B7165E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0EA2704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72B7EB8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5D96325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75421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安装工程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8C86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2.1</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448A8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1.9</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5387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1.7</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FB70B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CA2A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F763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1.3</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DC797">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46CB33">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1.1</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34D3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0F519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0B69B96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3474F72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restart"/>
            <w:tcBorders>
              <w:top w:val="nil"/>
              <w:left w:val="single" w:color="000000" w:sz="4" w:space="0"/>
              <w:bottom w:val="single" w:color="000000" w:sz="4" w:space="0"/>
              <w:right w:val="single" w:color="000000" w:sz="4" w:space="0"/>
            </w:tcBorders>
            <w:shd w:val="clear" w:color="auto" w:fill="auto"/>
            <w:vAlign w:val="center"/>
          </w:tcPr>
          <w:p w14:paraId="3B4E1F8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工程结算编制</w:t>
            </w:r>
          </w:p>
        </w:tc>
        <w:tc>
          <w:tcPr>
            <w:tcW w:w="755" w:type="dxa"/>
            <w:vMerge w:val="restart"/>
            <w:tcBorders>
              <w:top w:val="nil"/>
              <w:left w:val="single" w:color="000000" w:sz="4" w:space="0"/>
              <w:bottom w:val="single" w:color="000000" w:sz="4" w:space="0"/>
              <w:right w:val="single" w:color="000000" w:sz="4" w:space="0"/>
            </w:tcBorders>
            <w:shd w:val="clear" w:color="auto" w:fill="auto"/>
            <w:vAlign w:val="center"/>
          </w:tcPr>
          <w:p w14:paraId="78BEF23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工程造价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02F29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建筑工程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2E91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3.0</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BA0CB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2.6</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53293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2.1</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EAE4D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089E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1ED2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2BBE13">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F7D937">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0.9</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D589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1F787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6ACCE42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4B320A7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687958D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67502B2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627C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安装工程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10C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3.2</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A0940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2.8</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544FC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2.3</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98A3A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1.8</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B751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027E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539CD">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8D4678">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8E19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213F2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3F52B75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2D989EB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restart"/>
            <w:tcBorders>
              <w:top w:val="nil"/>
              <w:left w:val="single" w:color="000000" w:sz="4" w:space="0"/>
              <w:bottom w:val="single" w:color="000000" w:sz="4" w:space="0"/>
              <w:right w:val="single" w:color="000000" w:sz="4" w:space="0"/>
            </w:tcBorders>
            <w:shd w:val="clear" w:color="auto" w:fill="auto"/>
            <w:vAlign w:val="center"/>
          </w:tcPr>
          <w:p w14:paraId="1FCDD2A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工程量清单</w:t>
            </w:r>
          </w:p>
          <w:p w14:paraId="5579D26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结算审核</w:t>
            </w:r>
          </w:p>
        </w:tc>
        <w:tc>
          <w:tcPr>
            <w:tcW w:w="755" w:type="dxa"/>
            <w:vMerge w:val="restart"/>
            <w:tcBorders>
              <w:top w:val="nil"/>
              <w:left w:val="single" w:color="000000" w:sz="4" w:space="0"/>
              <w:bottom w:val="single" w:color="000000" w:sz="4" w:space="0"/>
              <w:right w:val="single" w:color="000000" w:sz="4" w:space="0"/>
            </w:tcBorders>
            <w:shd w:val="clear" w:color="auto" w:fill="auto"/>
            <w:vAlign w:val="center"/>
          </w:tcPr>
          <w:p w14:paraId="1C08FB0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送审工程</w:t>
            </w:r>
          </w:p>
          <w:p w14:paraId="1D09196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造价</w:t>
            </w:r>
          </w:p>
        </w:tc>
        <w:tc>
          <w:tcPr>
            <w:tcW w:w="630" w:type="dxa"/>
            <w:vMerge w:val="restart"/>
            <w:tcBorders>
              <w:top w:val="nil"/>
              <w:left w:val="single" w:color="000000" w:sz="4" w:space="0"/>
              <w:bottom w:val="single" w:color="000000" w:sz="4" w:space="0"/>
              <w:right w:val="single" w:color="000000" w:sz="4" w:space="0"/>
            </w:tcBorders>
            <w:shd w:val="clear" w:color="auto" w:fill="auto"/>
            <w:vAlign w:val="center"/>
          </w:tcPr>
          <w:p w14:paraId="7A6FBD6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(1)基本收费</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93D3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建筑工程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53C0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3.4</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DA797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3.1</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2CFEB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2.7</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8E0FA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2.4</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5715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2.1</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F126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1.9</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9829E9">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1.8</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92BEB1">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83F2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33A60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084310D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43F5343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28315B8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6782C7E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30" w:type="dxa"/>
            <w:vMerge w:val="continue"/>
            <w:tcBorders>
              <w:top w:val="nil"/>
              <w:left w:val="single" w:color="000000" w:sz="4" w:space="0"/>
              <w:bottom w:val="single" w:color="000000" w:sz="4" w:space="0"/>
              <w:right w:val="single" w:color="000000" w:sz="4" w:space="0"/>
            </w:tcBorders>
            <w:shd w:val="clear" w:color="auto" w:fill="auto"/>
            <w:vAlign w:val="center"/>
          </w:tcPr>
          <w:p w14:paraId="783339E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4BC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安装工程</w:t>
            </w:r>
          </w:p>
        </w:tc>
        <w:tc>
          <w:tcPr>
            <w:tcW w:w="558" w:type="dxa"/>
            <w:tcBorders>
              <w:top w:val="single" w:color="000000" w:sz="4" w:space="0"/>
              <w:left w:val="single" w:color="000000" w:sz="4" w:space="0"/>
              <w:bottom w:val="nil"/>
              <w:right w:val="single" w:color="000000" w:sz="4" w:space="0"/>
            </w:tcBorders>
            <w:shd w:val="clear" w:color="auto" w:fill="auto"/>
            <w:vAlign w:val="center"/>
          </w:tcPr>
          <w:p w14:paraId="3A40E38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3.6</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E562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3.2</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0B6BD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2.8</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2150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2.6</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359F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2.3</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70C3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2.1</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B1C903">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1.9</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2B1990">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1.8</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DE3A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53BD5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7107B9C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66539B2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2943B1E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2B83A91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DA4589">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(2)审核增减额</w:t>
            </w:r>
          </w:p>
        </w:tc>
        <w:tc>
          <w:tcPr>
            <w:tcW w:w="446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4EA1DF1">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5%</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4E04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44357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716" w:type="dxa"/>
            <w:vMerge w:val="restart"/>
            <w:tcBorders>
              <w:top w:val="nil"/>
              <w:left w:val="single" w:color="000000" w:sz="4" w:space="0"/>
              <w:bottom w:val="single" w:color="000000" w:sz="4" w:space="0"/>
              <w:right w:val="single" w:color="000000" w:sz="4" w:space="0"/>
            </w:tcBorders>
            <w:shd w:val="clear" w:color="auto" w:fill="auto"/>
            <w:vAlign w:val="center"/>
          </w:tcPr>
          <w:p w14:paraId="079DB9C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七</w:t>
            </w:r>
          </w:p>
        </w:tc>
        <w:tc>
          <w:tcPr>
            <w:tcW w:w="2131"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5E9F280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施工阶段全过程工程</w:t>
            </w:r>
          </w:p>
          <w:p w14:paraId="065E48C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造价控制</w:t>
            </w:r>
          </w:p>
        </w:tc>
        <w:tc>
          <w:tcPr>
            <w:tcW w:w="755" w:type="dxa"/>
            <w:vMerge w:val="restart"/>
            <w:tcBorders>
              <w:top w:val="nil"/>
              <w:left w:val="single" w:color="000000" w:sz="4" w:space="0"/>
              <w:bottom w:val="single" w:color="000000" w:sz="4" w:space="0"/>
              <w:right w:val="single" w:color="000000" w:sz="4" w:space="0"/>
            </w:tcBorders>
            <w:shd w:val="clear" w:color="auto" w:fill="auto"/>
            <w:vAlign w:val="center"/>
          </w:tcPr>
          <w:p w14:paraId="568A5D6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工程造价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B6CF7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建筑工程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E78D4D">
            <w:pPr>
              <w:keepNext w:val="0"/>
              <w:keepLines w:val="0"/>
              <w:widowControl w:val="0"/>
              <w:suppressLineNumbers w:val="0"/>
              <w:adjustRightInd w:val="0"/>
              <w:snapToGrid w:val="0"/>
              <w:spacing w:before="0" w:beforeAutospacing="0" w:after="0" w:afterAutospacing="0"/>
              <w:ind w:left="-16" w:leftChars="-51" w:right="0" w:hanging="91" w:hangingChars="51"/>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面议</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FC921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2FAE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9</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5F101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8</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153F0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7</w:t>
            </w:r>
          </w:p>
        </w:tc>
        <w:tc>
          <w:tcPr>
            <w:tcW w:w="5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23AE3C">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6</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06D14">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 xml:space="preserve">5 </w:t>
            </w:r>
          </w:p>
        </w:tc>
        <w:tc>
          <w:tcPr>
            <w:tcW w:w="4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E2EA61">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color w:val="auto"/>
                <w:kern w:val="2"/>
                <w:sz w:val="18"/>
                <w:szCs w:val="18"/>
                <w:highlight w:val="none"/>
              </w:rPr>
            </w:pPr>
            <w:r>
              <w:rPr>
                <w:rFonts w:hint="default" w:ascii="Times New Roman" w:hAnsi="Times New Roman" w:eastAsia="宋体" w:cs="Times New Roman"/>
                <w:color w:val="auto"/>
                <w:kern w:val="2"/>
                <w:sz w:val="18"/>
                <w:szCs w:val="18"/>
                <w:highlight w:val="none"/>
                <w:lang w:val="en-US" w:eastAsia="zh-CN" w:bidi="ar"/>
              </w:rPr>
              <w:t>1</w:t>
            </w:r>
            <w:r>
              <w:rPr>
                <w:rFonts w:hint="eastAsia" w:ascii="宋体" w:hAnsi="宋体" w:eastAsia="宋体" w:cs="宋体"/>
                <w:color w:val="auto"/>
                <w:kern w:val="2"/>
                <w:sz w:val="18"/>
                <w:szCs w:val="18"/>
                <w:highlight w:val="none"/>
                <w:lang w:val="en-US" w:eastAsia="zh-CN" w:bidi="ar"/>
              </w:rPr>
              <w:t>、根据施工承包合同价、进度计划，编制工程用款计划书；</w:t>
            </w:r>
            <w:r>
              <w:rPr>
                <w:rFonts w:hint="default" w:ascii="Times New Roman" w:hAnsi="Times New Roman" w:eastAsia="宋体" w:cs="Times New Roman"/>
                <w:color w:val="auto"/>
                <w:kern w:val="2"/>
                <w:sz w:val="18"/>
                <w:szCs w:val="18"/>
                <w:highlight w:val="none"/>
                <w:lang w:val="en-US" w:eastAsia="zh-CN" w:bidi="ar"/>
              </w:rPr>
              <w:t>2</w:t>
            </w:r>
            <w:r>
              <w:rPr>
                <w:rFonts w:hint="eastAsia" w:ascii="宋体" w:hAnsi="宋体" w:eastAsia="宋体" w:cs="宋体"/>
                <w:color w:val="auto"/>
                <w:kern w:val="2"/>
                <w:sz w:val="18"/>
                <w:szCs w:val="18"/>
                <w:highlight w:val="none"/>
                <w:lang w:val="en-US" w:eastAsia="zh-CN" w:bidi="ar"/>
              </w:rPr>
              <w:t>、参与工程造价控制的有关会议；</w:t>
            </w:r>
            <w:r>
              <w:rPr>
                <w:rFonts w:hint="default" w:ascii="Times New Roman" w:hAnsi="Times New Roman" w:eastAsia="宋体" w:cs="Times New Roman"/>
                <w:color w:val="auto"/>
                <w:kern w:val="2"/>
                <w:sz w:val="18"/>
                <w:szCs w:val="18"/>
                <w:highlight w:val="none"/>
                <w:lang w:val="en-US" w:eastAsia="zh-CN" w:bidi="ar"/>
              </w:rPr>
              <w:t>3</w:t>
            </w:r>
            <w:r>
              <w:rPr>
                <w:rFonts w:hint="eastAsia" w:ascii="宋体" w:hAnsi="宋体" w:eastAsia="宋体" w:cs="宋体"/>
                <w:color w:val="auto"/>
                <w:kern w:val="2"/>
                <w:sz w:val="18"/>
                <w:szCs w:val="18"/>
                <w:highlight w:val="none"/>
                <w:lang w:val="en-US" w:eastAsia="zh-CN" w:bidi="ar"/>
              </w:rPr>
              <w:t>、负责对施工单位上报的已完成工作量月报进行审核，提供当月付款建议书；</w:t>
            </w:r>
            <w:r>
              <w:rPr>
                <w:rFonts w:hint="default" w:ascii="Times New Roman" w:hAnsi="Times New Roman" w:eastAsia="宋体" w:cs="Times New Roman"/>
                <w:color w:val="auto"/>
                <w:kern w:val="2"/>
                <w:sz w:val="18"/>
                <w:szCs w:val="18"/>
                <w:highlight w:val="none"/>
                <w:lang w:val="en-US" w:eastAsia="zh-CN" w:bidi="ar"/>
              </w:rPr>
              <w:t>4</w:t>
            </w:r>
            <w:r>
              <w:rPr>
                <w:rFonts w:hint="eastAsia" w:ascii="宋体" w:hAnsi="宋体" w:eastAsia="宋体" w:cs="宋体"/>
                <w:color w:val="auto"/>
                <w:kern w:val="2"/>
                <w:sz w:val="18"/>
                <w:szCs w:val="18"/>
                <w:highlight w:val="none"/>
                <w:lang w:val="en-US" w:eastAsia="zh-CN" w:bidi="ar"/>
              </w:rPr>
              <w:t>、承、发包双方提出索赔时，为委托方提供咨询意见；</w:t>
            </w:r>
            <w:r>
              <w:rPr>
                <w:rFonts w:hint="default" w:ascii="Times New Roman" w:hAnsi="Times New Roman" w:eastAsia="宋体" w:cs="Times New Roman"/>
                <w:color w:val="auto"/>
                <w:kern w:val="2"/>
                <w:sz w:val="18"/>
                <w:szCs w:val="18"/>
                <w:highlight w:val="none"/>
                <w:lang w:val="en-US" w:eastAsia="zh-CN" w:bidi="ar"/>
              </w:rPr>
              <w:t>5</w:t>
            </w:r>
            <w:r>
              <w:rPr>
                <w:rFonts w:hint="eastAsia" w:ascii="宋体" w:hAnsi="宋体" w:eastAsia="宋体" w:cs="宋体"/>
                <w:color w:val="auto"/>
                <w:kern w:val="2"/>
                <w:sz w:val="18"/>
                <w:szCs w:val="18"/>
                <w:highlight w:val="none"/>
                <w:lang w:val="en-US" w:eastAsia="zh-CN" w:bidi="ar"/>
              </w:rPr>
              <w:t>、协助业主及时审核设计变更、现场签证等发生的费用，调整造价控制目标；</w:t>
            </w:r>
            <w:r>
              <w:rPr>
                <w:rFonts w:hint="default" w:ascii="Times New Roman" w:hAnsi="Times New Roman" w:eastAsia="宋体" w:cs="Times New Roman"/>
                <w:color w:val="auto"/>
                <w:kern w:val="2"/>
                <w:sz w:val="18"/>
                <w:szCs w:val="18"/>
                <w:highlight w:val="none"/>
                <w:lang w:val="en-US" w:eastAsia="zh-CN" w:bidi="ar"/>
              </w:rPr>
              <w:t>6</w:t>
            </w:r>
            <w:r>
              <w:rPr>
                <w:rFonts w:hint="eastAsia" w:ascii="宋体" w:hAnsi="宋体" w:eastAsia="宋体" w:cs="宋体"/>
                <w:color w:val="auto"/>
                <w:kern w:val="2"/>
                <w:sz w:val="18"/>
                <w:szCs w:val="18"/>
                <w:highlight w:val="none"/>
                <w:lang w:val="en-US" w:eastAsia="zh-CN" w:bidi="ar"/>
              </w:rPr>
              <w:t>、及时核定分阶段完工的分部工程结算，提供完整结算报告</w:t>
            </w:r>
          </w:p>
        </w:tc>
      </w:tr>
      <w:tr w14:paraId="1F718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6DC248D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31"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25625B2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128E565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43330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安装工程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E1D90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面议</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B3F71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11</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232DA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51E2E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9</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8B262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8</w:t>
            </w:r>
          </w:p>
        </w:tc>
        <w:tc>
          <w:tcPr>
            <w:tcW w:w="5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3834E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7</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F6F0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6</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678B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1C459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63F6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八</w:t>
            </w:r>
          </w:p>
        </w:tc>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65FDF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钢筋及预埋件计算</w:t>
            </w:r>
          </w:p>
        </w:tc>
        <w:tc>
          <w:tcPr>
            <w:tcW w:w="25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C3C90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446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127AA0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10元/吨</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D561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r>
      <w:tr w14:paraId="1248B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D89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九</w:t>
            </w:r>
          </w:p>
        </w:tc>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28745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工程经济纠纷案件鉴证</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C7A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涉案金额</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18DE5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446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45118C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按涉案金额的10%～3%计算</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C50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调查取证，最终做出具体工程造价鉴证结论报告等工作</w:t>
            </w:r>
          </w:p>
        </w:tc>
      </w:tr>
      <w:tr w14:paraId="0426C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8C5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十</w:t>
            </w:r>
          </w:p>
        </w:tc>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F59F7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计时收费</w:t>
            </w:r>
          </w:p>
        </w:tc>
        <w:tc>
          <w:tcPr>
            <w:tcW w:w="6965"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35C2CD2">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注册造价师为：200元/人小时  造价员为：160元/人小时</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046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r>
    </w:tbl>
    <w:p w14:paraId="70ACDF02">
      <w:pPr>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hint="eastAsia" w:ascii="宋体" w:hAnsi="宋体" w:eastAsia="宋体" w:cs="宋体"/>
          <w:b w:val="0"/>
          <w:bCs w:val="0"/>
          <w:color w:val="auto"/>
          <w:kern w:val="44"/>
          <w:sz w:val="18"/>
          <w:szCs w:val="18"/>
          <w:highlight w:val="none"/>
        </w:rPr>
      </w:pPr>
      <w:r>
        <w:rPr>
          <w:rFonts w:hint="eastAsia" w:ascii="宋体" w:hAnsi="宋体" w:eastAsia="宋体" w:cs="宋体"/>
          <w:b w:val="0"/>
          <w:bCs w:val="0"/>
          <w:color w:val="auto"/>
          <w:kern w:val="44"/>
          <w:sz w:val="18"/>
          <w:szCs w:val="18"/>
          <w:highlight w:val="none"/>
          <w:lang w:val="en-US" w:eastAsia="zh-CN"/>
        </w:rPr>
        <w:t>注：1、表中“工程预算、结算、标底审核”和“工程量清单结算审核”项目的计费方式为（1）+（2）。其中审增额向施工单位收取咨询费，审减额向建设单位收取咨询费。凡工程审减率超过10%的，其超过部分咨询费用由施工单位承担，无审核增减额的，按基本收费收取。咨询服务费一律由委托单位支付。</w:t>
      </w:r>
    </w:p>
    <w:p w14:paraId="31B45571">
      <w:pPr>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hint="eastAsia" w:ascii="宋体" w:hAnsi="宋体" w:eastAsia="宋体" w:cs="宋体"/>
          <w:b w:val="0"/>
          <w:bCs w:val="0"/>
          <w:color w:val="auto"/>
          <w:kern w:val="44"/>
          <w:sz w:val="18"/>
          <w:szCs w:val="18"/>
          <w:highlight w:val="none"/>
        </w:rPr>
      </w:pPr>
      <w:r>
        <w:rPr>
          <w:rFonts w:hint="eastAsia" w:ascii="宋体" w:hAnsi="宋体" w:eastAsia="宋体" w:cs="宋体"/>
          <w:b w:val="0"/>
          <w:bCs w:val="0"/>
          <w:color w:val="auto"/>
          <w:kern w:val="44"/>
          <w:sz w:val="18"/>
          <w:szCs w:val="18"/>
          <w:highlight w:val="none"/>
          <w:lang w:val="en-US" w:eastAsia="zh-CN"/>
        </w:rPr>
        <w:t>2、按基本收费标准不足1000元的，按1000元计费，计时收费按耗用工时计费。</w:t>
      </w:r>
    </w:p>
    <w:p w14:paraId="4087A201">
      <w:pPr>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hint="eastAsia" w:ascii="宋体" w:hAnsi="宋体" w:eastAsia="宋体" w:cs="宋体"/>
          <w:b w:val="0"/>
          <w:bCs w:val="0"/>
          <w:color w:val="auto"/>
          <w:kern w:val="44"/>
          <w:sz w:val="18"/>
          <w:szCs w:val="18"/>
          <w:highlight w:val="none"/>
        </w:rPr>
      </w:pPr>
      <w:r>
        <w:rPr>
          <w:rFonts w:hint="eastAsia" w:ascii="宋体" w:hAnsi="宋体" w:eastAsia="宋体" w:cs="宋体"/>
          <w:b w:val="0"/>
          <w:bCs w:val="0"/>
          <w:color w:val="auto"/>
          <w:kern w:val="44"/>
          <w:sz w:val="18"/>
          <w:szCs w:val="18"/>
          <w:highlight w:val="none"/>
          <w:lang w:val="en-US" w:eastAsia="zh-CN"/>
        </w:rPr>
        <w:t>3、计费基数以单位工程金额计算；合同包干加签证项目，包干价部分应计入计费基数。</w:t>
      </w:r>
    </w:p>
    <w:p w14:paraId="0A514B47">
      <w:pPr>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hint="eastAsia" w:ascii="宋体" w:hAnsi="宋体" w:eastAsia="宋体" w:cs="宋体"/>
          <w:b w:val="0"/>
          <w:bCs w:val="0"/>
          <w:color w:val="auto"/>
          <w:kern w:val="44"/>
          <w:sz w:val="18"/>
          <w:szCs w:val="18"/>
          <w:highlight w:val="none"/>
        </w:rPr>
      </w:pPr>
      <w:r>
        <w:rPr>
          <w:rFonts w:hint="eastAsia" w:ascii="宋体" w:hAnsi="宋体" w:eastAsia="宋体" w:cs="宋体"/>
          <w:b w:val="0"/>
          <w:bCs w:val="0"/>
          <w:color w:val="auto"/>
          <w:kern w:val="44"/>
          <w:sz w:val="18"/>
          <w:szCs w:val="18"/>
          <w:highlight w:val="none"/>
          <w:lang w:val="en-US" w:eastAsia="zh-CN"/>
        </w:rPr>
        <w:t>4、复审是指工程造价咨询单位接受委托，对经承、发包双方确认的工程造价成果文件进行再次审核，其收费率可在初审基础上啬20%。初资审核金额以承包方提交工程造价为准。</w:t>
      </w:r>
    </w:p>
    <w:p w14:paraId="41E518AE">
      <w:pPr>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hint="eastAsia" w:ascii="宋体" w:hAnsi="宋体" w:eastAsia="宋体" w:cs="宋体"/>
          <w:b w:val="0"/>
          <w:bCs w:val="0"/>
          <w:color w:val="auto"/>
          <w:kern w:val="44"/>
          <w:sz w:val="18"/>
          <w:szCs w:val="18"/>
          <w:highlight w:val="none"/>
        </w:rPr>
      </w:pPr>
      <w:r>
        <w:rPr>
          <w:rFonts w:hint="eastAsia" w:ascii="宋体" w:hAnsi="宋体" w:eastAsia="宋体" w:cs="宋体"/>
          <w:b w:val="0"/>
          <w:bCs w:val="0"/>
          <w:color w:val="auto"/>
          <w:kern w:val="44"/>
          <w:sz w:val="18"/>
          <w:szCs w:val="18"/>
          <w:highlight w:val="none"/>
          <w:lang w:val="en-US" w:eastAsia="zh-CN"/>
        </w:rPr>
        <w:t>5、安装工程主材按规定都应列入造价，标底要求不列的，可以扣除但不得减少编制费用。</w:t>
      </w:r>
    </w:p>
    <w:p w14:paraId="2FA09B54">
      <w:pPr>
        <w:spacing w:before="0" w:beforeAutospacing="0" w:after="0" w:afterAutospacing="0"/>
        <w:jc w:val="both"/>
        <w:rPr>
          <w:rFonts w:hint="eastAsia" w:ascii="宋体" w:hAnsi="宋体" w:eastAsia="宋体" w:cs="宋体"/>
          <w:b w:val="0"/>
          <w:bCs w:val="0"/>
          <w:color w:val="auto"/>
          <w:kern w:val="44"/>
          <w:sz w:val="18"/>
          <w:szCs w:val="18"/>
          <w:highlight w:val="none"/>
          <w:lang w:val="en-US" w:eastAsia="zh-CN"/>
        </w:rPr>
      </w:pPr>
      <w:r>
        <w:rPr>
          <w:rFonts w:hint="eastAsia" w:ascii="宋体" w:hAnsi="宋体" w:eastAsia="宋体" w:cs="宋体"/>
          <w:b w:val="0"/>
          <w:bCs w:val="0"/>
          <w:color w:val="auto"/>
          <w:kern w:val="44"/>
          <w:sz w:val="18"/>
          <w:szCs w:val="18"/>
          <w:highlight w:val="none"/>
          <w:lang w:val="en-US" w:eastAsia="zh-CN"/>
        </w:rPr>
        <w:t>6、本收费标准中的“建筑工程”适用建筑工程及配套的装饰工程、安装工程；市政工程等。“安装工程”适用单独安装工程、装饰工程（含二次装饰装修）；房屋修缮；园林绿化及仿古建筑工程等。</w:t>
      </w:r>
    </w:p>
    <w:p w14:paraId="0219B457">
      <w:pPr>
        <w:spacing w:before="0" w:beforeAutospacing="0" w:after="0" w:afterAutospacing="0"/>
        <w:jc w:val="both"/>
        <w:rPr>
          <w:rFonts w:hint="eastAsia" w:ascii="宋体" w:hAnsi="宋体" w:eastAsia="宋体" w:cs="宋体"/>
          <w:b w:val="0"/>
          <w:bCs w:val="0"/>
          <w:color w:val="auto"/>
          <w:kern w:val="44"/>
          <w:sz w:val="18"/>
          <w:szCs w:val="18"/>
          <w:highlight w:val="none"/>
          <w:lang w:val="en-US" w:eastAsia="zh-CN"/>
        </w:rPr>
      </w:pPr>
    </w:p>
    <w:p w14:paraId="671426D6">
      <w:pPr>
        <w:spacing w:before="0" w:beforeAutospacing="0" w:after="0" w:afterAutospacing="0"/>
        <w:jc w:val="both"/>
        <w:rPr>
          <w:rFonts w:hint="eastAsia" w:ascii="宋体" w:hAnsi="宋体" w:eastAsia="宋体" w:cs="宋体"/>
          <w:b w:val="0"/>
          <w:bCs w:val="0"/>
          <w:color w:val="auto"/>
          <w:kern w:val="44"/>
          <w:sz w:val="18"/>
          <w:szCs w:val="18"/>
          <w:highlight w:val="none"/>
          <w:lang w:val="en-US" w:eastAsia="zh-CN"/>
        </w:rPr>
      </w:pPr>
    </w:p>
    <w:p w14:paraId="2AA1313D">
      <w:pPr>
        <w:spacing w:before="0" w:beforeAutospacing="0" w:after="0" w:afterAutospacing="0"/>
        <w:jc w:val="both"/>
        <w:rPr>
          <w:rFonts w:hint="eastAsia" w:ascii="宋体" w:hAnsi="宋体" w:eastAsia="宋体" w:cs="宋体"/>
          <w:b w:val="0"/>
          <w:bCs w:val="0"/>
          <w:color w:val="auto"/>
          <w:kern w:val="44"/>
          <w:sz w:val="18"/>
          <w:szCs w:val="18"/>
          <w:highlight w:val="none"/>
          <w:lang w:val="en-US" w:eastAsia="zh-CN"/>
        </w:rPr>
      </w:pPr>
    </w:p>
    <w:p w14:paraId="7CA0D4B1">
      <w:pPr>
        <w:spacing w:before="0" w:beforeAutospacing="0" w:after="0" w:afterAutospacing="0"/>
        <w:jc w:val="both"/>
        <w:rPr>
          <w:rFonts w:hint="eastAsia" w:ascii="宋体" w:hAnsi="宋体" w:eastAsia="宋体" w:cs="宋体"/>
          <w:b w:val="0"/>
          <w:bCs w:val="0"/>
          <w:color w:val="auto"/>
          <w:kern w:val="44"/>
          <w:sz w:val="18"/>
          <w:szCs w:val="18"/>
          <w:highlight w:val="none"/>
          <w:lang w:val="en-US" w:eastAsia="zh-CN"/>
        </w:rPr>
      </w:pPr>
    </w:p>
    <w:p w14:paraId="197972F7">
      <w:pPr>
        <w:spacing w:before="0" w:beforeAutospacing="0" w:after="0" w:afterAutospacing="0"/>
        <w:jc w:val="both"/>
        <w:rPr>
          <w:rFonts w:hint="eastAsia" w:ascii="宋体" w:hAnsi="宋体" w:eastAsia="宋体" w:cs="宋体"/>
          <w:b w:val="0"/>
          <w:bCs w:val="0"/>
          <w:color w:val="auto"/>
          <w:kern w:val="44"/>
          <w:sz w:val="18"/>
          <w:szCs w:val="18"/>
          <w:highlight w:val="none"/>
        </w:rPr>
        <w:sectPr>
          <w:footerReference r:id="rId7" w:type="default"/>
          <w:pgSz w:w="15840" w:h="12240" w:orient="landscape"/>
          <w:pgMar w:top="1259" w:right="935" w:bottom="1106" w:left="936" w:header="680" w:footer="680" w:gutter="0"/>
          <w:pgNumType w:fmt="decimal"/>
          <w:cols w:space="0" w:num="1"/>
          <w:rtlGutter w:val="0"/>
          <w:docGrid w:type="lines" w:linePitch="318" w:charSpace="0"/>
        </w:sectPr>
      </w:pPr>
    </w:p>
    <w:p w14:paraId="6BCD3E8E">
      <w:pPr>
        <w:pStyle w:val="5"/>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highlight w:val="none"/>
          <w:lang w:val="en-US" w:eastAsia="zh-CN"/>
        </w:rPr>
      </w:pPr>
      <w:bookmarkStart w:id="205" w:name="_Toc30675"/>
      <w:bookmarkStart w:id="206" w:name="_Toc1482"/>
      <w:r>
        <w:rPr>
          <w:rFonts w:hint="eastAsia" w:ascii="宋体" w:hAnsi="宋体" w:eastAsia="宋体" w:cs="宋体"/>
          <w:color w:val="auto"/>
          <w:highlight w:val="none"/>
          <w:lang w:val="en-US" w:eastAsia="zh-CN"/>
        </w:rPr>
        <w:t>第四章 投标文件格式</w:t>
      </w:r>
      <w:bookmarkEnd w:id="205"/>
      <w:bookmarkEnd w:id="206"/>
    </w:p>
    <w:p w14:paraId="2AC451A3">
      <w:pPr>
        <w:jc w:val="center"/>
        <w:rPr>
          <w:rFonts w:hint="eastAsia" w:ascii="宋体" w:hAnsi="宋体" w:eastAsia="宋体" w:cs="宋体"/>
          <w:color w:val="auto"/>
          <w:sz w:val="28"/>
          <w:szCs w:val="28"/>
          <w:highlight w:val="none"/>
          <w:u w:val="single"/>
        </w:rPr>
      </w:pPr>
    </w:p>
    <w:p w14:paraId="16B002C1">
      <w:pPr>
        <w:jc w:val="center"/>
        <w:rPr>
          <w:rFonts w:hint="eastAsia" w:ascii="宋体" w:hAnsi="宋体" w:eastAsia="宋体" w:cs="宋体"/>
          <w:color w:val="auto"/>
          <w:sz w:val="20"/>
          <w:szCs w:val="20"/>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（项目名称）</w:t>
      </w:r>
    </w:p>
    <w:p w14:paraId="2BF899C5">
      <w:pPr>
        <w:jc w:val="center"/>
        <w:rPr>
          <w:rFonts w:hint="eastAsia" w:ascii="宋体" w:hAnsi="宋体" w:eastAsia="宋体" w:cs="宋体"/>
          <w:color w:val="auto"/>
          <w:sz w:val="20"/>
          <w:szCs w:val="20"/>
          <w:highlight w:val="none"/>
        </w:rPr>
      </w:pPr>
    </w:p>
    <w:p w14:paraId="5984FAB0">
      <w:pPr>
        <w:jc w:val="center"/>
        <w:rPr>
          <w:rFonts w:hint="eastAsia" w:ascii="宋体" w:hAnsi="宋体" w:eastAsia="宋体" w:cs="宋体"/>
          <w:color w:val="auto"/>
          <w:sz w:val="20"/>
          <w:szCs w:val="20"/>
          <w:highlight w:val="none"/>
        </w:rPr>
      </w:pPr>
    </w:p>
    <w:p w14:paraId="774E9746">
      <w:pPr>
        <w:jc w:val="center"/>
        <w:rPr>
          <w:rFonts w:hint="eastAsia" w:ascii="宋体" w:hAnsi="宋体" w:eastAsia="宋体" w:cs="宋体"/>
          <w:color w:val="auto"/>
          <w:sz w:val="20"/>
          <w:szCs w:val="20"/>
          <w:highlight w:val="none"/>
        </w:rPr>
      </w:pPr>
    </w:p>
    <w:p w14:paraId="530D7441">
      <w:pPr>
        <w:rPr>
          <w:rFonts w:hint="eastAsia" w:ascii="宋体" w:hAnsi="宋体" w:eastAsia="宋体" w:cs="宋体"/>
          <w:color w:val="auto"/>
          <w:sz w:val="20"/>
          <w:szCs w:val="20"/>
          <w:highlight w:val="none"/>
        </w:rPr>
      </w:pPr>
    </w:p>
    <w:p w14:paraId="00D858C3">
      <w:pPr>
        <w:jc w:val="center"/>
        <w:rPr>
          <w:rFonts w:hint="eastAsia" w:ascii="宋体" w:hAnsi="宋体" w:eastAsia="宋体" w:cs="宋体"/>
          <w:color w:val="auto"/>
          <w:sz w:val="44"/>
          <w:szCs w:val="44"/>
          <w:highlight w:val="none"/>
          <w:lang w:val="en-US" w:eastAsia="zh-CN"/>
        </w:rPr>
      </w:pPr>
      <w:r>
        <w:rPr>
          <w:rFonts w:hint="eastAsia" w:ascii="宋体" w:hAnsi="宋体" w:eastAsia="宋体" w:cs="宋体"/>
          <w:color w:val="auto"/>
          <w:sz w:val="44"/>
          <w:szCs w:val="44"/>
          <w:highlight w:val="none"/>
          <w:lang w:val="en-US" w:eastAsia="zh-CN"/>
        </w:rPr>
        <w:t>投标文件</w:t>
      </w:r>
    </w:p>
    <w:p w14:paraId="28867CFF">
      <w:pPr>
        <w:ind w:firstLine="2880" w:firstLineChars="900"/>
        <w:jc w:val="both"/>
        <w:rPr>
          <w:rFonts w:hint="eastAsia" w:ascii="宋体" w:hAnsi="宋体" w:eastAsia="宋体" w:cs="宋体"/>
          <w:color w:val="auto"/>
          <w:sz w:val="32"/>
          <w:highlight w:val="none"/>
          <w:u w:val="none"/>
          <w:lang w:val="en-US" w:eastAsia="zh-CN"/>
        </w:rPr>
      </w:pPr>
    </w:p>
    <w:p w14:paraId="3D29AF2E">
      <w:pPr>
        <w:ind w:firstLine="2880" w:firstLineChars="900"/>
        <w:jc w:val="both"/>
        <w:rPr>
          <w:rFonts w:hint="default" w:ascii="宋体" w:hAnsi="宋体" w:eastAsia="宋体" w:cs="宋体"/>
          <w:color w:val="auto"/>
          <w:sz w:val="44"/>
          <w:szCs w:val="44"/>
          <w:highlight w:val="none"/>
          <w:u w:val="single"/>
          <w:lang w:val="en-US"/>
        </w:rPr>
      </w:pPr>
      <w:r>
        <w:rPr>
          <w:rFonts w:hint="eastAsia" w:ascii="宋体" w:hAnsi="宋体" w:eastAsia="宋体" w:cs="宋体"/>
          <w:color w:val="auto"/>
          <w:sz w:val="32"/>
          <w:highlight w:val="none"/>
          <w:u w:val="none"/>
          <w:lang w:val="en-US" w:eastAsia="zh-CN"/>
        </w:rPr>
        <w:t>项目编号：</w:t>
      </w:r>
      <w:r>
        <w:rPr>
          <w:rFonts w:hint="eastAsia" w:ascii="宋体" w:hAnsi="宋体" w:cs="宋体"/>
          <w:color w:val="auto"/>
          <w:sz w:val="32"/>
          <w:highlight w:val="none"/>
          <w:u w:val="none"/>
          <w:lang w:val="en-US" w:eastAsia="zh-CN"/>
        </w:rPr>
        <w:t xml:space="preserve">          </w:t>
      </w:r>
    </w:p>
    <w:p w14:paraId="0366733A">
      <w:pPr>
        <w:rPr>
          <w:rFonts w:hint="eastAsia" w:ascii="宋体" w:hAnsi="宋体" w:eastAsia="宋体" w:cs="宋体"/>
          <w:color w:val="auto"/>
          <w:sz w:val="28"/>
          <w:szCs w:val="28"/>
          <w:highlight w:val="none"/>
        </w:rPr>
      </w:pPr>
    </w:p>
    <w:p w14:paraId="51E6DC1B">
      <w:pPr>
        <w:rPr>
          <w:rFonts w:hint="eastAsia" w:ascii="宋体" w:hAnsi="宋体" w:eastAsia="宋体" w:cs="宋体"/>
          <w:color w:val="auto"/>
          <w:sz w:val="28"/>
          <w:szCs w:val="28"/>
          <w:highlight w:val="none"/>
        </w:rPr>
      </w:pPr>
    </w:p>
    <w:p w14:paraId="2A26D9A6">
      <w:pPr>
        <w:rPr>
          <w:rFonts w:hint="eastAsia" w:ascii="宋体" w:hAnsi="宋体" w:eastAsia="宋体" w:cs="宋体"/>
          <w:color w:val="auto"/>
          <w:sz w:val="28"/>
          <w:szCs w:val="28"/>
          <w:highlight w:val="none"/>
        </w:rPr>
      </w:pPr>
    </w:p>
    <w:p w14:paraId="740AB8F5">
      <w:pPr>
        <w:rPr>
          <w:rFonts w:hint="eastAsia" w:ascii="宋体" w:hAnsi="宋体" w:eastAsia="宋体" w:cs="宋体"/>
          <w:color w:val="auto"/>
          <w:sz w:val="28"/>
          <w:szCs w:val="28"/>
          <w:highlight w:val="none"/>
        </w:rPr>
      </w:pPr>
    </w:p>
    <w:p w14:paraId="178B625A">
      <w:pPr>
        <w:rPr>
          <w:rFonts w:hint="eastAsia" w:ascii="宋体" w:hAnsi="宋体" w:eastAsia="宋体" w:cs="宋体"/>
          <w:color w:val="auto"/>
          <w:sz w:val="28"/>
          <w:szCs w:val="28"/>
          <w:highlight w:val="none"/>
        </w:rPr>
      </w:pPr>
    </w:p>
    <w:p w14:paraId="053334BB">
      <w:pPr>
        <w:rPr>
          <w:rFonts w:hint="eastAsia" w:ascii="宋体" w:hAnsi="宋体" w:eastAsia="宋体" w:cs="宋体"/>
          <w:color w:val="auto"/>
          <w:sz w:val="28"/>
          <w:szCs w:val="28"/>
          <w:highlight w:val="none"/>
        </w:rPr>
      </w:pPr>
    </w:p>
    <w:p w14:paraId="4DB35F7F">
      <w:pPr>
        <w:rPr>
          <w:rFonts w:hint="eastAsia" w:ascii="宋体" w:hAnsi="宋体" w:eastAsia="宋体" w:cs="宋体"/>
          <w:color w:val="auto"/>
          <w:sz w:val="28"/>
          <w:szCs w:val="28"/>
          <w:highlight w:val="none"/>
        </w:rPr>
      </w:pPr>
    </w:p>
    <w:p w14:paraId="7EB0B0BD">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color w:val="auto"/>
          <w:sz w:val="28"/>
          <w:szCs w:val="28"/>
          <w:highlight w:val="none"/>
        </w:rPr>
        <w:t>签章</w:t>
      </w:r>
      <w:r>
        <w:rPr>
          <w:rFonts w:hint="eastAsia" w:ascii="宋体" w:hAnsi="宋体" w:eastAsia="宋体" w:cs="宋体"/>
          <w:color w:val="auto"/>
          <w:sz w:val="28"/>
          <w:szCs w:val="28"/>
          <w:highlight w:val="none"/>
        </w:rPr>
        <w:t>）</w:t>
      </w:r>
    </w:p>
    <w:p w14:paraId="699EC1E5">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或委托代理人</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color w:val="auto"/>
          <w:sz w:val="28"/>
          <w:szCs w:val="28"/>
          <w:highlight w:val="none"/>
        </w:rPr>
        <w:t>签章</w:t>
      </w:r>
      <w:r>
        <w:rPr>
          <w:rFonts w:hint="eastAsia" w:ascii="宋体" w:hAnsi="宋体" w:eastAsia="宋体" w:cs="宋体"/>
          <w:color w:val="auto"/>
          <w:sz w:val="28"/>
          <w:szCs w:val="28"/>
          <w:highlight w:val="none"/>
        </w:rPr>
        <w:t>）</w:t>
      </w:r>
    </w:p>
    <w:p w14:paraId="4D73F479">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6FC52725">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6C9FDD6">
      <w:pPr>
        <w:spacing w:line="480" w:lineRule="auto"/>
        <w:ind w:right="980" w:firstLine="602" w:firstLineChars="200"/>
        <w:jc w:val="center"/>
        <w:rPr>
          <w:rFonts w:hint="eastAsia" w:ascii="宋体" w:hAnsi="宋体" w:eastAsia="宋体" w:cs="宋体"/>
          <w:b/>
          <w:bCs/>
          <w:color w:val="auto"/>
          <w:kern w:val="0"/>
          <w:sz w:val="30"/>
          <w:szCs w:val="30"/>
          <w:highlight w:val="none"/>
        </w:rPr>
      </w:pPr>
      <w:r>
        <w:rPr>
          <w:rFonts w:hint="eastAsia" w:ascii="宋体" w:hAnsi="宋体" w:eastAsia="宋体" w:cs="宋体"/>
          <w:b/>
          <w:bCs/>
          <w:color w:val="auto"/>
          <w:kern w:val="0"/>
          <w:sz w:val="30"/>
          <w:szCs w:val="30"/>
          <w:highlight w:val="none"/>
        </w:rPr>
        <w:t>目</w:t>
      </w:r>
      <w:r>
        <w:rPr>
          <w:rFonts w:hint="eastAsia" w:ascii="宋体" w:hAnsi="宋体" w:cs="宋体"/>
          <w:b/>
          <w:bCs/>
          <w:color w:val="auto"/>
          <w:kern w:val="0"/>
          <w:sz w:val="30"/>
          <w:szCs w:val="30"/>
          <w:highlight w:val="none"/>
          <w:lang w:val="en-US" w:eastAsia="zh-CN"/>
        </w:rPr>
        <w:t xml:space="preserve"> </w:t>
      </w:r>
      <w:r>
        <w:rPr>
          <w:rFonts w:hint="eastAsia" w:ascii="宋体" w:hAnsi="宋体" w:eastAsia="宋体" w:cs="宋体"/>
          <w:b/>
          <w:bCs/>
          <w:color w:val="auto"/>
          <w:kern w:val="0"/>
          <w:sz w:val="30"/>
          <w:szCs w:val="30"/>
          <w:highlight w:val="none"/>
        </w:rPr>
        <w:t>录</w:t>
      </w:r>
    </w:p>
    <w:p w14:paraId="10C3E88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（1）法定代表人身份证明文件和本人有效身份证(或法定代表人授权委托书和委托代理人有效身份证)；</w:t>
      </w:r>
    </w:p>
    <w:p w14:paraId="6363B49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（2）企业法人营业执照；</w:t>
      </w:r>
      <w:r>
        <w:rPr>
          <w:rFonts w:hint="eastAsia" w:ascii="宋体" w:hAnsi="宋体" w:cs="宋体"/>
          <w:color w:val="auto"/>
          <w:sz w:val="21"/>
          <w:szCs w:val="21"/>
          <w:highlight w:val="none"/>
          <w:lang w:val="en-US" w:eastAsia="zh-CN"/>
        </w:rPr>
        <w:t xml:space="preserve"> </w:t>
      </w:r>
    </w:p>
    <w:p w14:paraId="728BCB1E">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（3）拟派项目负责人</w:t>
      </w:r>
      <w:r>
        <w:rPr>
          <w:rFonts w:hint="eastAsia" w:ascii="宋体" w:hAnsi="宋体" w:eastAsia="宋体" w:cs="宋体"/>
          <w:color w:val="auto"/>
          <w:sz w:val="21"/>
          <w:szCs w:val="21"/>
          <w:highlight w:val="none"/>
          <w:lang w:val="en-US" w:eastAsia="zh-CN"/>
        </w:rPr>
        <w:t>身份证和</w:t>
      </w:r>
      <w:r>
        <w:rPr>
          <w:rFonts w:hint="eastAsia" w:ascii="宋体" w:hAnsi="宋体" w:eastAsia="宋体" w:cs="宋体"/>
          <w:color w:val="auto"/>
          <w:sz w:val="21"/>
          <w:szCs w:val="21"/>
          <w:highlight w:val="none"/>
        </w:rPr>
        <w:t>注册造价师证书且</w:t>
      </w:r>
      <w:r>
        <w:rPr>
          <w:rFonts w:hint="eastAsia" w:ascii="宋体" w:hAnsi="宋体" w:eastAsia="宋体" w:cs="宋体"/>
          <w:color w:val="auto"/>
          <w:sz w:val="21"/>
          <w:szCs w:val="21"/>
          <w:highlight w:val="none"/>
          <w:lang w:val="en-US" w:eastAsia="zh-CN"/>
        </w:rPr>
        <w:t>证明</w:t>
      </w:r>
      <w:r>
        <w:rPr>
          <w:rFonts w:hint="eastAsia" w:ascii="宋体" w:hAnsi="宋体" w:eastAsia="宋体" w:cs="宋体"/>
          <w:color w:val="auto"/>
          <w:sz w:val="21"/>
          <w:szCs w:val="21"/>
          <w:highlight w:val="none"/>
        </w:rPr>
        <w:t>专业为土木建筑工程</w:t>
      </w:r>
      <w:r>
        <w:rPr>
          <w:rFonts w:hint="eastAsia" w:ascii="宋体" w:hAnsi="宋体" w:eastAsia="宋体" w:cs="宋体"/>
          <w:color w:val="auto"/>
          <w:sz w:val="21"/>
          <w:szCs w:val="21"/>
          <w:highlight w:val="none"/>
          <w:lang w:val="en-US" w:eastAsia="zh-CN"/>
        </w:rPr>
        <w:t>的证明材料</w:t>
      </w:r>
      <w:r>
        <w:rPr>
          <w:rFonts w:hint="eastAsia" w:ascii="宋体" w:hAnsi="宋体" w:cs="宋体"/>
          <w:color w:val="auto"/>
          <w:sz w:val="21"/>
          <w:szCs w:val="21"/>
          <w:highlight w:val="none"/>
          <w:lang w:val="en-US" w:eastAsia="zh-CN"/>
        </w:rPr>
        <w:t xml:space="preserve">； </w:t>
      </w:r>
    </w:p>
    <w:p w14:paraId="096C6DD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val="en-US" w:eastAsia="zh-CN"/>
        </w:rPr>
        <w:t>项目人员配备表；（格式见附件）</w:t>
      </w:r>
    </w:p>
    <w:p w14:paraId="7BC4350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（5）投标人须提供法定代表人（或委托代理人）及拟派的上述项目负责人和项目组成员须持有社保部门出具的本单位为其缴纳的投标前近三个月的养老保险证明</w:t>
      </w:r>
      <w:r>
        <w:rPr>
          <w:rFonts w:hint="eastAsia" w:ascii="宋体" w:hAnsi="宋体" w:eastAsia="宋体" w:cs="宋体"/>
          <w:color w:val="auto"/>
          <w:sz w:val="21"/>
          <w:szCs w:val="21"/>
          <w:highlight w:val="none"/>
          <w:lang w:val="en-US" w:eastAsia="zh-CN"/>
        </w:rPr>
        <w:t>材料；投标人是事业单位的，须其主管部门出具证明（证明文件两个月内有效）；注：若投标人拟派的项目负责人为已退休人员，须同时提供①退休证明材料；②与投标人签订的返聘劳动合同；③项目负责人社保卡所在银行出具的退休工资流水；④银行出具的工资流水和返聘单位出具的工资表（加盖返聘单位公章，现聘用单位（投标人）所发工资）。</w:t>
      </w:r>
    </w:p>
    <w:p w14:paraId="5A4D9BCB">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）投标函</w:t>
      </w:r>
      <w:r>
        <w:rPr>
          <w:rFonts w:hint="eastAsia" w:ascii="宋体" w:hAnsi="宋体" w:eastAsia="宋体" w:cs="宋体"/>
          <w:color w:val="auto"/>
          <w:sz w:val="21"/>
          <w:szCs w:val="21"/>
          <w:highlight w:val="none"/>
        </w:rPr>
        <w:t>；</w:t>
      </w:r>
    </w:p>
    <w:p w14:paraId="51E81979">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投标人认为需要提供的其他材料。</w:t>
      </w:r>
    </w:p>
    <w:p w14:paraId="0CC44DA1">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0AF3D236">
      <w:pPr>
        <w:jc w:val="center"/>
        <w:rPr>
          <w:rFonts w:hint="eastAsia" w:ascii="宋体" w:hAnsi="宋体" w:eastAsia="宋体" w:cs="宋体"/>
          <w:color w:val="auto"/>
          <w:sz w:val="32"/>
          <w:szCs w:val="32"/>
          <w:highlight w:val="none"/>
        </w:rPr>
      </w:pPr>
      <w:r>
        <w:rPr>
          <w:rFonts w:hint="eastAsia" w:ascii="宋体" w:hAnsi="宋体" w:eastAsia="宋体" w:cs="宋体"/>
          <w:b/>
          <w:color w:val="auto"/>
          <w:sz w:val="28"/>
          <w:szCs w:val="28"/>
          <w:highlight w:val="none"/>
        </w:rPr>
        <w:t>法定代表人身份证明或授权委托书</w:t>
      </w:r>
    </w:p>
    <w:p w14:paraId="0E2F3567">
      <w:pPr>
        <w:pStyle w:val="145"/>
        <w:spacing w:beforeLines="100" w:afterLines="100" w:line="480" w:lineRule="exact"/>
        <w:ind w:firstLine="180" w:firstLineChars="75"/>
        <w:rPr>
          <w:rFonts w:hint="eastAsia" w:ascii="宋体" w:hAnsi="宋体" w:eastAsia="宋体" w:cs="宋体"/>
          <w:b/>
          <w:color w:val="auto"/>
          <w:sz w:val="24"/>
          <w:szCs w:val="24"/>
          <w:highlight w:val="none"/>
        </w:rPr>
      </w:pPr>
      <w:bookmarkStart w:id="207" w:name="OLE_LINK13"/>
      <w:r>
        <w:rPr>
          <w:rFonts w:hint="eastAsia" w:ascii="宋体" w:hAnsi="宋体" w:eastAsia="宋体" w:cs="宋体"/>
          <w:color w:val="auto"/>
          <w:sz w:val="24"/>
          <w:szCs w:val="24"/>
          <w:highlight w:val="none"/>
        </w:rPr>
        <w:t>1、法定代表人身份证明</w:t>
      </w:r>
    </w:p>
    <w:p w14:paraId="41F8C1B0">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700D46D">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单位性质：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04F28CA">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B6CFE56">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B928DCD">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438176A">
      <w:pPr>
        <w:spacing w:line="480" w:lineRule="exact"/>
        <w:ind w:firstLine="1440"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40"/>
          <w:sz w:val="24"/>
          <w:szCs w:val="24"/>
          <w:highlight w:val="none"/>
        </w:rPr>
        <w:t>姓</w:t>
      </w:r>
      <w:r>
        <w:rPr>
          <w:rFonts w:hint="eastAsia" w:ascii="宋体" w:hAnsi="宋体" w:eastAsia="宋体" w:cs="宋体"/>
          <w:color w:val="auto"/>
          <w:sz w:val="24"/>
          <w:szCs w:val="24"/>
          <w:highlight w:val="none"/>
        </w:rPr>
        <w:t>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_</w:t>
      </w:r>
    </w:p>
    <w:p w14:paraId="6C8CAD9F">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（投标人名称）的法定代表人。</w:t>
      </w:r>
    </w:p>
    <w:p w14:paraId="3DACF58B">
      <w:pPr>
        <w:spacing w:line="480" w:lineRule="exact"/>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09F19DA4">
      <w:pPr>
        <w:spacing w:line="360" w:lineRule="auto"/>
        <w:ind w:firstLine="3480" w:firstLineChars="1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（签章）</w:t>
      </w:r>
    </w:p>
    <w:p w14:paraId="71183CC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bookmarkEnd w:id="207"/>
    <w:p w14:paraId="24F496D8">
      <w:pPr>
        <w:rPr>
          <w:rFonts w:hint="eastAsia" w:ascii="宋体" w:hAnsi="宋体" w:eastAsia="宋体" w:cs="宋体"/>
          <w:color w:val="auto"/>
          <w:sz w:val="24"/>
          <w:szCs w:val="24"/>
          <w:highlight w:val="none"/>
        </w:rPr>
      </w:pPr>
    </w:p>
    <w:p w14:paraId="1102F2AB">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2、授权委托书</w:t>
      </w:r>
    </w:p>
    <w:p w14:paraId="0864FD2B">
      <w:pPr>
        <w:spacing w:line="480" w:lineRule="auto"/>
        <w:ind w:left="239" w:leftChars="114"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本授权委托书声明：我</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rPr>
        <w:t>系</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（投标人名称）</w:t>
      </w:r>
      <w:r>
        <w:rPr>
          <w:rFonts w:hint="eastAsia" w:ascii="宋体" w:hAnsi="宋体" w:eastAsia="宋体" w:cs="宋体"/>
          <w:color w:val="auto"/>
          <w:sz w:val="24"/>
          <w:szCs w:val="24"/>
          <w:highlight w:val="none"/>
        </w:rPr>
        <w:t>的法定代表人，现授权委托</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rPr>
        <w:t>为我公司法定代表人授权委托代理人，参加</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招标人</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工程的投标活动。代理人在投标、开标、评标、合同谈判过程中所签署的一切文件和处理与之有关的一切事务，我均予以承认。</w:t>
      </w:r>
    </w:p>
    <w:p w14:paraId="3D2F7968">
      <w:pPr>
        <w:spacing w:line="480" w:lineRule="auto"/>
        <w:ind w:firstLine="480" w:firstLineChars="200"/>
        <w:rPr>
          <w:rFonts w:hint="eastAsia" w:ascii="宋体" w:hAnsi="宋体" w:eastAsia="宋体" w:cs="宋体"/>
          <w:color w:val="auto"/>
          <w:sz w:val="24"/>
          <w:szCs w:val="24"/>
          <w:highlight w:val="none"/>
        </w:rPr>
      </w:pPr>
      <w:r>
        <w:rPr>
          <w:rFonts w:hint="eastAsia" w:ascii="宋体"/>
          <w:color w:val="auto"/>
          <w:sz w:val="24"/>
          <w:highlight w:val="none"/>
        </w:rPr>
        <w:t>委托期限：</w:t>
      </w:r>
      <w:r>
        <w:rPr>
          <w:rFonts w:hint="eastAsia" w:ascii="宋体"/>
          <w:color w:val="auto"/>
          <w:sz w:val="24"/>
          <w:highlight w:val="none"/>
          <w:u w:val="single"/>
        </w:rPr>
        <w:t xml:space="preserve">                         </w:t>
      </w:r>
      <w:r>
        <w:rPr>
          <w:rFonts w:hint="eastAsia" w:ascii="宋体"/>
          <w:color w:val="auto"/>
          <w:sz w:val="24"/>
          <w:highlight w:val="none"/>
          <w:lang w:eastAsia="zh-CN"/>
        </w:rPr>
        <w:t>。</w:t>
      </w:r>
    </w:p>
    <w:p w14:paraId="5186FBC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代理人无转委托权，特此委托。</w:t>
      </w:r>
    </w:p>
    <w:p w14:paraId="7ECF78C8">
      <w:pPr>
        <w:spacing w:line="480" w:lineRule="exact"/>
        <w:ind w:firstLine="480" w:firstLineChars="200"/>
        <w:rPr>
          <w:rFonts w:hint="eastAsia" w:ascii="宋体"/>
          <w:color w:val="auto"/>
          <w:sz w:val="24"/>
          <w:highlight w:val="none"/>
        </w:rPr>
      </w:pPr>
      <w:r>
        <w:rPr>
          <w:rFonts w:hint="eastAsia" w:ascii="宋体" w:hAnsi="宋体" w:eastAsia="宋体" w:cs="宋体"/>
          <w:color w:val="auto"/>
          <w:sz w:val="24"/>
          <w:szCs w:val="24"/>
          <w:highlight w:val="none"/>
        </w:rPr>
        <w:t>附：</w:t>
      </w:r>
      <w:r>
        <w:rPr>
          <w:rFonts w:hint="eastAsia" w:ascii="宋体"/>
          <w:color w:val="auto"/>
          <w:sz w:val="24"/>
          <w:highlight w:val="none"/>
        </w:rPr>
        <w:t>授权委托人有效身份证及法定代表人有效身份证</w:t>
      </w:r>
    </w:p>
    <w:p w14:paraId="54CB3CE1">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color w:val="auto"/>
          <w:sz w:val="24"/>
          <w:highlight w:val="none"/>
        </w:rPr>
        <w:t xml:space="preserve">                                    </w:t>
      </w:r>
      <w:r>
        <w:rPr>
          <w:rFonts w:hint="eastAsia" w:ascii="宋体" w:hAnsi="Times New Roman" w:eastAsia="宋体" w:cs="Times New Roman"/>
          <w:color w:val="auto"/>
          <w:sz w:val="24"/>
          <w:highlight w:val="none"/>
        </w:rPr>
        <w:t xml:space="preserve"> 投标人：             （签章）</w:t>
      </w:r>
    </w:p>
    <w:p w14:paraId="2B8D027D">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法定代表人（身份证号码）：             （</w:t>
      </w:r>
      <w:r>
        <w:rPr>
          <w:rFonts w:hint="eastAsia" w:ascii="宋体" w:cs="Times New Roman"/>
          <w:color w:val="auto"/>
          <w:sz w:val="24"/>
          <w:highlight w:val="none"/>
          <w:lang w:val="en-US" w:eastAsia="zh-CN"/>
        </w:rPr>
        <w:t>签字或盖章</w:t>
      </w:r>
      <w:r>
        <w:rPr>
          <w:rFonts w:hint="eastAsia" w:ascii="宋体" w:hAnsi="Times New Roman" w:eastAsia="宋体" w:cs="Times New Roman"/>
          <w:color w:val="auto"/>
          <w:sz w:val="24"/>
          <w:highlight w:val="none"/>
        </w:rPr>
        <w:t>）</w:t>
      </w:r>
    </w:p>
    <w:p w14:paraId="133159AC">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年    月    日</w:t>
      </w:r>
    </w:p>
    <w:p w14:paraId="10F35531">
      <w:pPr>
        <w:spacing w:line="480" w:lineRule="auto"/>
        <w:ind w:right="980" w:firstLine="482" w:firstLineChars="200"/>
        <w:jc w:val="center"/>
        <w:rPr>
          <w:rFonts w:hint="eastAsia" w:ascii="宋体" w:hAnsi="宋体" w:eastAsia="宋体" w:cs="宋体"/>
          <w:b/>
          <w:bCs/>
          <w:color w:val="auto"/>
          <w:kern w:val="0"/>
          <w:sz w:val="24"/>
          <w:szCs w:val="24"/>
          <w:highlight w:val="none"/>
        </w:rPr>
      </w:pPr>
    </w:p>
    <w:p w14:paraId="4C192855">
      <w:pPr>
        <w:rPr>
          <w:rFonts w:hint="eastAsia" w:ascii="宋体" w:hAnsi="宋体" w:eastAsia="宋体" w:cs="宋体"/>
          <w:b/>
          <w:color w:val="auto"/>
          <w:sz w:val="28"/>
          <w:szCs w:val="28"/>
          <w:highlight w:val="none"/>
        </w:rPr>
      </w:pPr>
      <w:r>
        <w:rPr>
          <w:rFonts w:hint="eastAsia" w:ascii="宋体" w:hAnsi="宋体" w:eastAsia="宋体" w:cs="宋体"/>
          <w:b/>
          <w:bCs/>
          <w:color w:val="auto"/>
          <w:kern w:val="0"/>
          <w:sz w:val="30"/>
          <w:szCs w:val="30"/>
          <w:highlight w:val="none"/>
        </w:rPr>
        <w:br w:type="page"/>
      </w:r>
    </w:p>
    <w:p w14:paraId="21FDDC94">
      <w:pPr>
        <w:pStyle w:val="42"/>
        <w:keepNext w:val="0"/>
        <w:keepLines w:val="0"/>
        <w:pageBreakBefore w:val="0"/>
        <w:kinsoku/>
        <w:wordWrap/>
        <w:overflowPunct/>
        <w:topLinePunct w:val="0"/>
        <w:autoSpaceDE/>
        <w:autoSpaceDN/>
        <w:bidi w:val="0"/>
        <w:snapToGrid w:val="0"/>
        <w:spacing w:before="0" w:beforeAutospacing="0" w:after="0" w:afterAutospacing="0" w:line="500" w:lineRule="exact"/>
        <w:jc w:val="center"/>
        <w:textAlignment w:val="auto"/>
        <w:rPr>
          <w:rFonts w:hint="default" w:ascii="宋体" w:hAnsi="宋体" w:eastAsia="宋体" w:cs="宋体"/>
          <w:b/>
          <w:color w:val="auto"/>
          <w:kern w:val="2"/>
          <w:sz w:val="28"/>
          <w:szCs w:val="28"/>
          <w:highlight w:val="none"/>
          <w:lang w:val="en-US" w:eastAsia="zh-CN" w:bidi="ar-SA"/>
        </w:rPr>
      </w:pPr>
      <w:r>
        <w:rPr>
          <w:rFonts w:hint="default" w:ascii="宋体" w:hAnsi="宋体" w:eastAsia="宋体" w:cs="宋体"/>
          <w:b/>
          <w:color w:val="auto"/>
          <w:kern w:val="2"/>
          <w:sz w:val="28"/>
          <w:szCs w:val="28"/>
          <w:highlight w:val="none"/>
          <w:lang w:val="en-US" w:eastAsia="zh-CN" w:bidi="ar-SA"/>
        </w:rPr>
        <w:t>项目人员配备表</w:t>
      </w:r>
    </w:p>
    <w:tbl>
      <w:tblPr>
        <w:tblStyle w:val="46"/>
        <w:tblW w:w="9352" w:type="dxa"/>
        <w:tblInd w:w="1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782"/>
        <w:gridCol w:w="792"/>
        <w:gridCol w:w="1454"/>
        <w:gridCol w:w="2355"/>
        <w:gridCol w:w="1183"/>
        <w:gridCol w:w="1292"/>
      </w:tblGrid>
      <w:tr w14:paraId="4F161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center"/>
          </w:tcPr>
          <w:p w14:paraId="39F5E912">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岗位</w:t>
            </w:r>
          </w:p>
        </w:tc>
        <w:tc>
          <w:tcPr>
            <w:tcW w:w="782" w:type="dxa"/>
            <w:noWrap w:val="0"/>
            <w:vAlign w:val="center"/>
          </w:tcPr>
          <w:p w14:paraId="299851A4">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姓名</w:t>
            </w:r>
          </w:p>
        </w:tc>
        <w:tc>
          <w:tcPr>
            <w:tcW w:w="792" w:type="dxa"/>
            <w:noWrap w:val="0"/>
            <w:vAlign w:val="center"/>
          </w:tcPr>
          <w:p w14:paraId="11BFADFC">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性别</w:t>
            </w:r>
          </w:p>
        </w:tc>
        <w:tc>
          <w:tcPr>
            <w:tcW w:w="1454" w:type="dxa"/>
            <w:noWrap w:val="0"/>
            <w:vAlign w:val="center"/>
          </w:tcPr>
          <w:p w14:paraId="7B59E80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身份证号码</w:t>
            </w:r>
          </w:p>
        </w:tc>
        <w:tc>
          <w:tcPr>
            <w:tcW w:w="2355" w:type="dxa"/>
            <w:noWrap w:val="0"/>
            <w:vAlign w:val="center"/>
          </w:tcPr>
          <w:p w14:paraId="50D228A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注册证书资格等级</w:t>
            </w:r>
          </w:p>
        </w:tc>
        <w:tc>
          <w:tcPr>
            <w:tcW w:w="1183" w:type="dxa"/>
            <w:noWrap w:val="0"/>
            <w:vAlign w:val="top"/>
          </w:tcPr>
          <w:p w14:paraId="2402AD70">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证书编号</w:t>
            </w:r>
          </w:p>
        </w:tc>
        <w:tc>
          <w:tcPr>
            <w:tcW w:w="1292" w:type="dxa"/>
            <w:noWrap w:val="0"/>
            <w:vAlign w:val="center"/>
          </w:tcPr>
          <w:p w14:paraId="5C4A99C1">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w:t>
            </w:r>
          </w:p>
        </w:tc>
      </w:tr>
      <w:tr w14:paraId="7599A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7DAD8EAD">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项目负责人</w:t>
            </w:r>
          </w:p>
        </w:tc>
        <w:tc>
          <w:tcPr>
            <w:tcW w:w="782" w:type="dxa"/>
            <w:noWrap w:val="0"/>
            <w:vAlign w:val="top"/>
          </w:tcPr>
          <w:p w14:paraId="04B14B9B">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04357312">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2B389EA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4CE83D5F">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508E0B94">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0E359D28">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r w14:paraId="5B22A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6499511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项目组成员</w:t>
            </w:r>
          </w:p>
        </w:tc>
        <w:tc>
          <w:tcPr>
            <w:tcW w:w="782" w:type="dxa"/>
            <w:noWrap w:val="0"/>
            <w:vAlign w:val="top"/>
          </w:tcPr>
          <w:p w14:paraId="68959EE2">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3E41E0CB">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014F463F">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3861A870">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5C1F938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0239EAA9">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r w14:paraId="1FEC8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626281E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r>
              <w:rPr>
                <w:rFonts w:hint="eastAsia" w:ascii="宋体" w:hAnsi="宋体" w:eastAsia="宋体" w:cs="宋体"/>
                <w:color w:val="auto"/>
                <w:sz w:val="24"/>
                <w:szCs w:val="24"/>
                <w:highlight w:val="none"/>
                <w:lang w:val="en-US" w:eastAsia="zh-CN"/>
              </w:rPr>
              <w:t>项目组成员</w:t>
            </w:r>
          </w:p>
        </w:tc>
        <w:tc>
          <w:tcPr>
            <w:tcW w:w="782" w:type="dxa"/>
            <w:noWrap w:val="0"/>
            <w:vAlign w:val="top"/>
          </w:tcPr>
          <w:p w14:paraId="7C9B9D84">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113C41BE">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7E8F5D6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523DE6F0">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614F96D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2489B64C">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r w14:paraId="67029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49CD33A1">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782" w:type="dxa"/>
            <w:noWrap w:val="0"/>
            <w:vAlign w:val="top"/>
          </w:tcPr>
          <w:p w14:paraId="46BBC33E">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32E16400">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23E1BBC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17498B7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0B5DA3D2">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75F0B41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bl>
    <w:p w14:paraId="6D79D3F9">
      <w:pPr>
        <w:jc w:val="left"/>
        <w:rPr>
          <w:rFonts w:hint="default" w:ascii="宋体" w:hAnsi="宋体" w:eastAsia="宋体" w:cs="宋体"/>
          <w:color w:val="auto"/>
          <w:sz w:val="28"/>
          <w:szCs w:val="28"/>
          <w:highlight w:val="none"/>
          <w:u w:val="single"/>
          <w:lang w:val="en-US" w:eastAsia="zh-CN"/>
        </w:rPr>
      </w:pPr>
      <w:r>
        <w:rPr>
          <w:rFonts w:hint="eastAsia" w:ascii="宋体" w:hAnsi="宋体" w:cs="宋体"/>
          <w:color w:val="auto"/>
          <w:sz w:val="28"/>
          <w:szCs w:val="28"/>
          <w:highlight w:val="none"/>
          <w:u w:val="single"/>
          <w:lang w:val="en-US" w:eastAsia="zh-CN"/>
        </w:rPr>
        <w:t>附：人员身份证和证书</w:t>
      </w:r>
    </w:p>
    <w:p w14:paraId="01683548">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投标人：             （签章）</w:t>
      </w:r>
    </w:p>
    <w:p w14:paraId="2538AB65">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法定代表人或其委托代理人：             （</w:t>
      </w:r>
      <w:r>
        <w:rPr>
          <w:rFonts w:hint="eastAsia" w:ascii="宋体" w:cs="Times New Roman"/>
          <w:color w:val="auto"/>
          <w:sz w:val="24"/>
          <w:highlight w:val="none"/>
          <w:lang w:val="en-US" w:eastAsia="zh-CN"/>
        </w:rPr>
        <w:t>签字或盖章</w:t>
      </w:r>
      <w:r>
        <w:rPr>
          <w:rFonts w:hint="eastAsia" w:ascii="宋体" w:hAnsi="Times New Roman" w:eastAsia="宋体" w:cs="Times New Roman"/>
          <w:color w:val="auto"/>
          <w:sz w:val="24"/>
          <w:highlight w:val="none"/>
        </w:rPr>
        <w:t>）</w:t>
      </w:r>
    </w:p>
    <w:p w14:paraId="1407EB75">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年    月    日</w:t>
      </w:r>
    </w:p>
    <w:p w14:paraId="30963256">
      <w:pPr>
        <w:jc w:val="center"/>
        <w:rPr>
          <w:rFonts w:hint="eastAsia" w:ascii="宋体" w:hAnsi="宋体" w:eastAsia="宋体" w:cs="宋体"/>
          <w:b/>
          <w:bCs/>
          <w:color w:val="auto"/>
          <w:sz w:val="28"/>
          <w:szCs w:val="28"/>
          <w:highlight w:val="none"/>
        </w:rPr>
      </w:pPr>
    </w:p>
    <w:p w14:paraId="7774A8B9">
      <w:pPr>
        <w:pStyle w:val="2"/>
        <w:rPr>
          <w:rFonts w:hint="eastAsia"/>
          <w:color w:val="auto"/>
          <w:highlight w:val="none"/>
        </w:rPr>
      </w:pPr>
    </w:p>
    <w:p w14:paraId="14A4BCCA">
      <w:pPr>
        <w:jc w:val="center"/>
        <w:rPr>
          <w:rFonts w:hint="eastAsia" w:ascii="宋体" w:hAnsi="宋体" w:eastAsia="宋体" w:cs="宋体"/>
          <w:b/>
          <w:bCs/>
          <w:color w:val="auto"/>
          <w:sz w:val="28"/>
          <w:szCs w:val="28"/>
          <w:highlight w:val="none"/>
        </w:rPr>
      </w:pPr>
    </w:p>
    <w:p w14:paraId="3CCC12D7">
      <w:pPr>
        <w:jc w:val="center"/>
        <w:rPr>
          <w:rFonts w:hint="eastAsia" w:ascii="宋体" w:hAnsi="宋体" w:eastAsia="宋体" w:cs="宋体"/>
          <w:b/>
          <w:bCs/>
          <w:color w:val="auto"/>
          <w:sz w:val="28"/>
          <w:szCs w:val="28"/>
          <w:highlight w:val="none"/>
        </w:rPr>
      </w:pPr>
    </w:p>
    <w:p w14:paraId="5E9002FF">
      <w:pPr>
        <w:jc w:val="center"/>
        <w:rPr>
          <w:rFonts w:hint="eastAsia" w:ascii="宋体" w:hAnsi="宋体" w:eastAsia="宋体" w:cs="宋体"/>
          <w:b/>
          <w:bCs/>
          <w:color w:val="auto"/>
          <w:sz w:val="28"/>
          <w:szCs w:val="28"/>
          <w:highlight w:val="none"/>
        </w:rPr>
      </w:pPr>
    </w:p>
    <w:p w14:paraId="5443CE27">
      <w:pPr>
        <w:jc w:val="center"/>
        <w:rPr>
          <w:rFonts w:hint="eastAsia" w:ascii="宋体" w:hAnsi="宋体" w:eastAsia="宋体" w:cs="宋体"/>
          <w:b/>
          <w:bCs/>
          <w:color w:val="auto"/>
          <w:sz w:val="28"/>
          <w:szCs w:val="28"/>
          <w:highlight w:val="none"/>
        </w:rPr>
      </w:pPr>
    </w:p>
    <w:p w14:paraId="57A6ABA6">
      <w:pPr>
        <w:jc w:val="center"/>
        <w:rPr>
          <w:rFonts w:hint="eastAsia" w:ascii="宋体" w:hAnsi="宋体" w:eastAsia="宋体" w:cs="宋体"/>
          <w:b/>
          <w:bCs/>
          <w:color w:val="auto"/>
          <w:sz w:val="28"/>
          <w:szCs w:val="28"/>
          <w:highlight w:val="none"/>
        </w:rPr>
      </w:pPr>
    </w:p>
    <w:p w14:paraId="41257297">
      <w:pPr>
        <w:jc w:val="center"/>
        <w:rPr>
          <w:rFonts w:hint="eastAsia" w:ascii="宋体" w:hAnsi="宋体" w:eastAsia="宋体" w:cs="宋体"/>
          <w:b/>
          <w:bCs/>
          <w:color w:val="auto"/>
          <w:sz w:val="28"/>
          <w:szCs w:val="28"/>
          <w:highlight w:val="none"/>
        </w:rPr>
      </w:pPr>
    </w:p>
    <w:p w14:paraId="22AD1574">
      <w:pPr>
        <w:jc w:val="center"/>
        <w:rPr>
          <w:rFonts w:hint="eastAsia" w:ascii="宋体" w:hAnsi="宋体" w:eastAsia="宋体" w:cs="宋体"/>
          <w:b/>
          <w:bCs/>
          <w:color w:val="auto"/>
          <w:sz w:val="28"/>
          <w:szCs w:val="28"/>
          <w:highlight w:val="none"/>
        </w:rPr>
      </w:pPr>
    </w:p>
    <w:p w14:paraId="54964737">
      <w:pPr>
        <w:jc w:val="center"/>
        <w:rPr>
          <w:rFonts w:hint="eastAsia" w:ascii="宋体" w:hAnsi="宋体" w:eastAsia="宋体" w:cs="宋体"/>
          <w:b/>
          <w:bCs/>
          <w:color w:val="auto"/>
          <w:sz w:val="28"/>
          <w:szCs w:val="28"/>
          <w:highlight w:val="none"/>
        </w:rPr>
      </w:pPr>
    </w:p>
    <w:p w14:paraId="6B9E4E6B">
      <w:pPr>
        <w:jc w:val="center"/>
        <w:rPr>
          <w:rFonts w:hint="eastAsia" w:ascii="宋体" w:hAnsi="宋体" w:eastAsia="宋体" w:cs="宋体"/>
          <w:b/>
          <w:bCs/>
          <w:color w:val="auto"/>
          <w:sz w:val="28"/>
          <w:szCs w:val="28"/>
          <w:highlight w:val="none"/>
        </w:rPr>
      </w:pPr>
    </w:p>
    <w:p w14:paraId="2FB0BF2A">
      <w:pPr>
        <w:jc w:val="center"/>
        <w:rPr>
          <w:rFonts w:hint="eastAsia" w:ascii="宋体" w:hAnsi="宋体" w:eastAsia="宋体" w:cs="宋体"/>
          <w:b/>
          <w:bCs/>
          <w:color w:val="auto"/>
          <w:sz w:val="28"/>
          <w:szCs w:val="28"/>
          <w:highlight w:val="none"/>
        </w:rPr>
      </w:pPr>
    </w:p>
    <w:p w14:paraId="2908FF31">
      <w:pPr>
        <w:jc w:val="center"/>
        <w:rPr>
          <w:rFonts w:hint="eastAsia" w:ascii="宋体" w:hAnsi="宋体" w:eastAsia="宋体" w:cs="宋体"/>
          <w:b/>
          <w:bCs/>
          <w:color w:val="auto"/>
          <w:sz w:val="28"/>
          <w:szCs w:val="28"/>
          <w:highlight w:val="none"/>
        </w:rPr>
      </w:pPr>
    </w:p>
    <w:p w14:paraId="19883A24">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投 标 函</w:t>
      </w:r>
    </w:p>
    <w:p w14:paraId="462CCDB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color w:val="auto"/>
          <w:szCs w:val="21"/>
          <w:highlight w:val="none"/>
        </w:rPr>
      </w:pPr>
      <w:r>
        <w:rPr>
          <w:rFonts w:hint="eastAsia" w:ascii="宋体"/>
          <w:color w:val="auto"/>
          <w:szCs w:val="21"/>
          <w:highlight w:val="none"/>
        </w:rPr>
        <w:t>致：</w:t>
      </w:r>
      <w:r>
        <w:rPr>
          <w:rFonts w:hint="eastAsia" w:ascii="宋体"/>
          <w:color w:val="auto"/>
          <w:szCs w:val="21"/>
          <w:highlight w:val="none"/>
          <w:u w:val="single"/>
        </w:rPr>
        <w:t xml:space="preserve">      </w:t>
      </w:r>
      <w:r>
        <w:rPr>
          <w:rFonts w:hint="eastAsia" w:ascii="宋体"/>
          <w:color w:val="auto"/>
          <w:szCs w:val="21"/>
          <w:highlight w:val="none"/>
          <w:u w:val="single"/>
          <w:lang w:val="en-US" w:eastAsia="zh-CN"/>
        </w:rPr>
        <w:t xml:space="preserve">      </w:t>
      </w:r>
      <w:r>
        <w:rPr>
          <w:rFonts w:hint="eastAsia" w:ascii="宋体"/>
          <w:color w:val="auto"/>
          <w:szCs w:val="21"/>
          <w:highlight w:val="none"/>
          <w:u w:val="single"/>
        </w:rPr>
        <w:t xml:space="preserve"> (</w:t>
      </w:r>
      <w:r>
        <w:rPr>
          <w:rFonts w:hint="eastAsia" w:ascii="宋体"/>
          <w:color w:val="auto"/>
          <w:szCs w:val="21"/>
          <w:highlight w:val="none"/>
          <w:u w:val="single"/>
          <w:lang w:val="en-US" w:eastAsia="zh-CN"/>
        </w:rPr>
        <w:t>招标</w:t>
      </w:r>
      <w:r>
        <w:rPr>
          <w:rFonts w:hint="eastAsia" w:ascii="宋体"/>
          <w:color w:val="auto"/>
          <w:szCs w:val="21"/>
          <w:highlight w:val="none"/>
          <w:u w:val="single"/>
        </w:rPr>
        <w:t xml:space="preserve">人)       </w:t>
      </w:r>
      <w:r>
        <w:rPr>
          <w:rFonts w:hint="eastAsia" w:ascii="宋体"/>
          <w:color w:val="auto"/>
          <w:szCs w:val="21"/>
          <w:highlight w:val="none"/>
        </w:rPr>
        <w:t xml:space="preserve"> </w:t>
      </w:r>
    </w:p>
    <w:p w14:paraId="27BAC3BA">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color w:val="auto"/>
          <w:szCs w:val="21"/>
          <w:highlight w:val="none"/>
        </w:rPr>
      </w:pPr>
      <w:r>
        <w:rPr>
          <w:rFonts w:hint="eastAsia" w:ascii="宋体"/>
          <w:color w:val="auto"/>
          <w:szCs w:val="21"/>
          <w:highlight w:val="none"/>
        </w:rPr>
        <w:t>1.我们决定参加贵单位组织的“</w:t>
      </w:r>
      <w:r>
        <w:rPr>
          <w:rFonts w:hint="eastAsia" w:ascii="宋体"/>
          <w:color w:val="auto"/>
          <w:szCs w:val="21"/>
          <w:highlight w:val="none"/>
          <w:u w:val="single"/>
        </w:rPr>
        <w:t xml:space="preserve"> （项目名称） </w:t>
      </w:r>
      <w:r>
        <w:rPr>
          <w:rFonts w:hint="eastAsia" w:ascii="宋体"/>
          <w:color w:val="auto"/>
          <w:szCs w:val="21"/>
          <w:highlight w:val="none"/>
          <w:u w:val="single"/>
          <w:lang w:val="en-US" w:eastAsia="zh-CN"/>
        </w:rPr>
        <w:t xml:space="preserve">      </w:t>
      </w:r>
      <w:r>
        <w:rPr>
          <w:rFonts w:hint="eastAsia" w:ascii="宋体"/>
          <w:color w:val="auto"/>
          <w:szCs w:val="21"/>
          <w:highlight w:val="none"/>
          <w:u w:val="single"/>
        </w:rPr>
        <w:t xml:space="preserve">   </w:t>
      </w:r>
      <w:r>
        <w:rPr>
          <w:rFonts w:hint="eastAsia" w:ascii="宋体"/>
          <w:color w:val="auto"/>
          <w:szCs w:val="21"/>
          <w:highlight w:val="none"/>
        </w:rPr>
        <w:t>”的</w:t>
      </w:r>
      <w:r>
        <w:rPr>
          <w:rFonts w:hint="eastAsia" w:ascii="宋体"/>
          <w:color w:val="auto"/>
          <w:szCs w:val="21"/>
          <w:highlight w:val="none"/>
          <w:lang w:val="en-US" w:eastAsia="zh-CN"/>
        </w:rPr>
        <w:t>招标</w:t>
      </w:r>
      <w:r>
        <w:rPr>
          <w:rFonts w:hint="eastAsia" w:ascii="宋体"/>
          <w:color w:val="auto"/>
          <w:szCs w:val="21"/>
          <w:highlight w:val="none"/>
        </w:rPr>
        <w:t xml:space="preserve">。我方授权 </w:t>
      </w:r>
      <w:r>
        <w:rPr>
          <w:rFonts w:hint="eastAsia" w:ascii="宋体"/>
          <w:color w:val="auto"/>
          <w:szCs w:val="21"/>
          <w:highlight w:val="none"/>
          <w:u w:val="single"/>
        </w:rPr>
        <w:t xml:space="preserve">              </w:t>
      </w:r>
      <w:r>
        <w:rPr>
          <w:rFonts w:hint="eastAsia" w:ascii="宋体"/>
          <w:color w:val="auto"/>
          <w:szCs w:val="21"/>
          <w:highlight w:val="none"/>
        </w:rPr>
        <w:t>(姓名和职务)代表我方</w:t>
      </w:r>
      <w:r>
        <w:rPr>
          <w:rFonts w:hint="eastAsia" w:ascii="宋体"/>
          <w:color w:val="auto"/>
          <w:szCs w:val="21"/>
          <w:highlight w:val="none"/>
          <w:u w:val="single"/>
        </w:rPr>
        <w:t xml:space="preserve">               </w:t>
      </w:r>
      <w:r>
        <w:rPr>
          <w:rFonts w:hint="eastAsia" w:ascii="宋体"/>
          <w:color w:val="auto"/>
          <w:szCs w:val="21"/>
          <w:highlight w:val="none"/>
        </w:rPr>
        <w:t>（投标人的名称）全权处理本项目投标的有关事宜。</w:t>
      </w:r>
    </w:p>
    <w:p w14:paraId="247D7B96">
      <w:pPr>
        <w:keepNext w:val="0"/>
        <w:keepLines w:val="0"/>
        <w:pageBreakBefore w:val="0"/>
        <w:widowControl w:val="0"/>
        <w:suppressLineNumbers w:val="0"/>
        <w:kinsoku/>
        <w:wordWrap/>
        <w:overflowPunct/>
        <w:topLinePunct w:val="0"/>
        <w:autoSpaceDE/>
        <w:autoSpaceDN/>
        <w:bidi w:val="0"/>
        <w:adjustRightInd/>
        <w:snapToGrid/>
        <w:spacing w:before="153" w:beforeLines="50" w:beforeAutospacing="0" w:after="0" w:afterAutospacing="0" w:line="560" w:lineRule="exact"/>
        <w:ind w:left="0" w:right="0" w:firstLine="411" w:firstLineChars="196"/>
        <w:jc w:val="left"/>
        <w:textAlignment w:val="auto"/>
        <w:rPr>
          <w:rFonts w:hint="eastAsia" w:ascii="宋体" w:hAnsi="Times New Roman" w:eastAsia="宋体" w:cs="Times New Roman"/>
          <w:color w:val="auto"/>
          <w:szCs w:val="21"/>
          <w:highlight w:val="none"/>
          <w:lang w:val="en-US" w:eastAsia="zh-CN"/>
        </w:rPr>
      </w:pPr>
      <w:r>
        <w:rPr>
          <w:rFonts w:hint="eastAsia" w:ascii="宋体"/>
          <w:color w:val="auto"/>
          <w:szCs w:val="21"/>
          <w:highlight w:val="none"/>
        </w:rPr>
        <w:t>2.我方愿意按照招标文件规定的各项要求，向</w:t>
      </w:r>
      <w:r>
        <w:rPr>
          <w:rFonts w:hint="eastAsia" w:ascii="宋体"/>
          <w:color w:val="auto"/>
          <w:szCs w:val="21"/>
          <w:highlight w:val="none"/>
          <w:lang w:val="en-US" w:eastAsia="zh-CN"/>
        </w:rPr>
        <w:t>招标</w:t>
      </w:r>
      <w:r>
        <w:rPr>
          <w:rFonts w:hint="eastAsia" w:ascii="宋体"/>
          <w:color w:val="auto"/>
          <w:szCs w:val="21"/>
          <w:highlight w:val="none"/>
        </w:rPr>
        <w:t>人提供</w:t>
      </w:r>
      <w:r>
        <w:rPr>
          <w:rFonts w:hint="eastAsia" w:ascii="宋体"/>
          <w:color w:val="auto"/>
          <w:szCs w:val="21"/>
          <w:highlight w:val="none"/>
          <w:lang w:val="en-US" w:eastAsia="zh-CN"/>
        </w:rPr>
        <w:t>本</w:t>
      </w:r>
      <w:r>
        <w:rPr>
          <w:rFonts w:hint="eastAsia" w:ascii="宋体"/>
          <w:color w:val="auto"/>
          <w:szCs w:val="21"/>
          <w:highlight w:val="none"/>
        </w:rPr>
        <w:t>项目的服务，我方报价为</w:t>
      </w:r>
      <w:r>
        <w:rPr>
          <w:rFonts w:hint="eastAsia" w:ascii="宋体"/>
          <w:b/>
          <w:bCs/>
          <w:color w:val="auto"/>
          <w:szCs w:val="21"/>
          <w:highlight w:val="none"/>
          <w:lang w:val="en-US" w:eastAsia="zh-CN"/>
        </w:rPr>
        <w:t>《收费标准》计算费用的</w:t>
      </w:r>
      <w:r>
        <w:rPr>
          <w:rFonts w:hint="eastAsia" w:ascii="宋体"/>
          <w:b/>
          <w:bCs/>
          <w:color w:val="auto"/>
          <w:szCs w:val="21"/>
          <w:highlight w:val="none"/>
          <w:u w:val="single"/>
        </w:rPr>
        <w:t xml:space="preserve">      </w:t>
      </w:r>
      <w:r>
        <w:rPr>
          <w:rFonts w:hint="eastAsia" w:ascii="宋体"/>
          <w:b/>
          <w:bCs/>
          <w:color w:val="auto"/>
          <w:szCs w:val="21"/>
          <w:highlight w:val="none"/>
          <w:lang w:val="en-US" w:eastAsia="zh-CN"/>
        </w:rPr>
        <w:t>％</w:t>
      </w:r>
      <w:r>
        <w:rPr>
          <w:rFonts w:hint="eastAsia" w:ascii="宋体"/>
          <w:b/>
          <w:bCs/>
          <w:color w:val="auto"/>
          <w:szCs w:val="21"/>
          <w:highlight w:val="none"/>
        </w:rPr>
        <w:t>。</w:t>
      </w:r>
      <w:r>
        <w:rPr>
          <w:rFonts w:hint="eastAsia" w:ascii="宋体"/>
          <w:color w:val="auto"/>
          <w:szCs w:val="21"/>
          <w:highlight w:val="none"/>
        </w:rPr>
        <w:t>项目负责人为</w:t>
      </w:r>
      <w:r>
        <w:rPr>
          <w:rFonts w:hint="eastAsia" w:ascii="宋体"/>
          <w:color w:val="auto"/>
          <w:szCs w:val="21"/>
          <w:highlight w:val="none"/>
          <w:u w:val="single"/>
        </w:rPr>
        <w:t xml:space="preserve">       </w:t>
      </w:r>
      <w:r>
        <w:rPr>
          <w:rFonts w:hint="eastAsia" w:ascii="宋体"/>
          <w:color w:val="auto"/>
          <w:szCs w:val="21"/>
          <w:highlight w:val="none"/>
        </w:rPr>
        <w:t>，</w:t>
      </w:r>
      <w:r>
        <w:rPr>
          <w:rFonts w:hint="eastAsia" w:ascii="宋体" w:hAnsi="Times New Roman" w:eastAsia="宋体" w:cs="Times New Roman"/>
          <w:color w:val="auto"/>
          <w:szCs w:val="21"/>
          <w:highlight w:val="none"/>
        </w:rPr>
        <w:t>服务期：</w:t>
      </w:r>
      <w:r>
        <w:rPr>
          <w:rFonts w:hint="eastAsia" w:ascii="宋体" w:hAnsi="Times New Roman" w:eastAsia="宋体" w:cs="Times New Roman"/>
          <w:color w:val="auto"/>
          <w:szCs w:val="21"/>
          <w:highlight w:val="none"/>
          <w:lang w:val="en-US" w:eastAsia="zh-CN"/>
        </w:rPr>
        <w:t>领取图纸之日起</w:t>
      </w:r>
      <w:r>
        <w:rPr>
          <w:rFonts w:hint="eastAsia" w:ascii="宋体" w:hAnsi="Times New Roman" w:eastAsia="宋体" w:cs="Times New Roman"/>
          <w:color w:val="auto"/>
          <w:szCs w:val="21"/>
          <w:highlight w:val="none"/>
          <w:u w:val="single"/>
          <w:lang w:val="en-US" w:eastAsia="zh-CN"/>
        </w:rPr>
        <w:t xml:space="preserve">   </w:t>
      </w:r>
      <w:r>
        <w:rPr>
          <w:rFonts w:hint="eastAsia" w:ascii="宋体" w:hAnsi="Times New Roman" w:eastAsia="宋体" w:cs="Times New Roman"/>
          <w:color w:val="auto"/>
          <w:szCs w:val="21"/>
          <w:highlight w:val="none"/>
          <w:lang w:val="en-US" w:eastAsia="zh-CN"/>
        </w:rPr>
        <w:t>日内完成工程量清单和最高投标限价的编制及备案工作。</w:t>
      </w:r>
    </w:p>
    <w:p w14:paraId="4BC742CB">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3.本项目投标有效期为</w:t>
      </w:r>
      <w:r>
        <w:rPr>
          <w:rFonts w:hint="eastAsia" w:ascii="宋体" w:hAnsi="Times New Roman" w:eastAsia="宋体" w:cs="Times New Roman"/>
          <w:color w:val="auto"/>
          <w:szCs w:val="21"/>
          <w:highlight w:val="none"/>
          <w:u w:val="single"/>
        </w:rPr>
        <w:t xml:space="preserve">  </w:t>
      </w:r>
      <w:r>
        <w:rPr>
          <w:rFonts w:hint="eastAsia" w:ascii="宋体" w:cs="Times New Roman"/>
          <w:color w:val="auto"/>
          <w:szCs w:val="21"/>
          <w:highlight w:val="none"/>
          <w:u w:val="single"/>
          <w:lang w:val="en-US" w:eastAsia="zh-CN"/>
        </w:rPr>
        <w:t xml:space="preserve"> 60 </w:t>
      </w:r>
      <w:r>
        <w:rPr>
          <w:rFonts w:hint="eastAsia" w:ascii="宋体" w:hAnsi="Times New Roman" w:eastAsia="宋体" w:cs="Times New Roman"/>
          <w:color w:val="auto"/>
          <w:szCs w:val="21"/>
          <w:highlight w:val="none"/>
          <w:u w:val="single"/>
        </w:rPr>
        <w:t xml:space="preserve"> </w:t>
      </w:r>
      <w:r>
        <w:rPr>
          <w:rFonts w:hint="eastAsia" w:ascii="宋体" w:hAnsi="Times New Roman" w:eastAsia="宋体" w:cs="Times New Roman"/>
          <w:color w:val="auto"/>
          <w:szCs w:val="21"/>
          <w:highlight w:val="none"/>
        </w:rPr>
        <w:t xml:space="preserve"> 日历天（从投标截止之日算起）。</w:t>
      </w:r>
    </w:p>
    <w:p w14:paraId="5F326992">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color w:val="auto"/>
          <w:szCs w:val="21"/>
          <w:highlight w:val="none"/>
        </w:rPr>
      </w:pPr>
      <w:r>
        <w:rPr>
          <w:rFonts w:hint="eastAsia" w:ascii="宋体"/>
          <w:color w:val="auto"/>
          <w:szCs w:val="21"/>
          <w:highlight w:val="none"/>
        </w:rPr>
        <w:t>4.一旦我方成为合同签字人，我方将严格履行合同规定的责任和义务。</w:t>
      </w:r>
    </w:p>
    <w:p w14:paraId="204B7EC7">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color w:val="auto"/>
          <w:szCs w:val="21"/>
          <w:highlight w:val="none"/>
        </w:rPr>
      </w:pPr>
      <w:r>
        <w:rPr>
          <w:rFonts w:hint="eastAsia" w:ascii="宋体"/>
          <w:color w:val="auto"/>
          <w:szCs w:val="21"/>
          <w:highlight w:val="none"/>
          <w:lang w:val="en-US" w:eastAsia="zh-CN"/>
        </w:rPr>
        <w:t>5</w:t>
      </w:r>
      <w:r>
        <w:rPr>
          <w:rFonts w:hint="eastAsia" w:ascii="宋体"/>
          <w:color w:val="auto"/>
          <w:szCs w:val="21"/>
          <w:highlight w:val="none"/>
        </w:rPr>
        <w:t>.若我方中标，愿意为本项目提交的纸质投标文件一式</w:t>
      </w:r>
      <w:r>
        <w:rPr>
          <w:rFonts w:hint="eastAsia" w:ascii="宋体"/>
          <w:color w:val="auto"/>
          <w:szCs w:val="21"/>
          <w:highlight w:val="none"/>
          <w:lang w:val="en-US" w:eastAsia="zh-CN"/>
        </w:rPr>
        <w:t>二</w:t>
      </w:r>
      <w:r>
        <w:rPr>
          <w:rFonts w:hint="eastAsia" w:ascii="宋体"/>
          <w:color w:val="auto"/>
          <w:szCs w:val="21"/>
          <w:highlight w:val="none"/>
        </w:rPr>
        <w:t>份，其中正本一份、副本</w:t>
      </w:r>
      <w:r>
        <w:rPr>
          <w:rFonts w:hint="eastAsia" w:ascii="宋体"/>
          <w:color w:val="auto"/>
          <w:szCs w:val="21"/>
          <w:highlight w:val="none"/>
          <w:lang w:val="en-US" w:eastAsia="zh-CN"/>
        </w:rPr>
        <w:t>一</w:t>
      </w:r>
      <w:r>
        <w:rPr>
          <w:rFonts w:hint="eastAsia" w:ascii="宋体"/>
          <w:color w:val="auto"/>
          <w:szCs w:val="21"/>
          <w:highlight w:val="none"/>
        </w:rPr>
        <w:t>份。</w:t>
      </w:r>
    </w:p>
    <w:p w14:paraId="52593B24">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color w:val="auto"/>
          <w:szCs w:val="21"/>
          <w:highlight w:val="none"/>
        </w:rPr>
      </w:pPr>
      <w:r>
        <w:rPr>
          <w:rFonts w:hint="eastAsia" w:ascii="宋体"/>
          <w:color w:val="auto"/>
          <w:szCs w:val="21"/>
          <w:highlight w:val="none"/>
          <w:lang w:val="en-US" w:eastAsia="zh-CN"/>
        </w:rPr>
        <w:t>6</w:t>
      </w:r>
      <w:r>
        <w:rPr>
          <w:rFonts w:hint="eastAsia" w:ascii="宋体"/>
          <w:color w:val="auto"/>
          <w:szCs w:val="21"/>
          <w:highlight w:val="none"/>
        </w:rPr>
        <w:t>.我方愿意提供可能另外要求的、与采购投标有关的文件资料，并保证我方已提供和将要提供的文件是真实的、准确的。</w:t>
      </w:r>
    </w:p>
    <w:p w14:paraId="12403E3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color w:val="auto"/>
          <w:szCs w:val="21"/>
          <w:highlight w:val="none"/>
        </w:rPr>
      </w:pPr>
      <w:r>
        <w:rPr>
          <w:rFonts w:hint="eastAsia" w:ascii="宋体"/>
          <w:color w:val="auto"/>
          <w:szCs w:val="21"/>
          <w:highlight w:val="none"/>
        </w:rPr>
        <w:t>8.我单位提供如下通讯地址：</w:t>
      </w:r>
      <w:r>
        <w:rPr>
          <w:rFonts w:hint="eastAsia" w:ascii="宋体"/>
          <w:color w:val="auto"/>
          <w:szCs w:val="21"/>
          <w:highlight w:val="none"/>
          <w:u w:val="single"/>
        </w:rPr>
        <w:t xml:space="preserve">                电子邮箱（地址）</w:t>
      </w:r>
      <w:r>
        <w:rPr>
          <w:rFonts w:hint="eastAsia" w:ascii="宋体"/>
          <w:color w:val="auto"/>
          <w:szCs w:val="21"/>
          <w:highlight w:val="none"/>
        </w:rPr>
        <w:t>，确认本项目相关法律文书均通过提供的以上地址送达，相关文书只要发送至以上电子邮箱（地址）即视为送达，投标人愿意承担一切法律后果。</w:t>
      </w:r>
    </w:p>
    <w:p w14:paraId="00DF6C2E">
      <w:pPr>
        <w:pStyle w:val="2"/>
        <w:spacing w:line="360" w:lineRule="auto"/>
        <w:rPr>
          <w:rFonts w:hint="eastAsia" w:ascii="宋体" w:hAnsi="宋体" w:eastAsia="宋体" w:cs="宋体"/>
          <w:color w:val="auto"/>
          <w:szCs w:val="21"/>
          <w:highlight w:val="none"/>
        </w:rPr>
      </w:pPr>
    </w:p>
    <w:p w14:paraId="52ECA389">
      <w:pPr>
        <w:keepNext w:val="0"/>
        <w:keepLines w:val="0"/>
        <w:pageBreakBefore w:val="0"/>
        <w:widowControl w:val="0"/>
        <w:kinsoku/>
        <w:wordWrap/>
        <w:overflowPunct/>
        <w:topLinePunct w:val="0"/>
        <w:autoSpaceDE/>
        <w:autoSpaceDN/>
        <w:bidi w:val="0"/>
        <w:adjustRightInd/>
        <w:snapToGrid/>
        <w:spacing w:line="360" w:lineRule="auto"/>
        <w:ind w:firstLine="1995" w:firstLineChars="950"/>
        <w:textAlignment w:val="auto"/>
        <w:rPr>
          <w:rFonts w:hint="eastAsia" w:ascii="宋体" w:hAnsi="宋体" w:eastAsia="宋体" w:cs="宋体"/>
          <w:color w:val="auto"/>
          <w:szCs w:val="21"/>
          <w:highlight w:val="none"/>
        </w:rPr>
      </w:pPr>
    </w:p>
    <w:p w14:paraId="45B1C6C3">
      <w:pPr>
        <w:keepNext w:val="0"/>
        <w:keepLines w:val="0"/>
        <w:pageBreakBefore w:val="0"/>
        <w:widowControl w:val="0"/>
        <w:kinsoku/>
        <w:wordWrap/>
        <w:overflowPunct/>
        <w:topLinePunct w:val="0"/>
        <w:autoSpaceDE/>
        <w:autoSpaceDN/>
        <w:bidi w:val="0"/>
        <w:adjustRightInd/>
        <w:snapToGrid/>
        <w:spacing w:line="360" w:lineRule="auto"/>
        <w:ind w:firstLine="1995" w:firstLineChars="9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（签章） </w:t>
      </w:r>
    </w:p>
    <w:p w14:paraId="1F08F4FE">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签字或盖章</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 xml:space="preserve">         </w:t>
      </w:r>
    </w:p>
    <w:p w14:paraId="2267CA40">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 xml:space="preserve">                   </w:t>
      </w:r>
    </w:p>
    <w:p w14:paraId="04B0F2ED">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none"/>
          <w:lang w:val="en-US" w:eastAsia="zh-CN"/>
        </w:rPr>
        <w:t>联系电话：</w:t>
      </w:r>
      <w:r>
        <w:rPr>
          <w:rFonts w:hint="eastAsia" w:ascii="宋体" w:hAnsi="宋体" w:eastAsia="宋体" w:cs="宋体"/>
          <w:color w:val="auto"/>
          <w:szCs w:val="21"/>
          <w:highlight w:val="none"/>
          <w:u w:val="none"/>
        </w:rPr>
        <w:t xml:space="preserve">   </w:t>
      </w:r>
      <w:r>
        <w:rPr>
          <w:rFonts w:hint="eastAsia" w:ascii="宋体" w:hAnsi="宋体" w:eastAsia="宋体" w:cs="宋体"/>
          <w:color w:val="auto"/>
          <w:szCs w:val="21"/>
          <w:highlight w:val="none"/>
          <w:u w:val="single"/>
        </w:rPr>
        <w:t xml:space="preserve">                </w:t>
      </w:r>
    </w:p>
    <w:p w14:paraId="23F4B22F">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44CE9E6A">
      <w:pPr>
        <w:spacing w:line="360" w:lineRule="auto"/>
        <w:rPr>
          <w:rFonts w:hint="eastAsia" w:ascii="宋体" w:hAnsi="宋体" w:cs="宋体"/>
          <w:b/>
          <w:color w:val="auto"/>
          <w:sz w:val="28"/>
          <w:szCs w:val="28"/>
          <w:highlight w:val="none"/>
          <w:lang w:val="en-US" w:eastAsia="zh-CN"/>
        </w:rPr>
      </w:pPr>
    </w:p>
    <w:p w14:paraId="35B540EB">
      <w:pPr>
        <w:spacing w:line="360" w:lineRule="auto"/>
        <w:rPr>
          <w:rFonts w:hint="eastAsia" w:ascii="宋体" w:hAnsi="宋体" w:cs="宋体"/>
          <w:b/>
          <w:color w:val="auto"/>
          <w:sz w:val="28"/>
          <w:szCs w:val="28"/>
          <w:highlight w:val="none"/>
          <w:lang w:val="en-US" w:eastAsia="zh-CN"/>
        </w:rPr>
      </w:pPr>
    </w:p>
    <w:p w14:paraId="3718D3FE">
      <w:pPr>
        <w:pStyle w:val="5"/>
        <w:spacing w:before="0" w:after="0"/>
        <w:rPr>
          <w:rFonts w:hint="eastAsia" w:ascii="宋体" w:hAnsi="宋体" w:eastAsia="宋体" w:cs="宋体"/>
          <w:color w:val="auto"/>
          <w:highlight w:val="none"/>
          <w:lang w:val="en-US" w:eastAsia="zh-CN"/>
        </w:rPr>
      </w:pPr>
      <w:bookmarkStart w:id="208" w:name="_Toc31498"/>
      <w:bookmarkStart w:id="209" w:name="_Toc6595"/>
      <w:r>
        <w:rPr>
          <w:rFonts w:hint="eastAsia" w:ascii="宋体" w:hAnsi="宋体" w:eastAsia="宋体" w:cs="宋体"/>
          <w:color w:val="auto"/>
          <w:highlight w:val="none"/>
          <w:lang w:val="en-US" w:eastAsia="zh-CN"/>
        </w:rPr>
        <w:t>第五章 招标单位、招标代理机构对本招标文件的确认</w:t>
      </w:r>
      <w:bookmarkEnd w:id="208"/>
      <w:bookmarkEnd w:id="209"/>
    </w:p>
    <w:tbl>
      <w:tblPr>
        <w:tblStyle w:val="45"/>
        <w:tblW w:w="968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9"/>
      </w:tblGrid>
      <w:tr w14:paraId="45B99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1" w:hRule="atLeast"/>
        </w:trPr>
        <w:tc>
          <w:tcPr>
            <w:tcW w:w="9689" w:type="dxa"/>
          </w:tcPr>
          <w:p w14:paraId="326BAA51">
            <w:pPr>
              <w:spacing w:line="320" w:lineRule="atLeast"/>
              <w:ind w:firstLine="560" w:firstLineChars="200"/>
              <w:rPr>
                <w:rFonts w:hint="eastAsia" w:ascii="宋体" w:hAnsi="宋体" w:eastAsia="宋体" w:cs="宋体"/>
                <w:color w:val="auto"/>
                <w:sz w:val="28"/>
                <w:szCs w:val="28"/>
                <w:highlight w:val="none"/>
              </w:rPr>
            </w:pPr>
          </w:p>
          <w:p w14:paraId="388A6941">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我单位对</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城南绿廊公园水体清淤项目工程量清单及最高投标限价编制服务项目（二次）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的招标文件进行确认。</w:t>
            </w:r>
          </w:p>
          <w:p w14:paraId="70D47DF8">
            <w:pPr>
              <w:spacing w:line="320" w:lineRule="atLeast"/>
              <w:ind w:firstLine="560" w:firstLineChars="200"/>
              <w:rPr>
                <w:rFonts w:hint="eastAsia" w:ascii="宋体" w:hAnsi="宋体" w:eastAsia="宋体" w:cs="宋体"/>
                <w:color w:val="auto"/>
                <w:sz w:val="28"/>
                <w:szCs w:val="28"/>
                <w:highlight w:val="none"/>
              </w:rPr>
            </w:pPr>
          </w:p>
          <w:p w14:paraId="16EDA7DA">
            <w:pPr>
              <w:spacing w:line="320" w:lineRule="atLeas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招标人：滁州市园林景观管理中心</w:t>
            </w:r>
          </w:p>
          <w:p w14:paraId="3463F686">
            <w:pPr>
              <w:spacing w:line="320" w:lineRule="atLeas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联系人：</w:t>
            </w:r>
            <w:r>
              <w:rPr>
                <w:rFonts w:hint="eastAsia" w:ascii="宋体" w:hAnsi="宋体" w:cs="宋体"/>
                <w:color w:val="auto"/>
                <w:sz w:val="28"/>
                <w:szCs w:val="28"/>
                <w:highlight w:val="none"/>
                <w:lang w:val="en-US" w:eastAsia="zh-CN"/>
              </w:rPr>
              <w:t>曾建博</w:t>
            </w:r>
          </w:p>
          <w:p w14:paraId="0C9165C7">
            <w:pPr>
              <w:spacing w:line="320" w:lineRule="atLeast"/>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联系方式：</w:t>
            </w:r>
            <w:r>
              <w:rPr>
                <w:rFonts w:hint="eastAsia" w:ascii="宋体" w:hAnsi="宋体" w:cs="宋体"/>
                <w:color w:val="auto"/>
                <w:sz w:val="28"/>
                <w:szCs w:val="28"/>
                <w:highlight w:val="none"/>
                <w:lang w:val="en-US" w:eastAsia="zh-CN"/>
              </w:rPr>
              <w:t>0550-3010861</w:t>
            </w:r>
          </w:p>
          <w:p w14:paraId="6E5C8EF3">
            <w:pPr>
              <w:spacing w:line="500" w:lineRule="exact"/>
              <w:ind w:firstLine="281" w:firstLineChars="100"/>
              <w:rPr>
                <w:rFonts w:hint="eastAsia" w:ascii="宋体" w:hAnsi="宋体" w:eastAsia="宋体" w:cs="宋体"/>
                <w:b/>
                <w:bCs/>
                <w:color w:val="auto"/>
                <w:sz w:val="28"/>
                <w:szCs w:val="28"/>
                <w:highlight w:val="none"/>
              </w:rPr>
            </w:pPr>
          </w:p>
          <w:p w14:paraId="1E3913DA">
            <w:pPr>
              <w:spacing w:line="500" w:lineRule="exact"/>
              <w:ind w:firstLine="280" w:firstLineChars="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（单位盖章）</w:t>
            </w:r>
          </w:p>
          <w:p w14:paraId="33C2043A">
            <w:pPr>
              <w:ind w:firstLine="5320" w:firstLineChars="19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eastAsia="zh-CN"/>
              </w:rPr>
              <w:t>2026年3月24日</w:t>
            </w:r>
          </w:p>
        </w:tc>
      </w:tr>
      <w:tr w14:paraId="60B4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1" w:hRule="atLeast"/>
        </w:trPr>
        <w:tc>
          <w:tcPr>
            <w:tcW w:w="9689" w:type="dxa"/>
          </w:tcPr>
          <w:p w14:paraId="2D346054">
            <w:pPr>
              <w:spacing w:line="320" w:lineRule="atLeast"/>
              <w:ind w:firstLine="560" w:firstLineChars="200"/>
              <w:rPr>
                <w:rFonts w:hint="eastAsia" w:ascii="宋体" w:hAnsi="宋体" w:eastAsia="宋体" w:cs="宋体"/>
                <w:color w:val="auto"/>
                <w:sz w:val="28"/>
                <w:szCs w:val="28"/>
                <w:highlight w:val="none"/>
              </w:rPr>
            </w:pPr>
          </w:p>
          <w:p w14:paraId="429FA252">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招标代理机构：滁州市城投工程咨询管理有限公司</w:t>
            </w:r>
          </w:p>
          <w:p w14:paraId="396B5BE0">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w:t>
            </w:r>
            <w:r>
              <w:rPr>
                <w:rFonts w:hint="eastAsia" w:ascii="宋体" w:hAnsi="宋体" w:cs="宋体"/>
                <w:color w:val="auto"/>
                <w:sz w:val="28"/>
                <w:szCs w:val="28"/>
                <w:highlight w:val="none"/>
                <w:lang w:val="en-US" w:eastAsia="zh-CN"/>
              </w:rPr>
              <w:t>曹思敏</w:t>
            </w:r>
          </w:p>
          <w:p w14:paraId="3E3D785F">
            <w:pPr>
              <w:spacing w:line="320" w:lineRule="atLeast"/>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联系电话：</w:t>
            </w:r>
            <w:r>
              <w:rPr>
                <w:rFonts w:hint="eastAsia" w:ascii="宋体" w:hAnsi="宋体" w:cs="宋体"/>
                <w:color w:val="auto"/>
                <w:sz w:val="28"/>
                <w:szCs w:val="28"/>
                <w:highlight w:val="none"/>
                <w:lang w:eastAsia="zh-CN"/>
              </w:rPr>
              <w:t>0550-3519516、18712012204</w:t>
            </w:r>
          </w:p>
          <w:p w14:paraId="497AA04E">
            <w:pPr>
              <w:rPr>
                <w:rFonts w:hint="eastAsia" w:ascii="宋体" w:hAnsi="宋体" w:eastAsia="宋体" w:cs="宋体"/>
                <w:color w:val="auto"/>
                <w:sz w:val="28"/>
                <w:szCs w:val="28"/>
                <w:highlight w:val="none"/>
              </w:rPr>
            </w:pPr>
          </w:p>
          <w:p w14:paraId="216C42AC">
            <w:pPr>
              <w:ind w:firstLine="5040" w:firstLineChars="1800"/>
              <w:rPr>
                <w:rFonts w:hint="eastAsia" w:ascii="宋体" w:hAnsi="宋体" w:eastAsia="宋体" w:cs="宋体"/>
                <w:color w:val="auto"/>
                <w:sz w:val="28"/>
                <w:szCs w:val="28"/>
                <w:highlight w:val="none"/>
              </w:rPr>
            </w:pPr>
          </w:p>
          <w:p w14:paraId="60AF574C">
            <w:pPr>
              <w:ind w:firstLine="5320" w:firstLineChars="19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（单位盖章）</w:t>
            </w:r>
          </w:p>
          <w:p w14:paraId="5AE54977">
            <w:pPr>
              <w:ind w:firstLine="4900" w:firstLineChars="175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eastAsia="zh-CN"/>
              </w:rPr>
              <w:t>2026年3月24日</w:t>
            </w:r>
          </w:p>
        </w:tc>
      </w:tr>
    </w:tbl>
    <w:p w14:paraId="22D2196B">
      <w:pPr>
        <w:pStyle w:val="20"/>
        <w:jc w:val="left"/>
        <w:rPr>
          <w:rFonts w:hint="eastAsia" w:ascii="宋体" w:hAnsi="宋体" w:eastAsia="宋体" w:cs="宋体"/>
          <w:color w:val="auto"/>
          <w:kern w:val="0"/>
          <w:sz w:val="24"/>
          <w:szCs w:val="24"/>
          <w:highlight w:val="none"/>
        </w:rPr>
      </w:pPr>
    </w:p>
    <w:p w14:paraId="63AE5489">
      <w:pPr>
        <w:pStyle w:val="20"/>
        <w:jc w:val="left"/>
        <w:rPr>
          <w:rFonts w:hint="eastAsia" w:ascii="宋体" w:hAnsi="宋体" w:eastAsia="宋体" w:cs="宋体"/>
          <w:color w:val="auto"/>
          <w:kern w:val="0"/>
          <w:sz w:val="24"/>
          <w:szCs w:val="24"/>
          <w:highlight w:val="none"/>
        </w:rPr>
      </w:pPr>
    </w:p>
    <w:p w14:paraId="542E3EE9">
      <w:pPr>
        <w:pStyle w:val="20"/>
        <w:jc w:val="left"/>
        <w:rPr>
          <w:rFonts w:hint="eastAsia" w:ascii="宋体" w:hAnsi="宋体" w:eastAsia="宋体" w:cs="宋体"/>
          <w:color w:val="auto"/>
          <w:kern w:val="0"/>
          <w:sz w:val="24"/>
          <w:szCs w:val="24"/>
          <w:highlight w:val="none"/>
        </w:rPr>
      </w:pPr>
    </w:p>
    <w:p w14:paraId="386F7769">
      <w:pPr>
        <w:pStyle w:val="2"/>
        <w:ind w:left="199" w:leftChars="95" w:firstLine="198" w:firstLineChars="66"/>
        <w:rPr>
          <w:rFonts w:hint="eastAsia" w:hAnsi="宋体"/>
          <w:color w:val="auto"/>
          <w:sz w:val="30"/>
          <w:szCs w:val="30"/>
          <w:highlight w:val="none"/>
        </w:rPr>
      </w:pPr>
    </w:p>
    <w:p w14:paraId="155ACA93">
      <w:pPr>
        <w:pStyle w:val="2"/>
        <w:ind w:left="199" w:leftChars="95" w:firstLine="198" w:firstLineChars="66"/>
        <w:rPr>
          <w:rFonts w:hint="eastAsia" w:hAnsi="宋体"/>
          <w:color w:val="auto"/>
          <w:sz w:val="30"/>
          <w:szCs w:val="30"/>
          <w:highlight w:val="none"/>
        </w:rPr>
      </w:pPr>
      <w:r>
        <w:rPr>
          <w:rFonts w:hint="eastAsia" w:hAnsi="宋体"/>
          <w:color w:val="auto"/>
          <w:sz w:val="30"/>
          <w:szCs w:val="30"/>
          <w:highlight w:val="none"/>
        </w:rPr>
        <w:t>附件：</w:t>
      </w:r>
    </w:p>
    <w:p w14:paraId="3C4FBDD1">
      <w:pPr>
        <w:pStyle w:val="2"/>
        <w:ind w:left="199" w:leftChars="95" w:firstLine="198" w:firstLineChars="66"/>
        <w:rPr>
          <w:rFonts w:hint="eastAsia" w:hAnsi="宋体"/>
          <w:color w:val="auto"/>
          <w:sz w:val="30"/>
          <w:szCs w:val="30"/>
          <w:highlight w:val="none"/>
        </w:rPr>
      </w:pPr>
    </w:p>
    <w:p w14:paraId="65694767">
      <w:pPr>
        <w:rPr>
          <w:rFonts w:hint="eastAsia"/>
          <w:color w:val="auto"/>
          <w:highlight w:val="none"/>
        </w:rPr>
      </w:pPr>
    </w:p>
    <w:p w14:paraId="50AFC473">
      <w:pPr>
        <w:pStyle w:val="2"/>
        <w:ind w:left="199" w:leftChars="95" w:firstLine="211" w:firstLineChars="66"/>
        <w:rPr>
          <w:rFonts w:hint="default" w:ascii="Times New Roman" w:hAnsi="Times New Roman" w:eastAsia="楷体_GB2312" w:cs="Times New Roman"/>
          <w:color w:val="auto"/>
          <w:sz w:val="32"/>
          <w:szCs w:val="32"/>
          <w:highlight w:val="none"/>
          <w:shd w:val="clear" w:color="auto" w:fill="auto"/>
          <w:lang w:val="en-US" w:eastAsia="zh-CN"/>
        </w:rPr>
      </w:pPr>
      <w:r>
        <w:rPr>
          <w:rFonts w:hint="default" w:ascii="Times New Roman" w:hAnsi="Times New Roman" w:eastAsia="仿宋_GB2312" w:cs="Times New Roman"/>
          <w:color w:val="auto"/>
          <w:sz w:val="32"/>
          <w:szCs w:val="32"/>
          <w:highlight w:val="none"/>
          <w:shd w:val="clear" w:color="auto" w:fill="auto"/>
        </w:rPr>
        <w:t>滁重〔</w:t>
      </w:r>
      <w:r>
        <w:rPr>
          <w:rFonts w:hint="default" w:ascii="Times New Roman" w:hAnsi="Times New Roman" w:eastAsia="仿宋_GB2312" w:cs="Times New Roman"/>
          <w:color w:val="auto"/>
          <w:sz w:val="32"/>
          <w:szCs w:val="32"/>
          <w:highlight w:val="none"/>
          <w:shd w:val="clear" w:color="auto" w:fill="auto"/>
          <w:lang w:eastAsia="zh-CN"/>
        </w:rPr>
        <w:t>20</w:t>
      </w:r>
      <w:r>
        <w:rPr>
          <w:rFonts w:hint="default" w:ascii="Times New Roman" w:hAnsi="Times New Roman" w:eastAsia="仿宋_GB2312" w:cs="Times New Roman"/>
          <w:color w:val="auto"/>
          <w:sz w:val="32"/>
          <w:szCs w:val="32"/>
          <w:highlight w:val="none"/>
          <w:shd w:val="clear" w:color="auto" w:fill="auto"/>
          <w:lang w:val="en-US" w:eastAsia="zh-CN"/>
        </w:rPr>
        <w:t>22</w:t>
      </w:r>
      <w:r>
        <w:rPr>
          <w:rFonts w:hint="default" w:ascii="Times New Roman" w:hAnsi="Times New Roman" w:eastAsia="仿宋_GB2312" w:cs="Times New Roman"/>
          <w:color w:val="auto"/>
          <w:sz w:val="32"/>
          <w:szCs w:val="32"/>
          <w:highlight w:val="none"/>
          <w:shd w:val="clear" w:color="auto" w:fill="auto"/>
        </w:rPr>
        <w:t>〕</w:t>
      </w:r>
      <w:r>
        <w:rPr>
          <w:rFonts w:hint="default" w:ascii="Times New Roman" w:hAnsi="Times New Roman" w:eastAsia="仿宋_GB2312" w:cs="Times New Roman"/>
          <w:color w:val="auto"/>
          <w:sz w:val="32"/>
          <w:szCs w:val="32"/>
          <w:highlight w:val="none"/>
          <w:shd w:val="clear" w:color="auto" w:fill="auto"/>
          <w:lang w:val="en-US" w:eastAsia="zh-CN"/>
        </w:rPr>
        <w:t>55号</w:t>
      </w:r>
    </w:p>
    <w:p w14:paraId="1231DE3C">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default" w:ascii="Times New Roman" w:hAnsi="Times New Roman" w:eastAsia="方正小标宋简体" w:cs="Times New Roman"/>
          <w:b w:val="0"/>
          <w:bCs/>
          <w:color w:val="auto"/>
          <w:spacing w:val="-11"/>
          <w:sz w:val="44"/>
          <w:szCs w:val="44"/>
          <w:highlight w:val="none"/>
        </w:rPr>
      </w:pPr>
      <w:r>
        <w:rPr>
          <w:rFonts w:hint="default" w:ascii="Times New Roman" w:hAnsi="Times New Roman" w:eastAsia="方正小标宋简体" w:cs="Times New Roman"/>
          <w:b w:val="0"/>
          <w:bCs/>
          <w:color w:val="auto"/>
          <w:spacing w:val="-11"/>
          <w:sz w:val="44"/>
          <w:szCs w:val="44"/>
          <w:highlight w:val="none"/>
        </w:rPr>
        <w:t>关于印发《工程造价咨询服务管理办法》的通知</w:t>
      </w:r>
    </w:p>
    <w:p w14:paraId="638ADF2B">
      <w:pPr>
        <w:spacing w:line="600" w:lineRule="exact"/>
        <w:rPr>
          <w:rFonts w:hint="default" w:ascii="Times New Roman" w:hAnsi="Times New Roman" w:eastAsia="宋体" w:cs="Times New Roman"/>
          <w:color w:val="auto"/>
          <w:szCs w:val="32"/>
          <w:highlight w:val="none"/>
        </w:rPr>
      </w:pPr>
    </w:p>
    <w:p w14:paraId="37411C05">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outlineLvl w:val="9"/>
        <w:rPr>
          <w:rFonts w:hint="default" w:ascii="Times New Roman" w:hAnsi="Times New Roman" w:eastAsia="仿宋_GB2312" w:cs="Times New Roman"/>
          <w:color w:val="auto"/>
          <w:sz w:val="32"/>
          <w:szCs w:val="32"/>
          <w:highlight w:val="none"/>
        </w:rPr>
      </w:pPr>
      <w:r>
        <w:rPr>
          <w:rFonts w:hint="eastAsia" w:ascii="Times New Roman" w:hAnsi="仿宋_GB2312" w:eastAsia="仿宋_GB2312" w:cs="Times New Roman"/>
          <w:color w:val="auto"/>
          <w:sz w:val="32"/>
          <w:szCs w:val="32"/>
          <w:highlight w:val="none"/>
        </w:rPr>
        <w:t>机关各</w:t>
      </w:r>
      <w:r>
        <w:rPr>
          <w:rFonts w:hint="eastAsia" w:ascii="Times New Roman" w:hAnsi="仿宋_GB2312" w:eastAsia="仿宋_GB2312" w:cs="Times New Roman"/>
          <w:color w:val="auto"/>
          <w:sz w:val="32"/>
          <w:szCs w:val="32"/>
          <w:highlight w:val="none"/>
          <w:lang w:eastAsia="zh-CN"/>
        </w:rPr>
        <w:t>科室</w:t>
      </w:r>
      <w:r>
        <w:rPr>
          <w:rFonts w:hint="eastAsia" w:ascii="Times New Roman" w:hAnsi="仿宋_GB2312" w:eastAsia="仿宋_GB2312" w:cs="Times New Roman"/>
          <w:color w:val="auto"/>
          <w:sz w:val="32"/>
          <w:szCs w:val="32"/>
          <w:highlight w:val="none"/>
        </w:rPr>
        <w:t>、处属各</w:t>
      </w:r>
      <w:r>
        <w:rPr>
          <w:rFonts w:hint="eastAsia" w:ascii="Times New Roman" w:hAnsi="仿宋_GB2312" w:eastAsia="仿宋_GB2312" w:cs="Times New Roman"/>
          <w:color w:val="auto"/>
          <w:sz w:val="32"/>
          <w:szCs w:val="32"/>
          <w:highlight w:val="none"/>
          <w:lang w:val="en-US" w:eastAsia="zh-CN"/>
        </w:rPr>
        <w:t>单位</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各工程造价咨询企业</w:t>
      </w:r>
      <w:r>
        <w:rPr>
          <w:rFonts w:hint="default" w:ascii="Times New Roman" w:hAnsi="Times New Roman" w:eastAsia="仿宋_GB2312" w:cs="Times New Roman"/>
          <w:color w:val="auto"/>
          <w:sz w:val="32"/>
          <w:szCs w:val="32"/>
          <w:highlight w:val="none"/>
        </w:rPr>
        <w:t>：</w:t>
      </w:r>
    </w:p>
    <w:p w14:paraId="57D3091F">
      <w:pPr>
        <w:keepNext w:val="0"/>
        <w:keepLines w:val="0"/>
        <w:pageBreakBefore w:val="0"/>
        <w:widowControl w:val="0"/>
        <w:kinsoku/>
        <w:overflowPunct/>
        <w:topLinePunct w:val="0"/>
        <w:autoSpaceDE/>
        <w:autoSpaceDN/>
        <w:bidi w:val="0"/>
        <w:adjustRightInd/>
        <w:snapToGrid/>
        <w:spacing w:line="600" w:lineRule="exact"/>
        <w:ind w:firstLine="645"/>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4"/>
          <w:kern w:val="0"/>
          <w:sz w:val="32"/>
          <w:szCs w:val="32"/>
          <w:highlight w:val="none"/>
        </w:rPr>
        <w:t>为</w:t>
      </w:r>
      <w:r>
        <w:rPr>
          <w:rFonts w:hint="default" w:ascii="Times New Roman" w:hAnsi="Times New Roman" w:eastAsia="仿宋_GB2312" w:cs="Times New Roman"/>
          <w:color w:val="auto"/>
          <w:sz w:val="32"/>
          <w:szCs w:val="32"/>
          <w:highlight w:val="none"/>
        </w:rPr>
        <w:t>加强</w:t>
      </w:r>
      <w:r>
        <w:rPr>
          <w:rFonts w:hint="default" w:ascii="Times New Roman" w:hAnsi="Times New Roman" w:eastAsia="仿宋_GB2312" w:cs="Times New Roman"/>
          <w:color w:val="auto"/>
          <w:spacing w:val="-4"/>
          <w:kern w:val="0"/>
          <w:sz w:val="32"/>
          <w:szCs w:val="32"/>
          <w:highlight w:val="none"/>
        </w:rPr>
        <w:t>我处工程造价咨询服务管理</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kern w:val="0"/>
          <w:sz w:val="32"/>
          <w:szCs w:val="32"/>
          <w:highlight w:val="none"/>
        </w:rPr>
        <w:t>规范工程</w:t>
      </w:r>
      <w:r>
        <w:rPr>
          <w:rFonts w:hint="default" w:ascii="Times New Roman" w:hAnsi="Times New Roman" w:eastAsia="仿宋_GB2312" w:cs="Times New Roman"/>
          <w:color w:val="auto"/>
          <w:spacing w:val="-4"/>
          <w:kern w:val="0"/>
          <w:sz w:val="32"/>
          <w:szCs w:val="32"/>
          <w:highlight w:val="none"/>
        </w:rPr>
        <w:t>造价咨询企业</w:t>
      </w:r>
      <w:r>
        <w:rPr>
          <w:rFonts w:hint="default" w:ascii="Times New Roman" w:hAnsi="Times New Roman" w:eastAsia="仿宋_GB2312" w:cs="Times New Roman"/>
          <w:color w:val="auto"/>
          <w:kern w:val="0"/>
          <w:sz w:val="32"/>
          <w:szCs w:val="32"/>
          <w:highlight w:val="none"/>
        </w:rPr>
        <w:t>考核工作，</w:t>
      </w:r>
      <w:r>
        <w:rPr>
          <w:rFonts w:hint="default" w:ascii="Times New Roman" w:hAnsi="Times New Roman" w:eastAsia="仿宋_GB2312" w:cs="Times New Roman"/>
          <w:color w:val="auto"/>
          <w:kern w:val="0"/>
          <w:sz w:val="32"/>
          <w:szCs w:val="32"/>
          <w:highlight w:val="none"/>
          <w:lang w:val="en-US" w:eastAsia="zh-CN"/>
        </w:rPr>
        <w:t>2020年10月印发了</w:t>
      </w:r>
      <w:r>
        <w:rPr>
          <w:rFonts w:hint="default" w:ascii="Times New Roman" w:hAnsi="Times New Roman" w:eastAsia="仿宋_GB2312" w:cs="Times New Roman"/>
          <w:color w:val="auto"/>
          <w:sz w:val="32"/>
          <w:szCs w:val="32"/>
          <w:highlight w:val="none"/>
        </w:rPr>
        <w:t>《工程造价咨询服务管理办法</w:t>
      </w:r>
      <w:r>
        <w:rPr>
          <w:rFonts w:hint="default" w:ascii="Times New Roman" w:hAnsi="Times New Roman" w:eastAsia="仿宋_GB2312" w:cs="Times New Roman"/>
          <w:color w:val="auto"/>
          <w:sz w:val="32"/>
          <w:szCs w:val="32"/>
          <w:highlight w:val="none"/>
          <w:lang w:eastAsia="zh-CN"/>
        </w:rPr>
        <w:t>（试行）</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滁重〔</w:t>
      </w:r>
      <w:r>
        <w:rPr>
          <w:rFonts w:hint="default" w:ascii="Times New Roman" w:hAnsi="Times New Roman" w:eastAsia="仿宋_GB2312" w:cs="Times New Roman"/>
          <w:color w:val="auto"/>
          <w:sz w:val="32"/>
          <w:szCs w:val="32"/>
          <w:highlight w:val="none"/>
          <w:lang w:eastAsia="zh-CN"/>
        </w:rPr>
        <w:t>20</w:t>
      </w:r>
      <w:r>
        <w:rPr>
          <w:rFonts w:hint="default"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 w:cs="Times New Roman"/>
          <w:color w:val="auto"/>
          <w:sz w:val="32"/>
          <w:szCs w:val="32"/>
          <w:highlight w:val="none"/>
          <w:shd w:val="clear" w:color="auto" w:fill="auto"/>
          <w:lang w:val="en-US" w:eastAsia="zh-CN"/>
        </w:rPr>
        <w:t>61</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val="en-US" w:eastAsia="zh-CN"/>
        </w:rPr>
        <w:t>)，试行已满一年，结合工作实际，现予以修订。经2022</w:t>
      </w:r>
      <w:r>
        <w:rPr>
          <w:rFonts w:hint="default" w:ascii="Times New Roman" w:hAnsi="Times New Roman" w:eastAsia="仿宋_GB2312" w:cs="Times New Roman"/>
          <w:color w:val="auto"/>
          <w:sz w:val="32"/>
          <w:szCs w:val="32"/>
          <w:highlight w:val="none"/>
          <w:shd w:val="clear" w:color="auto" w:fill="auto"/>
          <w:lang w:val="en-US" w:eastAsia="zh-CN"/>
        </w:rPr>
        <w:t>年6月</w:t>
      </w:r>
      <w:r>
        <w:rPr>
          <w:rFonts w:hint="eastAsia" w:ascii="Times New Roman" w:hAnsi="Times New Roman" w:eastAsia="仿宋_GB2312" w:cs="Times New Roman"/>
          <w:color w:val="auto"/>
          <w:sz w:val="32"/>
          <w:szCs w:val="32"/>
          <w:highlight w:val="none"/>
          <w:shd w:val="clear" w:color="auto" w:fill="auto"/>
          <w:lang w:val="en-US" w:eastAsia="zh-CN"/>
        </w:rPr>
        <w:t>23日</w:t>
      </w:r>
      <w:r>
        <w:rPr>
          <w:rFonts w:hint="default" w:ascii="Times New Roman" w:hAnsi="Times New Roman" w:eastAsia="仿宋_GB2312" w:cs="Times New Roman"/>
          <w:color w:val="auto"/>
          <w:sz w:val="32"/>
          <w:szCs w:val="32"/>
          <w:highlight w:val="none"/>
          <w:shd w:val="clear" w:color="auto" w:fill="auto"/>
          <w:lang w:val="en-US" w:eastAsia="zh-CN"/>
        </w:rPr>
        <w:t>党组会</w:t>
      </w:r>
      <w:r>
        <w:rPr>
          <w:rFonts w:hint="default" w:ascii="Times New Roman" w:hAnsi="Times New Roman" w:eastAsia="仿宋_GB2312" w:cs="Times New Roman"/>
          <w:color w:val="auto"/>
          <w:sz w:val="32"/>
          <w:szCs w:val="32"/>
          <w:highlight w:val="none"/>
          <w:lang w:val="en-US" w:eastAsia="zh-CN"/>
        </w:rPr>
        <w:t>研究同意，</w:t>
      </w:r>
      <w:r>
        <w:rPr>
          <w:rFonts w:hint="default" w:ascii="Times New Roman" w:hAnsi="Times New Roman" w:eastAsia="仿宋_GB2312" w:cs="Times New Roman"/>
          <w:color w:val="auto"/>
          <w:kern w:val="0"/>
          <w:sz w:val="32"/>
          <w:szCs w:val="32"/>
          <w:highlight w:val="none"/>
          <w:lang w:eastAsia="zh-CN"/>
        </w:rPr>
        <w:t>现印发</w:t>
      </w:r>
      <w:r>
        <w:rPr>
          <w:rFonts w:hint="default" w:ascii="Times New Roman" w:hAnsi="Times New Roman" w:eastAsia="仿宋_GB2312" w:cs="Times New Roman"/>
          <w:color w:val="auto"/>
          <w:sz w:val="32"/>
          <w:szCs w:val="32"/>
          <w:highlight w:val="none"/>
        </w:rPr>
        <w:t>《工程造价咨询服务管理办法》，请认真贯彻执行</w:t>
      </w:r>
      <w:r>
        <w:rPr>
          <w:rFonts w:hint="default" w:ascii="Times New Roman" w:hAnsi="Times New Roman" w:eastAsia="仿宋_GB2312" w:cs="Times New Roman"/>
          <w:color w:val="auto"/>
          <w:kern w:val="0"/>
          <w:sz w:val="32"/>
          <w:szCs w:val="32"/>
          <w:highlight w:val="none"/>
        </w:rPr>
        <w:t>，并及时反馈执行中的意见和</w:t>
      </w:r>
      <w:r>
        <w:rPr>
          <w:rFonts w:hint="default" w:ascii="Times New Roman" w:hAnsi="Times New Roman" w:eastAsia="仿宋_GB2312" w:cs="Times New Roman"/>
          <w:color w:val="auto"/>
          <w:sz w:val="32"/>
          <w:szCs w:val="32"/>
          <w:highlight w:val="none"/>
        </w:rPr>
        <w:t>建议。《工程造价咨询服务管理办法</w:t>
      </w:r>
      <w:r>
        <w:rPr>
          <w:rFonts w:hint="default" w:ascii="Times New Roman" w:hAnsi="Times New Roman" w:eastAsia="仿宋_GB2312" w:cs="Times New Roman"/>
          <w:color w:val="auto"/>
          <w:sz w:val="32"/>
          <w:szCs w:val="32"/>
          <w:highlight w:val="none"/>
          <w:lang w:eastAsia="zh-CN"/>
        </w:rPr>
        <w:t>（试行）</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滁重〔</w:t>
      </w:r>
      <w:r>
        <w:rPr>
          <w:rFonts w:hint="default" w:ascii="Times New Roman" w:hAnsi="Times New Roman" w:eastAsia="仿宋_GB2312" w:cs="Times New Roman"/>
          <w:color w:val="auto"/>
          <w:sz w:val="32"/>
          <w:szCs w:val="32"/>
          <w:highlight w:val="none"/>
          <w:lang w:eastAsia="zh-CN"/>
        </w:rPr>
        <w:t>20</w:t>
      </w:r>
      <w:r>
        <w:rPr>
          <w:rFonts w:hint="default"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 w:cs="Times New Roman"/>
          <w:color w:val="auto"/>
          <w:sz w:val="32"/>
          <w:szCs w:val="32"/>
          <w:highlight w:val="none"/>
          <w:shd w:val="clear" w:color="auto" w:fill="auto"/>
          <w:lang w:val="en-US" w:eastAsia="zh-CN"/>
        </w:rPr>
        <w:t>61</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《工程</w:t>
      </w:r>
      <w:r>
        <w:rPr>
          <w:rFonts w:hint="default" w:ascii="Times New Roman" w:hAnsi="Times New Roman" w:eastAsia="仿宋_GB2312" w:cs="Times New Roman"/>
          <w:color w:val="auto"/>
          <w:sz w:val="32"/>
          <w:szCs w:val="32"/>
          <w:highlight w:val="none"/>
          <w:lang w:eastAsia="zh-CN"/>
        </w:rPr>
        <w:t>量清单及最高投标限价编制管理办法</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滁重〔</w:t>
      </w:r>
      <w:r>
        <w:rPr>
          <w:rFonts w:hint="default" w:ascii="Times New Roman" w:hAnsi="Times New Roman" w:eastAsia="仿宋_GB2312" w:cs="Times New Roman"/>
          <w:color w:val="auto"/>
          <w:sz w:val="32"/>
          <w:szCs w:val="32"/>
          <w:highlight w:val="none"/>
          <w:lang w:eastAsia="zh-CN"/>
        </w:rPr>
        <w:t>20</w:t>
      </w:r>
      <w:r>
        <w:rPr>
          <w:rFonts w:hint="default" w:ascii="Times New Roman" w:hAnsi="Times New Roman" w:eastAsia="仿宋_GB2312" w:cs="Times New Roman"/>
          <w:color w:val="auto"/>
          <w:sz w:val="32"/>
          <w:szCs w:val="32"/>
          <w:highlight w:val="none"/>
          <w:lang w:val="en-US" w:eastAsia="zh-CN"/>
        </w:rPr>
        <w:t>19</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46</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废止。</w:t>
      </w:r>
    </w:p>
    <w:p w14:paraId="200143EC">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cs="Times New Roman"/>
          <w:color w:val="auto"/>
          <w:highlight w:val="none"/>
        </w:rPr>
      </w:pPr>
    </w:p>
    <w:p w14:paraId="1C04CB0B">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滁州市重点工程建设管理处</w:t>
      </w:r>
      <w:r>
        <w:rPr>
          <w:rFonts w:hint="default" w:ascii="Times New Roman" w:hAnsi="Times New Roman" w:eastAsia="仿宋_GB2312" w:cs="Times New Roman"/>
          <w:color w:val="auto"/>
          <w:sz w:val="32"/>
          <w:szCs w:val="32"/>
          <w:highlight w:val="none"/>
          <w:lang w:val="en-US" w:eastAsia="zh-CN"/>
        </w:rPr>
        <w:t xml:space="preserve">    </w:t>
      </w:r>
    </w:p>
    <w:p w14:paraId="52F0F73F">
      <w:pPr>
        <w:keepNext w:val="0"/>
        <w:keepLines w:val="0"/>
        <w:pageBreakBefore w:val="0"/>
        <w:widowControl w:val="0"/>
        <w:kinsoku/>
        <w:overflowPunct/>
        <w:topLinePunct w:val="0"/>
        <w:autoSpaceDE/>
        <w:autoSpaceDN/>
        <w:bidi w:val="0"/>
        <w:adjustRightInd/>
        <w:snapToGrid/>
        <w:spacing w:line="600" w:lineRule="exact"/>
        <w:ind w:firstLine="5120" w:firstLineChars="16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202</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日</w:t>
      </w:r>
    </w:p>
    <w:p w14:paraId="22CB56EB">
      <w:pPr>
        <w:pStyle w:val="2"/>
        <w:rPr>
          <w:rFonts w:hint="default" w:ascii="Times New Roman" w:hAnsi="Times New Roman" w:eastAsia="仿宋_GB2312" w:cs="Times New Roman"/>
          <w:color w:val="auto"/>
          <w:sz w:val="32"/>
          <w:szCs w:val="32"/>
          <w:highlight w:val="none"/>
        </w:rPr>
      </w:pPr>
    </w:p>
    <w:p w14:paraId="0C9F6B45">
      <w:pPr>
        <w:rPr>
          <w:rFonts w:hint="default"/>
          <w:color w:val="auto"/>
          <w:highlight w:val="none"/>
        </w:rPr>
      </w:pPr>
    </w:p>
    <w:p w14:paraId="4957FAEB">
      <w:pPr>
        <w:pStyle w:val="2"/>
        <w:rPr>
          <w:rFonts w:hint="default"/>
          <w:color w:val="auto"/>
          <w:highlight w:val="none"/>
        </w:rPr>
      </w:pPr>
    </w:p>
    <w:p w14:paraId="7C253514">
      <w:pPr>
        <w:rPr>
          <w:rFonts w:hint="default"/>
          <w:color w:val="auto"/>
          <w:highlight w:val="none"/>
        </w:rPr>
      </w:pPr>
    </w:p>
    <w:p w14:paraId="4F847B55">
      <w:pPr>
        <w:pStyle w:val="2"/>
        <w:rPr>
          <w:rFonts w:hint="default"/>
          <w:color w:val="auto"/>
          <w:highlight w:val="none"/>
        </w:rPr>
      </w:pPr>
    </w:p>
    <w:p w14:paraId="76D122F1">
      <w:pPr>
        <w:rPr>
          <w:rFonts w:hint="default"/>
          <w:color w:val="auto"/>
          <w:highlight w:val="none"/>
        </w:rPr>
      </w:pPr>
    </w:p>
    <w:p w14:paraId="705AA9CA">
      <w:pPr>
        <w:rPr>
          <w:rFonts w:hint="default"/>
          <w:color w:val="auto"/>
          <w:highlight w:val="none"/>
        </w:rPr>
      </w:pPr>
    </w:p>
    <w:p w14:paraId="60EEB4F4">
      <w:pPr>
        <w:pStyle w:val="2"/>
        <w:rPr>
          <w:rFonts w:hint="default"/>
          <w:color w:val="auto"/>
          <w:highlight w:val="none"/>
        </w:rPr>
      </w:pPr>
    </w:p>
    <w:p w14:paraId="0CF9E964">
      <w:pPr>
        <w:rPr>
          <w:rFonts w:hint="default"/>
          <w:color w:val="auto"/>
          <w:highlight w:val="none"/>
        </w:rPr>
      </w:pPr>
    </w:p>
    <w:p w14:paraId="690872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b w:val="0"/>
          <w:bCs/>
          <w:color w:val="auto"/>
          <w:sz w:val="44"/>
          <w:szCs w:val="44"/>
          <w:highlight w:val="none"/>
          <w:lang w:eastAsia="zh-CN"/>
        </w:rPr>
      </w:pPr>
      <w:r>
        <w:rPr>
          <w:rFonts w:hint="default" w:ascii="Times New Roman" w:hAnsi="Times New Roman" w:eastAsia="方正小标宋简体" w:cs="Times New Roman"/>
          <w:b w:val="0"/>
          <w:bCs/>
          <w:color w:val="auto"/>
          <w:sz w:val="44"/>
          <w:szCs w:val="44"/>
          <w:highlight w:val="none"/>
        </w:rPr>
        <w:t>工程造价咨询服务管理办法</w:t>
      </w:r>
    </w:p>
    <w:p w14:paraId="6C5D8947">
      <w:pPr>
        <w:keepNext w:val="0"/>
        <w:keepLines w:val="0"/>
        <w:pageBreakBefore w:val="0"/>
        <w:kinsoku/>
        <w:wordWrap/>
        <w:overflowPunct/>
        <w:topLinePunct w:val="0"/>
        <w:autoSpaceDE/>
        <w:autoSpaceDN/>
        <w:bidi w:val="0"/>
        <w:adjustRightInd/>
        <w:spacing w:line="400" w:lineRule="exact"/>
        <w:ind w:firstLine="3520" w:firstLineChars="1100"/>
        <w:textAlignment w:val="auto"/>
        <w:rPr>
          <w:rFonts w:hint="default" w:ascii="Times New Roman" w:hAnsi="Times New Roman" w:eastAsia="仿宋_GB2312" w:cs="Times New Roman"/>
          <w:color w:val="auto"/>
          <w:sz w:val="32"/>
          <w:szCs w:val="32"/>
          <w:highlight w:val="none"/>
        </w:rPr>
      </w:pPr>
    </w:p>
    <w:p w14:paraId="4AC72A7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第一章 总则</w:t>
      </w:r>
    </w:p>
    <w:p w14:paraId="38D78040">
      <w:pPr>
        <w:keepNext w:val="0"/>
        <w:keepLines w:val="0"/>
        <w:pageBreakBefore w:val="0"/>
        <w:kinsoku/>
        <w:wordWrap/>
        <w:overflowPunct/>
        <w:topLinePunct w:val="0"/>
        <w:autoSpaceDE/>
        <w:autoSpaceDN/>
        <w:bidi w:val="0"/>
        <w:adjustRightInd/>
        <w:spacing w:line="400" w:lineRule="exact"/>
        <w:ind w:left="0" w:leftChars="0" w:firstLine="627"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pacing w:val="-4"/>
          <w:kern w:val="0"/>
          <w:sz w:val="32"/>
          <w:szCs w:val="32"/>
          <w:highlight w:val="none"/>
        </w:rPr>
        <w:t>第一条</w:t>
      </w:r>
      <w:r>
        <w:rPr>
          <w:rFonts w:hint="default" w:ascii="Times New Roman" w:hAnsi="Times New Roman" w:eastAsia="仿宋_GB2312" w:cs="Times New Roman"/>
          <w:color w:val="auto"/>
          <w:spacing w:val="-4"/>
          <w:kern w:val="0"/>
          <w:sz w:val="32"/>
          <w:szCs w:val="32"/>
          <w:highlight w:val="none"/>
        </w:rPr>
        <w:t xml:space="preserve"> </w:t>
      </w:r>
      <w:r>
        <w:rPr>
          <w:rFonts w:hint="default" w:ascii="Times New Roman" w:hAnsi="Times New Roman" w:eastAsia="仿宋_GB2312" w:cs="Times New Roman"/>
          <w:color w:val="auto"/>
          <w:spacing w:val="-4"/>
          <w:kern w:val="0"/>
          <w:sz w:val="32"/>
          <w:szCs w:val="32"/>
          <w:highlight w:val="none"/>
          <w:lang w:val="en-US" w:eastAsia="zh-CN"/>
        </w:rPr>
        <w:t xml:space="preserve"> </w:t>
      </w:r>
      <w:r>
        <w:rPr>
          <w:rFonts w:hint="default" w:ascii="Times New Roman" w:hAnsi="Times New Roman" w:eastAsia="仿宋_GB2312" w:cs="Times New Roman"/>
          <w:color w:val="auto"/>
          <w:spacing w:val="-4"/>
          <w:kern w:val="0"/>
          <w:sz w:val="32"/>
          <w:szCs w:val="32"/>
          <w:highlight w:val="none"/>
        </w:rPr>
        <w:t>为</w:t>
      </w:r>
      <w:r>
        <w:rPr>
          <w:rFonts w:hint="default" w:ascii="Times New Roman" w:hAnsi="Times New Roman" w:eastAsia="仿宋_GB2312" w:cs="Times New Roman"/>
          <w:color w:val="auto"/>
          <w:sz w:val="32"/>
          <w:szCs w:val="32"/>
          <w:highlight w:val="none"/>
        </w:rPr>
        <w:t>加强</w:t>
      </w:r>
      <w:r>
        <w:rPr>
          <w:rFonts w:hint="default" w:ascii="Times New Roman" w:hAnsi="Times New Roman" w:eastAsia="仿宋_GB2312" w:cs="Times New Roman"/>
          <w:color w:val="auto"/>
          <w:spacing w:val="-4"/>
          <w:kern w:val="0"/>
          <w:sz w:val="32"/>
          <w:szCs w:val="32"/>
          <w:highlight w:val="none"/>
        </w:rPr>
        <w:t>我处工程造价咨询服务管理</w:t>
      </w:r>
      <w:r>
        <w:rPr>
          <w:rFonts w:hint="default" w:ascii="Times New Roman" w:hAnsi="Times New Roman" w:eastAsia="仿宋_GB2312" w:cs="Times New Roman"/>
          <w:color w:val="auto"/>
          <w:sz w:val="32"/>
          <w:szCs w:val="32"/>
          <w:highlight w:val="none"/>
        </w:rPr>
        <w:t>，提高造价成果质量和工作效率，严格控制政府投资，防范风险，强化廉政建设，根据相关规定，结合我处实际，</w:t>
      </w:r>
      <w:r>
        <w:rPr>
          <w:rFonts w:hint="default" w:ascii="Times New Roman" w:hAnsi="Times New Roman" w:eastAsia="仿宋_GB2312" w:cs="Times New Roman"/>
          <w:color w:val="auto"/>
          <w:kern w:val="0"/>
          <w:sz w:val="32"/>
          <w:szCs w:val="32"/>
          <w:highlight w:val="none"/>
        </w:rPr>
        <w:t>制定</w:t>
      </w:r>
      <w:r>
        <w:rPr>
          <w:rFonts w:hint="default" w:ascii="Times New Roman" w:hAnsi="Times New Roman" w:eastAsia="仿宋_GB2312" w:cs="Times New Roman"/>
          <w:color w:val="auto"/>
          <w:sz w:val="32"/>
          <w:szCs w:val="32"/>
          <w:highlight w:val="none"/>
        </w:rPr>
        <w:t>本办法。</w:t>
      </w:r>
    </w:p>
    <w:p w14:paraId="795BD60B">
      <w:pPr>
        <w:keepNext w:val="0"/>
        <w:keepLines w:val="0"/>
        <w:pageBreakBefore w:val="0"/>
        <w:kinsoku/>
        <w:wordWrap/>
        <w:overflowPunct/>
        <w:topLinePunct w:val="0"/>
        <w:autoSpaceDE/>
        <w:autoSpaceDN/>
        <w:bidi w:val="0"/>
        <w:adjustRightInd/>
        <w:spacing w:line="400" w:lineRule="exact"/>
        <w:ind w:left="0" w:leftChars="0" w:firstLine="627"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b/>
          <w:bCs/>
          <w:color w:val="auto"/>
          <w:spacing w:val="-4"/>
          <w:kern w:val="0"/>
          <w:sz w:val="32"/>
          <w:szCs w:val="32"/>
          <w:highlight w:val="none"/>
        </w:rPr>
        <w:t>第二条</w:t>
      </w:r>
      <w:r>
        <w:rPr>
          <w:rFonts w:hint="default" w:ascii="Times New Roman" w:hAnsi="Times New Roman" w:eastAsia="仿宋_GB2312" w:cs="Times New Roman"/>
          <w:color w:val="auto"/>
          <w:spacing w:val="-4"/>
          <w:kern w:val="0"/>
          <w:sz w:val="32"/>
          <w:szCs w:val="32"/>
          <w:highlight w:val="none"/>
        </w:rPr>
        <w:t xml:space="preserve"> </w:t>
      </w:r>
      <w:r>
        <w:rPr>
          <w:rFonts w:hint="default" w:ascii="Times New Roman" w:hAnsi="Times New Roman" w:eastAsia="仿宋_GB2312" w:cs="Times New Roman"/>
          <w:color w:val="auto"/>
          <w:spacing w:val="-4"/>
          <w:kern w:val="0"/>
          <w:sz w:val="32"/>
          <w:szCs w:val="32"/>
          <w:highlight w:val="none"/>
          <w:lang w:val="en-US" w:eastAsia="zh-CN"/>
        </w:rPr>
        <w:t xml:space="preserve"> </w:t>
      </w:r>
      <w:r>
        <w:rPr>
          <w:rFonts w:hint="default" w:ascii="Times New Roman" w:hAnsi="Times New Roman" w:eastAsia="仿宋_GB2312" w:cs="Times New Roman"/>
          <w:color w:val="auto"/>
          <w:spacing w:val="-4"/>
          <w:kern w:val="0"/>
          <w:sz w:val="32"/>
          <w:szCs w:val="32"/>
          <w:highlight w:val="none"/>
        </w:rPr>
        <w:t>我处委托工程造价咨询企业（以下简称“造价企业”）</w:t>
      </w:r>
      <w:r>
        <w:rPr>
          <w:rFonts w:hint="default" w:ascii="Times New Roman" w:hAnsi="Times New Roman" w:eastAsia="仿宋_GB2312" w:cs="Times New Roman"/>
          <w:color w:val="auto"/>
          <w:spacing w:val="-4"/>
          <w:kern w:val="0"/>
          <w:sz w:val="32"/>
          <w:szCs w:val="32"/>
          <w:highlight w:val="none"/>
          <w:lang w:eastAsia="zh-CN"/>
        </w:rPr>
        <w:t>的</w:t>
      </w:r>
      <w:r>
        <w:rPr>
          <w:rFonts w:hint="default" w:ascii="Times New Roman" w:hAnsi="Times New Roman" w:eastAsia="仿宋_GB2312" w:cs="Times New Roman"/>
          <w:color w:val="auto"/>
          <w:spacing w:val="-4"/>
          <w:kern w:val="0"/>
          <w:sz w:val="32"/>
          <w:szCs w:val="32"/>
          <w:highlight w:val="none"/>
        </w:rPr>
        <w:t>投资估算、设计概算、工程量清单</w:t>
      </w:r>
      <w:r>
        <w:rPr>
          <w:rFonts w:hint="default" w:ascii="Times New Roman" w:hAnsi="Times New Roman" w:eastAsia="仿宋_GB2312" w:cs="Times New Roman"/>
          <w:color w:val="auto"/>
          <w:spacing w:val="-4"/>
          <w:kern w:val="0"/>
          <w:sz w:val="32"/>
          <w:szCs w:val="32"/>
          <w:highlight w:val="none"/>
          <w:lang w:eastAsia="zh-CN"/>
        </w:rPr>
        <w:t>及</w:t>
      </w:r>
      <w:r>
        <w:rPr>
          <w:rFonts w:hint="default" w:ascii="Times New Roman" w:hAnsi="Times New Roman" w:eastAsia="仿宋_GB2312" w:cs="Times New Roman"/>
          <w:color w:val="auto"/>
          <w:spacing w:val="-4"/>
          <w:kern w:val="0"/>
          <w:sz w:val="32"/>
          <w:szCs w:val="32"/>
          <w:highlight w:val="none"/>
        </w:rPr>
        <w:t>最高投标限价编制</w:t>
      </w:r>
      <w:r>
        <w:rPr>
          <w:rFonts w:hint="default" w:ascii="Times New Roman" w:hAnsi="Times New Roman" w:eastAsia="仿宋_GB2312" w:cs="Times New Roman"/>
          <w:color w:val="auto"/>
          <w:spacing w:val="-4"/>
          <w:kern w:val="0"/>
          <w:sz w:val="32"/>
          <w:szCs w:val="32"/>
          <w:highlight w:val="none"/>
          <w:lang w:eastAsia="zh-CN"/>
        </w:rPr>
        <w:t>（以下简称“清单编制”）和审核</w:t>
      </w:r>
      <w:r>
        <w:rPr>
          <w:rFonts w:hint="default" w:ascii="Times New Roman" w:hAnsi="Times New Roman" w:eastAsia="仿宋_GB2312" w:cs="Times New Roman"/>
          <w:color w:val="auto"/>
          <w:spacing w:val="-4"/>
          <w:kern w:val="0"/>
          <w:sz w:val="32"/>
          <w:szCs w:val="32"/>
          <w:highlight w:val="none"/>
        </w:rPr>
        <w:t>、施工阶段全过程造价控制（以下简称“跟踪审计”）、结算审核、第三方复审等咨询业务均适用于本办法。</w:t>
      </w:r>
    </w:p>
    <w:p w14:paraId="5E247A21">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color w:val="auto"/>
          <w:kern w:val="36"/>
          <w:sz w:val="32"/>
          <w:szCs w:val="32"/>
          <w:highlight w:val="none"/>
        </w:rPr>
      </w:pPr>
      <w:r>
        <w:rPr>
          <w:rFonts w:hint="default" w:ascii="Times New Roman" w:hAnsi="Times New Roman" w:eastAsia="黑体" w:cs="Times New Roman"/>
          <w:color w:val="auto"/>
          <w:sz w:val="32"/>
          <w:szCs w:val="32"/>
          <w:highlight w:val="none"/>
        </w:rPr>
        <w:t>第二章 工作流程</w:t>
      </w:r>
    </w:p>
    <w:p w14:paraId="43A68EFD">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第三条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清单编制审核</w:t>
      </w:r>
      <w:r>
        <w:rPr>
          <w:rFonts w:hint="default" w:ascii="Times New Roman" w:hAnsi="Times New Roman" w:eastAsia="仿宋_GB2312" w:cs="Times New Roman"/>
          <w:color w:val="auto"/>
          <w:sz w:val="32"/>
          <w:szCs w:val="32"/>
          <w:highlight w:val="none"/>
        </w:rPr>
        <w:t>流程</w:t>
      </w:r>
    </w:p>
    <w:p w14:paraId="310B8CA0">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cs="Times New Roman"/>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t>工程技术科提供图审合格的完整纸质图、电子图和勘察报告等相关设计文件</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综合计划科委托造价企业</w:t>
      </w:r>
      <w:r>
        <w:rPr>
          <w:rFonts w:hint="default" w:ascii="Times New Roman" w:hAnsi="Times New Roman" w:eastAsia="仿宋_GB2312" w:cs="Times New Roman"/>
          <w:color w:val="auto"/>
          <w:sz w:val="32"/>
          <w:szCs w:val="32"/>
          <w:highlight w:val="none"/>
        </w:rPr>
        <w:t>编制清单→</w:t>
      </w:r>
      <w:r>
        <w:rPr>
          <w:rFonts w:hint="default" w:ascii="Times New Roman" w:hAnsi="Times New Roman" w:eastAsia="仿宋_GB2312" w:cs="Times New Roman"/>
          <w:color w:val="auto"/>
          <w:sz w:val="32"/>
          <w:szCs w:val="32"/>
          <w:highlight w:val="none"/>
          <w:lang w:eastAsia="zh-CN"/>
        </w:rPr>
        <w:t>项目分管领导牵头，组织综合计划科、工程技术科、工程建设科和设计（勘察）单位、清单编制单位等参加清单会审（投资较大、技术复杂、专业性较强的项目，可以委托第三方复审或组织专家论证）</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工程技术科督促设计单位按照会审意见限期完成修改，并对最终图纸进行确认</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编制单位出具会审备忘录（编制说明），按会审意见和终版图纸调整</w:t>
      </w:r>
      <w:r>
        <w:rPr>
          <w:rFonts w:hint="default" w:ascii="Times New Roman" w:hAnsi="Times New Roman" w:eastAsia="仿宋_GB2312" w:cs="Times New Roman"/>
          <w:color w:val="auto"/>
          <w:sz w:val="32"/>
          <w:szCs w:val="32"/>
          <w:highlight w:val="none"/>
        </w:rPr>
        <w:t>清单</w:t>
      </w:r>
      <w:r>
        <w:rPr>
          <w:rFonts w:hint="default" w:ascii="Times New Roman" w:hAnsi="Times New Roman" w:eastAsia="仿宋_GB2312" w:cs="Times New Roman"/>
          <w:color w:val="auto"/>
          <w:sz w:val="32"/>
          <w:szCs w:val="32"/>
          <w:highlight w:val="none"/>
          <w:lang w:eastAsia="zh-CN"/>
        </w:rPr>
        <w:t>。其中，</w:t>
      </w:r>
      <w:r>
        <w:rPr>
          <w:rFonts w:hint="default" w:ascii="Times New Roman" w:hAnsi="Times New Roman" w:eastAsia="仿宋_GB2312" w:cs="Times New Roman"/>
          <w:color w:val="auto"/>
          <w:sz w:val="32"/>
          <w:szCs w:val="32"/>
          <w:highlight w:val="none"/>
        </w:rPr>
        <w:t>最高</w:t>
      </w:r>
      <w:r>
        <w:rPr>
          <w:rFonts w:hint="default" w:ascii="Times New Roman" w:hAnsi="Times New Roman" w:eastAsia="仿宋_GB2312" w:cs="Times New Roman"/>
          <w:color w:val="auto"/>
          <w:sz w:val="32"/>
          <w:szCs w:val="32"/>
          <w:highlight w:val="none"/>
          <w:lang w:eastAsia="zh-CN"/>
        </w:rPr>
        <w:t>投标</w:t>
      </w:r>
      <w:r>
        <w:rPr>
          <w:rFonts w:hint="default" w:ascii="Times New Roman" w:hAnsi="Times New Roman" w:eastAsia="仿宋_GB2312" w:cs="Times New Roman"/>
          <w:color w:val="auto"/>
          <w:sz w:val="32"/>
          <w:szCs w:val="32"/>
          <w:highlight w:val="none"/>
        </w:rPr>
        <w:t>限价</w:t>
      </w:r>
      <w:r>
        <w:rPr>
          <w:rFonts w:hint="default" w:ascii="Times New Roman" w:hAnsi="Times New Roman" w:eastAsia="仿宋_GB2312" w:cs="Times New Roman"/>
          <w:color w:val="auto"/>
          <w:sz w:val="32"/>
          <w:szCs w:val="32"/>
          <w:highlight w:val="none"/>
          <w:lang w:eastAsia="zh-CN"/>
        </w:rPr>
        <w:t>一亿元以上项目报送市财政工程造价审核中心审核。（上述限额标准根据市财政局规定同步调整）</w:t>
      </w:r>
    </w:p>
    <w:p w14:paraId="36B399CF">
      <w:pPr>
        <w:keepNext w:val="0"/>
        <w:keepLines w:val="0"/>
        <w:pageBreakBefore w:val="0"/>
        <w:numPr>
          <w:ilvl w:val="0"/>
          <w:numId w:val="0"/>
        </w:numPr>
        <w:kinsoku/>
        <w:wordWrap/>
        <w:overflowPunct/>
        <w:topLinePunct w:val="0"/>
        <w:autoSpaceDE/>
        <w:autoSpaceDN/>
        <w:bidi w:val="0"/>
        <w:adjustRightInd/>
        <w:spacing w:line="400" w:lineRule="exact"/>
        <w:ind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第四条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项目</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流程</w:t>
      </w:r>
    </w:p>
    <w:p w14:paraId="01552592">
      <w:pPr>
        <w:keepNext w:val="0"/>
        <w:keepLines w:val="0"/>
        <w:pageBreakBefore w:val="0"/>
        <w:numPr>
          <w:ilvl w:val="0"/>
          <w:numId w:val="0"/>
        </w:numPr>
        <w:kinsoku/>
        <w:wordWrap/>
        <w:overflowPunct/>
        <w:topLinePunct w:val="0"/>
        <w:autoSpaceDE/>
        <w:autoSpaceDN/>
        <w:bidi w:val="0"/>
        <w:adjustRightInd/>
        <w:spacing w:line="4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eastAsia="zh-CN"/>
        </w:rPr>
        <w:t>工程</w:t>
      </w:r>
      <w:r>
        <w:rPr>
          <w:rFonts w:hint="default" w:ascii="Times New Roman" w:hAnsi="Times New Roman" w:eastAsia="仿宋_GB2312" w:cs="Times New Roman"/>
          <w:color w:val="auto"/>
          <w:sz w:val="32"/>
          <w:szCs w:val="32"/>
          <w:highlight w:val="none"/>
        </w:rPr>
        <w:t>合同价</w:t>
      </w:r>
      <w:r>
        <w:rPr>
          <w:rFonts w:hint="default" w:ascii="Times New Roman" w:hAnsi="Times New Roman" w:eastAsia="仿宋_GB2312" w:cs="Times New Roman"/>
          <w:color w:val="auto"/>
          <w:sz w:val="32"/>
          <w:szCs w:val="32"/>
          <w:highlight w:val="none"/>
          <w:lang w:eastAsia="zh-CN"/>
        </w:rPr>
        <w:t>2000</w:t>
      </w:r>
      <w:r>
        <w:rPr>
          <w:rFonts w:hint="default" w:ascii="Times New Roman" w:hAnsi="Times New Roman" w:eastAsia="仿宋_GB2312" w:cs="Times New Roman"/>
          <w:color w:val="auto"/>
          <w:sz w:val="32"/>
          <w:szCs w:val="32"/>
          <w:highlight w:val="none"/>
        </w:rPr>
        <w:t>万元及以上（绿化</w:t>
      </w:r>
      <w:r>
        <w:rPr>
          <w:rFonts w:hint="default" w:ascii="Times New Roman" w:hAnsi="Times New Roman" w:eastAsia="仿宋_GB2312" w:cs="Times New Roman"/>
          <w:color w:val="auto"/>
          <w:sz w:val="32"/>
          <w:szCs w:val="32"/>
          <w:highlight w:val="none"/>
          <w:lang w:eastAsia="zh-CN"/>
        </w:rPr>
        <w:t>、园林景观1000</w:t>
      </w:r>
      <w:r>
        <w:rPr>
          <w:rFonts w:hint="default" w:ascii="Times New Roman" w:hAnsi="Times New Roman" w:eastAsia="仿宋_GB2312" w:cs="Times New Roman"/>
          <w:color w:val="auto"/>
          <w:sz w:val="32"/>
          <w:szCs w:val="32"/>
          <w:highlight w:val="none"/>
        </w:rPr>
        <w:t>万元及以上）项目</w:t>
      </w:r>
    </w:p>
    <w:p w14:paraId="0B55380E">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施工单位向跟踪审计单位报送结算资料</w:t>
      </w:r>
      <w:r>
        <w:rPr>
          <w:rFonts w:hint="default" w:ascii="Times New Roman" w:hAnsi="Times New Roman" w:eastAsia="仿宋_GB2312" w:cs="Times New Roman"/>
          <w:color w:val="auto"/>
          <w:sz w:val="32"/>
          <w:szCs w:val="32"/>
          <w:highlight w:val="none"/>
        </w:rPr>
        <w:t>→跟踪审计单位出具</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报告→工程建设科</w:t>
      </w:r>
      <w:r>
        <w:rPr>
          <w:rFonts w:hint="default" w:ascii="Times New Roman" w:hAnsi="Times New Roman" w:eastAsia="仿宋_GB2312" w:cs="Times New Roman"/>
          <w:color w:val="auto"/>
          <w:sz w:val="32"/>
          <w:szCs w:val="32"/>
          <w:highlight w:val="none"/>
          <w:lang w:eastAsia="zh-CN"/>
        </w:rPr>
        <w:t>组织监理、跟审、设计等单位</w:t>
      </w:r>
      <w:r>
        <w:rPr>
          <w:rFonts w:hint="default" w:ascii="Times New Roman" w:hAnsi="Times New Roman" w:eastAsia="仿宋_GB2312" w:cs="Times New Roman"/>
          <w:color w:val="auto"/>
          <w:sz w:val="32"/>
          <w:szCs w:val="32"/>
          <w:highlight w:val="none"/>
        </w:rPr>
        <w:t>审查→跟踪审计单位调整</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报告→综合计划科复核→跟踪审计单位</w:t>
      </w:r>
      <w:r>
        <w:rPr>
          <w:rFonts w:hint="default" w:ascii="Times New Roman" w:hAnsi="Times New Roman" w:eastAsia="仿宋_GB2312" w:cs="Times New Roman"/>
          <w:color w:val="auto"/>
          <w:sz w:val="32"/>
          <w:szCs w:val="32"/>
          <w:highlight w:val="none"/>
          <w:lang w:eastAsia="zh-CN"/>
        </w:rPr>
        <w:t>定稿结算审核</w:t>
      </w:r>
      <w:r>
        <w:rPr>
          <w:rFonts w:hint="default" w:ascii="Times New Roman" w:hAnsi="Times New Roman" w:eastAsia="仿宋_GB2312" w:cs="Times New Roman"/>
          <w:color w:val="auto"/>
          <w:sz w:val="32"/>
          <w:szCs w:val="32"/>
          <w:highlight w:val="none"/>
        </w:rPr>
        <w:t>报告→</w:t>
      </w:r>
      <w:r>
        <w:rPr>
          <w:rFonts w:hint="default" w:ascii="Times New Roman" w:hAnsi="Times New Roman" w:eastAsia="仿宋_GB2312" w:cs="Times New Roman"/>
          <w:color w:val="auto"/>
          <w:sz w:val="32"/>
          <w:szCs w:val="32"/>
          <w:highlight w:val="none"/>
          <w:lang w:eastAsia="zh-CN"/>
        </w:rPr>
        <w:t>工程建设科报</w:t>
      </w:r>
      <w:r>
        <w:rPr>
          <w:rFonts w:hint="default" w:ascii="Times New Roman" w:hAnsi="Times New Roman" w:eastAsia="仿宋_GB2312" w:cs="Times New Roman"/>
          <w:color w:val="auto"/>
          <w:sz w:val="32"/>
          <w:szCs w:val="32"/>
          <w:highlight w:val="none"/>
        </w:rPr>
        <w:t>市财政工程造价审核中心出具审核意见书并备案</w:t>
      </w:r>
      <w:r>
        <w:rPr>
          <w:rFonts w:hint="default" w:ascii="Times New Roman" w:hAnsi="Times New Roman" w:eastAsia="仿宋_GB2312" w:cs="Times New Roman"/>
          <w:color w:val="auto"/>
          <w:sz w:val="32"/>
          <w:szCs w:val="32"/>
          <w:highlight w:val="none"/>
          <w:lang w:eastAsia="zh-CN"/>
        </w:rPr>
        <w:t>存档</w:t>
      </w:r>
      <w:r>
        <w:rPr>
          <w:rFonts w:hint="default" w:ascii="Times New Roman" w:hAnsi="Times New Roman" w:eastAsia="仿宋_GB2312" w:cs="Times New Roman"/>
          <w:color w:val="auto"/>
          <w:sz w:val="32"/>
          <w:szCs w:val="32"/>
          <w:highlight w:val="none"/>
        </w:rPr>
        <w:t>。</w:t>
      </w:r>
    </w:p>
    <w:p w14:paraId="27EC6225">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二</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工程</w:t>
      </w:r>
      <w:r>
        <w:rPr>
          <w:rFonts w:hint="default" w:ascii="Times New Roman" w:hAnsi="Times New Roman" w:eastAsia="仿宋_GB2312" w:cs="Times New Roman"/>
          <w:color w:val="auto"/>
          <w:sz w:val="32"/>
          <w:szCs w:val="32"/>
          <w:highlight w:val="none"/>
        </w:rPr>
        <w:t>合同价</w:t>
      </w:r>
      <w:r>
        <w:rPr>
          <w:rFonts w:hint="default" w:ascii="Times New Roman" w:hAnsi="Times New Roman" w:eastAsia="仿宋_GB2312" w:cs="Times New Roman"/>
          <w:color w:val="auto"/>
          <w:sz w:val="32"/>
          <w:szCs w:val="32"/>
          <w:highlight w:val="none"/>
          <w:lang w:eastAsia="zh-CN"/>
        </w:rPr>
        <w:t>200</w:t>
      </w:r>
      <w:r>
        <w:rPr>
          <w:rFonts w:hint="default" w:ascii="Times New Roman" w:hAnsi="Times New Roman" w:eastAsia="仿宋_GB2312" w:cs="Times New Roman"/>
          <w:color w:val="auto"/>
          <w:sz w:val="32"/>
          <w:szCs w:val="32"/>
          <w:highlight w:val="none"/>
        </w:rPr>
        <w:t>万元（绿化</w:t>
      </w:r>
      <w:r>
        <w:rPr>
          <w:rFonts w:hint="default" w:ascii="Times New Roman" w:hAnsi="Times New Roman" w:eastAsia="仿宋_GB2312" w:cs="Times New Roman"/>
          <w:color w:val="auto"/>
          <w:sz w:val="32"/>
          <w:szCs w:val="32"/>
          <w:highlight w:val="none"/>
          <w:lang w:eastAsia="zh-CN"/>
        </w:rPr>
        <w:t>、园林景观100</w:t>
      </w:r>
      <w:r>
        <w:rPr>
          <w:rFonts w:hint="default" w:ascii="Times New Roman" w:hAnsi="Times New Roman" w:eastAsia="仿宋_GB2312" w:cs="Times New Roman"/>
          <w:color w:val="auto"/>
          <w:sz w:val="32"/>
          <w:szCs w:val="32"/>
          <w:highlight w:val="none"/>
        </w:rPr>
        <w:t>万元）及以上，</w:t>
      </w:r>
      <w:r>
        <w:rPr>
          <w:rFonts w:hint="default" w:ascii="Times New Roman" w:hAnsi="Times New Roman" w:eastAsia="仿宋_GB2312" w:cs="Times New Roman"/>
          <w:color w:val="auto"/>
          <w:sz w:val="32"/>
          <w:szCs w:val="32"/>
          <w:highlight w:val="none"/>
          <w:lang w:eastAsia="zh-CN"/>
        </w:rPr>
        <w:t>2000</w:t>
      </w:r>
      <w:r>
        <w:rPr>
          <w:rFonts w:hint="default" w:ascii="Times New Roman" w:hAnsi="Times New Roman" w:eastAsia="仿宋_GB2312" w:cs="Times New Roman"/>
          <w:color w:val="auto"/>
          <w:sz w:val="32"/>
          <w:szCs w:val="32"/>
          <w:highlight w:val="none"/>
        </w:rPr>
        <w:t>万元（绿化</w:t>
      </w:r>
      <w:r>
        <w:rPr>
          <w:rFonts w:hint="default" w:ascii="Times New Roman" w:hAnsi="Times New Roman" w:eastAsia="仿宋_GB2312" w:cs="Times New Roman"/>
          <w:color w:val="auto"/>
          <w:sz w:val="32"/>
          <w:szCs w:val="32"/>
          <w:highlight w:val="none"/>
          <w:lang w:eastAsia="zh-CN"/>
        </w:rPr>
        <w:t>、园林景观1000</w:t>
      </w:r>
      <w:r>
        <w:rPr>
          <w:rFonts w:hint="default" w:ascii="Times New Roman" w:hAnsi="Times New Roman" w:eastAsia="仿宋_GB2312" w:cs="Times New Roman"/>
          <w:color w:val="auto"/>
          <w:sz w:val="32"/>
          <w:szCs w:val="32"/>
          <w:highlight w:val="none"/>
        </w:rPr>
        <w:t>万元）以下项目</w:t>
      </w:r>
    </w:p>
    <w:p w14:paraId="107B2FCC">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施工单位向跟踪审计单位报送结算资料</w:t>
      </w:r>
      <w:r>
        <w:rPr>
          <w:rFonts w:hint="default" w:ascii="Times New Roman" w:hAnsi="Times New Roman" w:eastAsia="仿宋_GB2312" w:cs="Times New Roman"/>
          <w:color w:val="auto"/>
          <w:sz w:val="32"/>
          <w:szCs w:val="32"/>
          <w:highlight w:val="none"/>
        </w:rPr>
        <w:t>→跟踪审计单位出具</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报告→工程建设科</w:t>
      </w:r>
      <w:r>
        <w:rPr>
          <w:rFonts w:hint="default" w:ascii="Times New Roman" w:hAnsi="Times New Roman" w:eastAsia="仿宋_GB2312" w:cs="Times New Roman"/>
          <w:color w:val="auto"/>
          <w:sz w:val="32"/>
          <w:szCs w:val="32"/>
          <w:highlight w:val="none"/>
          <w:lang w:eastAsia="zh-CN"/>
        </w:rPr>
        <w:t>组织监理、跟审、设计等单位</w:t>
      </w:r>
      <w:r>
        <w:rPr>
          <w:rFonts w:hint="default" w:ascii="Times New Roman" w:hAnsi="Times New Roman" w:eastAsia="仿宋_GB2312" w:cs="Times New Roman"/>
          <w:color w:val="auto"/>
          <w:sz w:val="32"/>
          <w:szCs w:val="32"/>
          <w:highlight w:val="none"/>
        </w:rPr>
        <w:t>审查→跟踪审计单位调整</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报告→综合计划科委托第三方</w:t>
      </w:r>
      <w:r>
        <w:rPr>
          <w:rFonts w:hint="default" w:ascii="Times New Roman" w:hAnsi="Times New Roman" w:eastAsia="仿宋_GB2312" w:cs="Times New Roman"/>
          <w:color w:val="auto"/>
          <w:sz w:val="32"/>
          <w:szCs w:val="32"/>
          <w:highlight w:val="none"/>
          <w:lang w:eastAsia="zh-CN"/>
        </w:rPr>
        <w:t>复审单位</w:t>
      </w:r>
      <w:r>
        <w:rPr>
          <w:rFonts w:hint="default" w:ascii="Times New Roman" w:hAnsi="Times New Roman" w:eastAsia="仿宋_GB2312" w:cs="Times New Roman"/>
          <w:color w:val="auto"/>
          <w:sz w:val="32"/>
          <w:szCs w:val="32"/>
          <w:highlight w:val="none"/>
        </w:rPr>
        <w:t>审核并出具结算审</w:t>
      </w:r>
      <w:r>
        <w:rPr>
          <w:rFonts w:hint="default" w:ascii="Times New Roman" w:hAnsi="Times New Roman" w:eastAsia="仿宋_GB2312" w:cs="Times New Roman"/>
          <w:color w:val="auto"/>
          <w:sz w:val="32"/>
          <w:szCs w:val="32"/>
          <w:highlight w:val="none"/>
          <w:lang w:eastAsia="zh-CN"/>
        </w:rPr>
        <w:t>（复）核</w:t>
      </w:r>
      <w:r>
        <w:rPr>
          <w:rFonts w:hint="default" w:ascii="Times New Roman" w:hAnsi="Times New Roman" w:eastAsia="仿宋_GB2312" w:cs="Times New Roman"/>
          <w:color w:val="auto"/>
          <w:sz w:val="32"/>
          <w:szCs w:val="32"/>
          <w:highlight w:val="none"/>
        </w:rPr>
        <w:t>报告→综合计划科复核→第三方</w:t>
      </w:r>
      <w:r>
        <w:rPr>
          <w:rFonts w:hint="default" w:ascii="Times New Roman" w:hAnsi="Times New Roman" w:eastAsia="仿宋_GB2312" w:cs="Times New Roman"/>
          <w:color w:val="auto"/>
          <w:sz w:val="32"/>
          <w:szCs w:val="32"/>
          <w:highlight w:val="none"/>
          <w:lang w:eastAsia="zh-CN"/>
        </w:rPr>
        <w:t>复审单位</w:t>
      </w:r>
      <w:r>
        <w:rPr>
          <w:rFonts w:hint="default" w:ascii="Times New Roman" w:hAnsi="Times New Roman" w:eastAsia="仿宋_GB2312" w:cs="Times New Roman"/>
          <w:color w:val="auto"/>
          <w:sz w:val="32"/>
          <w:szCs w:val="32"/>
          <w:highlight w:val="none"/>
        </w:rPr>
        <w:t>调整结算审</w:t>
      </w:r>
      <w:r>
        <w:rPr>
          <w:rFonts w:hint="default" w:ascii="Times New Roman" w:hAnsi="Times New Roman" w:eastAsia="仿宋_GB2312" w:cs="Times New Roman"/>
          <w:color w:val="auto"/>
          <w:sz w:val="32"/>
          <w:szCs w:val="32"/>
          <w:highlight w:val="none"/>
          <w:lang w:eastAsia="zh-CN"/>
        </w:rPr>
        <w:t>（复）核</w:t>
      </w:r>
      <w:r>
        <w:rPr>
          <w:rFonts w:hint="default" w:ascii="Times New Roman" w:hAnsi="Times New Roman" w:eastAsia="仿宋_GB2312" w:cs="Times New Roman"/>
          <w:color w:val="auto"/>
          <w:sz w:val="32"/>
          <w:szCs w:val="32"/>
          <w:highlight w:val="none"/>
        </w:rPr>
        <w:t>报告→</w:t>
      </w:r>
      <w:r>
        <w:rPr>
          <w:rFonts w:hint="default" w:ascii="Times New Roman" w:hAnsi="Times New Roman" w:eastAsia="仿宋_GB2312" w:cs="Times New Roman"/>
          <w:color w:val="auto"/>
          <w:sz w:val="32"/>
          <w:szCs w:val="32"/>
          <w:highlight w:val="none"/>
          <w:lang w:eastAsia="zh-CN"/>
        </w:rPr>
        <w:t>工程建设科</w:t>
      </w:r>
      <w:r>
        <w:rPr>
          <w:rFonts w:hint="default" w:ascii="Times New Roman" w:hAnsi="Times New Roman" w:eastAsia="仿宋_GB2312" w:cs="Times New Roman"/>
          <w:color w:val="auto"/>
          <w:sz w:val="32"/>
          <w:szCs w:val="32"/>
          <w:highlight w:val="none"/>
        </w:rPr>
        <w:t>备案</w:t>
      </w:r>
      <w:r>
        <w:rPr>
          <w:rFonts w:hint="default" w:ascii="Times New Roman" w:hAnsi="Times New Roman" w:eastAsia="仿宋_GB2312" w:cs="Times New Roman"/>
          <w:color w:val="auto"/>
          <w:sz w:val="32"/>
          <w:szCs w:val="32"/>
          <w:highlight w:val="none"/>
          <w:lang w:eastAsia="zh-CN"/>
        </w:rPr>
        <w:t>存档</w:t>
      </w:r>
      <w:r>
        <w:rPr>
          <w:rFonts w:hint="default" w:ascii="Times New Roman" w:hAnsi="Times New Roman" w:eastAsia="仿宋_GB2312" w:cs="Times New Roman"/>
          <w:color w:val="auto"/>
          <w:sz w:val="32"/>
          <w:szCs w:val="32"/>
          <w:highlight w:val="none"/>
        </w:rPr>
        <w:t>。</w:t>
      </w:r>
    </w:p>
    <w:p w14:paraId="2FB59B6C">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outlineLvl w:val="0"/>
        <w:rPr>
          <w:rFonts w:hint="default" w:ascii="Times New Roman" w:hAnsi="Times New Roman" w:eastAsia="仿宋_GB2312" w:cs="Times New Roman"/>
          <w:color w:val="auto"/>
          <w:sz w:val="32"/>
          <w:szCs w:val="32"/>
          <w:highlight w:val="none"/>
        </w:rPr>
      </w:pPr>
      <w:bookmarkStart w:id="210" w:name="_Toc2443"/>
      <w:r>
        <w:rPr>
          <w:rFonts w:hint="default" w:ascii="Times New Roman" w:hAnsi="Times New Roman" w:eastAsia="仿宋_GB2312" w:cs="Times New Roman"/>
          <w:color w:val="auto"/>
          <w:sz w:val="32"/>
          <w:szCs w:val="32"/>
          <w:highlight w:val="none"/>
        </w:rPr>
        <w:t>（三）</w:t>
      </w:r>
      <w:r>
        <w:rPr>
          <w:rFonts w:hint="default" w:ascii="Times New Roman" w:hAnsi="Times New Roman" w:eastAsia="仿宋_GB2312" w:cs="Times New Roman"/>
          <w:color w:val="auto"/>
          <w:sz w:val="32"/>
          <w:szCs w:val="32"/>
          <w:highlight w:val="none"/>
          <w:lang w:eastAsia="zh-CN"/>
        </w:rPr>
        <w:t>工程</w:t>
      </w:r>
      <w:r>
        <w:rPr>
          <w:rFonts w:hint="default" w:ascii="Times New Roman" w:hAnsi="Times New Roman" w:eastAsia="仿宋_GB2312" w:cs="Times New Roman"/>
          <w:color w:val="auto"/>
          <w:sz w:val="32"/>
          <w:szCs w:val="32"/>
          <w:highlight w:val="none"/>
        </w:rPr>
        <w:t>合同价</w:t>
      </w:r>
      <w:r>
        <w:rPr>
          <w:rFonts w:hint="default" w:ascii="Times New Roman" w:hAnsi="Times New Roman" w:eastAsia="仿宋_GB2312" w:cs="Times New Roman"/>
          <w:color w:val="auto"/>
          <w:sz w:val="32"/>
          <w:szCs w:val="32"/>
          <w:highlight w:val="none"/>
          <w:lang w:eastAsia="zh-CN"/>
        </w:rPr>
        <w:t>200</w:t>
      </w:r>
      <w:r>
        <w:rPr>
          <w:rFonts w:hint="default" w:ascii="Times New Roman" w:hAnsi="Times New Roman" w:eastAsia="仿宋_GB2312" w:cs="Times New Roman"/>
          <w:color w:val="auto"/>
          <w:sz w:val="32"/>
          <w:szCs w:val="32"/>
          <w:highlight w:val="none"/>
        </w:rPr>
        <w:t>万元（绿化</w:t>
      </w:r>
      <w:r>
        <w:rPr>
          <w:rFonts w:hint="default" w:ascii="Times New Roman" w:hAnsi="Times New Roman" w:eastAsia="仿宋_GB2312" w:cs="Times New Roman"/>
          <w:color w:val="auto"/>
          <w:sz w:val="32"/>
          <w:szCs w:val="32"/>
          <w:highlight w:val="none"/>
          <w:lang w:eastAsia="zh-CN"/>
        </w:rPr>
        <w:t>、园林景观100</w:t>
      </w:r>
      <w:r>
        <w:rPr>
          <w:rFonts w:hint="default" w:ascii="Times New Roman" w:hAnsi="Times New Roman" w:eastAsia="仿宋_GB2312" w:cs="Times New Roman"/>
          <w:color w:val="auto"/>
          <w:sz w:val="32"/>
          <w:szCs w:val="32"/>
          <w:highlight w:val="none"/>
        </w:rPr>
        <w:t>万元）以下项目</w:t>
      </w:r>
      <w:bookmarkEnd w:id="210"/>
    </w:p>
    <w:p w14:paraId="5BB9B67E">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施工单位向跟踪审计单位报送结算资料</w:t>
      </w:r>
      <w:r>
        <w:rPr>
          <w:rFonts w:hint="default" w:ascii="Times New Roman" w:hAnsi="Times New Roman" w:eastAsia="仿宋_GB2312" w:cs="Times New Roman"/>
          <w:color w:val="auto"/>
          <w:sz w:val="32"/>
          <w:szCs w:val="32"/>
          <w:highlight w:val="none"/>
        </w:rPr>
        <w:t>→跟踪审计单位出具</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报告→工程建设科</w:t>
      </w:r>
      <w:r>
        <w:rPr>
          <w:rFonts w:hint="default" w:ascii="Times New Roman" w:hAnsi="Times New Roman" w:eastAsia="仿宋_GB2312" w:cs="Times New Roman"/>
          <w:color w:val="auto"/>
          <w:sz w:val="32"/>
          <w:szCs w:val="32"/>
          <w:highlight w:val="none"/>
          <w:lang w:eastAsia="zh-CN"/>
        </w:rPr>
        <w:t>组织监理、跟审、设计等单位</w:t>
      </w:r>
      <w:r>
        <w:rPr>
          <w:rFonts w:hint="default" w:ascii="Times New Roman" w:hAnsi="Times New Roman" w:eastAsia="仿宋_GB2312" w:cs="Times New Roman"/>
          <w:color w:val="auto"/>
          <w:sz w:val="32"/>
          <w:szCs w:val="32"/>
          <w:highlight w:val="none"/>
        </w:rPr>
        <w:t>审查→综合计划科复核→跟踪审计单位调整</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报告→</w:t>
      </w:r>
      <w:r>
        <w:rPr>
          <w:rFonts w:hint="default" w:ascii="Times New Roman" w:hAnsi="Times New Roman" w:eastAsia="仿宋_GB2312" w:cs="Times New Roman"/>
          <w:color w:val="auto"/>
          <w:sz w:val="32"/>
          <w:szCs w:val="32"/>
          <w:highlight w:val="none"/>
          <w:lang w:eastAsia="zh-CN"/>
        </w:rPr>
        <w:t>工程建设科</w:t>
      </w:r>
      <w:r>
        <w:rPr>
          <w:rFonts w:hint="default" w:ascii="Times New Roman" w:hAnsi="Times New Roman" w:eastAsia="仿宋_GB2312" w:cs="Times New Roman"/>
          <w:color w:val="auto"/>
          <w:sz w:val="32"/>
          <w:szCs w:val="32"/>
          <w:highlight w:val="none"/>
        </w:rPr>
        <w:t>备案</w:t>
      </w:r>
      <w:r>
        <w:rPr>
          <w:rFonts w:hint="default" w:ascii="Times New Roman" w:hAnsi="Times New Roman" w:eastAsia="仿宋_GB2312" w:cs="Times New Roman"/>
          <w:color w:val="auto"/>
          <w:sz w:val="32"/>
          <w:szCs w:val="32"/>
          <w:highlight w:val="none"/>
          <w:lang w:eastAsia="zh-CN"/>
        </w:rPr>
        <w:t>存档</w:t>
      </w:r>
      <w:r>
        <w:rPr>
          <w:rFonts w:hint="default" w:ascii="Times New Roman" w:hAnsi="Times New Roman" w:eastAsia="仿宋_GB2312" w:cs="Times New Roman"/>
          <w:color w:val="auto"/>
          <w:sz w:val="32"/>
          <w:szCs w:val="32"/>
          <w:highlight w:val="none"/>
        </w:rPr>
        <w:t>。</w:t>
      </w:r>
    </w:p>
    <w:p w14:paraId="4FCD7067">
      <w:pPr>
        <w:pStyle w:val="2"/>
        <w:keepNext w:val="0"/>
        <w:keepLines w:val="0"/>
        <w:pageBreakBefore w:val="0"/>
        <w:kinsoku/>
        <w:wordWrap/>
        <w:overflowPunct/>
        <w:topLinePunct w:val="0"/>
        <w:autoSpaceDE/>
        <w:autoSpaceDN/>
        <w:bidi w:val="0"/>
        <w:adjustRightInd/>
        <w:spacing w:line="400" w:lineRule="exact"/>
        <w:ind w:left="0" w:leftChars="0" w:firstLine="640" w:firstLineChars="200"/>
        <w:textAlignment w:val="auto"/>
        <w:rPr>
          <w:rFonts w:hint="default" w:ascii="Times New Roman" w:hAnsi="Times New Roman"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上述限额标准根据市财政局规定同步调整。</w:t>
      </w:r>
    </w:p>
    <w:p w14:paraId="70D76ED3">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color w:val="auto"/>
          <w:kern w:val="36"/>
          <w:sz w:val="32"/>
          <w:szCs w:val="32"/>
          <w:highlight w:val="none"/>
        </w:rPr>
      </w:pPr>
      <w:r>
        <w:rPr>
          <w:rFonts w:hint="default" w:ascii="Times New Roman" w:hAnsi="Times New Roman" w:eastAsia="黑体" w:cs="Times New Roman"/>
          <w:color w:val="auto"/>
          <w:sz w:val="32"/>
          <w:szCs w:val="32"/>
          <w:highlight w:val="none"/>
        </w:rPr>
        <w:t>第三章 业务委托</w:t>
      </w:r>
    </w:p>
    <w:p w14:paraId="7179038E">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eastAsia" w:eastAsia="仿宋_GB2312" w:cs="Times New Roman"/>
          <w:b/>
          <w:bCs/>
          <w:color w:val="auto"/>
          <w:sz w:val="32"/>
          <w:szCs w:val="32"/>
          <w:highlight w:val="none"/>
          <w:lang w:val="en-US" w:eastAsia="zh-CN"/>
        </w:rPr>
        <w:t>五</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公开方式</w:t>
      </w:r>
    </w:p>
    <w:p w14:paraId="393ABEA9">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综合计划科根据项目性质和特点，编制招标文件，经综合计划科</w:t>
      </w:r>
      <w:r>
        <w:rPr>
          <w:rFonts w:hint="default" w:ascii="Times New Roman" w:hAnsi="Times New Roman" w:eastAsia="仿宋_GB2312" w:cs="Times New Roman"/>
          <w:b w:val="0"/>
          <w:bCs w:val="0"/>
          <w:color w:val="auto"/>
          <w:sz w:val="32"/>
          <w:szCs w:val="32"/>
          <w:highlight w:val="none"/>
          <w:lang w:eastAsia="zh-CN"/>
        </w:rPr>
        <w:t>分管</w:t>
      </w:r>
      <w:r>
        <w:rPr>
          <w:rFonts w:hint="default" w:ascii="Times New Roman" w:hAnsi="Times New Roman" w:eastAsia="仿宋_GB2312" w:cs="Times New Roman"/>
          <w:b w:val="0"/>
          <w:bCs w:val="0"/>
          <w:color w:val="auto"/>
          <w:sz w:val="32"/>
          <w:szCs w:val="32"/>
          <w:highlight w:val="none"/>
        </w:rPr>
        <w:t>领导</w:t>
      </w:r>
      <w:r>
        <w:rPr>
          <w:rFonts w:hint="default" w:ascii="Times New Roman" w:hAnsi="Times New Roman" w:eastAsia="仿宋_GB2312" w:cs="Times New Roman"/>
          <w:color w:val="auto"/>
          <w:sz w:val="32"/>
          <w:szCs w:val="32"/>
          <w:highlight w:val="none"/>
        </w:rPr>
        <w:t>批准，在处门户网站公开招标。</w:t>
      </w:r>
    </w:p>
    <w:p w14:paraId="7FDB2833">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kern w:val="0"/>
          <w:sz w:val="32"/>
          <w:szCs w:val="32"/>
          <w:highlight w:val="none"/>
        </w:rPr>
        <w:t>造价企业</w:t>
      </w:r>
      <w:r>
        <w:rPr>
          <w:rFonts w:hint="default" w:ascii="Times New Roman" w:hAnsi="Times New Roman" w:eastAsia="仿宋_GB2312" w:cs="Times New Roman"/>
          <w:color w:val="auto"/>
          <w:kern w:val="0"/>
          <w:sz w:val="32"/>
          <w:szCs w:val="32"/>
          <w:highlight w:val="none"/>
          <w:lang w:eastAsia="zh-CN"/>
        </w:rPr>
        <w:t>自主报名，递交投标文件</w:t>
      </w:r>
      <w:r>
        <w:rPr>
          <w:rFonts w:hint="default" w:ascii="Times New Roman" w:hAnsi="Times New Roman" w:eastAsia="仿宋_GB2312" w:cs="Times New Roman"/>
          <w:color w:val="auto"/>
          <w:sz w:val="32"/>
          <w:szCs w:val="32"/>
          <w:highlight w:val="none"/>
        </w:rPr>
        <w:t>。</w:t>
      </w:r>
    </w:p>
    <w:p w14:paraId="64CA99FA">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项目</w:t>
      </w:r>
      <w:r>
        <w:rPr>
          <w:rFonts w:hint="default" w:ascii="Times New Roman" w:hAnsi="Times New Roman" w:eastAsia="仿宋_GB2312" w:cs="Times New Roman"/>
          <w:color w:val="auto"/>
          <w:sz w:val="32"/>
          <w:szCs w:val="32"/>
          <w:highlight w:val="none"/>
          <w:lang w:eastAsia="zh-CN"/>
        </w:rPr>
        <w:t>开标时</w:t>
      </w:r>
      <w:r>
        <w:rPr>
          <w:rFonts w:hint="default" w:ascii="Times New Roman" w:hAnsi="Times New Roman" w:eastAsia="仿宋_GB2312" w:cs="Times New Roman"/>
          <w:color w:val="auto"/>
          <w:sz w:val="32"/>
          <w:szCs w:val="32"/>
          <w:highlight w:val="none"/>
        </w:rPr>
        <w:t>，综合计划科</w:t>
      </w:r>
      <w:r>
        <w:rPr>
          <w:rFonts w:hint="default" w:ascii="Times New Roman" w:hAnsi="Times New Roman" w:eastAsia="仿宋_GB2312" w:cs="Times New Roman"/>
          <w:color w:val="auto"/>
          <w:sz w:val="32"/>
          <w:szCs w:val="32"/>
          <w:highlight w:val="none"/>
          <w:lang w:eastAsia="zh-CN"/>
        </w:rPr>
        <w:t>组织资格</w:t>
      </w:r>
      <w:r>
        <w:rPr>
          <w:rFonts w:hint="default" w:ascii="Times New Roman" w:hAnsi="Times New Roman" w:eastAsia="仿宋_GB2312" w:cs="Times New Roman"/>
          <w:color w:val="auto"/>
          <w:sz w:val="32"/>
          <w:szCs w:val="32"/>
          <w:highlight w:val="none"/>
        </w:rPr>
        <w:t>审查</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sz w:val="32"/>
          <w:szCs w:val="32"/>
          <w:highlight w:val="none"/>
        </w:rPr>
        <w:t>通过审查</w:t>
      </w:r>
      <w:r>
        <w:rPr>
          <w:rFonts w:hint="default" w:ascii="Times New Roman" w:hAnsi="Times New Roman" w:eastAsia="仿宋_GB2312" w:cs="Times New Roman"/>
          <w:color w:val="auto"/>
          <w:kern w:val="0"/>
          <w:sz w:val="32"/>
          <w:szCs w:val="32"/>
          <w:highlight w:val="none"/>
        </w:rPr>
        <w:t>的</w:t>
      </w:r>
      <w:r>
        <w:rPr>
          <w:rFonts w:hint="default" w:ascii="Times New Roman" w:hAnsi="Times New Roman" w:eastAsia="仿宋_GB2312" w:cs="Times New Roman"/>
          <w:color w:val="auto"/>
          <w:sz w:val="32"/>
          <w:szCs w:val="32"/>
          <w:highlight w:val="none"/>
        </w:rPr>
        <w:t>造价企业</w:t>
      </w:r>
      <w:r>
        <w:rPr>
          <w:rFonts w:hint="default" w:ascii="Times New Roman" w:hAnsi="Times New Roman" w:eastAsia="仿宋_GB2312" w:cs="Times New Roman"/>
          <w:color w:val="auto"/>
          <w:kern w:val="0"/>
          <w:sz w:val="32"/>
          <w:szCs w:val="32"/>
          <w:highlight w:val="none"/>
        </w:rPr>
        <w:t>不</w:t>
      </w:r>
      <w:r>
        <w:rPr>
          <w:rFonts w:hint="default" w:ascii="Times New Roman" w:hAnsi="Times New Roman" w:eastAsia="仿宋_GB2312" w:cs="Times New Roman"/>
          <w:color w:val="auto"/>
          <w:kern w:val="0"/>
          <w:sz w:val="32"/>
          <w:szCs w:val="32"/>
          <w:highlight w:val="none"/>
          <w:lang w:eastAsia="zh-CN"/>
        </w:rPr>
        <w:t>得</w:t>
      </w:r>
      <w:r>
        <w:rPr>
          <w:rFonts w:hint="default" w:ascii="Times New Roman" w:hAnsi="Times New Roman" w:eastAsia="仿宋_GB2312" w:cs="Times New Roman"/>
          <w:color w:val="auto"/>
          <w:kern w:val="0"/>
          <w:sz w:val="32"/>
          <w:szCs w:val="32"/>
          <w:highlight w:val="none"/>
        </w:rPr>
        <w:t>少于三家，否则，再次</w:t>
      </w:r>
      <w:r>
        <w:rPr>
          <w:rFonts w:hint="default" w:ascii="Times New Roman" w:hAnsi="Times New Roman" w:eastAsia="仿宋_GB2312" w:cs="Times New Roman"/>
          <w:color w:val="auto"/>
          <w:sz w:val="32"/>
          <w:szCs w:val="32"/>
          <w:highlight w:val="none"/>
        </w:rPr>
        <w:t>发布项目招标公告，如第二次仍少于三家，可转为竞争性谈判或单一来源采购。</w:t>
      </w:r>
    </w:p>
    <w:p w14:paraId="67145C38">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现场公开</w:t>
      </w:r>
      <w:r>
        <w:rPr>
          <w:rFonts w:hint="default" w:ascii="Times New Roman" w:hAnsi="Times New Roman" w:eastAsia="仿宋_GB2312" w:cs="Times New Roman"/>
          <w:color w:val="auto"/>
          <w:sz w:val="32"/>
          <w:szCs w:val="32"/>
          <w:highlight w:val="none"/>
          <w:lang w:eastAsia="zh-CN"/>
        </w:rPr>
        <w:t>确</w:t>
      </w:r>
      <w:r>
        <w:rPr>
          <w:rFonts w:hint="default" w:ascii="Times New Roman" w:hAnsi="Times New Roman" w:eastAsia="仿宋_GB2312" w:cs="Times New Roman"/>
          <w:color w:val="auto"/>
          <w:sz w:val="32"/>
          <w:szCs w:val="32"/>
          <w:highlight w:val="none"/>
        </w:rPr>
        <w:t>定造价企业，</w:t>
      </w:r>
      <w:r>
        <w:rPr>
          <w:rFonts w:hint="default" w:ascii="Times New Roman" w:hAnsi="Times New Roman" w:eastAsia="仿宋_GB2312" w:cs="Times New Roman"/>
          <w:color w:val="auto"/>
          <w:sz w:val="32"/>
          <w:szCs w:val="32"/>
          <w:highlight w:val="none"/>
          <w:lang w:eastAsia="zh-CN"/>
        </w:rPr>
        <w:t>中标</w:t>
      </w:r>
      <w:r>
        <w:rPr>
          <w:rFonts w:hint="default" w:ascii="Times New Roman" w:hAnsi="Times New Roman" w:eastAsia="仿宋_GB2312" w:cs="Times New Roman"/>
          <w:color w:val="auto"/>
          <w:sz w:val="32"/>
          <w:szCs w:val="32"/>
          <w:highlight w:val="none"/>
        </w:rPr>
        <w:t>结果在处门户网站公示。</w:t>
      </w:r>
    </w:p>
    <w:p w14:paraId="4F6CD7C4">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(五)</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公示期满无异议，综合计划科发</w:t>
      </w:r>
      <w:r>
        <w:rPr>
          <w:rFonts w:hint="default" w:ascii="Times New Roman" w:hAnsi="Times New Roman" w:eastAsia="仿宋_GB2312" w:cs="Times New Roman"/>
          <w:color w:val="auto"/>
          <w:sz w:val="32"/>
          <w:szCs w:val="32"/>
          <w:highlight w:val="none"/>
          <w:lang w:eastAsia="zh-CN"/>
        </w:rPr>
        <w:t>中标</w:t>
      </w:r>
      <w:r>
        <w:rPr>
          <w:rFonts w:hint="default" w:ascii="Times New Roman" w:hAnsi="Times New Roman" w:eastAsia="仿宋_GB2312" w:cs="Times New Roman"/>
          <w:color w:val="auto"/>
          <w:sz w:val="32"/>
          <w:szCs w:val="32"/>
          <w:highlight w:val="none"/>
        </w:rPr>
        <w:t>通知书，与造价企业签订合同。</w:t>
      </w:r>
    </w:p>
    <w:p w14:paraId="54982722">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eastAsia" w:eastAsia="仿宋_GB2312" w:cs="Times New Roman"/>
          <w:b/>
          <w:bCs/>
          <w:color w:val="auto"/>
          <w:sz w:val="32"/>
          <w:szCs w:val="32"/>
          <w:highlight w:val="none"/>
          <w:lang w:val="en-US" w:eastAsia="zh-CN"/>
        </w:rPr>
        <w:t>六</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邀请方式</w:t>
      </w:r>
    </w:p>
    <w:p w14:paraId="5DD7E6E7">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综合计划科根据项目性质和特点，筛选、</w:t>
      </w:r>
      <w:r>
        <w:rPr>
          <w:rFonts w:hint="default" w:ascii="Times New Roman" w:hAnsi="Times New Roman" w:eastAsia="仿宋_GB2312" w:cs="Times New Roman"/>
          <w:color w:val="auto"/>
          <w:sz w:val="32"/>
          <w:szCs w:val="32"/>
          <w:highlight w:val="none"/>
          <w:lang w:eastAsia="zh-CN"/>
        </w:rPr>
        <w:t>初审</w:t>
      </w:r>
      <w:r>
        <w:rPr>
          <w:rFonts w:hint="default" w:ascii="Times New Roman" w:hAnsi="Times New Roman" w:eastAsia="仿宋_GB2312" w:cs="Times New Roman"/>
          <w:color w:val="auto"/>
          <w:sz w:val="32"/>
          <w:szCs w:val="32"/>
          <w:highlight w:val="none"/>
        </w:rPr>
        <w:t>并推荐不少于</w:t>
      </w:r>
      <w:r>
        <w:rPr>
          <w:rFonts w:hint="default" w:ascii="Times New Roman" w:hAnsi="Times New Roman" w:eastAsia="仿宋_GB2312" w:cs="Times New Roman"/>
          <w:color w:val="auto"/>
          <w:sz w:val="32"/>
          <w:szCs w:val="32"/>
          <w:highlight w:val="none"/>
          <w:lang w:eastAsia="zh-CN"/>
        </w:rPr>
        <w:t>五</w:t>
      </w:r>
      <w:r>
        <w:rPr>
          <w:rFonts w:hint="default" w:ascii="Times New Roman" w:hAnsi="Times New Roman" w:eastAsia="仿宋_GB2312" w:cs="Times New Roman"/>
          <w:color w:val="auto"/>
          <w:sz w:val="32"/>
          <w:szCs w:val="32"/>
          <w:highlight w:val="none"/>
        </w:rPr>
        <w:t>家造价企业，综合计划科分管领导</w:t>
      </w:r>
      <w:r>
        <w:rPr>
          <w:rFonts w:hint="default" w:ascii="Times New Roman" w:hAnsi="Times New Roman" w:eastAsia="仿宋_GB2312" w:cs="Times New Roman"/>
          <w:color w:val="auto"/>
          <w:sz w:val="32"/>
          <w:szCs w:val="32"/>
          <w:highlight w:val="none"/>
          <w:lang w:eastAsia="zh-CN"/>
        </w:rPr>
        <w:t>组织审查，报</w:t>
      </w:r>
      <w:r>
        <w:rPr>
          <w:rFonts w:hint="default" w:ascii="Times New Roman" w:hAnsi="Times New Roman" w:eastAsia="仿宋_GB2312" w:cs="Times New Roman"/>
          <w:color w:val="auto"/>
          <w:sz w:val="32"/>
          <w:szCs w:val="32"/>
          <w:highlight w:val="none"/>
        </w:rPr>
        <w:t>主要领导</w:t>
      </w:r>
      <w:r>
        <w:rPr>
          <w:rFonts w:hint="default" w:ascii="Times New Roman" w:hAnsi="Times New Roman" w:eastAsia="仿宋_GB2312" w:cs="Times New Roman"/>
          <w:color w:val="auto"/>
          <w:sz w:val="32"/>
          <w:szCs w:val="32"/>
          <w:highlight w:val="none"/>
          <w:lang w:eastAsia="zh-CN"/>
        </w:rPr>
        <w:t>批准后</w:t>
      </w:r>
      <w:r>
        <w:rPr>
          <w:rFonts w:hint="default" w:ascii="Times New Roman" w:hAnsi="Times New Roman" w:eastAsia="仿宋_GB2312" w:cs="Times New Roman"/>
          <w:color w:val="auto"/>
          <w:sz w:val="32"/>
          <w:szCs w:val="32"/>
          <w:highlight w:val="none"/>
        </w:rPr>
        <w:t>向被推荐企业发出邀请。</w:t>
      </w:r>
    </w:p>
    <w:p w14:paraId="37F6A86A">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(二)</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被推荐的造价企业按照要求，参加项目竞价</w:t>
      </w:r>
      <w:r>
        <w:rPr>
          <w:rFonts w:hint="default" w:ascii="Times New Roman" w:hAnsi="Times New Roman" w:eastAsia="仿宋_GB2312" w:cs="Times New Roman"/>
          <w:color w:val="auto"/>
          <w:sz w:val="32"/>
          <w:szCs w:val="32"/>
          <w:highlight w:val="none"/>
          <w:lang w:eastAsia="zh-CN"/>
        </w:rPr>
        <w:t>。</w:t>
      </w:r>
    </w:p>
    <w:p w14:paraId="56F4E9D0">
      <w:pPr>
        <w:keepNext w:val="0"/>
        <w:keepLines w:val="0"/>
        <w:pageBreakBefore w:val="0"/>
        <w:kinsoku/>
        <w:wordWrap/>
        <w:overflowPunct/>
        <w:topLinePunct w:val="0"/>
        <w:autoSpaceDE/>
        <w:autoSpaceDN/>
        <w:bidi w:val="0"/>
        <w:adjustRightInd/>
        <w:spacing w:line="400"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综合计划科发</w:t>
      </w:r>
      <w:r>
        <w:rPr>
          <w:rFonts w:hint="default" w:ascii="Times New Roman" w:hAnsi="Times New Roman" w:eastAsia="仿宋_GB2312" w:cs="Times New Roman"/>
          <w:color w:val="auto"/>
          <w:sz w:val="32"/>
          <w:szCs w:val="32"/>
          <w:highlight w:val="none"/>
          <w:lang w:eastAsia="zh-CN"/>
        </w:rPr>
        <w:t>中标</w:t>
      </w:r>
      <w:r>
        <w:rPr>
          <w:rFonts w:hint="default" w:ascii="Times New Roman" w:hAnsi="Times New Roman" w:eastAsia="仿宋_GB2312" w:cs="Times New Roman"/>
          <w:color w:val="auto"/>
          <w:sz w:val="32"/>
          <w:szCs w:val="32"/>
          <w:highlight w:val="none"/>
        </w:rPr>
        <w:t>通知书，与造价企业签订合同。</w:t>
      </w:r>
    </w:p>
    <w:p w14:paraId="64F25C78">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eastAsia" w:eastAsia="仿宋_GB2312" w:cs="Times New Roman"/>
          <w:b/>
          <w:bCs/>
          <w:color w:val="auto"/>
          <w:sz w:val="32"/>
          <w:szCs w:val="32"/>
          <w:highlight w:val="none"/>
          <w:lang w:val="en-US" w:eastAsia="zh-CN"/>
        </w:rPr>
        <w:t>七</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指定方式</w:t>
      </w:r>
    </w:p>
    <w:p w14:paraId="712343EE">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涉铁、涉军、涉密、电力、供水、燃气、古建筑、智能化等特殊项目，</w:t>
      </w:r>
      <w:r>
        <w:rPr>
          <w:rFonts w:hint="default" w:ascii="Times New Roman" w:hAnsi="Times New Roman" w:eastAsia="仿宋_GB2312" w:cs="Times New Roman"/>
          <w:color w:val="auto"/>
          <w:sz w:val="32"/>
          <w:szCs w:val="32"/>
          <w:highlight w:val="none"/>
          <w:lang w:eastAsia="zh-CN"/>
        </w:rPr>
        <w:t>且</w:t>
      </w:r>
      <w:r>
        <w:rPr>
          <w:rFonts w:hint="default" w:ascii="Times New Roman" w:hAnsi="Times New Roman" w:eastAsia="仿宋_GB2312" w:cs="Times New Roman"/>
          <w:color w:val="auto"/>
          <w:sz w:val="32"/>
          <w:szCs w:val="32"/>
          <w:highlight w:val="none"/>
        </w:rPr>
        <w:t>只有</w:t>
      </w:r>
      <w:r>
        <w:rPr>
          <w:rFonts w:hint="default" w:ascii="Times New Roman" w:hAnsi="Times New Roman" w:eastAsia="仿宋_GB2312" w:cs="Times New Roman"/>
          <w:color w:val="auto"/>
          <w:sz w:val="32"/>
          <w:szCs w:val="32"/>
          <w:highlight w:val="none"/>
          <w:lang w:eastAsia="zh-CN"/>
        </w:rPr>
        <w:t>极</w:t>
      </w:r>
      <w:r>
        <w:rPr>
          <w:rFonts w:hint="default" w:ascii="Times New Roman" w:hAnsi="Times New Roman" w:eastAsia="仿宋_GB2312" w:cs="Times New Roman"/>
          <w:color w:val="auto"/>
          <w:sz w:val="32"/>
          <w:szCs w:val="32"/>
          <w:highlight w:val="none"/>
        </w:rPr>
        <w:t>少量潜在造价企业可供选择的，由综合计划科选择具备相应</w:t>
      </w:r>
      <w:r>
        <w:rPr>
          <w:rFonts w:hint="default" w:ascii="Times New Roman" w:hAnsi="Times New Roman" w:eastAsia="仿宋_GB2312" w:cs="Times New Roman"/>
          <w:color w:val="auto"/>
          <w:sz w:val="32"/>
          <w:szCs w:val="32"/>
          <w:highlight w:val="none"/>
          <w:lang w:eastAsia="zh-CN"/>
        </w:rPr>
        <w:t>业务能力</w:t>
      </w:r>
      <w:r>
        <w:rPr>
          <w:rFonts w:hint="default" w:ascii="Times New Roman" w:hAnsi="Times New Roman" w:eastAsia="仿宋_GB2312" w:cs="Times New Roman"/>
          <w:color w:val="auto"/>
          <w:sz w:val="32"/>
          <w:szCs w:val="32"/>
          <w:highlight w:val="none"/>
        </w:rPr>
        <w:t>的造价企业，经综合计划科分管领导</w:t>
      </w:r>
      <w:r>
        <w:rPr>
          <w:rFonts w:hint="default" w:ascii="Times New Roman" w:hAnsi="Times New Roman" w:eastAsia="仿宋_GB2312" w:cs="Times New Roman"/>
          <w:color w:val="auto"/>
          <w:sz w:val="32"/>
          <w:szCs w:val="32"/>
          <w:highlight w:val="none"/>
          <w:lang w:eastAsia="zh-CN"/>
        </w:rPr>
        <w:t>审核</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报</w:t>
      </w:r>
      <w:r>
        <w:rPr>
          <w:rFonts w:hint="default" w:ascii="Times New Roman" w:hAnsi="Times New Roman" w:eastAsia="仿宋_GB2312" w:cs="Times New Roman"/>
          <w:color w:val="auto"/>
          <w:sz w:val="32"/>
          <w:szCs w:val="32"/>
          <w:highlight w:val="none"/>
        </w:rPr>
        <w:t>主任办公会研究通过后进行委托。</w:t>
      </w:r>
    </w:p>
    <w:p w14:paraId="0872B47B">
      <w:pPr>
        <w:pStyle w:val="2"/>
        <w:keepNext w:val="0"/>
        <w:keepLines w:val="0"/>
        <w:pageBreakBefore w:val="0"/>
        <w:kinsoku/>
        <w:wordWrap/>
        <w:overflowPunct/>
        <w:topLinePunct w:val="0"/>
        <w:autoSpaceDE/>
        <w:autoSpaceDN/>
        <w:bidi w:val="0"/>
        <w:adjustRightInd/>
        <w:spacing w:line="400" w:lineRule="exact"/>
        <w:ind w:left="0" w:leftChars="0" w:firstLine="643"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eastAsia="zh-CN"/>
        </w:rPr>
        <w:t>第</w:t>
      </w:r>
      <w:r>
        <w:rPr>
          <w:rFonts w:hint="eastAsia" w:eastAsia="仿宋_GB2312" w:cs="Times New Roman"/>
          <w:b/>
          <w:bCs/>
          <w:color w:val="auto"/>
          <w:sz w:val="32"/>
          <w:szCs w:val="32"/>
          <w:highlight w:val="none"/>
          <w:lang w:val="en-US" w:eastAsia="zh-CN"/>
        </w:rPr>
        <w:t>八</w:t>
      </w:r>
      <w:r>
        <w:rPr>
          <w:rFonts w:hint="default" w:ascii="Times New Roman" w:hAnsi="Times New Roman" w:eastAsia="仿宋_GB2312" w:cs="Times New Roman"/>
          <w:b/>
          <w:bCs/>
          <w:color w:val="auto"/>
          <w:sz w:val="32"/>
          <w:szCs w:val="32"/>
          <w:highlight w:val="none"/>
          <w:lang w:eastAsia="zh-CN"/>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工程</w:t>
      </w:r>
      <w:r>
        <w:rPr>
          <w:rFonts w:hint="default" w:ascii="Times New Roman" w:hAnsi="Times New Roman" w:eastAsia="仿宋_GB2312" w:cs="Times New Roman"/>
          <w:color w:val="auto"/>
          <w:kern w:val="0"/>
          <w:sz w:val="32"/>
          <w:szCs w:val="32"/>
          <w:highlight w:val="none"/>
        </w:rPr>
        <w:t>造价咨询服务</w:t>
      </w:r>
      <w:r>
        <w:rPr>
          <w:rFonts w:hint="default" w:ascii="Times New Roman" w:hAnsi="Times New Roman" w:eastAsia="仿宋_GB2312" w:cs="Times New Roman"/>
          <w:color w:val="auto"/>
          <w:sz w:val="32"/>
          <w:szCs w:val="32"/>
          <w:highlight w:val="none"/>
        </w:rPr>
        <w:t>费单项合同估算价</w:t>
      </w:r>
      <w:r>
        <w:rPr>
          <w:rFonts w:hint="default"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rPr>
        <w:t>万元及以上项目</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综合计划科根据项目性质和特点，编制招标文件，经综合计划科分管领导</w:t>
      </w:r>
      <w:r>
        <w:rPr>
          <w:rFonts w:hint="default" w:ascii="Times New Roman" w:hAnsi="Times New Roman" w:eastAsia="仿宋_GB2312" w:cs="Times New Roman"/>
          <w:color w:val="auto"/>
          <w:sz w:val="32"/>
          <w:szCs w:val="32"/>
          <w:highlight w:val="none"/>
          <w:lang w:eastAsia="zh-CN"/>
        </w:rPr>
        <w:t>审核</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报主要领导批准后在市公共资源交易中心</w:t>
      </w:r>
      <w:r>
        <w:rPr>
          <w:rFonts w:hint="default" w:ascii="Times New Roman" w:hAnsi="Times New Roman" w:eastAsia="仿宋_GB2312" w:cs="Times New Roman"/>
          <w:color w:val="auto"/>
          <w:sz w:val="32"/>
          <w:szCs w:val="32"/>
          <w:highlight w:val="none"/>
        </w:rPr>
        <w:t>公开招标。</w:t>
      </w:r>
    </w:p>
    <w:p w14:paraId="7749E4BF">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color w:val="auto"/>
          <w:kern w:val="36"/>
          <w:sz w:val="32"/>
          <w:szCs w:val="32"/>
          <w:highlight w:val="none"/>
        </w:rPr>
      </w:pPr>
      <w:r>
        <w:rPr>
          <w:rFonts w:hint="default" w:ascii="Times New Roman" w:hAnsi="Times New Roman" w:eastAsia="黑体" w:cs="Times New Roman"/>
          <w:color w:val="auto"/>
          <w:sz w:val="32"/>
          <w:szCs w:val="32"/>
          <w:highlight w:val="none"/>
        </w:rPr>
        <w:t>第四章 服务费用</w:t>
      </w:r>
    </w:p>
    <w:p w14:paraId="0FBC5D48">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rPr>
        <w:t>第</w:t>
      </w:r>
      <w:r>
        <w:rPr>
          <w:rFonts w:hint="eastAsia" w:eastAsia="仿宋_GB2312" w:cs="Times New Roman"/>
          <w:b/>
          <w:bCs/>
          <w:color w:val="auto"/>
          <w:sz w:val="32"/>
          <w:szCs w:val="32"/>
          <w:highlight w:val="none"/>
          <w:lang w:val="en-US" w:eastAsia="zh-CN"/>
        </w:rPr>
        <w:t>九</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eastAsia="zh-CN"/>
        </w:rPr>
        <w:t>清单编制服务费用、投资估算、设计概算等</w:t>
      </w:r>
      <w:r>
        <w:rPr>
          <w:rFonts w:hint="default" w:ascii="Times New Roman" w:hAnsi="Times New Roman" w:eastAsia="仿宋_GB2312" w:cs="Times New Roman"/>
          <w:color w:val="auto"/>
          <w:sz w:val="32"/>
          <w:szCs w:val="32"/>
          <w:highlight w:val="none"/>
        </w:rPr>
        <w:t>其他工程造价咨询服务</w:t>
      </w:r>
      <w:r>
        <w:rPr>
          <w:rFonts w:hint="default" w:ascii="Times New Roman" w:hAnsi="Times New Roman" w:eastAsia="仿宋_GB2312" w:cs="Times New Roman"/>
          <w:color w:val="auto"/>
          <w:kern w:val="0"/>
          <w:sz w:val="32"/>
          <w:szCs w:val="32"/>
          <w:highlight w:val="none"/>
        </w:rPr>
        <w:t>费</w:t>
      </w:r>
      <w:r>
        <w:rPr>
          <w:rFonts w:hint="default" w:ascii="Times New Roman" w:hAnsi="Times New Roman" w:eastAsia="仿宋_GB2312" w:cs="Times New Roman"/>
          <w:color w:val="auto"/>
          <w:sz w:val="32"/>
          <w:szCs w:val="32"/>
          <w:highlight w:val="none"/>
          <w:lang w:eastAsia="zh-CN"/>
        </w:rPr>
        <w:t>参照执行《安徽省建设工程造价咨询服务项目及收费标准》（皖价服</w:t>
      </w:r>
      <w:r>
        <w:rPr>
          <w:rFonts w:hint="default" w:ascii="Times New Roman" w:hAnsi="Times New Roman" w:eastAsia="仿宋" w:cs="Times New Roman"/>
          <w:color w:val="auto"/>
          <w:sz w:val="32"/>
          <w:szCs w:val="32"/>
          <w:highlight w:val="none"/>
          <w:shd w:val="clear" w:color="auto" w:fill="auto"/>
        </w:rPr>
        <w:t>〔</w:t>
      </w:r>
      <w:r>
        <w:rPr>
          <w:rFonts w:hint="default" w:ascii="Times New Roman" w:hAnsi="Times New Roman" w:eastAsia="仿宋" w:cs="Times New Roman"/>
          <w:color w:val="auto"/>
          <w:sz w:val="32"/>
          <w:szCs w:val="32"/>
          <w:highlight w:val="none"/>
          <w:shd w:val="clear" w:color="auto" w:fill="auto"/>
          <w:lang w:eastAsia="zh-CN"/>
        </w:rPr>
        <w:t>20</w:t>
      </w:r>
      <w:r>
        <w:rPr>
          <w:rFonts w:hint="default" w:ascii="Times New Roman" w:hAnsi="Times New Roman" w:eastAsia="仿宋" w:cs="Times New Roman"/>
          <w:color w:val="auto"/>
          <w:sz w:val="32"/>
          <w:szCs w:val="32"/>
          <w:highlight w:val="none"/>
          <w:shd w:val="clear" w:color="auto" w:fill="auto"/>
          <w:lang w:val="en-US" w:eastAsia="zh-CN"/>
        </w:rPr>
        <w:t>07</w:t>
      </w:r>
      <w:r>
        <w:rPr>
          <w:rFonts w:hint="default" w:ascii="Times New Roman" w:hAnsi="Times New Roman" w:eastAsia="仿宋" w:cs="Times New Roman"/>
          <w:color w:val="auto"/>
          <w:sz w:val="32"/>
          <w:szCs w:val="32"/>
          <w:highlight w:val="none"/>
          <w:shd w:val="clear" w:color="auto" w:fill="auto"/>
        </w:rPr>
        <w:t>〕</w:t>
      </w:r>
      <w:r>
        <w:rPr>
          <w:rFonts w:hint="default" w:ascii="Times New Roman" w:hAnsi="Times New Roman" w:eastAsia="仿宋_GB2312" w:cs="Times New Roman"/>
          <w:color w:val="auto"/>
          <w:sz w:val="32"/>
          <w:szCs w:val="32"/>
          <w:highlight w:val="none"/>
          <w:lang w:val="en-US" w:eastAsia="zh-CN"/>
        </w:rPr>
        <w:t>86号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bCs/>
          <w:color w:val="auto"/>
          <w:sz w:val="32"/>
          <w:szCs w:val="32"/>
          <w:highlight w:val="none"/>
          <w:lang w:eastAsia="zh-CN"/>
        </w:rPr>
        <w:t>清单编制服务费由综合计划科按照工程难易程度提出下浮率（一般为</w:t>
      </w:r>
      <w:r>
        <w:rPr>
          <w:rFonts w:hint="default" w:ascii="Times New Roman" w:hAnsi="Times New Roman" w:eastAsia="仿宋_GB2312" w:cs="Times New Roman"/>
          <w:b/>
          <w:bCs/>
          <w:color w:val="auto"/>
          <w:sz w:val="32"/>
          <w:szCs w:val="32"/>
          <w:highlight w:val="none"/>
          <w:lang w:val="en-US" w:eastAsia="zh-CN"/>
        </w:rPr>
        <w:t>40%-60%）</w:t>
      </w:r>
      <w:r>
        <w:rPr>
          <w:rFonts w:hint="default"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b/>
          <w:bCs/>
          <w:color w:val="auto"/>
          <w:sz w:val="32"/>
          <w:szCs w:val="32"/>
          <w:highlight w:val="none"/>
        </w:rPr>
        <w:t>经综合计划科分管领导</w:t>
      </w:r>
      <w:r>
        <w:rPr>
          <w:rFonts w:hint="default" w:ascii="Times New Roman" w:hAnsi="Times New Roman" w:eastAsia="仿宋_GB2312" w:cs="Times New Roman"/>
          <w:b/>
          <w:bCs/>
          <w:color w:val="auto"/>
          <w:sz w:val="32"/>
          <w:szCs w:val="32"/>
          <w:highlight w:val="none"/>
          <w:lang w:eastAsia="zh-CN"/>
        </w:rPr>
        <w:t>批准后实施。特别复杂或特殊的项目报主任办公会研究通过后可不下浮。</w:t>
      </w:r>
    </w:p>
    <w:p w14:paraId="72C06B6C">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第十条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项目跟踪审计、结算审核固定费率执行下列标准：</w:t>
      </w:r>
    </w:p>
    <w:p w14:paraId="1ED0092D">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项目跟踪审计服务费标准</w:t>
      </w:r>
    </w:p>
    <w:tbl>
      <w:tblPr>
        <w:tblStyle w:val="45"/>
        <w:tblW w:w="8247" w:type="dxa"/>
        <w:jc w:val="center"/>
        <w:tblLayout w:type="fixed"/>
        <w:tblCellMar>
          <w:top w:w="0" w:type="dxa"/>
          <w:left w:w="108" w:type="dxa"/>
          <w:bottom w:w="0" w:type="dxa"/>
          <w:right w:w="108" w:type="dxa"/>
        </w:tblCellMar>
      </w:tblPr>
      <w:tblGrid>
        <w:gridCol w:w="3685"/>
        <w:gridCol w:w="2262"/>
        <w:gridCol w:w="2300"/>
      </w:tblGrid>
      <w:tr w14:paraId="56CFC27E">
        <w:tblPrEx>
          <w:tblCellMar>
            <w:top w:w="0" w:type="dxa"/>
            <w:left w:w="108" w:type="dxa"/>
            <w:bottom w:w="0" w:type="dxa"/>
            <w:right w:w="108" w:type="dxa"/>
          </w:tblCellMar>
        </w:tblPrEx>
        <w:trPr>
          <w:trHeight w:val="700" w:hRule="atLeast"/>
          <w:jc w:val="center"/>
        </w:trPr>
        <w:tc>
          <w:tcPr>
            <w:tcW w:w="3685" w:type="dxa"/>
            <w:tcBorders>
              <w:top w:val="single" w:color="auto" w:sz="4" w:space="0"/>
              <w:left w:val="single" w:color="auto" w:sz="4" w:space="0"/>
              <w:bottom w:val="single" w:color="auto" w:sz="4" w:space="0"/>
              <w:right w:val="single" w:color="auto" w:sz="4" w:space="0"/>
            </w:tcBorders>
            <w:noWrap w:val="0"/>
            <w:vAlign w:val="center"/>
          </w:tcPr>
          <w:p w14:paraId="00EA875B">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工程造价金额（万元）</w:t>
            </w:r>
          </w:p>
        </w:tc>
        <w:tc>
          <w:tcPr>
            <w:tcW w:w="2262" w:type="dxa"/>
            <w:tcBorders>
              <w:top w:val="single" w:color="auto" w:sz="4" w:space="0"/>
              <w:left w:val="single" w:color="auto" w:sz="4" w:space="0"/>
              <w:bottom w:val="single" w:color="auto" w:sz="4" w:space="0"/>
              <w:right w:val="single" w:color="auto" w:sz="4" w:space="0"/>
            </w:tcBorders>
            <w:noWrap w:val="0"/>
            <w:vAlign w:val="center"/>
          </w:tcPr>
          <w:p w14:paraId="6768ACB5">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基本费</w:t>
            </w:r>
          </w:p>
        </w:tc>
        <w:tc>
          <w:tcPr>
            <w:tcW w:w="2300" w:type="dxa"/>
            <w:tcBorders>
              <w:top w:val="single" w:color="auto" w:sz="4" w:space="0"/>
              <w:left w:val="nil"/>
              <w:bottom w:val="single" w:color="auto" w:sz="4" w:space="0"/>
              <w:right w:val="single" w:color="auto" w:sz="4" w:space="0"/>
            </w:tcBorders>
            <w:noWrap w:val="0"/>
            <w:vAlign w:val="center"/>
          </w:tcPr>
          <w:p w14:paraId="3DF9F5D0">
            <w:pPr>
              <w:keepNext w:val="0"/>
              <w:keepLines w:val="0"/>
              <w:pageBreakBefore w:val="0"/>
              <w:widowControl/>
              <w:kinsoku/>
              <w:wordWrap/>
              <w:overflowPunct/>
              <w:topLinePunct w:val="0"/>
              <w:autoSpaceDE/>
              <w:autoSpaceDN/>
              <w:bidi w:val="0"/>
              <w:adjustRightInd/>
              <w:spacing w:line="400" w:lineRule="exact"/>
              <w:ind w:left="0" w:leftChars="0" w:firstLine="320" w:firstLineChars="1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审核成果费</w:t>
            </w:r>
          </w:p>
        </w:tc>
      </w:tr>
      <w:tr w14:paraId="4E895913">
        <w:tblPrEx>
          <w:tblCellMar>
            <w:top w:w="0" w:type="dxa"/>
            <w:left w:w="108" w:type="dxa"/>
            <w:bottom w:w="0" w:type="dxa"/>
            <w:right w:w="108" w:type="dxa"/>
          </w:tblCellMar>
        </w:tblPrEx>
        <w:trPr>
          <w:trHeight w:val="430" w:hRule="atLeast"/>
          <w:jc w:val="center"/>
        </w:trPr>
        <w:tc>
          <w:tcPr>
            <w:tcW w:w="3685" w:type="dxa"/>
            <w:tcBorders>
              <w:top w:val="single" w:color="auto" w:sz="4" w:space="0"/>
              <w:left w:val="single" w:color="auto" w:sz="4" w:space="0"/>
              <w:bottom w:val="single" w:color="auto" w:sz="4" w:space="0"/>
              <w:right w:val="single" w:color="auto" w:sz="4" w:space="0"/>
            </w:tcBorders>
            <w:noWrap w:val="0"/>
            <w:vAlign w:val="center"/>
          </w:tcPr>
          <w:p w14:paraId="6E066D37">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1000</w:t>
            </w:r>
            <w:r>
              <w:rPr>
                <w:rFonts w:hint="default" w:ascii="Times New Roman" w:hAnsi="Times New Roman" w:eastAsia="仿宋_GB2312" w:cs="Times New Roman"/>
                <w:color w:val="auto"/>
                <w:kern w:val="0"/>
                <w:sz w:val="32"/>
                <w:szCs w:val="32"/>
                <w:highlight w:val="none"/>
              </w:rPr>
              <w:t>以内（含）</w:t>
            </w:r>
          </w:p>
        </w:tc>
        <w:tc>
          <w:tcPr>
            <w:tcW w:w="2262" w:type="dxa"/>
            <w:tcBorders>
              <w:top w:val="single" w:color="auto" w:sz="4" w:space="0"/>
              <w:left w:val="single" w:color="auto" w:sz="4" w:space="0"/>
              <w:bottom w:val="single" w:color="auto" w:sz="4" w:space="0"/>
              <w:right w:val="single" w:color="auto" w:sz="4" w:space="0"/>
            </w:tcBorders>
            <w:noWrap w:val="0"/>
            <w:vAlign w:val="center"/>
          </w:tcPr>
          <w:p w14:paraId="27B8094F">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3</w:t>
            </w:r>
            <w:r>
              <w:rPr>
                <w:rFonts w:hint="default" w:ascii="Times New Roman" w:hAnsi="Times New Roman" w:eastAsia="仿宋_GB2312" w:cs="Times New Roman"/>
                <w:color w:val="auto"/>
                <w:kern w:val="0"/>
                <w:sz w:val="32"/>
                <w:szCs w:val="32"/>
                <w:highlight w:val="none"/>
              </w:rPr>
              <w:t>‰</w:t>
            </w:r>
          </w:p>
        </w:tc>
        <w:tc>
          <w:tcPr>
            <w:tcW w:w="2300" w:type="dxa"/>
            <w:tcBorders>
              <w:top w:val="nil"/>
              <w:left w:val="nil"/>
              <w:bottom w:val="single" w:color="auto" w:sz="4" w:space="0"/>
              <w:right w:val="single" w:color="auto" w:sz="4" w:space="0"/>
            </w:tcBorders>
            <w:noWrap w:val="0"/>
            <w:vAlign w:val="center"/>
          </w:tcPr>
          <w:p w14:paraId="6BBDE8AA">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682E7A7A">
        <w:tblPrEx>
          <w:tblCellMar>
            <w:top w:w="0" w:type="dxa"/>
            <w:left w:w="108" w:type="dxa"/>
            <w:bottom w:w="0" w:type="dxa"/>
            <w:right w:w="108" w:type="dxa"/>
          </w:tblCellMar>
        </w:tblPrEx>
        <w:trPr>
          <w:trHeight w:val="430" w:hRule="atLeast"/>
          <w:jc w:val="center"/>
        </w:trPr>
        <w:tc>
          <w:tcPr>
            <w:tcW w:w="3685" w:type="dxa"/>
            <w:tcBorders>
              <w:top w:val="single" w:color="auto" w:sz="4" w:space="0"/>
              <w:left w:val="single" w:color="auto" w:sz="4" w:space="0"/>
              <w:bottom w:val="single" w:color="auto" w:sz="4" w:space="0"/>
              <w:right w:val="single" w:color="auto" w:sz="4" w:space="0"/>
            </w:tcBorders>
            <w:noWrap w:val="0"/>
            <w:vAlign w:val="center"/>
          </w:tcPr>
          <w:p w14:paraId="62D5863B">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1000</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5000</w:t>
            </w:r>
            <w:r>
              <w:rPr>
                <w:rFonts w:hint="default" w:ascii="Times New Roman" w:hAnsi="Times New Roman" w:eastAsia="仿宋_GB2312" w:cs="Times New Roman"/>
                <w:color w:val="auto"/>
                <w:kern w:val="0"/>
                <w:sz w:val="32"/>
                <w:szCs w:val="32"/>
                <w:highlight w:val="none"/>
              </w:rPr>
              <w:t>以内（含）</w:t>
            </w:r>
          </w:p>
        </w:tc>
        <w:tc>
          <w:tcPr>
            <w:tcW w:w="2262" w:type="dxa"/>
            <w:tcBorders>
              <w:top w:val="single" w:color="auto" w:sz="4" w:space="0"/>
              <w:left w:val="nil"/>
              <w:bottom w:val="single" w:color="auto" w:sz="4" w:space="0"/>
              <w:right w:val="single" w:color="auto" w:sz="4" w:space="0"/>
            </w:tcBorders>
            <w:noWrap w:val="0"/>
            <w:vAlign w:val="center"/>
          </w:tcPr>
          <w:p w14:paraId="728B4A49">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2</w:t>
            </w:r>
            <w:r>
              <w:rPr>
                <w:rFonts w:hint="default" w:ascii="Times New Roman" w:hAnsi="Times New Roman" w:eastAsia="仿宋_GB2312" w:cs="Times New Roman"/>
                <w:color w:val="auto"/>
                <w:kern w:val="0"/>
                <w:sz w:val="32"/>
                <w:szCs w:val="32"/>
                <w:highlight w:val="none"/>
              </w:rPr>
              <w:t>‰</w:t>
            </w:r>
          </w:p>
        </w:tc>
        <w:tc>
          <w:tcPr>
            <w:tcW w:w="2300" w:type="dxa"/>
            <w:tcBorders>
              <w:top w:val="nil"/>
              <w:left w:val="nil"/>
              <w:bottom w:val="single" w:color="auto" w:sz="4" w:space="0"/>
              <w:right w:val="single" w:color="auto" w:sz="4" w:space="0"/>
            </w:tcBorders>
            <w:noWrap w:val="0"/>
            <w:vAlign w:val="center"/>
          </w:tcPr>
          <w:p w14:paraId="7C514F9B">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4217E22A">
        <w:tblPrEx>
          <w:tblCellMar>
            <w:top w:w="0" w:type="dxa"/>
            <w:left w:w="108" w:type="dxa"/>
            <w:bottom w:w="0" w:type="dxa"/>
            <w:right w:w="108" w:type="dxa"/>
          </w:tblCellMar>
        </w:tblPrEx>
        <w:trPr>
          <w:trHeight w:val="430" w:hRule="atLeast"/>
          <w:jc w:val="center"/>
        </w:trPr>
        <w:tc>
          <w:tcPr>
            <w:tcW w:w="3685" w:type="dxa"/>
            <w:tcBorders>
              <w:top w:val="nil"/>
              <w:left w:val="single" w:color="auto" w:sz="4" w:space="0"/>
              <w:bottom w:val="single" w:color="auto" w:sz="4" w:space="0"/>
              <w:right w:val="single" w:color="auto" w:sz="4" w:space="0"/>
            </w:tcBorders>
            <w:noWrap w:val="0"/>
            <w:vAlign w:val="center"/>
          </w:tcPr>
          <w:p w14:paraId="5A85F1DB">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5000</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10000</w:t>
            </w:r>
            <w:r>
              <w:rPr>
                <w:rFonts w:hint="default" w:ascii="Times New Roman" w:hAnsi="Times New Roman" w:eastAsia="仿宋_GB2312" w:cs="Times New Roman"/>
                <w:color w:val="auto"/>
                <w:kern w:val="0"/>
                <w:sz w:val="32"/>
                <w:szCs w:val="32"/>
                <w:highlight w:val="none"/>
              </w:rPr>
              <w:t>以内（含）</w:t>
            </w:r>
          </w:p>
        </w:tc>
        <w:tc>
          <w:tcPr>
            <w:tcW w:w="2262" w:type="dxa"/>
            <w:tcBorders>
              <w:top w:val="nil"/>
              <w:left w:val="nil"/>
              <w:bottom w:val="single" w:color="auto" w:sz="4" w:space="0"/>
              <w:right w:val="single" w:color="auto" w:sz="4" w:space="0"/>
            </w:tcBorders>
            <w:noWrap w:val="0"/>
            <w:vAlign w:val="center"/>
          </w:tcPr>
          <w:p w14:paraId="6F069245">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5</w:t>
            </w:r>
            <w:r>
              <w:rPr>
                <w:rFonts w:hint="default" w:ascii="Times New Roman" w:hAnsi="Times New Roman" w:eastAsia="仿宋_GB2312" w:cs="Times New Roman"/>
                <w:color w:val="auto"/>
                <w:kern w:val="0"/>
                <w:sz w:val="32"/>
                <w:szCs w:val="32"/>
                <w:highlight w:val="none"/>
              </w:rPr>
              <w:t>‰</w:t>
            </w:r>
          </w:p>
        </w:tc>
        <w:tc>
          <w:tcPr>
            <w:tcW w:w="2300" w:type="dxa"/>
            <w:tcBorders>
              <w:top w:val="nil"/>
              <w:left w:val="nil"/>
              <w:bottom w:val="single" w:color="auto" w:sz="4" w:space="0"/>
              <w:right w:val="single" w:color="auto" w:sz="4" w:space="0"/>
            </w:tcBorders>
            <w:noWrap w:val="0"/>
            <w:vAlign w:val="center"/>
          </w:tcPr>
          <w:p w14:paraId="75B94241">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74593421">
        <w:tblPrEx>
          <w:tblCellMar>
            <w:top w:w="0" w:type="dxa"/>
            <w:left w:w="108" w:type="dxa"/>
            <w:bottom w:w="0" w:type="dxa"/>
            <w:right w:w="108" w:type="dxa"/>
          </w:tblCellMar>
        </w:tblPrEx>
        <w:trPr>
          <w:trHeight w:val="430" w:hRule="atLeast"/>
          <w:jc w:val="center"/>
        </w:trPr>
        <w:tc>
          <w:tcPr>
            <w:tcW w:w="3685" w:type="dxa"/>
            <w:tcBorders>
              <w:top w:val="nil"/>
              <w:left w:val="single" w:color="auto" w:sz="4" w:space="0"/>
              <w:bottom w:val="single" w:color="auto" w:sz="4" w:space="0"/>
              <w:right w:val="single" w:color="auto" w:sz="4" w:space="0"/>
            </w:tcBorders>
            <w:noWrap w:val="0"/>
            <w:vAlign w:val="center"/>
          </w:tcPr>
          <w:p w14:paraId="3CB449D9">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10000</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val="en-US" w:eastAsia="zh-CN"/>
              </w:rPr>
              <w:t>5</w:t>
            </w:r>
            <w:r>
              <w:rPr>
                <w:rFonts w:hint="default" w:ascii="Times New Roman" w:hAnsi="Times New Roman" w:eastAsia="仿宋_GB2312" w:cs="Times New Roman"/>
                <w:color w:val="auto"/>
                <w:kern w:val="0"/>
                <w:sz w:val="32"/>
                <w:szCs w:val="32"/>
                <w:highlight w:val="none"/>
                <w:lang w:eastAsia="zh-CN"/>
              </w:rPr>
              <w:t>0000</w:t>
            </w:r>
            <w:r>
              <w:rPr>
                <w:rFonts w:hint="default" w:ascii="Times New Roman" w:hAnsi="Times New Roman" w:eastAsia="仿宋_GB2312" w:cs="Times New Roman"/>
                <w:color w:val="auto"/>
                <w:kern w:val="0"/>
                <w:sz w:val="32"/>
                <w:szCs w:val="32"/>
                <w:highlight w:val="none"/>
              </w:rPr>
              <w:t>以内（含）</w:t>
            </w:r>
          </w:p>
        </w:tc>
        <w:tc>
          <w:tcPr>
            <w:tcW w:w="2262" w:type="dxa"/>
            <w:tcBorders>
              <w:top w:val="nil"/>
              <w:left w:val="nil"/>
              <w:bottom w:val="single" w:color="auto" w:sz="4" w:space="0"/>
              <w:right w:val="single" w:color="auto" w:sz="4" w:space="0"/>
            </w:tcBorders>
            <w:noWrap w:val="0"/>
            <w:vAlign w:val="center"/>
          </w:tcPr>
          <w:p w14:paraId="006E780A">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3</w:t>
            </w:r>
            <w:r>
              <w:rPr>
                <w:rFonts w:hint="default" w:ascii="Times New Roman" w:hAnsi="Times New Roman" w:eastAsia="仿宋_GB2312" w:cs="Times New Roman"/>
                <w:color w:val="auto"/>
                <w:kern w:val="0"/>
                <w:sz w:val="32"/>
                <w:szCs w:val="32"/>
                <w:highlight w:val="none"/>
              </w:rPr>
              <w:t>‰</w:t>
            </w:r>
          </w:p>
        </w:tc>
        <w:tc>
          <w:tcPr>
            <w:tcW w:w="2300" w:type="dxa"/>
            <w:tcBorders>
              <w:top w:val="nil"/>
              <w:left w:val="nil"/>
              <w:bottom w:val="single" w:color="auto" w:sz="4" w:space="0"/>
              <w:right w:val="single" w:color="auto" w:sz="4" w:space="0"/>
            </w:tcBorders>
            <w:noWrap w:val="0"/>
            <w:vAlign w:val="center"/>
          </w:tcPr>
          <w:p w14:paraId="006502A6">
            <w:pPr>
              <w:keepNext w:val="0"/>
              <w:keepLines w:val="0"/>
              <w:pageBreakBefore w:val="0"/>
              <w:widowControl/>
              <w:kinsoku/>
              <w:wordWrap/>
              <w:overflowPunct/>
              <w:topLinePunct w:val="0"/>
              <w:autoSpaceDE/>
              <w:autoSpaceDN/>
              <w:bidi w:val="0"/>
              <w:adjustRightInd/>
              <w:spacing w:line="40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44911F06">
        <w:tblPrEx>
          <w:tblCellMar>
            <w:top w:w="0" w:type="dxa"/>
            <w:left w:w="108" w:type="dxa"/>
            <w:bottom w:w="0" w:type="dxa"/>
            <w:right w:w="108" w:type="dxa"/>
          </w:tblCellMar>
        </w:tblPrEx>
        <w:trPr>
          <w:trHeight w:val="430" w:hRule="atLeast"/>
          <w:jc w:val="center"/>
        </w:trPr>
        <w:tc>
          <w:tcPr>
            <w:tcW w:w="3685" w:type="dxa"/>
            <w:tcBorders>
              <w:top w:val="single" w:color="auto" w:sz="4" w:space="0"/>
              <w:left w:val="single" w:color="auto" w:sz="4" w:space="0"/>
              <w:bottom w:val="single" w:color="auto" w:sz="4" w:space="0"/>
              <w:right w:val="single" w:color="auto" w:sz="4" w:space="0"/>
            </w:tcBorders>
            <w:noWrap w:val="0"/>
            <w:vAlign w:val="center"/>
          </w:tcPr>
          <w:p w14:paraId="30221215">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50000</w:t>
            </w:r>
            <w:r>
              <w:rPr>
                <w:rFonts w:hint="default" w:ascii="Times New Roman" w:hAnsi="Times New Roman" w:eastAsia="仿宋_GB2312" w:cs="Times New Roman"/>
                <w:color w:val="auto"/>
                <w:kern w:val="0"/>
                <w:sz w:val="32"/>
                <w:szCs w:val="32"/>
                <w:highlight w:val="none"/>
              </w:rPr>
              <w:t>以上</w:t>
            </w:r>
          </w:p>
        </w:tc>
        <w:tc>
          <w:tcPr>
            <w:tcW w:w="2262" w:type="dxa"/>
            <w:tcBorders>
              <w:top w:val="single" w:color="auto" w:sz="4" w:space="0"/>
              <w:left w:val="nil"/>
              <w:bottom w:val="single" w:color="auto" w:sz="4" w:space="0"/>
              <w:right w:val="single" w:color="auto" w:sz="4" w:space="0"/>
            </w:tcBorders>
            <w:noWrap w:val="0"/>
            <w:vAlign w:val="center"/>
          </w:tcPr>
          <w:p w14:paraId="151633D8">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0</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8</w:t>
            </w:r>
            <w:r>
              <w:rPr>
                <w:rFonts w:hint="default" w:ascii="Times New Roman" w:hAnsi="Times New Roman" w:eastAsia="仿宋_GB2312" w:cs="Times New Roman"/>
                <w:color w:val="auto"/>
                <w:kern w:val="0"/>
                <w:sz w:val="32"/>
                <w:szCs w:val="32"/>
                <w:highlight w:val="none"/>
              </w:rPr>
              <w:t>‰</w:t>
            </w:r>
          </w:p>
        </w:tc>
        <w:tc>
          <w:tcPr>
            <w:tcW w:w="2300" w:type="dxa"/>
            <w:tcBorders>
              <w:top w:val="single" w:color="auto" w:sz="4" w:space="0"/>
              <w:left w:val="nil"/>
              <w:bottom w:val="single" w:color="auto" w:sz="4" w:space="0"/>
              <w:right w:val="single" w:color="auto" w:sz="4" w:space="0"/>
            </w:tcBorders>
            <w:noWrap w:val="0"/>
            <w:vAlign w:val="center"/>
          </w:tcPr>
          <w:p w14:paraId="2BBF2940">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lang w:eastAsia="zh-CN"/>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bl>
    <w:p w14:paraId="33C28906">
      <w:pPr>
        <w:keepNext w:val="0"/>
        <w:keepLines w:val="0"/>
        <w:pageBreakBefore w:val="0"/>
        <w:numPr>
          <w:ilvl w:val="0"/>
          <w:numId w:val="2"/>
        </w:numPr>
        <w:kinsoku/>
        <w:wordWrap/>
        <w:overflowPunct/>
        <w:topLinePunct w:val="0"/>
        <w:autoSpaceDE/>
        <w:autoSpaceDN/>
        <w:bidi w:val="0"/>
        <w:adjustRightInd/>
        <w:snapToGrid w:val="0"/>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项目结算审</w:t>
      </w:r>
      <w:r>
        <w:rPr>
          <w:rFonts w:hint="default" w:ascii="Times New Roman" w:hAnsi="Times New Roman" w:eastAsia="仿宋_GB2312" w:cs="Times New Roman"/>
          <w:color w:val="auto"/>
          <w:sz w:val="32"/>
          <w:szCs w:val="32"/>
          <w:highlight w:val="none"/>
          <w:lang w:eastAsia="zh-CN"/>
        </w:rPr>
        <w:t>核</w:t>
      </w:r>
      <w:r>
        <w:rPr>
          <w:rFonts w:hint="default" w:ascii="Times New Roman" w:hAnsi="Times New Roman" w:eastAsia="仿宋_GB2312" w:cs="Times New Roman"/>
          <w:color w:val="auto"/>
          <w:sz w:val="32"/>
          <w:szCs w:val="32"/>
          <w:highlight w:val="none"/>
        </w:rPr>
        <w:t>服务费标准</w:t>
      </w:r>
    </w:p>
    <w:tbl>
      <w:tblPr>
        <w:tblStyle w:val="45"/>
        <w:tblW w:w="0" w:type="auto"/>
        <w:jc w:val="center"/>
        <w:tblLayout w:type="fixed"/>
        <w:tblCellMar>
          <w:top w:w="0" w:type="dxa"/>
          <w:left w:w="108" w:type="dxa"/>
          <w:bottom w:w="0" w:type="dxa"/>
          <w:right w:w="108" w:type="dxa"/>
        </w:tblCellMar>
      </w:tblPr>
      <w:tblGrid>
        <w:gridCol w:w="3705"/>
        <w:gridCol w:w="2280"/>
        <w:gridCol w:w="2340"/>
      </w:tblGrid>
      <w:tr w14:paraId="09A42833">
        <w:tblPrEx>
          <w:tblCellMar>
            <w:top w:w="0" w:type="dxa"/>
            <w:left w:w="108" w:type="dxa"/>
            <w:bottom w:w="0" w:type="dxa"/>
            <w:right w:w="108" w:type="dxa"/>
          </w:tblCellMar>
        </w:tblPrEx>
        <w:trPr>
          <w:trHeight w:val="435" w:hRule="atLeast"/>
          <w:jc w:val="center"/>
        </w:trPr>
        <w:tc>
          <w:tcPr>
            <w:tcW w:w="3705" w:type="dxa"/>
            <w:tcBorders>
              <w:top w:val="single" w:color="auto" w:sz="4" w:space="0"/>
              <w:left w:val="single" w:color="auto" w:sz="4" w:space="0"/>
              <w:bottom w:val="single" w:color="auto" w:sz="4" w:space="0"/>
              <w:right w:val="single" w:color="auto" w:sz="4" w:space="0"/>
            </w:tcBorders>
            <w:noWrap w:val="0"/>
            <w:vAlign w:val="center"/>
          </w:tcPr>
          <w:p w14:paraId="1EBC6618">
            <w:pPr>
              <w:keepNext w:val="0"/>
              <w:keepLines w:val="0"/>
              <w:pageBreakBefore w:val="0"/>
              <w:widowControl/>
              <w:kinsoku/>
              <w:wordWrap/>
              <w:overflowPunct/>
              <w:topLinePunct w:val="0"/>
              <w:autoSpaceDE/>
              <w:autoSpaceDN/>
              <w:bidi w:val="0"/>
              <w:adjustRightInd/>
              <w:spacing w:line="400" w:lineRule="exact"/>
              <w:ind w:left="0" w:leftChars="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工程造价金额（万元）</w:t>
            </w:r>
          </w:p>
        </w:tc>
        <w:tc>
          <w:tcPr>
            <w:tcW w:w="2280" w:type="dxa"/>
            <w:tcBorders>
              <w:top w:val="single" w:color="auto" w:sz="4" w:space="0"/>
              <w:left w:val="nil"/>
              <w:bottom w:val="single" w:color="auto" w:sz="4" w:space="0"/>
              <w:right w:val="single" w:color="auto" w:sz="4" w:space="0"/>
            </w:tcBorders>
            <w:noWrap w:val="0"/>
            <w:vAlign w:val="center"/>
          </w:tcPr>
          <w:p w14:paraId="7AEEDA2A">
            <w:pPr>
              <w:keepNext w:val="0"/>
              <w:keepLines w:val="0"/>
              <w:pageBreakBefore w:val="0"/>
              <w:widowControl/>
              <w:kinsoku/>
              <w:wordWrap/>
              <w:overflowPunct/>
              <w:topLinePunct w:val="0"/>
              <w:autoSpaceDE/>
              <w:autoSpaceDN/>
              <w:bidi w:val="0"/>
              <w:adjustRightInd/>
              <w:spacing w:line="400" w:lineRule="exact"/>
              <w:textAlignment w:val="auto"/>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rPr>
              <w:t>基本费</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元</w:t>
            </w:r>
            <w:r>
              <w:rPr>
                <w:rFonts w:hint="default" w:ascii="Times New Roman" w:hAnsi="Times New Roman" w:eastAsia="仿宋_GB2312" w:cs="Times New Roman"/>
                <w:color w:val="auto"/>
                <w:kern w:val="0"/>
                <w:sz w:val="32"/>
                <w:szCs w:val="32"/>
                <w:highlight w:val="none"/>
                <w:lang w:eastAsia="zh-CN"/>
              </w:rPr>
              <w:t>）</w:t>
            </w:r>
          </w:p>
        </w:tc>
        <w:tc>
          <w:tcPr>
            <w:tcW w:w="2340" w:type="dxa"/>
            <w:tcBorders>
              <w:top w:val="single" w:color="auto" w:sz="4" w:space="0"/>
              <w:left w:val="nil"/>
              <w:bottom w:val="single" w:color="auto" w:sz="4" w:space="0"/>
              <w:right w:val="single" w:color="auto" w:sz="4" w:space="0"/>
            </w:tcBorders>
            <w:noWrap w:val="0"/>
            <w:vAlign w:val="center"/>
          </w:tcPr>
          <w:p w14:paraId="49B2E207">
            <w:pPr>
              <w:keepNext w:val="0"/>
              <w:keepLines w:val="0"/>
              <w:pageBreakBefore w:val="0"/>
              <w:widowControl/>
              <w:kinsoku/>
              <w:wordWrap/>
              <w:overflowPunct/>
              <w:topLinePunct w:val="0"/>
              <w:autoSpaceDE/>
              <w:autoSpaceDN/>
              <w:bidi w:val="0"/>
              <w:adjustRightInd/>
              <w:spacing w:line="400" w:lineRule="exact"/>
              <w:ind w:left="0" w:leftChars="0" w:firstLine="320" w:firstLineChars="1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审核成果费</w:t>
            </w:r>
          </w:p>
        </w:tc>
      </w:tr>
      <w:tr w14:paraId="62DA5D2B">
        <w:tblPrEx>
          <w:tblCellMar>
            <w:top w:w="0" w:type="dxa"/>
            <w:left w:w="108" w:type="dxa"/>
            <w:bottom w:w="0" w:type="dxa"/>
            <w:right w:w="108" w:type="dxa"/>
          </w:tblCellMar>
        </w:tblPrEx>
        <w:trPr>
          <w:trHeight w:val="430" w:hRule="atLeast"/>
          <w:jc w:val="center"/>
        </w:trPr>
        <w:tc>
          <w:tcPr>
            <w:tcW w:w="3705" w:type="dxa"/>
            <w:tcBorders>
              <w:top w:val="nil"/>
              <w:left w:val="single" w:color="auto" w:sz="4" w:space="0"/>
              <w:bottom w:val="single" w:color="auto" w:sz="4" w:space="0"/>
              <w:right w:val="single" w:color="auto" w:sz="4" w:space="0"/>
            </w:tcBorders>
            <w:noWrap w:val="0"/>
            <w:vAlign w:val="center"/>
          </w:tcPr>
          <w:p w14:paraId="16A5BFCF">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500</w:t>
            </w:r>
            <w:r>
              <w:rPr>
                <w:rFonts w:hint="default" w:ascii="Times New Roman" w:hAnsi="Times New Roman" w:eastAsia="仿宋_GB2312" w:cs="Times New Roman"/>
                <w:color w:val="auto"/>
                <w:kern w:val="0"/>
                <w:sz w:val="32"/>
                <w:szCs w:val="32"/>
                <w:highlight w:val="none"/>
              </w:rPr>
              <w:t>以内</w:t>
            </w:r>
          </w:p>
        </w:tc>
        <w:tc>
          <w:tcPr>
            <w:tcW w:w="2280" w:type="dxa"/>
            <w:tcBorders>
              <w:top w:val="nil"/>
              <w:left w:val="nil"/>
              <w:bottom w:val="single" w:color="auto" w:sz="4" w:space="0"/>
              <w:right w:val="single" w:color="auto" w:sz="4" w:space="0"/>
            </w:tcBorders>
            <w:noWrap w:val="0"/>
            <w:vAlign w:val="center"/>
          </w:tcPr>
          <w:p w14:paraId="14B14D3E">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5000</w:t>
            </w:r>
          </w:p>
        </w:tc>
        <w:tc>
          <w:tcPr>
            <w:tcW w:w="2340" w:type="dxa"/>
            <w:tcBorders>
              <w:top w:val="nil"/>
              <w:left w:val="nil"/>
              <w:bottom w:val="single" w:color="auto" w:sz="4" w:space="0"/>
              <w:right w:val="single" w:color="auto" w:sz="4" w:space="0"/>
            </w:tcBorders>
            <w:noWrap w:val="0"/>
            <w:vAlign w:val="center"/>
          </w:tcPr>
          <w:p w14:paraId="67506465">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1ED48D00">
        <w:tblPrEx>
          <w:tblCellMar>
            <w:top w:w="0" w:type="dxa"/>
            <w:left w:w="108" w:type="dxa"/>
            <w:bottom w:w="0" w:type="dxa"/>
            <w:right w:w="108" w:type="dxa"/>
          </w:tblCellMar>
        </w:tblPrEx>
        <w:trPr>
          <w:trHeight w:val="430" w:hRule="atLeast"/>
          <w:jc w:val="center"/>
        </w:trPr>
        <w:tc>
          <w:tcPr>
            <w:tcW w:w="3705" w:type="dxa"/>
            <w:tcBorders>
              <w:top w:val="nil"/>
              <w:left w:val="single" w:color="auto" w:sz="4" w:space="0"/>
              <w:bottom w:val="single" w:color="auto" w:sz="4" w:space="0"/>
              <w:right w:val="single" w:color="auto" w:sz="4" w:space="0"/>
            </w:tcBorders>
            <w:noWrap w:val="0"/>
            <w:vAlign w:val="center"/>
          </w:tcPr>
          <w:p w14:paraId="7159E1ED">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500</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1000</w:t>
            </w:r>
            <w:r>
              <w:rPr>
                <w:rFonts w:hint="default" w:ascii="Times New Roman" w:hAnsi="Times New Roman" w:eastAsia="仿宋_GB2312" w:cs="Times New Roman"/>
                <w:color w:val="auto"/>
                <w:kern w:val="0"/>
                <w:sz w:val="32"/>
                <w:szCs w:val="32"/>
                <w:highlight w:val="none"/>
              </w:rPr>
              <w:t>以内（含）</w:t>
            </w:r>
          </w:p>
        </w:tc>
        <w:tc>
          <w:tcPr>
            <w:tcW w:w="2280" w:type="dxa"/>
            <w:tcBorders>
              <w:top w:val="nil"/>
              <w:left w:val="nil"/>
              <w:bottom w:val="single" w:color="auto" w:sz="4" w:space="0"/>
              <w:right w:val="single" w:color="auto" w:sz="4" w:space="0"/>
            </w:tcBorders>
            <w:noWrap w:val="0"/>
            <w:vAlign w:val="center"/>
          </w:tcPr>
          <w:p w14:paraId="44367D52">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8000</w:t>
            </w:r>
          </w:p>
        </w:tc>
        <w:tc>
          <w:tcPr>
            <w:tcW w:w="2340" w:type="dxa"/>
            <w:tcBorders>
              <w:top w:val="nil"/>
              <w:left w:val="nil"/>
              <w:bottom w:val="single" w:color="auto" w:sz="4" w:space="0"/>
              <w:right w:val="single" w:color="auto" w:sz="4" w:space="0"/>
            </w:tcBorders>
            <w:noWrap w:val="0"/>
            <w:vAlign w:val="center"/>
          </w:tcPr>
          <w:p w14:paraId="24D3FE81">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5B78C135">
        <w:tblPrEx>
          <w:tblCellMar>
            <w:top w:w="0" w:type="dxa"/>
            <w:left w:w="108" w:type="dxa"/>
            <w:bottom w:w="0" w:type="dxa"/>
            <w:right w:w="108" w:type="dxa"/>
          </w:tblCellMar>
        </w:tblPrEx>
        <w:trPr>
          <w:trHeight w:val="176" w:hRule="atLeast"/>
          <w:jc w:val="center"/>
        </w:trPr>
        <w:tc>
          <w:tcPr>
            <w:tcW w:w="3705" w:type="dxa"/>
            <w:tcBorders>
              <w:top w:val="single" w:color="auto" w:sz="4" w:space="0"/>
              <w:left w:val="single" w:color="auto" w:sz="4" w:space="0"/>
              <w:bottom w:val="single" w:color="auto" w:sz="4" w:space="0"/>
              <w:right w:val="single" w:color="auto" w:sz="4" w:space="0"/>
            </w:tcBorders>
            <w:noWrap w:val="0"/>
            <w:vAlign w:val="center"/>
          </w:tcPr>
          <w:p w14:paraId="526861D0">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1000</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10000</w:t>
            </w:r>
            <w:r>
              <w:rPr>
                <w:rFonts w:hint="default" w:ascii="Times New Roman" w:hAnsi="Times New Roman" w:eastAsia="仿宋_GB2312" w:cs="Times New Roman"/>
                <w:color w:val="auto"/>
                <w:kern w:val="0"/>
                <w:sz w:val="32"/>
                <w:szCs w:val="32"/>
                <w:highlight w:val="none"/>
              </w:rPr>
              <w:t>以内（含）</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52601EAE">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10000</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0C37C61D">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58E8D1DC">
        <w:tblPrEx>
          <w:tblCellMar>
            <w:top w:w="0" w:type="dxa"/>
            <w:left w:w="108" w:type="dxa"/>
            <w:bottom w:w="0" w:type="dxa"/>
            <w:right w:w="108" w:type="dxa"/>
          </w:tblCellMar>
        </w:tblPrEx>
        <w:trPr>
          <w:trHeight w:val="430" w:hRule="atLeast"/>
          <w:jc w:val="center"/>
        </w:trPr>
        <w:tc>
          <w:tcPr>
            <w:tcW w:w="3705" w:type="dxa"/>
            <w:tcBorders>
              <w:top w:val="single" w:color="auto" w:sz="4" w:space="0"/>
              <w:left w:val="single" w:color="auto" w:sz="4" w:space="0"/>
              <w:bottom w:val="single" w:color="auto" w:sz="4" w:space="0"/>
              <w:right w:val="single" w:color="auto" w:sz="4" w:space="0"/>
            </w:tcBorders>
            <w:noWrap w:val="0"/>
            <w:vAlign w:val="center"/>
          </w:tcPr>
          <w:p w14:paraId="49F0F3D8">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10000</w:t>
            </w:r>
            <w:r>
              <w:rPr>
                <w:rFonts w:hint="default" w:ascii="Times New Roman" w:hAnsi="Times New Roman" w:eastAsia="仿宋_GB2312" w:cs="Times New Roman"/>
                <w:color w:val="auto"/>
                <w:kern w:val="0"/>
                <w:sz w:val="32"/>
                <w:szCs w:val="32"/>
                <w:highlight w:val="none"/>
              </w:rPr>
              <w:t>以上</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7F5E9DB1">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20000</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6C9BB8BD">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bl>
    <w:p w14:paraId="2E816A04">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注：</w:t>
      </w:r>
      <w:r>
        <w:rPr>
          <w:rFonts w:hint="default" w:ascii="Times New Roman" w:hAnsi="Times New Roman" w:eastAsia="仿宋_GB2312" w:cs="Times New Roman"/>
          <w:color w:val="auto"/>
          <w:sz w:val="32"/>
          <w:szCs w:val="32"/>
          <w:highlight w:val="none"/>
          <w:lang w:val="en-US" w:eastAsia="zh-CN"/>
        </w:rPr>
        <w:t xml:space="preserve">1. </w:t>
      </w:r>
      <w:r>
        <w:rPr>
          <w:rFonts w:hint="default" w:ascii="Times New Roman" w:hAnsi="Times New Roman" w:eastAsia="仿宋_GB2312" w:cs="Times New Roman"/>
          <w:color w:val="auto"/>
          <w:sz w:val="32"/>
          <w:szCs w:val="32"/>
          <w:highlight w:val="none"/>
          <w:lang w:eastAsia="zh-CN"/>
        </w:rPr>
        <w:t>服务</w:t>
      </w:r>
      <w:r>
        <w:rPr>
          <w:rFonts w:hint="default" w:ascii="Times New Roman" w:hAnsi="Times New Roman" w:eastAsia="仿宋_GB2312" w:cs="Times New Roman"/>
          <w:color w:val="auto"/>
          <w:sz w:val="32"/>
          <w:szCs w:val="32"/>
          <w:highlight w:val="none"/>
        </w:rPr>
        <w:t>费计算方式为：基本费+审核成果费。其中，跟踪审计服务基本费计算基数为审定金额；审核成果费计算基数为</w:t>
      </w:r>
      <w:r>
        <w:rPr>
          <w:rFonts w:hint="default" w:ascii="Times New Roman" w:hAnsi="Times New Roman" w:eastAsia="仿宋_GB2312" w:cs="Times New Roman"/>
          <w:color w:val="auto"/>
          <w:sz w:val="32"/>
          <w:szCs w:val="32"/>
          <w:highlight w:val="none"/>
          <w:lang w:eastAsia="zh-CN"/>
        </w:rPr>
        <w:t>独立</w:t>
      </w:r>
      <w:r>
        <w:rPr>
          <w:rFonts w:hint="default" w:ascii="Times New Roman" w:hAnsi="Times New Roman" w:eastAsia="仿宋_GB2312" w:cs="Times New Roman"/>
          <w:color w:val="auto"/>
          <w:sz w:val="32"/>
          <w:szCs w:val="32"/>
          <w:highlight w:val="none"/>
        </w:rPr>
        <w:t>核减金额。</w:t>
      </w:r>
    </w:p>
    <w:p w14:paraId="26A80FCA">
      <w:pPr>
        <w:keepNext w:val="0"/>
        <w:keepLines w:val="0"/>
        <w:pageBreakBefore w:val="0"/>
        <w:numPr>
          <w:ilvl w:val="0"/>
          <w:numId w:val="3"/>
        </w:numPr>
        <w:kinsoku/>
        <w:wordWrap/>
        <w:overflowPunct/>
        <w:topLinePunct w:val="0"/>
        <w:autoSpaceDE/>
        <w:autoSpaceDN/>
        <w:bidi w:val="0"/>
        <w:adjustRightInd/>
        <w:spacing w:line="400" w:lineRule="exact"/>
        <w:ind w:left="0" w:leftChars="0" w:firstLine="1280" w:firstLineChars="4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工程造价审减率超过</w:t>
      </w:r>
      <w:r>
        <w:rPr>
          <w:rFonts w:hint="default" w:ascii="Times New Roman" w:hAnsi="Times New Roman" w:eastAsia="仿宋_GB2312" w:cs="Times New Roman"/>
          <w:b/>
          <w:bCs/>
          <w:color w:val="auto"/>
          <w:sz w:val="32"/>
          <w:szCs w:val="32"/>
          <w:highlight w:val="none"/>
          <w:lang w:val="en-US" w:eastAsia="zh-CN"/>
        </w:rPr>
        <w:t>3</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color w:val="auto"/>
          <w:sz w:val="32"/>
          <w:szCs w:val="32"/>
          <w:highlight w:val="none"/>
          <w:lang w:eastAsia="zh-CN"/>
        </w:rPr>
        <w:t>时</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将对施工单位进行处罚，处罚金额为</w:t>
      </w:r>
      <w:r>
        <w:rPr>
          <w:rFonts w:hint="default" w:ascii="Times New Roman" w:hAnsi="Times New Roman" w:eastAsia="仿宋_GB2312" w:cs="Times New Roman"/>
          <w:color w:val="auto"/>
          <w:sz w:val="32"/>
          <w:szCs w:val="32"/>
          <w:highlight w:val="none"/>
        </w:rPr>
        <w:t>审减率</w:t>
      </w:r>
      <w:r>
        <w:rPr>
          <w:rFonts w:hint="default" w:ascii="Times New Roman" w:hAnsi="Times New Roman" w:eastAsia="仿宋_GB2312" w:cs="Times New Roman"/>
          <w:color w:val="auto"/>
          <w:sz w:val="32"/>
          <w:szCs w:val="32"/>
          <w:highlight w:val="none"/>
          <w:lang w:eastAsia="zh-CN"/>
        </w:rPr>
        <w:t>超出</w:t>
      </w:r>
      <w:r>
        <w:rPr>
          <w:rFonts w:hint="default" w:ascii="Times New Roman" w:hAnsi="Times New Roman" w:eastAsia="仿宋_GB2312" w:cs="Times New Roman"/>
          <w:b/>
          <w:bCs/>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以上的报送金额的</w:t>
      </w:r>
      <w:r>
        <w:rPr>
          <w:rFonts w:hint="default" w:ascii="Times New Roman" w:hAnsi="Times New Roman" w:eastAsia="仿宋_GB2312" w:cs="Times New Roman"/>
          <w:b/>
          <w:bCs/>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由综合计划科在定案时明确处罚金额报工程监管科落实处罚</w:t>
      </w:r>
      <w:r>
        <w:rPr>
          <w:rFonts w:hint="default" w:ascii="Times New Roman" w:hAnsi="Times New Roman" w:eastAsia="仿宋_GB2312" w:cs="Times New Roman"/>
          <w:b w:val="0"/>
          <w:bCs w:val="0"/>
          <w:color w:val="auto"/>
          <w:sz w:val="32"/>
          <w:szCs w:val="32"/>
          <w:highlight w:val="none"/>
        </w:rPr>
        <w:t>。</w:t>
      </w:r>
    </w:p>
    <w:p w14:paraId="469F8031">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rPr>
        <w:t>第十</w:t>
      </w:r>
      <w:r>
        <w:rPr>
          <w:rFonts w:hint="eastAsia" w:eastAsia="仿宋_GB2312" w:cs="Times New Roman"/>
          <w:b/>
          <w:bCs/>
          <w:color w:val="auto"/>
          <w:sz w:val="32"/>
          <w:szCs w:val="32"/>
          <w:highlight w:val="none"/>
          <w:lang w:val="en-US" w:eastAsia="zh-CN"/>
        </w:rPr>
        <w:t>一</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对复杂项目</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造价成果有争议或存疑项目可委托第三方复审</w:t>
      </w:r>
      <w:r>
        <w:rPr>
          <w:rFonts w:hint="default" w:ascii="Times New Roman" w:hAnsi="Times New Roman" w:eastAsia="仿宋_GB2312" w:cs="Times New Roman"/>
          <w:color w:val="auto"/>
          <w:sz w:val="32"/>
          <w:szCs w:val="32"/>
          <w:highlight w:val="none"/>
          <w:lang w:eastAsia="zh-CN"/>
        </w:rPr>
        <w:t>（清单编制复审、结算复审），服务</w:t>
      </w:r>
      <w:r>
        <w:rPr>
          <w:rFonts w:hint="default" w:ascii="Times New Roman" w:hAnsi="Times New Roman" w:eastAsia="仿宋_GB2312" w:cs="Times New Roman"/>
          <w:color w:val="auto"/>
          <w:sz w:val="32"/>
          <w:szCs w:val="32"/>
          <w:highlight w:val="none"/>
        </w:rPr>
        <w:t>费用</w:t>
      </w:r>
      <w:r>
        <w:rPr>
          <w:rFonts w:hint="default" w:ascii="Times New Roman" w:hAnsi="Times New Roman" w:eastAsia="仿宋_GB2312" w:cs="Times New Roman"/>
          <w:color w:val="auto"/>
          <w:sz w:val="32"/>
          <w:szCs w:val="32"/>
          <w:highlight w:val="none"/>
          <w:lang w:eastAsia="zh-CN"/>
        </w:rPr>
        <w:t>同</w:t>
      </w:r>
      <w:r>
        <w:rPr>
          <w:rFonts w:hint="default" w:ascii="Times New Roman" w:hAnsi="Times New Roman" w:eastAsia="仿宋_GB2312" w:cs="Times New Roman"/>
          <w:color w:val="auto"/>
          <w:sz w:val="32"/>
          <w:szCs w:val="32"/>
          <w:highlight w:val="none"/>
        </w:rPr>
        <w:t>结算审</w:t>
      </w:r>
      <w:r>
        <w:rPr>
          <w:rFonts w:hint="default" w:ascii="Times New Roman" w:hAnsi="Times New Roman" w:eastAsia="仿宋_GB2312" w:cs="Times New Roman"/>
          <w:color w:val="auto"/>
          <w:sz w:val="32"/>
          <w:szCs w:val="32"/>
          <w:highlight w:val="none"/>
          <w:lang w:eastAsia="zh-CN"/>
        </w:rPr>
        <w:t>核</w:t>
      </w:r>
      <w:r>
        <w:rPr>
          <w:rFonts w:hint="default" w:ascii="Times New Roman" w:hAnsi="Times New Roman" w:eastAsia="仿宋_GB2312" w:cs="Times New Roman"/>
          <w:color w:val="auto"/>
          <w:sz w:val="32"/>
          <w:szCs w:val="32"/>
          <w:highlight w:val="none"/>
        </w:rPr>
        <w:t>服务费。</w:t>
      </w:r>
      <w:r>
        <w:rPr>
          <w:rFonts w:hint="default" w:ascii="Times New Roman" w:hAnsi="Times New Roman" w:eastAsia="黑体" w:cs="Times New Roman"/>
          <w:color w:val="auto"/>
          <w:sz w:val="32"/>
          <w:szCs w:val="32"/>
          <w:highlight w:val="none"/>
          <w:lang w:val="en-US" w:eastAsia="zh-CN"/>
        </w:rPr>
        <w:t xml:space="preserve">  </w:t>
      </w:r>
    </w:p>
    <w:p w14:paraId="586553D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第五章 服务要求</w:t>
      </w:r>
    </w:p>
    <w:p w14:paraId="1022A47C">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rPr>
        <w:t>第十</w:t>
      </w:r>
      <w:r>
        <w:rPr>
          <w:rFonts w:hint="eastAsia" w:eastAsia="仿宋_GB2312" w:cs="Times New Roman"/>
          <w:b/>
          <w:bCs/>
          <w:color w:val="auto"/>
          <w:sz w:val="32"/>
          <w:szCs w:val="32"/>
          <w:highlight w:val="none"/>
          <w:lang w:val="en-US" w:eastAsia="zh-CN"/>
        </w:rPr>
        <w:t>二</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造价企业需安排具备相应资格条件和类似业绩且经验丰富的造价人员编制清单及最高投标限价，严格执行三级复核制度，对工程造价咨询成果负经济、法律责任，编制人员必须进行现场踏勘，发现与设计不符的需经设计部门核实确认，变化较大的需重新设计。</w:t>
      </w:r>
    </w:p>
    <w:p w14:paraId="0A994736">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第十</w:t>
      </w:r>
      <w:r>
        <w:rPr>
          <w:rFonts w:hint="eastAsia" w:eastAsia="仿宋_GB2312" w:cs="Times New Roman"/>
          <w:b/>
          <w:bCs/>
          <w:color w:val="auto"/>
          <w:sz w:val="32"/>
          <w:szCs w:val="32"/>
          <w:highlight w:val="none"/>
          <w:lang w:val="en-US" w:eastAsia="zh-CN"/>
        </w:rPr>
        <w:t>三</w:t>
      </w:r>
      <w:r>
        <w:rPr>
          <w:rFonts w:hint="default" w:ascii="Times New Roman" w:hAnsi="Times New Roman" w:eastAsia="仿宋_GB2312" w:cs="Times New Roman"/>
          <w:b/>
          <w:bCs/>
          <w:color w:val="auto"/>
          <w:sz w:val="32"/>
          <w:szCs w:val="32"/>
          <w:highlight w:val="none"/>
          <w:lang w:val="en-US" w:eastAsia="zh-CN"/>
        </w:rPr>
        <w:t>条</w:t>
      </w:r>
      <w:r>
        <w:rPr>
          <w:rFonts w:hint="default" w:ascii="Times New Roman" w:hAnsi="Times New Roman" w:eastAsia="仿宋_GB2312" w:cs="Times New Roman"/>
          <w:color w:val="auto"/>
          <w:sz w:val="32"/>
          <w:szCs w:val="32"/>
          <w:highlight w:val="none"/>
          <w:lang w:val="en-US" w:eastAsia="zh-CN"/>
        </w:rPr>
        <w:t xml:space="preserve">  跟踪审计</w:t>
      </w:r>
      <w:r>
        <w:rPr>
          <w:rFonts w:hint="default" w:ascii="Times New Roman" w:hAnsi="Times New Roman" w:eastAsia="仿宋_GB2312" w:cs="Times New Roman"/>
          <w:color w:val="auto"/>
          <w:sz w:val="32"/>
          <w:szCs w:val="32"/>
          <w:highlight w:val="none"/>
        </w:rPr>
        <w:t>项目开工前，造价企业需将项目任命文报综合计划科</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综合计划科</w:t>
      </w:r>
      <w:r>
        <w:rPr>
          <w:rFonts w:hint="default" w:ascii="Times New Roman" w:hAnsi="Times New Roman" w:eastAsia="仿宋_GB2312" w:cs="Times New Roman"/>
          <w:color w:val="auto"/>
          <w:sz w:val="32"/>
          <w:szCs w:val="32"/>
          <w:highlight w:val="none"/>
          <w:lang w:eastAsia="zh-CN"/>
        </w:rPr>
        <w:t>抄送</w:t>
      </w:r>
      <w:r>
        <w:rPr>
          <w:rFonts w:hint="default" w:ascii="Times New Roman" w:hAnsi="Times New Roman" w:eastAsia="仿宋_GB2312" w:cs="Times New Roman"/>
          <w:color w:val="auto"/>
          <w:sz w:val="32"/>
          <w:szCs w:val="32"/>
          <w:highlight w:val="none"/>
        </w:rPr>
        <w:t>工程建设科，同一个造价人员在我处同时承揽</w:t>
      </w:r>
      <w:r>
        <w:rPr>
          <w:rFonts w:hint="default" w:ascii="Times New Roman" w:hAnsi="Times New Roman" w:eastAsia="仿宋_GB2312" w:cs="Times New Roman"/>
          <w:color w:val="auto"/>
          <w:sz w:val="32"/>
          <w:szCs w:val="32"/>
          <w:highlight w:val="none"/>
          <w:lang w:eastAsia="zh-CN"/>
        </w:rPr>
        <w:t>跟踪审计业</w:t>
      </w:r>
      <w:r>
        <w:rPr>
          <w:rFonts w:hint="default" w:ascii="Times New Roman" w:hAnsi="Times New Roman" w:eastAsia="仿宋_GB2312" w:cs="Times New Roman"/>
          <w:color w:val="auto"/>
          <w:sz w:val="32"/>
          <w:szCs w:val="32"/>
          <w:highlight w:val="none"/>
        </w:rPr>
        <w:t>务不得超过</w:t>
      </w:r>
      <w:r>
        <w:rPr>
          <w:rFonts w:hint="default" w:ascii="Times New Roman" w:hAnsi="Times New Roman" w:eastAsia="仿宋_GB2312"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rPr>
        <w:t>个项目</w:t>
      </w:r>
      <w:r>
        <w:rPr>
          <w:rFonts w:hint="default" w:ascii="Times New Roman" w:hAnsi="Times New Roman" w:eastAsia="仿宋_GB2312" w:cs="Times New Roman"/>
          <w:color w:val="auto"/>
          <w:sz w:val="32"/>
          <w:szCs w:val="32"/>
          <w:highlight w:val="none"/>
          <w:lang w:eastAsia="zh-CN"/>
        </w:rPr>
        <w:t>，且不得在两个以上市本级以外的地区同时承揽业务</w:t>
      </w:r>
      <w:r>
        <w:rPr>
          <w:rFonts w:hint="default" w:ascii="Times New Roman" w:hAnsi="Times New Roman" w:eastAsia="仿宋_GB2312" w:cs="Times New Roman"/>
          <w:color w:val="auto"/>
          <w:sz w:val="32"/>
          <w:szCs w:val="32"/>
          <w:highlight w:val="none"/>
        </w:rPr>
        <w:t>。</w:t>
      </w:r>
    </w:p>
    <w:p w14:paraId="67C0A50F">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bCs/>
          <w:color w:val="auto"/>
          <w:sz w:val="32"/>
          <w:szCs w:val="32"/>
          <w:highlight w:val="none"/>
        </w:rPr>
        <w:t>第十</w:t>
      </w:r>
      <w:r>
        <w:rPr>
          <w:rFonts w:hint="eastAsia" w:eastAsia="仿宋_GB2312" w:cs="Times New Roman"/>
          <w:b/>
          <w:bCs/>
          <w:color w:val="auto"/>
          <w:sz w:val="32"/>
          <w:szCs w:val="32"/>
          <w:highlight w:val="none"/>
          <w:lang w:val="en-US" w:eastAsia="zh-CN"/>
        </w:rPr>
        <w:t>四</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造价企业</w:t>
      </w:r>
      <w:r>
        <w:rPr>
          <w:rFonts w:hint="default" w:ascii="Times New Roman" w:hAnsi="Times New Roman" w:eastAsia="仿宋_GB2312" w:cs="Times New Roman"/>
          <w:color w:val="auto"/>
          <w:sz w:val="32"/>
          <w:szCs w:val="32"/>
          <w:highlight w:val="none"/>
        </w:rPr>
        <w:t>项目组</w:t>
      </w:r>
      <w:r>
        <w:rPr>
          <w:rFonts w:hint="default" w:ascii="Times New Roman" w:hAnsi="Times New Roman" w:eastAsia="仿宋_GB2312" w:cs="Times New Roman"/>
          <w:color w:val="auto"/>
          <w:sz w:val="32"/>
          <w:szCs w:val="32"/>
          <w:highlight w:val="none"/>
          <w:lang w:eastAsia="zh-CN"/>
        </w:rPr>
        <w:t>人员变更，</w:t>
      </w:r>
      <w:r>
        <w:rPr>
          <w:rFonts w:hint="default" w:ascii="Times New Roman" w:hAnsi="Times New Roman" w:eastAsia="仿宋_GB2312" w:cs="Times New Roman"/>
          <w:color w:val="auto"/>
          <w:sz w:val="32"/>
          <w:szCs w:val="32"/>
          <w:highlight w:val="none"/>
        </w:rPr>
        <w:t>变更后人员</w:t>
      </w:r>
      <w:r>
        <w:rPr>
          <w:rFonts w:hint="default" w:ascii="Times New Roman" w:hAnsi="Times New Roman" w:eastAsia="仿宋_GB2312" w:cs="Times New Roman"/>
          <w:color w:val="auto"/>
          <w:sz w:val="32"/>
          <w:szCs w:val="32"/>
          <w:highlight w:val="none"/>
          <w:lang w:eastAsia="zh-CN"/>
        </w:rPr>
        <w:t>必</w:t>
      </w:r>
      <w:r>
        <w:rPr>
          <w:rFonts w:hint="default" w:ascii="Times New Roman" w:hAnsi="Times New Roman" w:eastAsia="仿宋_GB2312" w:cs="Times New Roman"/>
          <w:color w:val="auto"/>
          <w:sz w:val="32"/>
          <w:szCs w:val="32"/>
          <w:highlight w:val="none"/>
        </w:rPr>
        <w:t>须</w:t>
      </w:r>
      <w:r>
        <w:rPr>
          <w:rFonts w:hint="default" w:ascii="Times New Roman" w:hAnsi="Times New Roman" w:eastAsia="仿宋_GB2312" w:cs="Times New Roman"/>
          <w:color w:val="auto"/>
          <w:sz w:val="32"/>
          <w:szCs w:val="32"/>
          <w:highlight w:val="none"/>
          <w:lang w:eastAsia="zh-CN"/>
        </w:rPr>
        <w:t>满足</w:t>
      </w:r>
      <w:r>
        <w:rPr>
          <w:rFonts w:hint="default" w:ascii="Times New Roman" w:hAnsi="Times New Roman" w:eastAsia="仿宋_GB2312" w:cs="Times New Roman"/>
          <w:color w:val="auto"/>
          <w:sz w:val="32"/>
          <w:szCs w:val="32"/>
          <w:highlight w:val="none"/>
        </w:rPr>
        <w:t>本项目</w:t>
      </w:r>
      <w:r>
        <w:rPr>
          <w:rFonts w:hint="default" w:ascii="Times New Roman" w:hAnsi="Times New Roman" w:eastAsia="仿宋_GB2312" w:cs="Times New Roman"/>
          <w:color w:val="auto"/>
          <w:sz w:val="32"/>
          <w:szCs w:val="32"/>
          <w:highlight w:val="none"/>
          <w:lang w:eastAsia="zh-CN"/>
        </w:rPr>
        <w:t>招标</w:t>
      </w:r>
      <w:r>
        <w:rPr>
          <w:rFonts w:hint="default" w:ascii="Times New Roman" w:hAnsi="Times New Roman" w:eastAsia="仿宋_GB2312" w:cs="Times New Roman"/>
          <w:color w:val="auto"/>
          <w:sz w:val="32"/>
          <w:szCs w:val="32"/>
          <w:highlight w:val="none"/>
        </w:rPr>
        <w:t>要求</w:t>
      </w:r>
      <w:r>
        <w:rPr>
          <w:rFonts w:hint="default" w:ascii="Times New Roman" w:hAnsi="Times New Roman" w:eastAsia="仿宋_GB2312" w:cs="Times New Roman"/>
          <w:color w:val="auto"/>
          <w:sz w:val="32"/>
          <w:szCs w:val="32"/>
          <w:highlight w:val="none"/>
          <w:lang w:eastAsia="zh-CN"/>
        </w:rPr>
        <w:t>。由造价企业向综合计划科提出申请并提供相应证明，工程建设</w:t>
      </w:r>
      <w:r>
        <w:rPr>
          <w:rFonts w:hint="default" w:ascii="Times New Roman" w:hAnsi="Times New Roman" w:eastAsia="仿宋_GB2312" w:cs="Times New Roman"/>
          <w:color w:val="auto"/>
          <w:sz w:val="32"/>
          <w:szCs w:val="32"/>
          <w:highlight w:val="none"/>
        </w:rPr>
        <w:t>科</w:t>
      </w:r>
      <w:r>
        <w:rPr>
          <w:rFonts w:hint="default" w:ascii="Times New Roman" w:hAnsi="Times New Roman" w:eastAsia="仿宋_GB2312" w:cs="Times New Roman"/>
          <w:color w:val="auto"/>
          <w:sz w:val="32"/>
          <w:szCs w:val="32"/>
          <w:highlight w:val="none"/>
          <w:lang w:eastAsia="zh-CN"/>
        </w:rPr>
        <w:t>和综合计划科会商提出意见，报综合计划科分管领导批准</w:t>
      </w:r>
      <w:r>
        <w:rPr>
          <w:rFonts w:hint="default" w:ascii="Times New Roman" w:hAnsi="Times New Roman" w:eastAsia="仿宋_GB2312" w:cs="Times New Roman"/>
          <w:color w:val="auto"/>
          <w:sz w:val="32"/>
          <w:szCs w:val="32"/>
          <w:highlight w:val="none"/>
        </w:rPr>
        <w:t>后予以备案</w:t>
      </w:r>
      <w:r>
        <w:rPr>
          <w:rFonts w:hint="default" w:ascii="Times New Roman" w:hAnsi="Times New Roman" w:eastAsia="仿宋_GB2312" w:cs="Times New Roman"/>
          <w:color w:val="auto"/>
          <w:sz w:val="32"/>
          <w:szCs w:val="32"/>
          <w:highlight w:val="none"/>
          <w:lang w:eastAsia="zh-CN"/>
        </w:rPr>
        <w:t>。</w:t>
      </w:r>
    </w:p>
    <w:p w14:paraId="5AB6E5B3">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项目组负责人因以下原因变更不予处罚：①</w:t>
      </w:r>
      <w:r>
        <w:rPr>
          <w:rFonts w:hint="default" w:ascii="Times New Roman" w:hAnsi="Times New Roman" w:eastAsia="仿宋_GB2312" w:cs="Times New Roman"/>
          <w:color w:val="auto"/>
          <w:sz w:val="32"/>
          <w:szCs w:val="32"/>
          <w:highlight w:val="none"/>
        </w:rPr>
        <w:t>亡故</w:t>
      </w:r>
      <w:r>
        <w:rPr>
          <w:rFonts w:hint="default" w:ascii="Times New Roman" w:hAnsi="Times New Roman" w:eastAsia="仿宋_GB2312" w:cs="Times New Roman"/>
          <w:color w:val="auto"/>
          <w:sz w:val="32"/>
          <w:szCs w:val="32"/>
          <w:highlight w:val="none"/>
          <w:lang w:eastAsia="zh-CN"/>
        </w:rPr>
        <w:t>；②</w:t>
      </w:r>
      <w:r>
        <w:rPr>
          <w:rFonts w:hint="default" w:ascii="Times New Roman" w:hAnsi="Times New Roman" w:eastAsia="仿宋_GB2312" w:cs="Times New Roman"/>
          <w:color w:val="auto"/>
          <w:sz w:val="32"/>
          <w:szCs w:val="32"/>
          <w:highlight w:val="none"/>
        </w:rPr>
        <w:t>重病</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或重伤</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三个月以上，不能履行职责</w:t>
      </w:r>
      <w:r>
        <w:rPr>
          <w:rFonts w:hint="default" w:ascii="Times New Roman" w:hAnsi="Times New Roman" w:eastAsia="仿宋_GB2312" w:cs="Times New Roman"/>
          <w:color w:val="auto"/>
          <w:sz w:val="32"/>
          <w:szCs w:val="32"/>
          <w:highlight w:val="none"/>
          <w:lang w:eastAsia="zh-CN"/>
        </w:rPr>
        <w:t>；③</w:t>
      </w:r>
      <w:r>
        <w:rPr>
          <w:rFonts w:hint="default" w:ascii="Times New Roman" w:hAnsi="Times New Roman" w:eastAsia="仿宋_GB2312" w:cs="Times New Roman"/>
          <w:color w:val="auto"/>
          <w:sz w:val="32"/>
          <w:szCs w:val="32"/>
          <w:highlight w:val="none"/>
        </w:rPr>
        <w:t>受到刑事或行政处罚，不能胜任；</w:t>
      </w:r>
      <w:r>
        <w:rPr>
          <w:rFonts w:hint="default" w:ascii="Times New Roman" w:hAnsi="Times New Roman" w:eastAsia="仿宋_GB2312" w:cs="Times New Roman"/>
          <w:color w:val="auto"/>
          <w:sz w:val="32"/>
          <w:szCs w:val="32"/>
          <w:highlight w:val="none"/>
          <w:lang w:eastAsia="zh-CN"/>
        </w:rPr>
        <w:t>④</w:t>
      </w:r>
      <w:r>
        <w:rPr>
          <w:rFonts w:hint="default" w:ascii="Times New Roman" w:hAnsi="Times New Roman" w:eastAsia="仿宋_GB2312" w:cs="Times New Roman"/>
          <w:color w:val="auto"/>
          <w:sz w:val="32"/>
          <w:szCs w:val="32"/>
          <w:highlight w:val="none"/>
        </w:rPr>
        <w:t>犯罪被羁押或判刑；</w:t>
      </w:r>
      <w:r>
        <w:rPr>
          <w:rFonts w:hint="default" w:ascii="Times New Roman" w:hAnsi="Times New Roman" w:eastAsia="仿宋_GB2312" w:cs="Times New Roman"/>
          <w:color w:val="auto"/>
          <w:sz w:val="32"/>
          <w:szCs w:val="32"/>
          <w:highlight w:val="none"/>
          <w:lang w:eastAsia="zh-CN"/>
        </w:rPr>
        <w:t>⑤</w:t>
      </w:r>
      <w:r>
        <w:rPr>
          <w:rFonts w:hint="default" w:ascii="Times New Roman" w:hAnsi="Times New Roman" w:eastAsia="仿宋_GB2312" w:cs="Times New Roman"/>
          <w:color w:val="auto"/>
          <w:sz w:val="32"/>
          <w:szCs w:val="32"/>
          <w:highlight w:val="none"/>
        </w:rPr>
        <w:t>被责令停止职业资格</w:t>
      </w:r>
      <w:r>
        <w:rPr>
          <w:rFonts w:hint="default" w:ascii="Times New Roman" w:hAnsi="Times New Roman" w:eastAsia="仿宋_GB2312" w:cs="Times New Roman"/>
          <w:color w:val="auto"/>
          <w:sz w:val="32"/>
          <w:szCs w:val="32"/>
          <w:highlight w:val="none"/>
          <w:lang w:eastAsia="zh-CN"/>
        </w:rPr>
        <w:t>。其他原因</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造价企业</w:t>
      </w:r>
      <w:r>
        <w:rPr>
          <w:rFonts w:hint="default" w:ascii="Times New Roman" w:hAnsi="Times New Roman" w:eastAsia="仿宋_GB2312" w:cs="Times New Roman"/>
          <w:color w:val="auto"/>
          <w:sz w:val="32"/>
          <w:szCs w:val="32"/>
          <w:highlight w:val="none"/>
        </w:rPr>
        <w:t>须缴纳</w:t>
      </w:r>
      <w:r>
        <w:rPr>
          <w:rFonts w:hint="default" w:ascii="Times New Roman" w:hAnsi="Times New Roman" w:eastAsia="仿宋_GB2312" w:cs="Times New Roman"/>
          <w:color w:val="auto"/>
          <w:sz w:val="32"/>
          <w:szCs w:val="32"/>
          <w:highlight w:val="none"/>
          <w:lang w:eastAsia="zh-CN"/>
        </w:rPr>
        <w:t>2</w:t>
      </w:r>
      <w:r>
        <w:rPr>
          <w:rFonts w:hint="default" w:ascii="Times New Roman" w:hAnsi="Times New Roman" w:eastAsia="仿宋_GB2312" w:cs="Times New Roman"/>
          <w:color w:val="auto"/>
          <w:sz w:val="32"/>
          <w:szCs w:val="32"/>
          <w:highlight w:val="none"/>
        </w:rPr>
        <w:t>万元违约金</w:t>
      </w:r>
      <w:r>
        <w:rPr>
          <w:rFonts w:hint="default" w:ascii="Times New Roman" w:hAnsi="Times New Roman" w:eastAsia="仿宋_GB2312" w:cs="Times New Roman"/>
          <w:color w:val="auto"/>
          <w:sz w:val="32"/>
          <w:szCs w:val="32"/>
          <w:highlight w:val="none"/>
          <w:lang w:eastAsia="zh-CN"/>
        </w:rPr>
        <w:t>。</w:t>
      </w:r>
    </w:p>
    <w:p w14:paraId="4BE39F4D">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第十</w:t>
      </w:r>
      <w:r>
        <w:rPr>
          <w:rFonts w:hint="eastAsia" w:eastAsia="仿宋_GB2312" w:cs="Times New Roman"/>
          <w:b/>
          <w:bCs/>
          <w:color w:val="auto"/>
          <w:sz w:val="32"/>
          <w:szCs w:val="32"/>
          <w:highlight w:val="none"/>
          <w:lang w:val="en-US" w:eastAsia="zh-CN"/>
        </w:rPr>
        <w:t>五</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kern w:val="0"/>
          <w:sz w:val="32"/>
          <w:szCs w:val="32"/>
          <w:highlight w:val="none"/>
          <w:lang w:eastAsia="zh-CN"/>
        </w:rPr>
        <w:t>跟踪审计单位</w:t>
      </w:r>
      <w:r>
        <w:rPr>
          <w:rFonts w:hint="default" w:ascii="Times New Roman" w:hAnsi="Times New Roman" w:eastAsia="仿宋_GB2312" w:cs="Times New Roman"/>
          <w:color w:val="auto"/>
          <w:sz w:val="32"/>
          <w:szCs w:val="32"/>
          <w:highlight w:val="none"/>
          <w:lang w:eastAsia="zh-CN"/>
        </w:rPr>
        <w:t>审计</w:t>
      </w:r>
      <w:r>
        <w:rPr>
          <w:rFonts w:hint="default" w:ascii="Times New Roman" w:hAnsi="Times New Roman" w:eastAsia="仿宋_GB2312" w:cs="Times New Roman"/>
          <w:color w:val="auto"/>
          <w:sz w:val="32"/>
          <w:szCs w:val="32"/>
          <w:highlight w:val="none"/>
        </w:rPr>
        <w:t>组每月</w:t>
      </w:r>
      <w:r>
        <w:rPr>
          <w:rFonts w:hint="default" w:ascii="Times New Roman" w:hAnsi="Times New Roman" w:eastAsia="仿宋_GB2312" w:cs="Times New Roman"/>
          <w:color w:val="auto"/>
          <w:sz w:val="32"/>
          <w:szCs w:val="32"/>
          <w:highlight w:val="none"/>
          <w:lang w:eastAsia="zh-CN"/>
        </w:rPr>
        <w:t>5</w:t>
      </w:r>
      <w:r>
        <w:rPr>
          <w:rFonts w:hint="default" w:ascii="Times New Roman" w:hAnsi="Times New Roman" w:eastAsia="仿宋_GB2312" w:cs="Times New Roman"/>
          <w:color w:val="auto"/>
          <w:sz w:val="32"/>
          <w:szCs w:val="32"/>
          <w:highlight w:val="none"/>
        </w:rPr>
        <w:t>日前</w:t>
      </w:r>
      <w:r>
        <w:rPr>
          <w:rFonts w:hint="default" w:ascii="Times New Roman" w:hAnsi="Times New Roman" w:eastAsia="仿宋_GB2312" w:cs="Times New Roman"/>
          <w:color w:val="auto"/>
          <w:sz w:val="32"/>
          <w:szCs w:val="32"/>
          <w:highlight w:val="none"/>
          <w:lang w:eastAsia="zh-CN"/>
        </w:rPr>
        <w:t>向</w:t>
      </w:r>
      <w:r>
        <w:rPr>
          <w:rFonts w:hint="default" w:ascii="Times New Roman" w:hAnsi="Times New Roman" w:eastAsia="仿宋_GB2312" w:cs="Times New Roman"/>
          <w:color w:val="auto"/>
          <w:sz w:val="32"/>
          <w:szCs w:val="32"/>
          <w:highlight w:val="none"/>
        </w:rPr>
        <w:t>综合计划科报送审计月报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综合计划科</w:t>
      </w:r>
      <w:r>
        <w:rPr>
          <w:rFonts w:hint="default" w:ascii="Times New Roman" w:hAnsi="Times New Roman" w:eastAsia="仿宋_GB2312" w:cs="Times New Roman"/>
          <w:color w:val="auto"/>
          <w:sz w:val="32"/>
          <w:szCs w:val="32"/>
          <w:highlight w:val="none"/>
          <w:lang w:eastAsia="zh-CN"/>
        </w:rPr>
        <w:t>抄送</w:t>
      </w:r>
      <w:r>
        <w:rPr>
          <w:rFonts w:hint="default" w:ascii="Times New Roman" w:hAnsi="Times New Roman" w:eastAsia="仿宋_GB2312" w:cs="Times New Roman"/>
          <w:color w:val="auto"/>
          <w:sz w:val="32"/>
          <w:szCs w:val="32"/>
          <w:highlight w:val="none"/>
        </w:rPr>
        <w:t>工程建设科，月报主要</w:t>
      </w:r>
      <w:r>
        <w:rPr>
          <w:rFonts w:hint="default" w:ascii="Times New Roman" w:hAnsi="Times New Roman" w:eastAsia="仿宋_GB2312" w:cs="Times New Roman"/>
          <w:color w:val="auto"/>
          <w:sz w:val="32"/>
          <w:szCs w:val="32"/>
          <w:highlight w:val="none"/>
          <w:lang w:eastAsia="zh-CN"/>
        </w:rPr>
        <w:t>反映</w:t>
      </w:r>
      <w:r>
        <w:rPr>
          <w:rFonts w:hint="default" w:ascii="Times New Roman" w:hAnsi="Times New Roman" w:eastAsia="仿宋_GB2312" w:cs="Times New Roman"/>
          <w:color w:val="auto"/>
          <w:sz w:val="32"/>
          <w:szCs w:val="32"/>
          <w:highlight w:val="none"/>
        </w:rPr>
        <w:t>项目的进度、工程计量、工程变更等涉及工程造价方面的内容。</w:t>
      </w:r>
    </w:p>
    <w:p w14:paraId="23D42C99">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十</w:t>
      </w:r>
      <w:r>
        <w:rPr>
          <w:rFonts w:hint="eastAsia" w:eastAsia="仿宋_GB2312" w:cs="Times New Roman"/>
          <w:b/>
          <w:bCs/>
          <w:color w:val="auto"/>
          <w:sz w:val="32"/>
          <w:szCs w:val="32"/>
          <w:highlight w:val="none"/>
          <w:lang w:val="en-US" w:eastAsia="zh-CN"/>
        </w:rPr>
        <w:t>六</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结算审核单位</w:t>
      </w:r>
      <w:r>
        <w:rPr>
          <w:rFonts w:hint="default" w:ascii="Times New Roman" w:hAnsi="Times New Roman" w:eastAsia="仿宋_GB2312" w:cs="Times New Roman"/>
          <w:color w:val="auto"/>
          <w:sz w:val="32"/>
          <w:szCs w:val="32"/>
          <w:highlight w:val="none"/>
        </w:rPr>
        <w:t>应在</w:t>
      </w:r>
      <w:r>
        <w:rPr>
          <w:rFonts w:hint="default" w:ascii="Times New Roman" w:hAnsi="Times New Roman" w:eastAsia="仿宋_GB2312" w:cs="Times New Roman"/>
          <w:color w:val="auto"/>
          <w:sz w:val="32"/>
          <w:szCs w:val="32"/>
          <w:highlight w:val="none"/>
          <w:lang w:eastAsia="zh-CN"/>
        </w:rPr>
        <w:t>7</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eastAsia="zh-CN"/>
        </w:rPr>
        <w:t>造价5000</w:t>
      </w:r>
      <w:r>
        <w:rPr>
          <w:rFonts w:hint="default" w:ascii="Times New Roman" w:hAnsi="Times New Roman" w:eastAsia="仿宋_GB2312" w:cs="Times New Roman"/>
          <w:color w:val="auto"/>
          <w:sz w:val="32"/>
          <w:szCs w:val="32"/>
          <w:highlight w:val="none"/>
        </w:rPr>
        <w:t>万</w:t>
      </w:r>
      <w:r>
        <w:rPr>
          <w:rFonts w:hint="default" w:ascii="Times New Roman" w:hAnsi="Times New Roman" w:eastAsia="仿宋_GB2312" w:cs="Times New Roman"/>
          <w:color w:val="auto"/>
          <w:sz w:val="32"/>
          <w:szCs w:val="32"/>
          <w:highlight w:val="none"/>
          <w:lang w:eastAsia="zh-CN"/>
        </w:rPr>
        <w:t>元</w:t>
      </w:r>
      <w:r>
        <w:rPr>
          <w:rFonts w:hint="default" w:ascii="Times New Roman" w:hAnsi="Times New Roman" w:eastAsia="仿宋_GB2312" w:cs="Times New Roman"/>
          <w:color w:val="auto"/>
          <w:sz w:val="32"/>
          <w:szCs w:val="32"/>
          <w:highlight w:val="none"/>
        </w:rPr>
        <w:t>以下）或</w:t>
      </w:r>
      <w:r>
        <w:rPr>
          <w:rFonts w:hint="default" w:ascii="Times New Roman" w:hAnsi="Times New Roman" w:eastAsia="仿宋_GB2312" w:cs="Times New Roman"/>
          <w:color w:val="auto"/>
          <w:sz w:val="32"/>
          <w:szCs w:val="32"/>
          <w:highlight w:val="none"/>
          <w:lang w:eastAsia="zh-CN"/>
        </w:rPr>
        <w:t>10</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eastAsia="zh-CN"/>
        </w:rPr>
        <w:t>造价5000</w:t>
      </w:r>
      <w:r>
        <w:rPr>
          <w:rFonts w:hint="default" w:ascii="Times New Roman" w:hAnsi="Times New Roman" w:eastAsia="仿宋_GB2312" w:cs="Times New Roman"/>
          <w:color w:val="auto"/>
          <w:sz w:val="32"/>
          <w:szCs w:val="32"/>
          <w:highlight w:val="none"/>
        </w:rPr>
        <w:t>万</w:t>
      </w:r>
      <w:r>
        <w:rPr>
          <w:rFonts w:hint="default" w:ascii="Times New Roman" w:hAnsi="Times New Roman" w:eastAsia="仿宋_GB2312" w:cs="Times New Roman"/>
          <w:color w:val="auto"/>
          <w:sz w:val="32"/>
          <w:szCs w:val="32"/>
          <w:highlight w:val="none"/>
          <w:lang w:eastAsia="zh-CN"/>
        </w:rPr>
        <w:t>元</w:t>
      </w:r>
      <w:r>
        <w:rPr>
          <w:rFonts w:hint="default" w:ascii="Times New Roman" w:hAnsi="Times New Roman" w:eastAsia="仿宋_GB2312" w:cs="Times New Roman"/>
          <w:color w:val="auto"/>
          <w:sz w:val="32"/>
          <w:szCs w:val="32"/>
          <w:highlight w:val="none"/>
        </w:rPr>
        <w:t>以上）内，对施工单位报送的项目结算资料进行完整性检查，一次性书面告知，限期补充齐全。在实施结算审计</w:t>
      </w:r>
      <w:r>
        <w:rPr>
          <w:rFonts w:hint="default" w:ascii="Times New Roman" w:hAnsi="Times New Roman" w:eastAsia="仿宋_GB2312" w:cs="Times New Roman"/>
          <w:color w:val="auto"/>
          <w:sz w:val="32"/>
          <w:szCs w:val="32"/>
          <w:highlight w:val="none"/>
          <w:lang w:eastAsia="zh-CN"/>
        </w:rPr>
        <w:t>过</w:t>
      </w:r>
      <w:r>
        <w:rPr>
          <w:rFonts w:hint="default" w:ascii="Times New Roman" w:hAnsi="Times New Roman" w:eastAsia="仿宋_GB2312" w:cs="Times New Roman"/>
          <w:color w:val="auto"/>
          <w:sz w:val="32"/>
          <w:szCs w:val="32"/>
          <w:highlight w:val="none"/>
        </w:rPr>
        <w:t>程中，原则上不再接收施工单位提供的变更签证资料。如遇特殊情况，补充资料</w:t>
      </w:r>
      <w:r>
        <w:rPr>
          <w:rFonts w:hint="default" w:ascii="Times New Roman" w:hAnsi="Times New Roman" w:eastAsia="仿宋_GB2312" w:cs="Times New Roman"/>
          <w:color w:val="auto"/>
          <w:sz w:val="32"/>
          <w:szCs w:val="32"/>
          <w:highlight w:val="none"/>
          <w:lang w:eastAsia="zh-CN"/>
        </w:rPr>
        <w:t>需</w:t>
      </w:r>
      <w:r>
        <w:rPr>
          <w:rFonts w:hint="default" w:ascii="Times New Roman" w:hAnsi="Times New Roman" w:eastAsia="仿宋_GB2312" w:cs="Times New Roman"/>
          <w:color w:val="auto"/>
          <w:sz w:val="32"/>
          <w:szCs w:val="32"/>
          <w:highlight w:val="none"/>
        </w:rPr>
        <w:t>经</w:t>
      </w:r>
      <w:r>
        <w:rPr>
          <w:rFonts w:hint="default" w:ascii="Times New Roman" w:hAnsi="Times New Roman" w:eastAsia="仿宋_GB2312" w:cs="Times New Roman"/>
          <w:color w:val="auto"/>
          <w:sz w:val="32"/>
          <w:szCs w:val="32"/>
          <w:highlight w:val="none"/>
          <w:lang w:eastAsia="zh-CN"/>
        </w:rPr>
        <w:t>工程建设科和</w:t>
      </w:r>
      <w:r>
        <w:rPr>
          <w:rFonts w:hint="default" w:ascii="Times New Roman" w:hAnsi="Times New Roman" w:eastAsia="仿宋_GB2312" w:cs="Times New Roman"/>
          <w:color w:val="auto"/>
          <w:sz w:val="32"/>
          <w:szCs w:val="32"/>
          <w:highlight w:val="none"/>
        </w:rPr>
        <w:t>项目分管领导同意。</w:t>
      </w:r>
    </w:p>
    <w:p w14:paraId="40948EE5">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十</w:t>
      </w:r>
      <w:r>
        <w:rPr>
          <w:rFonts w:hint="eastAsia" w:eastAsia="仿宋_GB2312" w:cs="Times New Roman"/>
          <w:b/>
          <w:bCs/>
          <w:color w:val="auto"/>
          <w:sz w:val="32"/>
          <w:szCs w:val="32"/>
          <w:highlight w:val="none"/>
          <w:lang w:val="en-US" w:eastAsia="zh-CN"/>
        </w:rPr>
        <w:t>七</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造价企业结算审</w:t>
      </w:r>
      <w:r>
        <w:rPr>
          <w:rFonts w:hint="default" w:ascii="Times New Roman" w:hAnsi="Times New Roman" w:eastAsia="仿宋_GB2312" w:cs="Times New Roman"/>
          <w:color w:val="auto"/>
          <w:sz w:val="32"/>
          <w:szCs w:val="32"/>
          <w:highlight w:val="none"/>
          <w:lang w:eastAsia="zh-CN"/>
        </w:rPr>
        <w:t>核</w:t>
      </w:r>
      <w:r>
        <w:rPr>
          <w:rFonts w:hint="default" w:ascii="Times New Roman" w:hAnsi="Times New Roman" w:eastAsia="仿宋_GB2312" w:cs="Times New Roman"/>
          <w:color w:val="auto"/>
          <w:sz w:val="32"/>
          <w:szCs w:val="32"/>
          <w:highlight w:val="none"/>
        </w:rPr>
        <w:t>的项目，造价在</w:t>
      </w:r>
      <w:r>
        <w:rPr>
          <w:rFonts w:hint="default" w:ascii="Times New Roman" w:hAnsi="Times New Roman" w:eastAsia="仿宋_GB2312" w:cs="Times New Roman"/>
          <w:color w:val="auto"/>
          <w:sz w:val="32"/>
          <w:szCs w:val="32"/>
          <w:highlight w:val="none"/>
          <w:lang w:eastAsia="zh-CN"/>
        </w:rPr>
        <w:t>500</w:t>
      </w:r>
      <w:r>
        <w:rPr>
          <w:rFonts w:hint="default" w:ascii="Times New Roman" w:hAnsi="Times New Roman" w:eastAsia="仿宋_GB2312" w:cs="Times New Roman"/>
          <w:color w:val="auto"/>
          <w:sz w:val="32"/>
          <w:szCs w:val="32"/>
          <w:highlight w:val="none"/>
        </w:rPr>
        <w:t>万元以下、</w:t>
      </w:r>
      <w:r>
        <w:rPr>
          <w:rFonts w:hint="default" w:ascii="Times New Roman" w:hAnsi="Times New Roman" w:eastAsia="仿宋_GB2312" w:cs="Times New Roman"/>
          <w:color w:val="auto"/>
          <w:sz w:val="32"/>
          <w:szCs w:val="32"/>
          <w:highlight w:val="none"/>
          <w:lang w:eastAsia="zh-CN"/>
        </w:rPr>
        <w:t>500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2000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2000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5000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5000</w:t>
      </w:r>
      <w:r>
        <w:rPr>
          <w:rFonts w:hint="default" w:ascii="Times New Roman" w:hAnsi="Times New Roman" w:eastAsia="仿宋_GB2312" w:cs="Times New Roman"/>
          <w:color w:val="auto"/>
          <w:sz w:val="32"/>
          <w:szCs w:val="32"/>
          <w:highlight w:val="none"/>
        </w:rPr>
        <w:t>万元以上的单项工程，应</w:t>
      </w:r>
      <w:r>
        <w:rPr>
          <w:rFonts w:hint="default" w:ascii="Times New Roman" w:hAnsi="Times New Roman" w:eastAsia="仿宋_GB2312" w:cs="Times New Roman"/>
          <w:color w:val="auto"/>
          <w:sz w:val="32"/>
          <w:szCs w:val="32"/>
          <w:highlight w:val="none"/>
          <w:lang w:eastAsia="zh-CN"/>
        </w:rPr>
        <w:t>分别</w:t>
      </w:r>
      <w:r>
        <w:rPr>
          <w:rFonts w:hint="default" w:ascii="Times New Roman" w:hAnsi="Times New Roman" w:eastAsia="仿宋_GB2312" w:cs="Times New Roman"/>
          <w:color w:val="auto"/>
          <w:sz w:val="32"/>
          <w:szCs w:val="32"/>
          <w:highlight w:val="none"/>
        </w:rPr>
        <w:t>在施工单位报送的项目结算资料完整</w:t>
      </w:r>
      <w:r>
        <w:rPr>
          <w:rFonts w:hint="default" w:ascii="Times New Roman" w:hAnsi="Times New Roman" w:eastAsia="仿宋_GB2312" w:cs="Times New Roman"/>
          <w:color w:val="auto"/>
          <w:sz w:val="32"/>
          <w:szCs w:val="32"/>
          <w:highlight w:val="none"/>
          <w:lang w:eastAsia="zh-CN"/>
        </w:rPr>
        <w:t>后的20</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eastAsia="zh-CN"/>
        </w:rPr>
        <w:t>30</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eastAsia="zh-CN"/>
        </w:rPr>
        <w:t>45</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eastAsia="zh-CN"/>
        </w:rPr>
        <w:t>60</w:t>
      </w:r>
      <w:r>
        <w:rPr>
          <w:rFonts w:hint="default" w:ascii="Times New Roman" w:hAnsi="Times New Roman" w:eastAsia="仿宋_GB2312" w:cs="Times New Roman"/>
          <w:color w:val="auto"/>
          <w:sz w:val="32"/>
          <w:szCs w:val="32"/>
          <w:highlight w:val="none"/>
        </w:rPr>
        <w:t>日内完成，并出具审核报告。如遇特殊情况，经</w:t>
      </w:r>
      <w:r>
        <w:rPr>
          <w:rFonts w:hint="default" w:ascii="Times New Roman" w:hAnsi="Times New Roman" w:eastAsia="仿宋_GB2312" w:cs="Times New Roman"/>
          <w:color w:val="auto"/>
          <w:sz w:val="32"/>
          <w:szCs w:val="32"/>
          <w:highlight w:val="none"/>
          <w:lang w:eastAsia="zh-CN"/>
        </w:rPr>
        <w:t>工程建设科和</w:t>
      </w:r>
      <w:r>
        <w:rPr>
          <w:rFonts w:hint="default" w:ascii="Times New Roman" w:hAnsi="Times New Roman" w:eastAsia="仿宋_GB2312" w:cs="Times New Roman"/>
          <w:color w:val="auto"/>
          <w:sz w:val="32"/>
          <w:szCs w:val="32"/>
          <w:highlight w:val="none"/>
        </w:rPr>
        <w:t>项目分管领导同意，可适当延长，延长时间最长不得超过</w:t>
      </w:r>
      <w:r>
        <w:rPr>
          <w:rFonts w:hint="default" w:ascii="Times New Roman" w:hAnsi="Times New Roman" w:eastAsia="仿宋_GB2312" w:cs="Times New Roman"/>
          <w:color w:val="auto"/>
          <w:sz w:val="32"/>
          <w:szCs w:val="32"/>
          <w:highlight w:val="none"/>
          <w:lang w:eastAsia="zh-CN"/>
        </w:rPr>
        <w:t>30</w:t>
      </w:r>
      <w:r>
        <w:rPr>
          <w:rFonts w:hint="default" w:ascii="Times New Roman" w:hAnsi="Times New Roman" w:eastAsia="仿宋_GB2312" w:cs="Times New Roman"/>
          <w:color w:val="auto"/>
          <w:sz w:val="32"/>
          <w:szCs w:val="32"/>
          <w:highlight w:val="none"/>
        </w:rPr>
        <w:t>日。</w:t>
      </w:r>
    </w:p>
    <w:p w14:paraId="2DA95C62">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b/>
          <w:bCs/>
          <w:color w:val="auto"/>
          <w:sz w:val="32"/>
          <w:szCs w:val="32"/>
          <w:highlight w:val="none"/>
        </w:rPr>
        <w:t>第</w:t>
      </w:r>
      <w:r>
        <w:rPr>
          <w:rFonts w:hint="eastAsia" w:eastAsia="仿宋_GB2312" w:cs="Times New Roman"/>
          <w:b/>
          <w:bCs/>
          <w:color w:val="auto"/>
          <w:sz w:val="32"/>
          <w:szCs w:val="32"/>
          <w:highlight w:val="none"/>
          <w:lang w:val="en-US" w:eastAsia="zh-CN"/>
        </w:rPr>
        <w:t>十八</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造价企业</w:t>
      </w:r>
      <w:r>
        <w:rPr>
          <w:rFonts w:hint="default" w:ascii="Times New Roman" w:hAnsi="Times New Roman" w:eastAsia="仿宋_GB2312" w:cs="Times New Roman"/>
          <w:color w:val="auto"/>
          <w:sz w:val="32"/>
          <w:szCs w:val="32"/>
          <w:highlight w:val="none"/>
          <w:lang w:eastAsia="zh-CN"/>
        </w:rPr>
        <w:t>清单编制</w:t>
      </w:r>
      <w:r>
        <w:rPr>
          <w:rFonts w:hint="default" w:ascii="Times New Roman" w:hAnsi="Times New Roman" w:eastAsia="仿宋_GB2312" w:cs="Times New Roman"/>
          <w:color w:val="auto"/>
          <w:sz w:val="32"/>
          <w:szCs w:val="32"/>
          <w:highlight w:val="none"/>
        </w:rPr>
        <w:t>的项目</w:t>
      </w:r>
      <w:r>
        <w:rPr>
          <w:rFonts w:hint="default" w:ascii="Times New Roman" w:hAnsi="Times New Roman" w:eastAsia="仿宋_GB2312" w:cs="Times New Roman"/>
          <w:color w:val="auto"/>
          <w:sz w:val="32"/>
          <w:szCs w:val="32"/>
          <w:highlight w:val="none"/>
          <w:lang w:eastAsia="zh-CN"/>
        </w:rPr>
        <w:t>，估算最高投标限价在</w:t>
      </w:r>
      <w:r>
        <w:rPr>
          <w:rFonts w:hint="default" w:ascii="Times New Roman" w:hAnsi="Times New Roman" w:eastAsia="仿宋_GB2312" w:cs="Times New Roman"/>
          <w:color w:val="auto"/>
          <w:sz w:val="32"/>
          <w:szCs w:val="32"/>
          <w:highlight w:val="none"/>
          <w:lang w:val="en-US" w:eastAsia="zh-CN"/>
        </w:rPr>
        <w:t xml:space="preserve">500万元以下、500万元-1000万元、1000万元-5000万元、5000万元-10000万元、10000万元以上的项目，应分别在7日、15日、20日、25日、30日内完成。特殊项目经综合计划科分管领导同意可以适当缩短或延长编制时间。  </w:t>
      </w:r>
      <w:r>
        <w:rPr>
          <w:rFonts w:hint="default" w:ascii="Times New Roman" w:hAnsi="Times New Roman" w:eastAsia="仿宋_GB2312" w:cs="Times New Roman"/>
          <w:color w:val="auto"/>
          <w:sz w:val="32"/>
          <w:szCs w:val="32"/>
          <w:highlight w:val="none"/>
        </w:rPr>
        <w:t xml:space="preserve">   </w:t>
      </w:r>
    </w:p>
    <w:p w14:paraId="61F9846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第六章 服务考核</w:t>
      </w:r>
    </w:p>
    <w:p w14:paraId="12606106">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eastAsia" w:eastAsia="仿宋_GB2312" w:cs="Times New Roman"/>
          <w:b/>
          <w:bCs/>
          <w:color w:val="auto"/>
          <w:sz w:val="32"/>
          <w:szCs w:val="32"/>
          <w:highlight w:val="none"/>
          <w:lang w:val="en-US" w:eastAsia="zh-CN"/>
        </w:rPr>
        <w:t>十九</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考核分类</w:t>
      </w:r>
    </w:p>
    <w:p w14:paraId="557BCC9C">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考核分为</w:t>
      </w:r>
      <w:r>
        <w:rPr>
          <w:rFonts w:hint="default" w:ascii="Times New Roman" w:hAnsi="Times New Roman" w:eastAsia="仿宋_GB2312" w:cs="Times New Roman"/>
          <w:color w:val="auto"/>
          <w:sz w:val="32"/>
          <w:szCs w:val="32"/>
          <w:highlight w:val="none"/>
          <w:lang w:eastAsia="zh-CN"/>
        </w:rPr>
        <w:t>清单编制质量考核、</w:t>
      </w:r>
      <w:r>
        <w:rPr>
          <w:rFonts w:hint="default" w:ascii="Times New Roman" w:hAnsi="Times New Roman" w:eastAsia="仿宋_GB2312" w:cs="Times New Roman"/>
          <w:color w:val="auto"/>
          <w:sz w:val="32"/>
          <w:szCs w:val="32"/>
          <w:highlight w:val="none"/>
        </w:rPr>
        <w:t>跟踪审计服务质量考核</w:t>
      </w:r>
      <w:r>
        <w:rPr>
          <w:rFonts w:hint="default" w:ascii="Times New Roman" w:hAnsi="Times New Roman" w:eastAsia="仿宋_GB2312" w:cs="Times New Roman"/>
          <w:color w:val="auto"/>
          <w:sz w:val="32"/>
          <w:szCs w:val="32"/>
          <w:highlight w:val="none"/>
          <w:lang w:eastAsia="zh-CN"/>
        </w:rPr>
        <w:t>和</w:t>
      </w:r>
      <w:r>
        <w:rPr>
          <w:rStyle w:val="155"/>
          <w:rFonts w:hint="default" w:ascii="Times New Roman" w:hAnsi="Times New Roman" w:eastAsia="仿宋_GB2312" w:cs="Times New Roman"/>
          <w:b w:val="0"/>
          <w:bCs w:val="0"/>
          <w:color w:val="auto"/>
          <w:sz w:val="32"/>
          <w:szCs w:val="32"/>
          <w:highlight w:val="none"/>
        </w:rPr>
        <w:t>结算审</w:t>
      </w:r>
      <w:r>
        <w:rPr>
          <w:rStyle w:val="155"/>
          <w:rFonts w:hint="default" w:ascii="Times New Roman" w:hAnsi="Times New Roman" w:cs="Times New Roman"/>
          <w:b w:val="0"/>
          <w:bCs w:val="0"/>
          <w:color w:val="auto"/>
          <w:sz w:val="32"/>
          <w:szCs w:val="32"/>
          <w:highlight w:val="none"/>
          <w:lang w:eastAsia="zh-CN"/>
        </w:rPr>
        <w:t>（复）</w:t>
      </w:r>
      <w:r>
        <w:rPr>
          <w:rStyle w:val="155"/>
          <w:rFonts w:hint="default" w:ascii="Times New Roman" w:hAnsi="Times New Roman" w:eastAsia="仿宋_GB2312" w:cs="Times New Roman"/>
          <w:b w:val="0"/>
          <w:bCs w:val="0"/>
          <w:color w:val="auto"/>
          <w:sz w:val="32"/>
          <w:szCs w:val="32"/>
          <w:highlight w:val="none"/>
        </w:rPr>
        <w:t>核</w:t>
      </w:r>
      <w:r>
        <w:rPr>
          <w:rStyle w:val="155"/>
          <w:rFonts w:hint="default" w:ascii="Times New Roman" w:hAnsi="Times New Roman" w:cs="Times New Roman"/>
          <w:b w:val="0"/>
          <w:bCs w:val="0"/>
          <w:color w:val="auto"/>
          <w:sz w:val="32"/>
          <w:szCs w:val="32"/>
          <w:highlight w:val="none"/>
          <w:lang w:eastAsia="zh-CN"/>
        </w:rPr>
        <w:t>成果质量</w:t>
      </w:r>
      <w:r>
        <w:rPr>
          <w:rStyle w:val="155"/>
          <w:rFonts w:hint="default" w:ascii="Times New Roman" w:hAnsi="Times New Roman" w:eastAsia="仿宋_GB2312" w:cs="Times New Roman"/>
          <w:b w:val="0"/>
          <w:bCs w:val="0"/>
          <w:color w:val="auto"/>
          <w:sz w:val="32"/>
          <w:szCs w:val="32"/>
          <w:highlight w:val="none"/>
        </w:rPr>
        <w:t>考核</w:t>
      </w:r>
      <w:r>
        <w:rPr>
          <w:rFonts w:hint="default" w:ascii="Times New Roman" w:hAnsi="Times New Roman" w:eastAsia="仿宋_GB2312" w:cs="Times New Roman"/>
          <w:color w:val="auto"/>
          <w:sz w:val="32"/>
          <w:szCs w:val="32"/>
          <w:highlight w:val="none"/>
        </w:rPr>
        <w:t>。</w:t>
      </w:r>
    </w:p>
    <w:p w14:paraId="6A929E8A">
      <w:pPr>
        <w:keepNext w:val="0"/>
        <w:keepLines w:val="0"/>
        <w:pageBreakBefore w:val="0"/>
        <w:kinsoku/>
        <w:wordWrap/>
        <w:overflowPunct/>
        <w:topLinePunct w:val="0"/>
        <w:autoSpaceDE/>
        <w:autoSpaceDN/>
        <w:bidi w:val="0"/>
        <w:adjustRightInd/>
        <w:spacing w:line="400" w:lineRule="exact"/>
        <w:ind w:left="0" w:leftChars="0"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rPr>
        <w:t>第二十条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清单编制质量考核</w:t>
      </w:r>
      <w:r>
        <w:rPr>
          <w:rFonts w:hint="default" w:ascii="Times New Roman" w:hAnsi="Times New Roman" w:eastAsia="仿宋_GB2312" w:cs="Times New Roman"/>
          <w:color w:val="auto"/>
          <w:sz w:val="32"/>
          <w:szCs w:val="32"/>
          <w:highlight w:val="none"/>
        </w:rPr>
        <w:t>标准见《滁州市重点工程建设管理处工程量清单</w:t>
      </w:r>
      <w:r>
        <w:rPr>
          <w:rFonts w:hint="default" w:ascii="Times New Roman" w:hAnsi="Times New Roman" w:eastAsia="仿宋_GB2312" w:cs="Times New Roman"/>
          <w:color w:val="auto"/>
          <w:sz w:val="32"/>
          <w:szCs w:val="32"/>
          <w:highlight w:val="none"/>
          <w:lang w:eastAsia="zh-CN"/>
        </w:rPr>
        <w:t>及</w:t>
      </w:r>
      <w:r>
        <w:rPr>
          <w:rFonts w:hint="default" w:ascii="Times New Roman" w:hAnsi="Times New Roman" w:eastAsia="仿宋_GB2312" w:cs="Times New Roman"/>
          <w:color w:val="auto"/>
          <w:sz w:val="32"/>
          <w:szCs w:val="32"/>
          <w:highlight w:val="none"/>
        </w:rPr>
        <w:t>最高投标限价编制质量考核表》（附件</w:t>
      </w:r>
      <w:r>
        <w:rPr>
          <w:rFonts w:hint="default" w:ascii="Times New Roman" w:hAnsi="Times New Roman" w:eastAsia="仿宋_GB2312" w:cs="Times New Roman"/>
          <w:color w:val="auto"/>
          <w:sz w:val="32"/>
          <w:szCs w:val="32"/>
          <w:highlight w:val="none"/>
          <w:lang w:eastAsia="zh-CN"/>
        </w:rPr>
        <w:t>1</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年度考核根据当年</w:t>
      </w:r>
      <w:r>
        <w:rPr>
          <w:rFonts w:hint="default" w:ascii="Times New Roman" w:hAnsi="Times New Roman" w:eastAsia="仿宋_GB2312" w:cs="Times New Roman"/>
          <w:color w:val="auto"/>
          <w:sz w:val="32"/>
          <w:szCs w:val="32"/>
          <w:highlight w:val="none"/>
          <w:lang w:eastAsia="zh-CN"/>
        </w:rPr>
        <w:t>完成结算的</w:t>
      </w:r>
      <w:r>
        <w:rPr>
          <w:rFonts w:hint="default" w:ascii="Times New Roman" w:hAnsi="Times New Roman" w:eastAsia="仿宋_GB2312" w:cs="Times New Roman"/>
          <w:color w:val="auto"/>
          <w:sz w:val="32"/>
          <w:szCs w:val="32"/>
          <w:highlight w:val="none"/>
        </w:rPr>
        <w:t>项目考核结果平均分作为年度综合评定分值，考核结果设“优”、“良”、“中”、“差”四个等级，满分为</w:t>
      </w:r>
      <w:r>
        <w:rPr>
          <w:rFonts w:hint="default" w:ascii="Times New Roman" w:hAnsi="Times New Roman" w:eastAsia="仿宋_GB2312" w:cs="Times New Roman"/>
          <w:color w:val="auto"/>
          <w:sz w:val="32"/>
          <w:szCs w:val="32"/>
          <w:highlight w:val="none"/>
          <w:lang w:eastAsia="zh-CN"/>
        </w:rPr>
        <w:t>100</w:t>
      </w:r>
      <w:r>
        <w:rPr>
          <w:rFonts w:hint="default" w:ascii="Times New Roman" w:hAnsi="Times New Roman" w:eastAsia="仿宋_GB2312" w:cs="Times New Roman"/>
          <w:color w:val="auto"/>
          <w:sz w:val="32"/>
          <w:szCs w:val="32"/>
          <w:highlight w:val="none"/>
        </w:rPr>
        <w:t>分，得分</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分及以上的年度考核评“优”，得分</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分的评“良”，得分</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lang w:eastAsia="zh-CN"/>
        </w:rPr>
        <w:t>0</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分的评“中”，</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lang w:eastAsia="zh-CN"/>
        </w:rPr>
        <w:t>0</w:t>
      </w:r>
      <w:r>
        <w:rPr>
          <w:rFonts w:hint="default" w:ascii="Times New Roman" w:hAnsi="Times New Roman" w:eastAsia="仿宋_GB2312" w:cs="Times New Roman"/>
          <w:color w:val="auto"/>
          <w:sz w:val="32"/>
          <w:szCs w:val="32"/>
          <w:highlight w:val="none"/>
        </w:rPr>
        <w:t>分以下的评“差”。年度考核评“优”的造价企业予以通报表扬；年度考核评“差”的造价企业予以通报批评。</w:t>
      </w:r>
    </w:p>
    <w:p w14:paraId="29976A61">
      <w:pPr>
        <w:keepNext w:val="0"/>
        <w:keepLines w:val="0"/>
        <w:pageBreakBefore w:val="0"/>
        <w:kinsoku/>
        <w:wordWrap/>
        <w:overflowPunct/>
        <w:topLinePunct w:val="0"/>
        <w:autoSpaceDE/>
        <w:autoSpaceDN/>
        <w:bidi w:val="0"/>
        <w:adjustRightInd/>
        <w:spacing w:line="400" w:lineRule="exact"/>
        <w:ind w:firstLine="643"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第二十</w:t>
      </w:r>
      <w:r>
        <w:rPr>
          <w:rFonts w:hint="eastAsia" w:eastAsia="仿宋_GB2312" w:cs="Times New Roman"/>
          <w:b/>
          <w:bCs/>
          <w:color w:val="auto"/>
          <w:sz w:val="32"/>
          <w:szCs w:val="32"/>
          <w:highlight w:val="none"/>
          <w:lang w:val="en-US" w:eastAsia="zh-CN"/>
        </w:rPr>
        <w:t>一</w:t>
      </w:r>
      <w:r>
        <w:rPr>
          <w:rFonts w:hint="default" w:ascii="Times New Roman" w:hAnsi="Times New Roman" w:eastAsia="仿宋_GB2312" w:cs="Times New Roman"/>
          <w:b/>
          <w:bCs/>
          <w:color w:val="auto"/>
          <w:sz w:val="32"/>
          <w:szCs w:val="32"/>
          <w:highlight w:val="none"/>
          <w:lang w:val="en-US" w:eastAsia="zh-CN"/>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跟踪审计服务质量日常考核原则上每季度安排一次。考核以各造价企业单个审计项目为单位，对单个审计项目审计实施过程和完成情况进行综合考核，满分为</w:t>
      </w:r>
      <w:r>
        <w:rPr>
          <w:rFonts w:hint="default" w:ascii="Times New Roman" w:hAnsi="Times New Roman" w:eastAsia="仿宋_GB2312" w:cs="Times New Roman"/>
          <w:color w:val="auto"/>
          <w:sz w:val="32"/>
          <w:szCs w:val="32"/>
          <w:highlight w:val="none"/>
          <w:lang w:eastAsia="zh-CN"/>
        </w:rPr>
        <w:t>100</w:t>
      </w:r>
      <w:r>
        <w:rPr>
          <w:rFonts w:hint="default" w:ascii="Times New Roman" w:hAnsi="Times New Roman" w:eastAsia="仿宋_GB2312" w:cs="Times New Roman"/>
          <w:color w:val="auto"/>
          <w:sz w:val="32"/>
          <w:szCs w:val="32"/>
          <w:highlight w:val="none"/>
        </w:rPr>
        <w:t>分，考核标准见《滁州市重点工程建设管理处跟踪审计服务质量日常考核表》（附件</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）。考核结果设“优”、“良”、“中”、“差”四个等级，考核得分</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分及以上的项目评“优”，考核得分</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分的项目评“良”，考核得分</w:t>
      </w:r>
      <w:r>
        <w:rPr>
          <w:rFonts w:hint="default" w:ascii="Times New Roman" w:hAnsi="Times New Roman" w:eastAsia="仿宋_GB2312" w:cs="Times New Roman"/>
          <w:color w:val="auto"/>
          <w:sz w:val="32"/>
          <w:szCs w:val="32"/>
          <w:highlight w:val="none"/>
          <w:lang w:eastAsia="zh-CN"/>
        </w:rPr>
        <w:t>70</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val="en-US" w:eastAsia="zh-CN"/>
        </w:rPr>
        <w:t>85</w:t>
      </w:r>
      <w:r>
        <w:rPr>
          <w:rFonts w:hint="default" w:ascii="Times New Roman" w:hAnsi="Times New Roman" w:eastAsia="仿宋_GB2312" w:cs="Times New Roman"/>
          <w:color w:val="auto"/>
          <w:sz w:val="32"/>
          <w:szCs w:val="32"/>
          <w:highlight w:val="none"/>
        </w:rPr>
        <w:t>分的项目评“中”，</w:t>
      </w:r>
      <w:r>
        <w:rPr>
          <w:rFonts w:hint="default" w:ascii="Times New Roman" w:hAnsi="Times New Roman" w:eastAsia="仿宋_GB2312" w:cs="Times New Roman"/>
          <w:color w:val="auto"/>
          <w:sz w:val="32"/>
          <w:szCs w:val="32"/>
          <w:highlight w:val="none"/>
          <w:lang w:eastAsia="zh-CN"/>
        </w:rPr>
        <w:t>70</w:t>
      </w:r>
      <w:r>
        <w:rPr>
          <w:rFonts w:hint="default" w:ascii="Times New Roman" w:hAnsi="Times New Roman" w:eastAsia="仿宋_GB2312" w:cs="Times New Roman"/>
          <w:color w:val="auto"/>
          <w:sz w:val="32"/>
          <w:szCs w:val="32"/>
          <w:highlight w:val="none"/>
        </w:rPr>
        <w:t>分以下的项目评“差”。对评“优” 项目的审计组予以通报表扬</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color w:val="auto"/>
          <w:sz w:val="32"/>
          <w:szCs w:val="32"/>
          <w:highlight w:val="none"/>
        </w:rPr>
        <w:t>对评“中”项目的审计组进行约谈；评“差”项目的审计组予以通报批评，进行约谈</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处罚</w:t>
      </w:r>
      <w:r>
        <w:rPr>
          <w:rFonts w:hint="default" w:ascii="Times New Roman" w:hAnsi="Times New Roman" w:eastAsia="仿宋_GB2312" w:cs="Times New Roman"/>
          <w:b w:val="0"/>
          <w:bCs w:val="0"/>
          <w:color w:val="auto"/>
          <w:sz w:val="32"/>
          <w:szCs w:val="32"/>
          <w:highlight w:val="none"/>
          <w:lang w:val="en-US" w:eastAsia="zh-CN"/>
        </w:rPr>
        <w:t>4</w:t>
      </w:r>
      <w:r>
        <w:rPr>
          <w:rFonts w:hint="default" w:ascii="Times New Roman" w:hAnsi="Times New Roman" w:eastAsia="仿宋_GB2312" w:cs="Times New Roman"/>
          <w:b w:val="0"/>
          <w:bCs w:val="0"/>
          <w:color w:val="auto"/>
          <w:sz w:val="32"/>
          <w:szCs w:val="32"/>
          <w:highlight w:val="none"/>
          <w:lang w:eastAsia="zh-CN"/>
        </w:rPr>
        <w:t>000</w:t>
      </w:r>
      <w:r>
        <w:rPr>
          <w:rFonts w:hint="default" w:ascii="Times New Roman" w:hAnsi="Times New Roman" w:eastAsia="仿宋_GB2312" w:cs="Times New Roman"/>
          <w:b w:val="0"/>
          <w:bCs w:val="0"/>
          <w:color w:val="auto"/>
          <w:sz w:val="32"/>
          <w:szCs w:val="32"/>
          <w:highlight w:val="none"/>
        </w:rPr>
        <w:t>元</w:t>
      </w:r>
      <w:r>
        <w:rPr>
          <w:rFonts w:hint="default" w:ascii="Times New Roman" w:hAnsi="Times New Roman" w:eastAsia="仿宋_GB2312" w:cs="Times New Roman"/>
          <w:b w:val="0"/>
          <w:bCs w:val="0"/>
          <w:color w:val="auto"/>
          <w:sz w:val="32"/>
          <w:szCs w:val="32"/>
          <w:highlight w:val="none"/>
          <w:lang w:eastAsia="zh-CN"/>
        </w:rPr>
        <w:t>及</w:t>
      </w:r>
      <w:r>
        <w:rPr>
          <w:rFonts w:hint="default" w:ascii="Times New Roman" w:hAnsi="Times New Roman" w:eastAsia="仿宋_GB2312" w:cs="Times New Roman"/>
          <w:b w:val="0"/>
          <w:bCs w:val="0"/>
          <w:color w:val="auto"/>
          <w:sz w:val="32"/>
          <w:szCs w:val="32"/>
          <w:highlight w:val="none"/>
          <w:lang w:val="en-US" w:eastAsia="zh-CN"/>
        </w:rPr>
        <w:t>暂停业务3</w:t>
      </w:r>
      <w:r>
        <w:rPr>
          <w:rFonts w:hint="default" w:ascii="Times New Roman" w:hAnsi="Times New Roman" w:eastAsia="仿宋_GB2312" w:cs="Times New Roman"/>
          <w:b w:val="0"/>
          <w:bCs w:val="0"/>
          <w:color w:val="auto"/>
          <w:sz w:val="32"/>
          <w:szCs w:val="32"/>
          <w:highlight w:val="none"/>
        </w:rPr>
        <w:t>个月，</w:t>
      </w:r>
      <w:r>
        <w:rPr>
          <w:rFonts w:hint="default" w:ascii="Times New Roman" w:hAnsi="Times New Roman" w:eastAsia="仿宋_GB2312" w:cs="Times New Roman"/>
          <w:b w:val="0"/>
          <w:bCs w:val="0"/>
          <w:color w:val="auto"/>
          <w:sz w:val="32"/>
          <w:szCs w:val="32"/>
          <w:highlight w:val="none"/>
          <w:lang w:val="en-US" w:eastAsia="zh-CN"/>
        </w:rPr>
        <w:t>连续两个</w:t>
      </w:r>
      <w:r>
        <w:rPr>
          <w:rFonts w:hint="default" w:ascii="Times New Roman" w:hAnsi="Times New Roman" w:eastAsia="仿宋_GB2312" w:cs="Times New Roman"/>
          <w:b w:val="0"/>
          <w:bCs w:val="0"/>
          <w:color w:val="auto"/>
          <w:sz w:val="32"/>
          <w:szCs w:val="32"/>
          <w:highlight w:val="none"/>
          <w:lang w:eastAsia="zh-CN"/>
        </w:rPr>
        <w:t>季度评</w:t>
      </w:r>
      <w:r>
        <w:rPr>
          <w:rFonts w:hint="default" w:ascii="Times New Roman" w:hAnsi="Times New Roman" w:eastAsia="仿宋_GB2312" w:cs="Times New Roman"/>
          <w:b w:val="0"/>
          <w:bCs w:val="0"/>
          <w:color w:val="auto"/>
          <w:sz w:val="32"/>
          <w:szCs w:val="32"/>
          <w:highlight w:val="none"/>
        </w:rPr>
        <w:t>“差”</w:t>
      </w:r>
      <w:r>
        <w:rPr>
          <w:rFonts w:hint="default" w:ascii="Times New Roman" w:hAnsi="Times New Roman" w:eastAsia="仿宋_GB2312" w:cs="Times New Roman"/>
          <w:b w:val="0"/>
          <w:bCs w:val="0"/>
          <w:color w:val="auto"/>
          <w:sz w:val="32"/>
          <w:szCs w:val="32"/>
          <w:highlight w:val="none"/>
          <w:lang w:eastAsia="zh-CN"/>
        </w:rPr>
        <w:t>的，</w:t>
      </w:r>
      <w:r>
        <w:rPr>
          <w:rFonts w:hint="default" w:ascii="Times New Roman" w:hAnsi="Times New Roman" w:eastAsia="仿宋_GB2312" w:cs="Times New Roman"/>
          <w:b w:val="0"/>
          <w:bCs w:val="0"/>
          <w:color w:val="auto"/>
          <w:sz w:val="32"/>
          <w:szCs w:val="32"/>
          <w:highlight w:val="none"/>
          <w:lang w:val="en-US" w:eastAsia="zh-CN"/>
        </w:rPr>
        <w:t>暂停业务12</w:t>
      </w:r>
      <w:r>
        <w:rPr>
          <w:rFonts w:hint="default" w:ascii="Times New Roman" w:hAnsi="Times New Roman" w:eastAsia="仿宋_GB2312" w:cs="Times New Roman"/>
          <w:b w:val="0"/>
          <w:bCs w:val="0"/>
          <w:color w:val="auto"/>
          <w:sz w:val="32"/>
          <w:szCs w:val="32"/>
          <w:highlight w:val="none"/>
        </w:rPr>
        <w:t>个月。</w:t>
      </w:r>
    </w:p>
    <w:p w14:paraId="7C02DFC9">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bCs w:val="0"/>
          <w:color w:val="auto"/>
          <w:sz w:val="32"/>
          <w:szCs w:val="32"/>
          <w:highlight w:val="none"/>
        </w:rPr>
        <w:t>年度考核以当年所有项目日常考核结果</w:t>
      </w:r>
      <w:r>
        <w:rPr>
          <w:rFonts w:hint="default" w:ascii="Times New Roman" w:hAnsi="Times New Roman" w:eastAsia="仿宋_GB2312" w:cs="Times New Roman"/>
          <w:b w:val="0"/>
          <w:bCs w:val="0"/>
          <w:color w:val="auto"/>
          <w:sz w:val="32"/>
          <w:szCs w:val="32"/>
          <w:highlight w:val="none"/>
          <w:lang w:eastAsia="zh-CN"/>
        </w:rPr>
        <w:t>（本年度至少参评两次及以上）</w:t>
      </w:r>
      <w:r>
        <w:rPr>
          <w:rFonts w:hint="default" w:ascii="Times New Roman" w:hAnsi="Times New Roman" w:eastAsia="仿宋_GB2312" w:cs="Times New Roman"/>
          <w:b w:val="0"/>
          <w:bCs w:val="0"/>
          <w:color w:val="auto"/>
          <w:sz w:val="32"/>
          <w:szCs w:val="32"/>
          <w:highlight w:val="none"/>
        </w:rPr>
        <w:t>平均分作为年度综合评定分值，考核结果分设“优”、“良”、“中”、“差”四个等级。考核得</w:t>
      </w:r>
      <w:r>
        <w:rPr>
          <w:rFonts w:hint="default" w:ascii="Times New Roman" w:hAnsi="Times New Roman" w:eastAsia="仿宋_GB2312" w:cs="Times New Roman"/>
          <w:color w:val="auto"/>
          <w:sz w:val="32"/>
          <w:szCs w:val="32"/>
          <w:highlight w:val="none"/>
        </w:rPr>
        <w:t>分</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分及以上的造价企业评“优”，考核得分</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分的造价企业评“良”，考核得分</w:t>
      </w:r>
      <w:r>
        <w:rPr>
          <w:rFonts w:hint="default" w:ascii="Times New Roman" w:hAnsi="Times New Roman" w:eastAsia="仿宋_GB2312" w:cs="Times New Roman"/>
          <w:color w:val="auto"/>
          <w:sz w:val="32"/>
          <w:szCs w:val="32"/>
          <w:highlight w:val="none"/>
          <w:lang w:eastAsia="zh-CN"/>
        </w:rPr>
        <w:t>70</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分的造价企业评“中”，</w:t>
      </w:r>
      <w:r>
        <w:rPr>
          <w:rFonts w:hint="default" w:ascii="Times New Roman" w:hAnsi="Times New Roman" w:eastAsia="仿宋_GB2312" w:cs="Times New Roman"/>
          <w:color w:val="auto"/>
          <w:sz w:val="32"/>
          <w:szCs w:val="32"/>
          <w:highlight w:val="none"/>
          <w:lang w:eastAsia="zh-CN"/>
        </w:rPr>
        <w:t>70</w:t>
      </w:r>
      <w:r>
        <w:rPr>
          <w:rFonts w:hint="default" w:ascii="Times New Roman" w:hAnsi="Times New Roman" w:eastAsia="仿宋_GB2312" w:cs="Times New Roman"/>
          <w:color w:val="auto"/>
          <w:sz w:val="32"/>
          <w:szCs w:val="32"/>
          <w:highlight w:val="none"/>
        </w:rPr>
        <w:t>分以下的造价企业评“差”。年度考核评“优”的造价企业予以通报表扬；年度考核评“差”的造价企业予以通报批评且</w:t>
      </w:r>
      <w:r>
        <w:rPr>
          <w:rFonts w:hint="default" w:ascii="Times New Roman" w:hAnsi="Times New Roman" w:eastAsia="仿宋_GB2312" w:cs="Times New Roman"/>
          <w:color w:val="auto"/>
          <w:sz w:val="32"/>
          <w:szCs w:val="32"/>
          <w:highlight w:val="none"/>
          <w:lang w:val="en-US" w:eastAsia="zh-CN"/>
        </w:rPr>
        <w:t>暂停业务</w:t>
      </w:r>
      <w:r>
        <w:rPr>
          <w:rFonts w:hint="default" w:ascii="Times New Roman" w:hAnsi="Times New Roman" w:eastAsia="仿宋_GB2312" w:cs="Times New Roman"/>
          <w:color w:val="auto"/>
          <w:sz w:val="32"/>
          <w:szCs w:val="32"/>
          <w:highlight w:val="none"/>
          <w:lang w:eastAsia="zh-CN"/>
        </w:rPr>
        <w:t>12</w:t>
      </w:r>
      <w:r>
        <w:rPr>
          <w:rFonts w:hint="default" w:ascii="Times New Roman" w:hAnsi="Times New Roman" w:eastAsia="仿宋_GB2312" w:cs="Times New Roman"/>
          <w:color w:val="auto"/>
          <w:sz w:val="32"/>
          <w:szCs w:val="32"/>
          <w:highlight w:val="none"/>
        </w:rPr>
        <w:t>个月。</w:t>
      </w:r>
    </w:p>
    <w:p w14:paraId="60F93DBD">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eastAsia="zh-CN"/>
        </w:rPr>
        <w:t>第二十</w:t>
      </w:r>
      <w:r>
        <w:rPr>
          <w:rFonts w:hint="eastAsia" w:eastAsia="仿宋_GB2312" w:cs="Times New Roman"/>
          <w:b/>
          <w:bCs/>
          <w:color w:val="auto"/>
          <w:sz w:val="32"/>
          <w:szCs w:val="32"/>
          <w:highlight w:val="none"/>
          <w:lang w:val="en-US" w:eastAsia="zh-CN"/>
        </w:rPr>
        <w:t>二</w:t>
      </w:r>
      <w:r>
        <w:rPr>
          <w:rFonts w:hint="default" w:ascii="Times New Roman" w:hAnsi="Times New Roman" w:eastAsia="仿宋_GB2312" w:cs="Times New Roman"/>
          <w:b/>
          <w:bCs/>
          <w:color w:val="auto"/>
          <w:sz w:val="32"/>
          <w:szCs w:val="32"/>
          <w:highlight w:val="none"/>
          <w:lang w:eastAsia="zh-CN"/>
        </w:rPr>
        <w:t>条</w:t>
      </w:r>
      <w:r>
        <w:rPr>
          <w:rFonts w:hint="default" w:ascii="Times New Roman" w:hAnsi="Times New Roman" w:eastAsia="仿宋_GB2312" w:cs="Times New Roman"/>
          <w:color w:val="auto"/>
          <w:sz w:val="32"/>
          <w:szCs w:val="32"/>
          <w:highlight w:val="none"/>
          <w:lang w:val="en-US" w:eastAsia="zh-CN"/>
        </w:rPr>
        <w:t xml:space="preserve"> </w:t>
      </w:r>
      <w:r>
        <w:rPr>
          <w:rStyle w:val="155"/>
          <w:rFonts w:hint="default" w:ascii="Times New Roman" w:hAnsi="Times New Roman" w:eastAsia="仿宋_GB2312" w:cs="Times New Roman"/>
          <w:b w:val="0"/>
          <w:color w:val="auto"/>
          <w:sz w:val="32"/>
          <w:szCs w:val="32"/>
          <w:highlight w:val="none"/>
        </w:rPr>
        <w:t>结算审</w:t>
      </w:r>
      <w:r>
        <w:rPr>
          <w:rStyle w:val="155"/>
          <w:rFonts w:hint="default" w:ascii="Times New Roman" w:hAnsi="Times New Roman" w:cs="Times New Roman"/>
          <w:b w:val="0"/>
          <w:color w:val="auto"/>
          <w:sz w:val="32"/>
          <w:szCs w:val="32"/>
          <w:highlight w:val="none"/>
          <w:lang w:eastAsia="zh-CN"/>
        </w:rPr>
        <w:t>（复）</w:t>
      </w:r>
      <w:r>
        <w:rPr>
          <w:rStyle w:val="155"/>
          <w:rFonts w:hint="default" w:ascii="Times New Roman" w:hAnsi="Times New Roman" w:eastAsia="仿宋_GB2312" w:cs="Times New Roman"/>
          <w:b w:val="0"/>
          <w:color w:val="auto"/>
          <w:sz w:val="32"/>
          <w:szCs w:val="32"/>
          <w:highlight w:val="none"/>
        </w:rPr>
        <w:t>核</w:t>
      </w:r>
      <w:r>
        <w:rPr>
          <w:rStyle w:val="155"/>
          <w:rFonts w:hint="default" w:ascii="Times New Roman" w:hAnsi="Times New Roman" w:cs="Times New Roman"/>
          <w:b w:val="0"/>
          <w:color w:val="auto"/>
          <w:sz w:val="32"/>
          <w:szCs w:val="32"/>
          <w:highlight w:val="none"/>
          <w:lang w:eastAsia="zh-CN"/>
        </w:rPr>
        <w:t>成果质量</w:t>
      </w:r>
      <w:r>
        <w:rPr>
          <w:rStyle w:val="155"/>
          <w:rFonts w:hint="default" w:ascii="Times New Roman" w:hAnsi="Times New Roman" w:eastAsia="仿宋_GB2312" w:cs="Times New Roman"/>
          <w:b w:val="0"/>
          <w:color w:val="auto"/>
          <w:sz w:val="32"/>
          <w:szCs w:val="32"/>
          <w:highlight w:val="none"/>
        </w:rPr>
        <w:t>考核</w:t>
      </w:r>
      <w:r>
        <w:rPr>
          <w:rFonts w:hint="default" w:ascii="Times New Roman" w:hAnsi="Times New Roman" w:eastAsia="仿宋_GB2312" w:cs="Times New Roman"/>
          <w:color w:val="auto"/>
          <w:sz w:val="32"/>
          <w:szCs w:val="32"/>
          <w:highlight w:val="none"/>
        </w:rPr>
        <w:t>标准见《滁州市重点工程建设管理处</w:t>
      </w:r>
      <w:r>
        <w:rPr>
          <w:rStyle w:val="155"/>
          <w:rFonts w:hint="default" w:ascii="Times New Roman" w:hAnsi="Times New Roman" w:eastAsia="仿宋_GB2312" w:cs="Times New Roman"/>
          <w:b w:val="0"/>
          <w:color w:val="auto"/>
          <w:sz w:val="32"/>
          <w:szCs w:val="32"/>
          <w:highlight w:val="none"/>
        </w:rPr>
        <w:t>项目结算审</w:t>
      </w:r>
      <w:r>
        <w:rPr>
          <w:rStyle w:val="155"/>
          <w:rFonts w:hint="default" w:ascii="Times New Roman" w:hAnsi="Times New Roman" w:cs="Times New Roman"/>
          <w:b w:val="0"/>
          <w:color w:val="auto"/>
          <w:sz w:val="32"/>
          <w:szCs w:val="32"/>
          <w:highlight w:val="none"/>
          <w:lang w:eastAsia="zh-CN"/>
        </w:rPr>
        <w:t>（复）</w:t>
      </w:r>
      <w:r>
        <w:rPr>
          <w:rStyle w:val="155"/>
          <w:rFonts w:hint="default" w:ascii="Times New Roman" w:hAnsi="Times New Roman" w:eastAsia="仿宋_GB2312" w:cs="Times New Roman"/>
          <w:b w:val="0"/>
          <w:color w:val="auto"/>
          <w:sz w:val="32"/>
          <w:szCs w:val="32"/>
          <w:highlight w:val="none"/>
        </w:rPr>
        <w:t>核</w:t>
      </w:r>
      <w:r>
        <w:rPr>
          <w:rStyle w:val="155"/>
          <w:rFonts w:hint="default" w:ascii="Times New Roman" w:hAnsi="Times New Roman" w:cs="Times New Roman"/>
          <w:b w:val="0"/>
          <w:color w:val="auto"/>
          <w:sz w:val="32"/>
          <w:szCs w:val="32"/>
          <w:highlight w:val="none"/>
          <w:lang w:eastAsia="zh-CN"/>
        </w:rPr>
        <w:t>成果质量</w:t>
      </w:r>
      <w:r>
        <w:rPr>
          <w:rStyle w:val="155"/>
          <w:rFonts w:hint="default" w:ascii="Times New Roman" w:hAnsi="Times New Roman" w:eastAsia="仿宋_GB2312" w:cs="Times New Roman"/>
          <w:b w:val="0"/>
          <w:color w:val="auto"/>
          <w:sz w:val="32"/>
          <w:szCs w:val="32"/>
          <w:highlight w:val="none"/>
        </w:rPr>
        <w:t>考核表</w:t>
      </w:r>
      <w:r>
        <w:rPr>
          <w:rFonts w:hint="default" w:ascii="Times New Roman" w:hAnsi="Times New Roman" w:eastAsia="仿宋_GB2312" w:cs="Times New Roman"/>
          <w:color w:val="auto"/>
          <w:sz w:val="32"/>
          <w:szCs w:val="32"/>
          <w:highlight w:val="none"/>
        </w:rPr>
        <w:t>》（附件</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年度考核根据当年</w:t>
      </w:r>
      <w:r>
        <w:rPr>
          <w:rFonts w:hint="default" w:ascii="Times New Roman" w:hAnsi="Times New Roman" w:eastAsia="仿宋_GB2312" w:cs="Times New Roman"/>
          <w:color w:val="auto"/>
          <w:sz w:val="32"/>
          <w:szCs w:val="32"/>
          <w:highlight w:val="none"/>
          <w:lang w:eastAsia="zh-CN"/>
        </w:rPr>
        <w:t>完成结算的</w:t>
      </w:r>
      <w:r>
        <w:rPr>
          <w:rFonts w:hint="default" w:ascii="Times New Roman" w:hAnsi="Times New Roman" w:eastAsia="仿宋_GB2312" w:cs="Times New Roman"/>
          <w:color w:val="auto"/>
          <w:sz w:val="32"/>
          <w:szCs w:val="32"/>
          <w:highlight w:val="none"/>
        </w:rPr>
        <w:t>项目考核结果平均分作为年度综合评定分值，考核结果设“优”、“良”、“中”、“差”四个等级，得分</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分及以上的年度考核评“优”，得分</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分的评“良”，得分</w:t>
      </w:r>
      <w:r>
        <w:rPr>
          <w:rFonts w:hint="default" w:ascii="Times New Roman" w:hAnsi="Times New Roman" w:eastAsia="仿宋_GB2312" w:cs="Times New Roman"/>
          <w:color w:val="auto"/>
          <w:sz w:val="32"/>
          <w:szCs w:val="32"/>
          <w:highlight w:val="none"/>
          <w:lang w:eastAsia="zh-CN"/>
        </w:rPr>
        <w:t>70</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分的评“中”，</w:t>
      </w:r>
      <w:r>
        <w:rPr>
          <w:rFonts w:hint="default" w:ascii="Times New Roman" w:hAnsi="Times New Roman" w:eastAsia="仿宋_GB2312" w:cs="Times New Roman"/>
          <w:color w:val="auto"/>
          <w:sz w:val="32"/>
          <w:szCs w:val="32"/>
          <w:highlight w:val="none"/>
          <w:lang w:eastAsia="zh-CN"/>
        </w:rPr>
        <w:t>70</w:t>
      </w:r>
      <w:r>
        <w:rPr>
          <w:rFonts w:hint="default" w:ascii="Times New Roman" w:hAnsi="Times New Roman" w:eastAsia="仿宋_GB2312" w:cs="Times New Roman"/>
          <w:color w:val="auto"/>
          <w:sz w:val="32"/>
          <w:szCs w:val="32"/>
          <w:highlight w:val="none"/>
        </w:rPr>
        <w:t>分以下的评“差”。年度考核评“优”的造价企业予以通报表扬；年度考核评“差”的造价企业予以通报批评</w:t>
      </w:r>
      <w:r>
        <w:rPr>
          <w:rFonts w:hint="default" w:ascii="Times New Roman" w:hAnsi="Times New Roman" w:eastAsia="仿宋_GB2312" w:cs="Times New Roman"/>
          <w:color w:val="auto"/>
          <w:sz w:val="32"/>
          <w:szCs w:val="32"/>
          <w:highlight w:val="none"/>
          <w:lang w:eastAsia="zh-CN"/>
        </w:rPr>
        <w:t>并</w:t>
      </w:r>
      <w:r>
        <w:rPr>
          <w:rFonts w:hint="default" w:ascii="Times New Roman" w:hAnsi="Times New Roman" w:eastAsia="仿宋_GB2312" w:cs="Times New Roman"/>
          <w:color w:val="auto"/>
          <w:sz w:val="32"/>
          <w:szCs w:val="32"/>
          <w:highlight w:val="none"/>
        </w:rPr>
        <w:t>进行约谈。</w:t>
      </w:r>
    </w:p>
    <w:p w14:paraId="2B87FD58">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第七章 罚则</w:t>
      </w:r>
    </w:p>
    <w:p w14:paraId="54F3FB77">
      <w:pPr>
        <w:keepNext w:val="0"/>
        <w:keepLines w:val="0"/>
        <w:pageBreakBefore w:val="0"/>
        <w:numPr>
          <w:ilvl w:val="0"/>
          <w:numId w:val="0"/>
        </w:numPr>
        <w:kinsoku/>
        <w:wordWrap/>
        <w:overflowPunct/>
        <w:topLinePunct w:val="0"/>
        <w:autoSpaceDE/>
        <w:autoSpaceDN/>
        <w:bidi w:val="0"/>
        <w:adjustRightInd/>
        <w:spacing w:line="400" w:lineRule="exact"/>
        <w:ind w:firstLine="643"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rPr>
        <w:t>第二十</w:t>
      </w:r>
      <w:r>
        <w:rPr>
          <w:rFonts w:hint="eastAsia" w:eastAsia="仿宋_GB2312" w:cs="Times New Roman"/>
          <w:b/>
          <w:bCs/>
          <w:color w:val="auto"/>
          <w:sz w:val="32"/>
          <w:szCs w:val="32"/>
          <w:highlight w:val="none"/>
          <w:lang w:val="en-US" w:eastAsia="zh-CN"/>
        </w:rPr>
        <w:t>三</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项目施工过程中发现清单错漏项，累计5万元（含）-30万元（不含）的，给予企业4000元的违约金处罚；累计30万元（含）-50万元（不含）的，给予企业8000元的违约金处罚；累计50万元（含）-100万元（不含）的，给予企业12000元的违约金处罚；累计100万元（含）以上且误差率3%（含）以内的，给予企业20000元的违约金处罚，暂停业务6个月；累计100万元（含）以上的且误差率在3%（不含）-5%（含）的，暂停业务12个月，给予企业10%咨询服务费的违约金处罚且不低于20000元；累计100万元（含）以上的且误差率超过5%（含）的，暂停业务12个月，给予企业50%咨询服务费的违约金处罚且不低于20000元并对企业及相关责任人进行通报，上述违约金处罚以服务费用总额为上限。</w:t>
      </w:r>
    </w:p>
    <w:p w14:paraId="427758E1">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eastAsia="zh-CN"/>
        </w:rPr>
        <w:t>第二十</w:t>
      </w:r>
      <w:r>
        <w:rPr>
          <w:rFonts w:hint="eastAsia" w:eastAsia="仿宋_GB2312" w:cs="Times New Roman"/>
          <w:b/>
          <w:bCs/>
          <w:color w:val="auto"/>
          <w:sz w:val="32"/>
          <w:szCs w:val="32"/>
          <w:highlight w:val="none"/>
          <w:lang w:val="en-US" w:eastAsia="zh-CN"/>
        </w:rPr>
        <w:t>四</w:t>
      </w:r>
      <w:r>
        <w:rPr>
          <w:rFonts w:hint="default" w:ascii="Times New Roman" w:hAnsi="Times New Roman" w:eastAsia="仿宋_GB2312" w:cs="Times New Roman"/>
          <w:b/>
          <w:bCs/>
          <w:color w:val="auto"/>
          <w:sz w:val="32"/>
          <w:szCs w:val="32"/>
          <w:highlight w:val="none"/>
          <w:lang w:eastAsia="zh-CN"/>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项目跟踪审计、</w:t>
      </w:r>
      <w:r>
        <w:rPr>
          <w:rFonts w:hint="default" w:ascii="Times New Roman" w:hAnsi="Times New Roman" w:eastAsia="仿宋_GB2312" w:cs="Times New Roman"/>
          <w:b w:val="0"/>
          <w:bCs w:val="0"/>
          <w:color w:val="auto"/>
          <w:sz w:val="32"/>
          <w:szCs w:val="32"/>
          <w:highlight w:val="none"/>
        </w:rPr>
        <w:t>结算审核服务费</w:t>
      </w:r>
      <w:r>
        <w:rPr>
          <w:rFonts w:hint="default" w:ascii="Times New Roman" w:hAnsi="Times New Roman" w:eastAsia="仿宋_GB2312" w:cs="Times New Roman"/>
          <w:b w:val="0"/>
          <w:bCs w:val="0"/>
          <w:color w:val="auto"/>
          <w:sz w:val="32"/>
          <w:szCs w:val="32"/>
          <w:highlight w:val="none"/>
          <w:lang w:eastAsia="zh-CN"/>
        </w:rPr>
        <w:t>的误差违约金处罚</w:t>
      </w:r>
      <w:r>
        <w:rPr>
          <w:rFonts w:hint="default" w:ascii="Times New Roman" w:hAnsi="Times New Roman" w:eastAsia="仿宋_GB2312" w:cs="Times New Roman"/>
          <w:color w:val="auto"/>
          <w:sz w:val="32"/>
          <w:szCs w:val="32"/>
          <w:highlight w:val="none"/>
        </w:rPr>
        <w:t>根据第三方复审</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综合计划科复核</w:t>
      </w:r>
      <w:r>
        <w:rPr>
          <w:rFonts w:hint="default" w:ascii="Times New Roman" w:hAnsi="Times New Roman" w:eastAsia="仿宋_GB2312" w:cs="Times New Roman"/>
          <w:color w:val="auto"/>
          <w:sz w:val="32"/>
          <w:szCs w:val="32"/>
          <w:highlight w:val="none"/>
          <w:lang w:eastAsia="zh-CN"/>
        </w:rPr>
        <w:t>或</w:t>
      </w:r>
      <w:r>
        <w:rPr>
          <w:rFonts w:hint="default" w:ascii="Times New Roman" w:hAnsi="Times New Roman" w:eastAsia="仿宋_GB2312" w:cs="Times New Roman"/>
          <w:color w:val="auto"/>
          <w:sz w:val="32"/>
          <w:szCs w:val="32"/>
          <w:highlight w:val="none"/>
        </w:rPr>
        <w:t>市财政工程造价审核中心</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审核结果</w:t>
      </w:r>
      <w:r>
        <w:rPr>
          <w:rFonts w:hint="default" w:ascii="Times New Roman" w:hAnsi="Times New Roman" w:eastAsia="仿宋_GB2312" w:cs="Times New Roman"/>
          <w:color w:val="auto"/>
          <w:sz w:val="32"/>
          <w:szCs w:val="32"/>
          <w:highlight w:val="none"/>
          <w:lang w:eastAsia="zh-CN"/>
        </w:rPr>
        <w:t>确定</w:t>
      </w:r>
      <w:r>
        <w:rPr>
          <w:rFonts w:hint="default" w:ascii="Times New Roman" w:hAnsi="Times New Roman" w:eastAsia="仿宋_GB2312" w:cs="Times New Roman"/>
          <w:color w:val="auto"/>
          <w:sz w:val="32"/>
          <w:szCs w:val="32"/>
          <w:highlight w:val="none"/>
        </w:rPr>
        <w:t>：</w:t>
      </w:r>
    </w:p>
    <w:p w14:paraId="2D009790">
      <w:pPr>
        <w:keepNext w:val="0"/>
        <w:keepLines w:val="0"/>
        <w:pageBreakBefore w:val="0"/>
        <w:numPr>
          <w:ilvl w:val="0"/>
          <w:numId w:val="4"/>
        </w:numPr>
        <w:kinsoku/>
        <w:wordWrap/>
        <w:overflowPunct/>
        <w:topLinePunct w:val="0"/>
        <w:autoSpaceDE/>
        <w:autoSpaceDN/>
        <w:bidi w:val="0"/>
        <w:adjustRightInd/>
        <w:spacing w:line="400" w:lineRule="exact"/>
        <w:ind w:left="-10" w:leftChars="0" w:firstLine="640" w:firstLineChars="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审核结果误差在</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%（含）之间，</w:t>
      </w:r>
      <w:r>
        <w:rPr>
          <w:rFonts w:hint="default" w:ascii="Times New Roman" w:hAnsi="Times New Roman" w:eastAsia="仿宋_GB2312" w:cs="Times New Roman"/>
          <w:color w:val="auto"/>
          <w:sz w:val="32"/>
          <w:szCs w:val="32"/>
          <w:highlight w:val="none"/>
          <w:lang w:eastAsia="zh-CN"/>
        </w:rPr>
        <w:t>以服务费的</w:t>
      </w:r>
      <w:r>
        <w:rPr>
          <w:rFonts w:hint="default" w:ascii="Times New Roman" w:hAnsi="Times New Roman" w:eastAsia="仿宋_GB2312" w:cs="Times New Roman"/>
          <w:b/>
          <w:bCs/>
          <w:color w:val="auto"/>
          <w:sz w:val="32"/>
          <w:szCs w:val="32"/>
          <w:highlight w:val="none"/>
          <w:lang w:val="en-US" w:eastAsia="zh-CN"/>
        </w:rPr>
        <w:t>25</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val="0"/>
          <w:bCs w:val="0"/>
          <w:color w:val="auto"/>
          <w:sz w:val="32"/>
          <w:szCs w:val="32"/>
          <w:highlight w:val="none"/>
          <w:lang w:eastAsia="zh-CN"/>
        </w:rPr>
        <w:t>作为违约金</w:t>
      </w:r>
      <w:r>
        <w:rPr>
          <w:rFonts w:hint="default" w:ascii="Times New Roman" w:hAnsi="Times New Roman" w:eastAsia="仿宋_GB2312" w:cs="Times New Roman"/>
          <w:color w:val="auto"/>
          <w:sz w:val="32"/>
          <w:szCs w:val="32"/>
          <w:highlight w:val="none"/>
        </w:rPr>
        <w:t>；</w:t>
      </w:r>
    </w:p>
    <w:p w14:paraId="53C4FBE2">
      <w:pPr>
        <w:keepNext w:val="0"/>
        <w:keepLines w:val="0"/>
        <w:pageBreakBefore w:val="0"/>
        <w:numPr>
          <w:ilvl w:val="0"/>
          <w:numId w:val="4"/>
        </w:numPr>
        <w:kinsoku/>
        <w:wordWrap/>
        <w:overflowPunct/>
        <w:topLinePunct w:val="0"/>
        <w:autoSpaceDE/>
        <w:autoSpaceDN/>
        <w:bidi w:val="0"/>
        <w:adjustRightInd/>
        <w:spacing w:line="400" w:lineRule="exact"/>
        <w:ind w:left="-10" w:leftChars="0" w:firstLine="640" w:firstLineChars="0"/>
        <w:jc w:val="left"/>
        <w:textAlignment w:val="auto"/>
        <w:rPr>
          <w:rFonts w:hint="default" w:ascii="Times New Roman" w:hAnsi="Times New Roman" w:cs="Times New Roman"/>
          <w:color w:val="auto"/>
          <w:sz w:val="32"/>
          <w:szCs w:val="32"/>
          <w:highlight w:val="none"/>
        </w:rPr>
      </w:pPr>
      <w:r>
        <w:rPr>
          <w:rFonts w:hint="default" w:ascii="Times New Roman" w:hAnsi="Times New Roman" w:eastAsia="仿宋_GB2312" w:cs="Times New Roman"/>
          <w:color w:val="auto"/>
          <w:sz w:val="32"/>
          <w:szCs w:val="32"/>
          <w:highlight w:val="none"/>
        </w:rPr>
        <w:t>审核结果误差在</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%（含）之间，</w:t>
      </w:r>
      <w:r>
        <w:rPr>
          <w:rFonts w:hint="default" w:ascii="Times New Roman" w:hAnsi="Times New Roman" w:eastAsia="仿宋_GB2312" w:cs="Times New Roman"/>
          <w:color w:val="auto"/>
          <w:sz w:val="32"/>
          <w:szCs w:val="32"/>
          <w:highlight w:val="none"/>
          <w:lang w:eastAsia="zh-CN"/>
        </w:rPr>
        <w:t>以服务费的</w:t>
      </w:r>
      <w:r>
        <w:rPr>
          <w:rFonts w:hint="default" w:ascii="Times New Roman" w:hAnsi="Times New Roman" w:eastAsia="仿宋_GB2312" w:cs="Times New Roman"/>
          <w:b/>
          <w:bCs/>
          <w:color w:val="auto"/>
          <w:sz w:val="32"/>
          <w:szCs w:val="32"/>
          <w:highlight w:val="none"/>
          <w:lang w:val="en-US" w:eastAsia="zh-CN"/>
        </w:rPr>
        <w:t>50</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val="0"/>
          <w:bCs w:val="0"/>
          <w:color w:val="auto"/>
          <w:sz w:val="32"/>
          <w:szCs w:val="32"/>
          <w:highlight w:val="none"/>
          <w:lang w:eastAsia="zh-CN"/>
        </w:rPr>
        <w:t>作为违约金</w:t>
      </w:r>
      <w:r>
        <w:rPr>
          <w:rFonts w:hint="default" w:ascii="Times New Roman" w:hAnsi="Times New Roman" w:eastAsia="仿宋_GB2312" w:cs="Times New Roman"/>
          <w:color w:val="auto"/>
          <w:sz w:val="32"/>
          <w:szCs w:val="32"/>
          <w:highlight w:val="none"/>
        </w:rPr>
        <w:t>；</w:t>
      </w:r>
    </w:p>
    <w:p w14:paraId="49182F4F">
      <w:pPr>
        <w:keepNext w:val="0"/>
        <w:keepLines w:val="0"/>
        <w:pageBreakBefore w:val="0"/>
        <w:numPr>
          <w:ilvl w:val="0"/>
          <w:numId w:val="4"/>
        </w:numPr>
        <w:kinsoku/>
        <w:wordWrap/>
        <w:overflowPunct/>
        <w:topLinePunct w:val="0"/>
        <w:autoSpaceDE/>
        <w:autoSpaceDN/>
        <w:bidi w:val="0"/>
        <w:adjustRightInd/>
        <w:spacing w:line="400" w:lineRule="exact"/>
        <w:ind w:left="-10" w:leftChars="0" w:firstLine="640" w:firstLineChars="0"/>
        <w:jc w:val="left"/>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审核结果误差在</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%（含）之间，</w:t>
      </w:r>
      <w:r>
        <w:rPr>
          <w:rFonts w:hint="default" w:ascii="Times New Roman" w:hAnsi="Times New Roman" w:eastAsia="仿宋_GB2312" w:cs="Times New Roman"/>
          <w:color w:val="auto"/>
          <w:sz w:val="32"/>
          <w:szCs w:val="32"/>
          <w:highlight w:val="none"/>
          <w:lang w:eastAsia="zh-CN"/>
        </w:rPr>
        <w:t>以服务费的</w:t>
      </w:r>
      <w:r>
        <w:rPr>
          <w:rFonts w:hint="default" w:ascii="Times New Roman" w:hAnsi="Times New Roman" w:eastAsia="仿宋_GB2312" w:cs="Times New Roman"/>
          <w:b/>
          <w:bCs/>
          <w:color w:val="auto"/>
          <w:sz w:val="32"/>
          <w:szCs w:val="32"/>
          <w:highlight w:val="none"/>
          <w:lang w:val="en-US" w:eastAsia="zh-CN"/>
        </w:rPr>
        <w:t>75</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val="0"/>
          <w:bCs w:val="0"/>
          <w:color w:val="auto"/>
          <w:sz w:val="32"/>
          <w:szCs w:val="32"/>
          <w:highlight w:val="none"/>
          <w:lang w:eastAsia="zh-CN"/>
        </w:rPr>
        <w:t>作为违约金</w:t>
      </w:r>
      <w:r>
        <w:rPr>
          <w:rFonts w:hint="default" w:ascii="Times New Roman" w:hAnsi="Times New Roman" w:eastAsia="仿宋_GB2312" w:cs="Times New Roman"/>
          <w:color w:val="auto"/>
          <w:sz w:val="32"/>
          <w:szCs w:val="32"/>
          <w:highlight w:val="none"/>
        </w:rPr>
        <w:t>；</w:t>
      </w:r>
    </w:p>
    <w:p w14:paraId="1DCE3536">
      <w:pPr>
        <w:keepNext w:val="0"/>
        <w:keepLines w:val="0"/>
        <w:pageBreakBefore w:val="0"/>
        <w:numPr>
          <w:ilvl w:val="0"/>
          <w:numId w:val="4"/>
        </w:numPr>
        <w:kinsoku/>
        <w:wordWrap/>
        <w:overflowPunct/>
        <w:topLinePunct w:val="0"/>
        <w:autoSpaceDE/>
        <w:autoSpaceDN/>
        <w:bidi w:val="0"/>
        <w:adjustRightInd/>
        <w:spacing w:line="400" w:lineRule="exact"/>
        <w:ind w:left="-10" w:leftChars="0" w:firstLine="640" w:firstLineChars="0"/>
        <w:jc w:val="left"/>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审核结果误差超过</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eastAsia="zh-CN"/>
        </w:rPr>
        <w:t>以全额服务费</w:t>
      </w:r>
      <w:r>
        <w:rPr>
          <w:rFonts w:hint="default" w:ascii="Times New Roman" w:hAnsi="Times New Roman" w:eastAsia="仿宋_GB2312" w:cs="Times New Roman"/>
          <w:b w:val="0"/>
          <w:bCs w:val="0"/>
          <w:color w:val="auto"/>
          <w:sz w:val="32"/>
          <w:szCs w:val="32"/>
          <w:highlight w:val="none"/>
          <w:lang w:eastAsia="zh-CN"/>
        </w:rPr>
        <w:t>作为违约金</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 xml:space="preserve">同时，工程造价 </w:t>
      </w:r>
      <w:r>
        <w:rPr>
          <w:rFonts w:hint="default" w:ascii="Times New Roman" w:hAnsi="Times New Roman" w:eastAsia="仿宋_GB2312" w:cs="Times New Roman"/>
          <w:color w:val="auto"/>
          <w:sz w:val="32"/>
          <w:szCs w:val="32"/>
          <w:highlight w:val="none"/>
          <w:lang w:eastAsia="zh-CN"/>
        </w:rPr>
        <w:t>1000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5000</w:t>
      </w:r>
      <w:r>
        <w:rPr>
          <w:rFonts w:hint="default" w:ascii="Times New Roman" w:hAnsi="Times New Roman" w:eastAsia="仿宋_GB2312" w:cs="Times New Roman"/>
          <w:color w:val="auto"/>
          <w:sz w:val="32"/>
          <w:szCs w:val="32"/>
          <w:highlight w:val="none"/>
        </w:rPr>
        <w:t xml:space="preserve"> 万元项目，</w:t>
      </w:r>
      <w:r>
        <w:rPr>
          <w:rFonts w:hint="default" w:ascii="Times New Roman" w:hAnsi="Times New Roman" w:eastAsia="仿宋_GB2312" w:cs="Times New Roman"/>
          <w:color w:val="auto"/>
          <w:sz w:val="32"/>
          <w:szCs w:val="32"/>
          <w:highlight w:val="none"/>
          <w:lang w:eastAsia="zh-CN"/>
        </w:rPr>
        <w:t>暂停</w:t>
      </w:r>
      <w:r>
        <w:rPr>
          <w:rFonts w:hint="default" w:ascii="Times New Roman" w:hAnsi="Times New Roman" w:eastAsia="仿宋_GB2312" w:cs="Times New Roman"/>
          <w:color w:val="auto"/>
          <w:sz w:val="32"/>
          <w:szCs w:val="32"/>
          <w:highlight w:val="none"/>
        </w:rPr>
        <w:t>业务</w:t>
      </w:r>
      <w:r>
        <w:rPr>
          <w:rFonts w:hint="default" w:ascii="Times New Roman" w:hAnsi="Times New Roman" w:eastAsia="仿宋_GB2312" w:cs="Times New Roman"/>
          <w:color w:val="auto"/>
          <w:sz w:val="32"/>
          <w:szCs w:val="32"/>
          <w:highlight w:val="none"/>
          <w:lang w:val="en-US" w:eastAsia="zh-CN"/>
        </w:rPr>
        <w:t>6个月</w:t>
      </w:r>
      <w:r>
        <w:rPr>
          <w:rFonts w:hint="default" w:ascii="Times New Roman" w:hAnsi="Times New Roman" w:eastAsia="仿宋_GB2312" w:cs="Times New Roman"/>
          <w:color w:val="auto"/>
          <w:sz w:val="32"/>
          <w:szCs w:val="32"/>
          <w:highlight w:val="none"/>
        </w:rPr>
        <w:t xml:space="preserve">；工程造价 </w:t>
      </w:r>
      <w:r>
        <w:rPr>
          <w:rFonts w:hint="default" w:ascii="Times New Roman" w:hAnsi="Times New Roman" w:eastAsia="仿宋_GB2312" w:cs="Times New Roman"/>
          <w:color w:val="auto"/>
          <w:sz w:val="32"/>
          <w:szCs w:val="32"/>
          <w:highlight w:val="none"/>
          <w:lang w:eastAsia="zh-CN"/>
        </w:rPr>
        <w:t>5000</w:t>
      </w:r>
      <w:r>
        <w:rPr>
          <w:rFonts w:hint="default" w:ascii="Times New Roman" w:hAnsi="Times New Roman" w:eastAsia="仿宋_GB2312" w:cs="Times New Roman"/>
          <w:color w:val="auto"/>
          <w:sz w:val="32"/>
          <w:szCs w:val="32"/>
          <w:highlight w:val="none"/>
        </w:rPr>
        <w:t xml:space="preserve"> 万元以上项目，</w:t>
      </w:r>
      <w:r>
        <w:rPr>
          <w:rFonts w:hint="default" w:ascii="Times New Roman" w:hAnsi="Times New Roman" w:eastAsia="仿宋_GB2312" w:cs="Times New Roman"/>
          <w:color w:val="auto"/>
          <w:sz w:val="32"/>
          <w:szCs w:val="32"/>
          <w:highlight w:val="none"/>
          <w:lang w:eastAsia="zh-CN"/>
        </w:rPr>
        <w:t>暂停</w:t>
      </w:r>
      <w:r>
        <w:rPr>
          <w:rFonts w:hint="default" w:ascii="Times New Roman" w:hAnsi="Times New Roman" w:eastAsia="仿宋_GB2312" w:cs="Times New Roman"/>
          <w:color w:val="auto"/>
          <w:sz w:val="32"/>
          <w:szCs w:val="32"/>
          <w:highlight w:val="none"/>
        </w:rPr>
        <w:t>业务</w:t>
      </w:r>
      <w:r>
        <w:rPr>
          <w:rFonts w:hint="default" w:ascii="Times New Roman" w:hAnsi="Times New Roman" w:eastAsia="仿宋_GB2312" w:cs="Times New Roman"/>
          <w:color w:val="auto"/>
          <w:sz w:val="32"/>
          <w:szCs w:val="32"/>
          <w:highlight w:val="none"/>
          <w:lang w:val="en-US" w:eastAsia="zh-CN"/>
        </w:rPr>
        <w:t>12个月。</w:t>
      </w:r>
    </w:p>
    <w:p w14:paraId="2B54126E">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第二十</w:t>
      </w:r>
      <w:r>
        <w:rPr>
          <w:rFonts w:hint="eastAsia" w:eastAsia="仿宋_GB2312" w:cs="Times New Roman"/>
          <w:b/>
          <w:bCs/>
          <w:color w:val="auto"/>
          <w:sz w:val="32"/>
          <w:szCs w:val="32"/>
          <w:highlight w:val="none"/>
          <w:lang w:val="en-US" w:eastAsia="zh-CN"/>
        </w:rPr>
        <w:t>五</w:t>
      </w:r>
      <w:r>
        <w:rPr>
          <w:rFonts w:hint="default" w:ascii="Times New Roman" w:hAnsi="Times New Roman" w:eastAsia="仿宋_GB2312" w:cs="Times New Roman"/>
          <w:b/>
          <w:bCs/>
          <w:color w:val="auto"/>
          <w:sz w:val="32"/>
          <w:szCs w:val="32"/>
          <w:highlight w:val="none"/>
          <w:lang w:val="en-US" w:eastAsia="zh-CN"/>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造价企业应在规定时间内提交</w:t>
      </w:r>
      <w:r>
        <w:rPr>
          <w:rFonts w:hint="default" w:ascii="Times New Roman" w:hAnsi="Times New Roman" w:eastAsia="仿宋_GB2312" w:cs="Times New Roman"/>
          <w:color w:val="auto"/>
          <w:sz w:val="32"/>
          <w:szCs w:val="32"/>
          <w:highlight w:val="none"/>
          <w:lang w:eastAsia="zh-CN"/>
        </w:rPr>
        <w:t>咨询成果文件</w:t>
      </w:r>
      <w:r>
        <w:rPr>
          <w:rFonts w:hint="default" w:ascii="Times New Roman" w:hAnsi="Times New Roman" w:eastAsia="仿宋_GB2312" w:cs="Times New Roman"/>
          <w:color w:val="auto"/>
          <w:sz w:val="32"/>
          <w:szCs w:val="32"/>
          <w:highlight w:val="none"/>
        </w:rPr>
        <w:t>，因造价企业原因未能按</w:t>
      </w:r>
      <w:r>
        <w:rPr>
          <w:rFonts w:hint="default" w:ascii="Times New Roman" w:hAnsi="Times New Roman" w:eastAsia="仿宋_GB2312" w:cs="Times New Roman"/>
          <w:color w:val="auto"/>
          <w:sz w:val="32"/>
          <w:szCs w:val="32"/>
          <w:highlight w:val="none"/>
          <w:lang w:eastAsia="zh-CN"/>
        </w:rPr>
        <w:t>时</w:t>
      </w:r>
      <w:r>
        <w:rPr>
          <w:rFonts w:hint="default" w:ascii="Times New Roman" w:hAnsi="Times New Roman" w:eastAsia="仿宋_GB2312" w:cs="Times New Roman"/>
          <w:color w:val="auto"/>
          <w:sz w:val="32"/>
          <w:szCs w:val="32"/>
          <w:highlight w:val="none"/>
        </w:rPr>
        <w:t>提交，超过</w:t>
      </w:r>
      <w:r>
        <w:rPr>
          <w:rFonts w:hint="default" w:ascii="Times New Roman" w:hAnsi="Times New Roman" w:eastAsia="仿宋_GB2312" w:cs="Times New Roman"/>
          <w:color w:val="auto"/>
          <w:sz w:val="32"/>
          <w:szCs w:val="32"/>
          <w:highlight w:val="none"/>
          <w:lang w:eastAsia="zh-CN"/>
        </w:rPr>
        <w:t>5</w:t>
      </w:r>
      <w:r>
        <w:rPr>
          <w:rFonts w:hint="default" w:ascii="Times New Roman" w:hAnsi="Times New Roman" w:eastAsia="仿宋_GB2312" w:cs="Times New Roman"/>
          <w:color w:val="auto"/>
          <w:sz w:val="32"/>
          <w:szCs w:val="32"/>
          <w:highlight w:val="none"/>
        </w:rPr>
        <w:t>日的，扣咨询服务费</w:t>
      </w:r>
      <w:r>
        <w:rPr>
          <w:rFonts w:hint="default" w:ascii="Times New Roman" w:hAnsi="Times New Roman" w:eastAsia="仿宋_GB2312" w:cs="Times New Roman"/>
          <w:color w:val="auto"/>
          <w:sz w:val="32"/>
          <w:szCs w:val="32"/>
          <w:highlight w:val="none"/>
          <w:lang w:eastAsia="zh-CN"/>
        </w:rPr>
        <w:t>500</w:t>
      </w:r>
      <w:r>
        <w:rPr>
          <w:rFonts w:hint="default" w:ascii="Times New Roman" w:hAnsi="Times New Roman" w:eastAsia="仿宋_GB2312" w:cs="Times New Roman"/>
          <w:color w:val="auto"/>
          <w:sz w:val="32"/>
          <w:szCs w:val="32"/>
          <w:highlight w:val="none"/>
        </w:rPr>
        <w:t>元/日；超</w:t>
      </w:r>
      <w:r>
        <w:rPr>
          <w:rFonts w:hint="default" w:ascii="Times New Roman" w:hAnsi="Times New Roman" w:eastAsia="仿宋_GB2312" w:cs="Times New Roman"/>
          <w:color w:val="auto"/>
          <w:sz w:val="32"/>
          <w:szCs w:val="32"/>
          <w:highlight w:val="none"/>
          <w:lang w:eastAsia="zh-CN"/>
        </w:rPr>
        <w:t>过15</w:t>
      </w:r>
      <w:r>
        <w:rPr>
          <w:rFonts w:hint="default" w:ascii="Times New Roman" w:hAnsi="Times New Roman" w:eastAsia="仿宋_GB2312" w:cs="Times New Roman"/>
          <w:color w:val="auto"/>
          <w:sz w:val="32"/>
          <w:szCs w:val="32"/>
          <w:highlight w:val="none"/>
        </w:rPr>
        <w:t>日的，扣咨询服务费</w:t>
      </w:r>
      <w:r>
        <w:rPr>
          <w:rFonts w:hint="default" w:ascii="Times New Roman" w:hAnsi="Times New Roman" w:eastAsia="仿宋_GB2312" w:cs="Times New Roman"/>
          <w:color w:val="auto"/>
          <w:sz w:val="32"/>
          <w:szCs w:val="32"/>
          <w:highlight w:val="none"/>
          <w:lang w:eastAsia="zh-CN"/>
        </w:rPr>
        <w:t>1000</w:t>
      </w:r>
      <w:r>
        <w:rPr>
          <w:rFonts w:hint="default" w:ascii="Times New Roman" w:hAnsi="Times New Roman" w:eastAsia="仿宋_GB2312" w:cs="Times New Roman"/>
          <w:color w:val="auto"/>
          <w:sz w:val="32"/>
          <w:szCs w:val="32"/>
          <w:highlight w:val="none"/>
        </w:rPr>
        <w:t>元/日；超</w:t>
      </w:r>
      <w:r>
        <w:rPr>
          <w:rFonts w:hint="default" w:ascii="Times New Roman" w:hAnsi="Times New Roman" w:eastAsia="仿宋_GB2312" w:cs="Times New Roman"/>
          <w:color w:val="auto"/>
          <w:sz w:val="32"/>
          <w:szCs w:val="32"/>
          <w:highlight w:val="none"/>
          <w:lang w:eastAsia="zh-CN"/>
        </w:rPr>
        <w:t>过</w:t>
      </w:r>
      <w:r>
        <w:rPr>
          <w:rFonts w:hint="default" w:ascii="Times New Roman" w:hAnsi="Times New Roman" w:eastAsia="仿宋_GB2312" w:cs="Times New Roman"/>
          <w:color w:val="auto"/>
          <w:sz w:val="32"/>
          <w:szCs w:val="32"/>
          <w:highlight w:val="none"/>
        </w:rPr>
        <w:t>规定时间一半以上的，终止委托</w:t>
      </w:r>
      <w:r>
        <w:rPr>
          <w:rFonts w:hint="default" w:ascii="Times New Roman" w:hAnsi="Times New Roman" w:eastAsia="仿宋_GB2312" w:cs="Times New Roman"/>
          <w:color w:val="auto"/>
          <w:sz w:val="32"/>
          <w:szCs w:val="32"/>
          <w:highlight w:val="none"/>
          <w:lang w:eastAsia="zh-CN"/>
        </w:rPr>
        <w:t>业务</w:t>
      </w:r>
      <w:r>
        <w:rPr>
          <w:rFonts w:hint="default" w:ascii="Times New Roman" w:hAnsi="Times New Roman" w:eastAsia="仿宋_GB2312" w:cs="Times New Roman"/>
          <w:color w:val="auto"/>
          <w:sz w:val="32"/>
          <w:szCs w:val="32"/>
          <w:highlight w:val="none"/>
        </w:rPr>
        <w:t>。</w:t>
      </w:r>
    </w:p>
    <w:p w14:paraId="3AA6F107">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二十</w:t>
      </w:r>
      <w:r>
        <w:rPr>
          <w:rFonts w:hint="eastAsia" w:eastAsia="仿宋_GB2312" w:cs="Times New Roman"/>
          <w:b/>
          <w:bCs/>
          <w:color w:val="auto"/>
          <w:sz w:val="32"/>
          <w:szCs w:val="32"/>
          <w:highlight w:val="none"/>
          <w:lang w:val="en-US" w:eastAsia="zh-CN"/>
        </w:rPr>
        <w:t>六</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造价企业</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sz w:val="32"/>
          <w:szCs w:val="32"/>
          <w:highlight w:val="none"/>
        </w:rPr>
        <w:t>人员）不得接受项目施工单位的结算编制等影响审计独立性的业务，一经发现，</w:t>
      </w:r>
      <w:r>
        <w:rPr>
          <w:rFonts w:hint="default" w:ascii="Times New Roman" w:hAnsi="Times New Roman" w:eastAsia="仿宋_GB2312" w:cs="Times New Roman"/>
          <w:color w:val="auto"/>
          <w:sz w:val="32"/>
          <w:szCs w:val="32"/>
          <w:highlight w:val="none"/>
          <w:lang w:eastAsia="zh-CN"/>
        </w:rPr>
        <w:t>终止</w:t>
      </w:r>
      <w:r>
        <w:rPr>
          <w:rFonts w:hint="default" w:ascii="Times New Roman" w:hAnsi="Times New Roman" w:eastAsia="仿宋_GB2312" w:cs="Times New Roman"/>
          <w:color w:val="auto"/>
          <w:sz w:val="32"/>
          <w:szCs w:val="32"/>
          <w:highlight w:val="none"/>
        </w:rPr>
        <w:t>项目造价咨询委托协议，并在处官网通报，同时抄送市审计局，市住建局，市财政局</w:t>
      </w:r>
      <w:r>
        <w:rPr>
          <w:rFonts w:hint="default" w:ascii="Times New Roman" w:hAnsi="Times New Roman" w:eastAsia="仿宋_GB2312" w:cs="Times New Roman"/>
          <w:color w:val="auto"/>
          <w:sz w:val="32"/>
          <w:szCs w:val="32"/>
          <w:highlight w:val="none"/>
          <w:lang w:eastAsia="zh-CN"/>
        </w:rPr>
        <w:t>，市公管局</w:t>
      </w:r>
      <w:r>
        <w:rPr>
          <w:rFonts w:hint="default" w:ascii="Times New Roman" w:hAnsi="Times New Roman" w:eastAsia="仿宋_GB2312" w:cs="Times New Roman"/>
          <w:color w:val="auto"/>
          <w:sz w:val="32"/>
          <w:szCs w:val="32"/>
          <w:highlight w:val="none"/>
        </w:rPr>
        <w:t>。</w:t>
      </w:r>
    </w:p>
    <w:p w14:paraId="388D75A1">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二十</w:t>
      </w:r>
      <w:r>
        <w:rPr>
          <w:rFonts w:hint="eastAsia" w:eastAsia="仿宋_GB2312" w:cs="Times New Roman"/>
          <w:b/>
          <w:bCs/>
          <w:color w:val="auto"/>
          <w:sz w:val="32"/>
          <w:szCs w:val="32"/>
          <w:highlight w:val="none"/>
          <w:lang w:val="en-US" w:eastAsia="zh-CN"/>
        </w:rPr>
        <w:t>七</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造价企业有下列情形之一的，可扣减审计服务费用，终止审计委托协议，提请行政主管部门给予警告、通报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有限期或无限期禁止从事我处项目等处罚</w:t>
      </w:r>
      <w:r>
        <w:rPr>
          <w:rFonts w:hint="default" w:ascii="Times New Roman" w:hAnsi="Times New Roman" w:eastAsia="仿宋_GB2312" w:cs="Times New Roman"/>
          <w:color w:val="auto"/>
          <w:sz w:val="32"/>
          <w:szCs w:val="32"/>
          <w:highlight w:val="none"/>
          <w:lang w:eastAsia="zh-CN"/>
        </w:rPr>
        <w:t>，构成犯罪的，依法追究刑事责任</w:t>
      </w:r>
      <w:r>
        <w:rPr>
          <w:rFonts w:hint="default" w:ascii="Times New Roman" w:hAnsi="Times New Roman" w:eastAsia="仿宋_GB2312" w:cs="Times New Roman"/>
          <w:color w:val="auto"/>
          <w:sz w:val="32"/>
          <w:szCs w:val="32"/>
          <w:highlight w:val="none"/>
        </w:rPr>
        <w:t>：</w:t>
      </w:r>
    </w:p>
    <w:p w14:paraId="2F82BC99">
      <w:pPr>
        <w:keepNext w:val="0"/>
        <w:keepLines w:val="0"/>
        <w:pageBreakBefore w:val="0"/>
        <w:numPr>
          <w:ilvl w:val="0"/>
          <w:numId w:val="5"/>
        </w:numPr>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工程结算审核报告存在重大失误或质量低劣；</w:t>
      </w:r>
    </w:p>
    <w:p w14:paraId="7C33F91C">
      <w:pPr>
        <w:keepNext w:val="0"/>
        <w:keepLines w:val="0"/>
        <w:pageBreakBefore w:val="0"/>
        <w:numPr>
          <w:ilvl w:val="0"/>
          <w:numId w:val="5"/>
        </w:numPr>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因自身工作错误或过失造成重大损失；</w:t>
      </w:r>
    </w:p>
    <w:p w14:paraId="2C18A935">
      <w:pPr>
        <w:keepNext w:val="0"/>
        <w:keepLines w:val="0"/>
        <w:pageBreakBefore w:val="0"/>
        <w:numPr>
          <w:ilvl w:val="0"/>
          <w:numId w:val="5"/>
        </w:numPr>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未经允许私自向施工单位透露审核情况或信息；</w:t>
      </w:r>
    </w:p>
    <w:p w14:paraId="702EA5F5">
      <w:pPr>
        <w:keepNext w:val="0"/>
        <w:keepLines w:val="0"/>
        <w:pageBreakBefore w:val="0"/>
        <w:numPr>
          <w:ilvl w:val="0"/>
          <w:numId w:val="5"/>
        </w:numPr>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向相关单位或个人索要财物等谋取不正当利益；</w:t>
      </w:r>
    </w:p>
    <w:p w14:paraId="249FAD4E">
      <w:pPr>
        <w:keepNext w:val="0"/>
        <w:keepLines w:val="0"/>
        <w:pageBreakBefore w:val="0"/>
        <w:numPr>
          <w:ilvl w:val="0"/>
          <w:numId w:val="5"/>
        </w:numPr>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单独或与其他各方串通舞弊、弄虚作假；</w:t>
      </w:r>
    </w:p>
    <w:p w14:paraId="52E49EC7">
      <w:pPr>
        <w:keepNext w:val="0"/>
        <w:keepLines w:val="0"/>
        <w:pageBreakBefore w:val="0"/>
        <w:numPr>
          <w:ilvl w:val="0"/>
          <w:numId w:val="5"/>
        </w:numPr>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其他违反法律法规和</w:t>
      </w:r>
      <w:r>
        <w:rPr>
          <w:rFonts w:hint="default" w:ascii="Times New Roman" w:hAnsi="Times New Roman" w:eastAsia="仿宋_GB2312" w:cs="Times New Roman"/>
          <w:color w:val="auto"/>
          <w:sz w:val="32"/>
          <w:szCs w:val="32"/>
          <w:highlight w:val="none"/>
          <w:lang w:eastAsia="zh-CN"/>
        </w:rPr>
        <w:t>规定</w:t>
      </w:r>
      <w:r>
        <w:rPr>
          <w:rFonts w:hint="default" w:ascii="Times New Roman" w:hAnsi="Times New Roman" w:eastAsia="仿宋_GB2312" w:cs="Times New Roman"/>
          <w:color w:val="auto"/>
          <w:sz w:val="32"/>
          <w:szCs w:val="32"/>
          <w:highlight w:val="none"/>
        </w:rPr>
        <w:t>的行为。</w:t>
      </w:r>
    </w:p>
    <w:p w14:paraId="0668D6B9">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eastAsia" w:eastAsia="仿宋_GB2312" w:cs="Times New Roman"/>
          <w:b/>
          <w:bCs/>
          <w:color w:val="auto"/>
          <w:sz w:val="32"/>
          <w:szCs w:val="32"/>
          <w:highlight w:val="none"/>
          <w:lang w:val="en-US" w:eastAsia="zh-CN"/>
        </w:rPr>
        <w:t>二十八</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造价企业存在转包、违法分包等行为的，</w:t>
      </w:r>
      <w:r>
        <w:rPr>
          <w:rFonts w:hint="default" w:ascii="Times New Roman" w:hAnsi="Times New Roman" w:eastAsia="仿宋_GB2312" w:cs="Times New Roman"/>
          <w:color w:val="auto"/>
          <w:sz w:val="32"/>
          <w:szCs w:val="32"/>
          <w:highlight w:val="none"/>
        </w:rPr>
        <w:t>无证人员执业、挂靠执业、执业人员不到岗等违反相关</w:t>
      </w:r>
      <w:r>
        <w:rPr>
          <w:rFonts w:hint="default" w:ascii="Times New Roman" w:hAnsi="Times New Roman" w:eastAsia="仿宋_GB2312" w:cs="Times New Roman"/>
          <w:color w:val="auto"/>
          <w:sz w:val="32"/>
          <w:szCs w:val="32"/>
          <w:highlight w:val="none"/>
          <w:lang w:eastAsia="zh-CN"/>
        </w:rPr>
        <w:t>法规的，将按相关法规进行处罚，终止</w:t>
      </w:r>
      <w:r>
        <w:rPr>
          <w:rFonts w:hint="default" w:ascii="Times New Roman" w:hAnsi="Times New Roman" w:eastAsia="仿宋_GB2312" w:cs="Times New Roman"/>
          <w:color w:val="auto"/>
          <w:sz w:val="32"/>
          <w:szCs w:val="32"/>
          <w:highlight w:val="none"/>
        </w:rPr>
        <w:t>委托业务。</w:t>
      </w:r>
    </w:p>
    <w:p w14:paraId="4BF85ED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第八章 附则</w:t>
      </w:r>
    </w:p>
    <w:p w14:paraId="20649371">
      <w:pPr>
        <w:keepNext w:val="0"/>
        <w:keepLines w:val="0"/>
        <w:pageBreakBefore w:val="0"/>
        <w:kinsoku/>
        <w:wordWrap/>
        <w:overflowPunct/>
        <w:topLinePunct w:val="0"/>
        <w:autoSpaceDE/>
        <w:autoSpaceDN/>
        <w:bidi w:val="0"/>
        <w:adjustRightInd/>
        <w:snapToGrid w:val="0"/>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第</w:t>
      </w:r>
      <w:r>
        <w:rPr>
          <w:rFonts w:hint="eastAsia" w:eastAsia="仿宋_GB2312" w:cs="Times New Roman"/>
          <w:b/>
          <w:bCs/>
          <w:color w:val="auto"/>
          <w:sz w:val="32"/>
          <w:szCs w:val="32"/>
          <w:highlight w:val="none"/>
          <w:lang w:val="en-US" w:eastAsia="zh-CN"/>
        </w:rPr>
        <w:t>二十九</w:t>
      </w:r>
      <w:r>
        <w:rPr>
          <w:rFonts w:hint="default" w:ascii="Times New Roman" w:hAnsi="Times New Roman" w:eastAsia="仿宋_GB2312" w:cs="Times New Roman"/>
          <w:b/>
          <w:bCs/>
          <w:color w:val="auto"/>
          <w:sz w:val="32"/>
          <w:szCs w:val="32"/>
          <w:highlight w:val="none"/>
          <w:lang w:val="en-US" w:eastAsia="zh-CN"/>
        </w:rPr>
        <w:t>条</w:t>
      </w:r>
      <w:r>
        <w:rPr>
          <w:rFonts w:hint="default" w:ascii="Times New Roman" w:hAnsi="Times New Roman" w:eastAsia="仿宋_GB2312" w:cs="Times New Roman"/>
          <w:color w:val="auto"/>
          <w:sz w:val="32"/>
          <w:szCs w:val="32"/>
          <w:highlight w:val="none"/>
          <w:lang w:val="en-US" w:eastAsia="zh-CN"/>
        </w:rPr>
        <w:t xml:space="preserve">  对</w:t>
      </w:r>
      <w:r>
        <w:rPr>
          <w:rFonts w:hint="default" w:ascii="Times New Roman" w:hAnsi="Times New Roman" w:eastAsia="仿宋_GB2312" w:cs="Times New Roman"/>
          <w:color w:val="auto"/>
          <w:sz w:val="32"/>
          <w:szCs w:val="32"/>
          <w:highlight w:val="none"/>
          <w:lang w:eastAsia="zh-CN"/>
        </w:rPr>
        <w:t>清单编制企业的处罚，由工程建设科牵头，召集设计、清单编制、施工、监理、跟踪审计、工程监管科、综合计划科，并提出处理意见，经项目分管领导批准后，工程建设科报主任办公会研究，工程监管科落实处罚。</w:t>
      </w:r>
    </w:p>
    <w:p w14:paraId="0704E26E">
      <w:pPr>
        <w:keepNext w:val="0"/>
        <w:keepLines w:val="0"/>
        <w:pageBreakBefore w:val="0"/>
        <w:kinsoku/>
        <w:wordWrap/>
        <w:overflowPunct/>
        <w:topLinePunct w:val="0"/>
        <w:autoSpaceDE/>
        <w:autoSpaceDN/>
        <w:bidi w:val="0"/>
        <w:adjustRightInd/>
        <w:snapToGrid w:val="0"/>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第三十条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考核由综合计划科负责</w:t>
      </w:r>
      <w:r>
        <w:rPr>
          <w:rFonts w:hint="default" w:ascii="Times New Roman" w:hAnsi="Times New Roman" w:eastAsia="仿宋_GB2312" w:cs="Times New Roman"/>
          <w:color w:val="auto"/>
          <w:sz w:val="32"/>
          <w:szCs w:val="32"/>
          <w:highlight w:val="none"/>
          <w:lang w:eastAsia="zh-CN"/>
        </w:rPr>
        <w:t>实施</w:t>
      </w:r>
      <w:r>
        <w:rPr>
          <w:rFonts w:hint="default" w:ascii="Times New Roman" w:hAnsi="Times New Roman" w:eastAsia="仿宋_GB2312" w:cs="Times New Roman"/>
          <w:color w:val="auto"/>
          <w:sz w:val="32"/>
          <w:szCs w:val="32"/>
          <w:highlight w:val="none"/>
        </w:rPr>
        <w:t>，工程建设相关科室配合</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考核结果</w:t>
      </w:r>
      <w:r>
        <w:rPr>
          <w:rFonts w:hint="default" w:ascii="Times New Roman" w:hAnsi="Times New Roman" w:eastAsia="仿宋_GB2312" w:cs="Times New Roman"/>
          <w:b w:val="0"/>
          <w:bCs w:val="0"/>
          <w:color w:val="auto"/>
          <w:sz w:val="32"/>
          <w:szCs w:val="32"/>
          <w:highlight w:val="none"/>
          <w:lang w:eastAsia="zh-CN"/>
        </w:rPr>
        <w:t>经</w:t>
      </w:r>
      <w:r>
        <w:rPr>
          <w:rFonts w:hint="default" w:ascii="Times New Roman" w:hAnsi="Times New Roman" w:eastAsia="仿宋_GB2312" w:cs="Times New Roman"/>
          <w:b w:val="0"/>
          <w:bCs w:val="0"/>
          <w:color w:val="auto"/>
          <w:sz w:val="32"/>
          <w:szCs w:val="32"/>
          <w:highlight w:val="none"/>
        </w:rPr>
        <w:t>综合计划科分管领导</w:t>
      </w:r>
      <w:r>
        <w:rPr>
          <w:rFonts w:hint="default" w:ascii="Times New Roman" w:hAnsi="Times New Roman" w:eastAsia="仿宋_GB2312" w:cs="Times New Roman"/>
          <w:b w:val="0"/>
          <w:bCs w:val="0"/>
          <w:color w:val="auto"/>
          <w:sz w:val="32"/>
          <w:szCs w:val="32"/>
          <w:highlight w:val="none"/>
          <w:lang w:eastAsia="zh-CN"/>
        </w:rPr>
        <w:t>审核</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color w:val="auto"/>
          <w:sz w:val="32"/>
          <w:szCs w:val="32"/>
          <w:highlight w:val="none"/>
        </w:rPr>
        <w:t>综合计划科</w:t>
      </w:r>
      <w:r>
        <w:rPr>
          <w:rFonts w:hint="default" w:ascii="Times New Roman" w:hAnsi="Times New Roman" w:eastAsia="仿宋_GB2312" w:cs="Times New Roman"/>
          <w:b w:val="0"/>
          <w:bCs w:val="0"/>
          <w:color w:val="auto"/>
          <w:sz w:val="32"/>
          <w:szCs w:val="32"/>
          <w:highlight w:val="none"/>
          <w:lang w:eastAsia="zh-CN"/>
        </w:rPr>
        <w:t>报</w:t>
      </w:r>
      <w:r>
        <w:rPr>
          <w:rFonts w:hint="default" w:ascii="Times New Roman" w:hAnsi="Times New Roman" w:eastAsia="仿宋_GB2312" w:cs="Times New Roman"/>
          <w:b w:val="0"/>
          <w:bCs w:val="0"/>
          <w:color w:val="auto"/>
          <w:sz w:val="32"/>
          <w:szCs w:val="32"/>
          <w:highlight w:val="none"/>
        </w:rPr>
        <w:t>主任办公会</w:t>
      </w:r>
      <w:r>
        <w:rPr>
          <w:rFonts w:hint="default" w:ascii="Times New Roman" w:hAnsi="Times New Roman" w:eastAsia="仿宋_GB2312" w:cs="Times New Roman"/>
          <w:b w:val="0"/>
          <w:bCs w:val="0"/>
          <w:color w:val="auto"/>
          <w:sz w:val="32"/>
          <w:szCs w:val="32"/>
          <w:highlight w:val="none"/>
          <w:lang w:eastAsia="zh-CN"/>
        </w:rPr>
        <w:t>研究，</w:t>
      </w:r>
      <w:r>
        <w:rPr>
          <w:rFonts w:hint="default" w:ascii="Times New Roman" w:hAnsi="Times New Roman" w:eastAsia="仿宋_GB2312" w:cs="Times New Roman"/>
          <w:color w:val="auto"/>
          <w:sz w:val="32"/>
          <w:szCs w:val="32"/>
          <w:highlight w:val="none"/>
          <w:lang w:eastAsia="zh-CN"/>
        </w:rPr>
        <w:t>工程监管科</w:t>
      </w:r>
      <w:r>
        <w:rPr>
          <w:rFonts w:hint="default" w:ascii="Times New Roman" w:hAnsi="Times New Roman" w:eastAsia="仿宋_GB2312" w:cs="Times New Roman"/>
          <w:b w:val="0"/>
          <w:bCs w:val="0"/>
          <w:color w:val="auto"/>
          <w:sz w:val="32"/>
          <w:szCs w:val="32"/>
          <w:highlight w:val="none"/>
          <w:lang w:eastAsia="zh-CN"/>
        </w:rPr>
        <w:t>落实</w:t>
      </w:r>
      <w:r>
        <w:rPr>
          <w:rFonts w:hint="default" w:ascii="Times New Roman" w:hAnsi="Times New Roman" w:eastAsia="仿宋_GB2312" w:cs="Times New Roman"/>
          <w:color w:val="auto"/>
          <w:sz w:val="32"/>
          <w:szCs w:val="32"/>
          <w:highlight w:val="none"/>
          <w:lang w:eastAsia="zh-CN"/>
        </w:rPr>
        <w:t>处罚</w:t>
      </w:r>
      <w:r>
        <w:rPr>
          <w:rFonts w:hint="default" w:ascii="Times New Roman" w:hAnsi="Times New Roman" w:eastAsia="仿宋_GB2312" w:cs="Times New Roman"/>
          <w:b w:val="0"/>
          <w:bCs w:val="0"/>
          <w:color w:val="auto"/>
          <w:sz w:val="32"/>
          <w:szCs w:val="32"/>
          <w:highlight w:val="none"/>
          <w:lang w:eastAsia="zh-CN"/>
        </w:rPr>
        <w:t>。</w:t>
      </w:r>
    </w:p>
    <w:p w14:paraId="69EEFBA8">
      <w:pPr>
        <w:keepNext w:val="0"/>
        <w:keepLines w:val="0"/>
        <w:pageBreakBefore w:val="0"/>
        <w:kinsoku/>
        <w:wordWrap/>
        <w:overflowPunct/>
        <w:topLinePunct w:val="0"/>
        <w:autoSpaceDE/>
        <w:autoSpaceDN/>
        <w:bidi w:val="0"/>
        <w:adjustRightInd/>
        <w:spacing w:line="400" w:lineRule="exact"/>
        <w:ind w:firstLine="645"/>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三十</w:t>
      </w:r>
      <w:r>
        <w:rPr>
          <w:rFonts w:hint="eastAsia" w:eastAsia="仿宋_GB2312" w:cs="Times New Roman"/>
          <w:b/>
          <w:bCs/>
          <w:color w:val="auto"/>
          <w:sz w:val="32"/>
          <w:szCs w:val="32"/>
          <w:highlight w:val="none"/>
          <w:lang w:val="en-US" w:eastAsia="zh-CN"/>
        </w:rPr>
        <w:t>一</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暂停业务范围包括清单编制、跟踪审计和结算审核等，暂停时间自</w:t>
      </w:r>
      <w:r>
        <w:rPr>
          <w:rFonts w:hint="default" w:ascii="Times New Roman" w:hAnsi="Times New Roman" w:eastAsia="仿宋_GB2312" w:cs="Times New Roman"/>
          <w:b w:val="0"/>
          <w:bCs w:val="0"/>
          <w:color w:val="auto"/>
          <w:sz w:val="32"/>
          <w:szCs w:val="32"/>
          <w:highlight w:val="none"/>
          <w:lang w:val="en-US" w:eastAsia="zh-CN"/>
        </w:rPr>
        <w:t>主任办公会研究通过之日起计算。</w:t>
      </w:r>
    </w:p>
    <w:p w14:paraId="27779C98">
      <w:pPr>
        <w:keepNext w:val="0"/>
        <w:keepLines w:val="0"/>
        <w:pageBreakBefore w:val="0"/>
        <w:kinsoku/>
        <w:wordWrap/>
        <w:overflowPunct/>
        <w:topLinePunct w:val="0"/>
        <w:autoSpaceDE/>
        <w:autoSpaceDN/>
        <w:bidi w:val="0"/>
        <w:adjustRightInd/>
        <w:spacing w:line="400" w:lineRule="exact"/>
        <w:ind w:firstLine="645"/>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三十</w:t>
      </w:r>
      <w:r>
        <w:rPr>
          <w:rFonts w:hint="eastAsia" w:eastAsia="仿宋_GB2312" w:cs="Times New Roman"/>
          <w:b/>
          <w:bCs/>
          <w:color w:val="auto"/>
          <w:sz w:val="32"/>
          <w:szCs w:val="32"/>
          <w:highlight w:val="none"/>
          <w:lang w:val="en-US" w:eastAsia="zh-CN"/>
        </w:rPr>
        <w:t>二</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本办法自</w:t>
      </w:r>
      <w:r>
        <w:rPr>
          <w:rFonts w:hint="default" w:ascii="Times New Roman" w:hAnsi="Times New Roman" w:eastAsia="仿宋_GB2312" w:cs="Times New Roman"/>
          <w:color w:val="auto"/>
          <w:sz w:val="32"/>
          <w:szCs w:val="32"/>
          <w:highlight w:val="none"/>
          <w:lang w:val="en-US" w:eastAsia="zh-CN"/>
        </w:rPr>
        <w:t>2022年</w:t>
      </w: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日</w:t>
      </w:r>
      <w:r>
        <w:rPr>
          <w:rFonts w:hint="default" w:ascii="Times New Roman" w:hAnsi="Times New Roman" w:eastAsia="仿宋_GB2312" w:cs="Times New Roman"/>
          <w:color w:val="auto"/>
          <w:sz w:val="32"/>
          <w:szCs w:val="32"/>
          <w:highlight w:val="none"/>
        </w:rPr>
        <w:t>起施行，处属各中心可参照执行</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《工程造价咨询服务管理办法</w:t>
      </w:r>
      <w:r>
        <w:rPr>
          <w:rFonts w:hint="default" w:ascii="Times New Roman" w:hAnsi="Times New Roman" w:eastAsia="仿宋_GB2312" w:cs="Times New Roman"/>
          <w:color w:val="auto"/>
          <w:sz w:val="32"/>
          <w:szCs w:val="32"/>
          <w:highlight w:val="none"/>
          <w:lang w:eastAsia="zh-CN"/>
        </w:rPr>
        <w:t>（试行）</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滁重〔</w:t>
      </w:r>
      <w:r>
        <w:rPr>
          <w:rFonts w:hint="default" w:ascii="Times New Roman" w:hAnsi="Times New Roman" w:eastAsia="仿宋_GB2312" w:cs="Times New Roman"/>
          <w:color w:val="auto"/>
          <w:sz w:val="32"/>
          <w:szCs w:val="32"/>
          <w:highlight w:val="none"/>
          <w:lang w:eastAsia="zh-CN"/>
        </w:rPr>
        <w:t>20</w:t>
      </w:r>
      <w:r>
        <w:rPr>
          <w:rFonts w:hint="default"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 w:cs="Times New Roman"/>
          <w:color w:val="auto"/>
          <w:sz w:val="32"/>
          <w:szCs w:val="32"/>
          <w:highlight w:val="none"/>
          <w:shd w:val="clear" w:color="auto" w:fill="auto"/>
          <w:lang w:val="en-US" w:eastAsia="zh-CN"/>
        </w:rPr>
        <w:t>61</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《工程</w:t>
      </w:r>
      <w:r>
        <w:rPr>
          <w:rFonts w:hint="default" w:ascii="Times New Roman" w:hAnsi="Times New Roman" w:eastAsia="仿宋_GB2312" w:cs="Times New Roman"/>
          <w:color w:val="auto"/>
          <w:sz w:val="32"/>
          <w:szCs w:val="32"/>
          <w:highlight w:val="none"/>
          <w:lang w:eastAsia="zh-CN"/>
        </w:rPr>
        <w:t>量清单及最高投标限价编制管理办法</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滁重〔</w:t>
      </w:r>
      <w:r>
        <w:rPr>
          <w:rFonts w:hint="default" w:ascii="Times New Roman" w:hAnsi="Times New Roman" w:eastAsia="仿宋_GB2312" w:cs="Times New Roman"/>
          <w:color w:val="auto"/>
          <w:sz w:val="32"/>
          <w:szCs w:val="32"/>
          <w:highlight w:val="none"/>
          <w:lang w:eastAsia="zh-CN"/>
        </w:rPr>
        <w:t>20</w:t>
      </w:r>
      <w:r>
        <w:rPr>
          <w:rFonts w:hint="default" w:ascii="Times New Roman" w:hAnsi="Times New Roman" w:eastAsia="仿宋_GB2312" w:cs="Times New Roman"/>
          <w:color w:val="auto"/>
          <w:sz w:val="32"/>
          <w:szCs w:val="32"/>
          <w:highlight w:val="none"/>
          <w:lang w:val="en-US" w:eastAsia="zh-CN"/>
        </w:rPr>
        <w:t>19</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46</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废止。</w:t>
      </w:r>
    </w:p>
    <w:p w14:paraId="46314354">
      <w:pPr>
        <w:keepNext w:val="0"/>
        <w:keepLines w:val="0"/>
        <w:pageBreakBefore w:val="0"/>
        <w:kinsoku/>
        <w:wordWrap/>
        <w:overflowPunct/>
        <w:topLinePunct w:val="0"/>
        <w:autoSpaceDE/>
        <w:autoSpaceDN/>
        <w:bidi w:val="0"/>
        <w:adjustRightInd/>
        <w:spacing w:line="400" w:lineRule="exact"/>
        <w:textAlignment w:val="auto"/>
        <w:rPr>
          <w:rFonts w:hint="default" w:ascii="Times New Roman" w:hAnsi="Times New Roman" w:cs="Times New Roman"/>
          <w:color w:val="auto"/>
          <w:sz w:val="32"/>
          <w:szCs w:val="32"/>
          <w:highlight w:val="none"/>
        </w:rPr>
      </w:pPr>
    </w:p>
    <w:p w14:paraId="49F73DC8">
      <w:pPr>
        <w:keepNext w:val="0"/>
        <w:keepLines w:val="0"/>
        <w:pageBreakBefore w:val="0"/>
        <w:widowControl w:val="0"/>
        <w:kinsoku/>
        <w:wordWrap/>
        <w:overflowPunct/>
        <w:topLinePunct w:val="0"/>
        <w:autoSpaceDE/>
        <w:autoSpaceDN/>
        <w:bidi w:val="0"/>
        <w:adjustRightInd/>
        <w:snapToGrid/>
        <w:spacing w:line="400" w:lineRule="exact"/>
        <w:ind w:left="1700" w:leftChars="200" w:hanging="1280" w:hangingChars="4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附件</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《滁州市重点工程建设管理处工程量清单</w:t>
      </w:r>
      <w:r>
        <w:rPr>
          <w:rFonts w:hint="default" w:ascii="Times New Roman" w:hAnsi="Times New Roman" w:eastAsia="仿宋_GB2312" w:cs="Times New Roman"/>
          <w:color w:val="auto"/>
          <w:sz w:val="32"/>
          <w:szCs w:val="32"/>
          <w:highlight w:val="none"/>
          <w:lang w:eastAsia="zh-CN"/>
        </w:rPr>
        <w:t>及</w:t>
      </w:r>
      <w:r>
        <w:rPr>
          <w:rFonts w:hint="default" w:ascii="Times New Roman" w:hAnsi="Times New Roman" w:eastAsia="仿宋_GB2312" w:cs="Times New Roman"/>
          <w:color w:val="auto"/>
          <w:sz w:val="32"/>
          <w:szCs w:val="32"/>
          <w:highlight w:val="none"/>
        </w:rPr>
        <w:t>最高投标限价编制质量考核表》</w:t>
      </w:r>
    </w:p>
    <w:p w14:paraId="5211ECED">
      <w:pPr>
        <w:keepNext w:val="0"/>
        <w:keepLines w:val="0"/>
        <w:pageBreakBefore w:val="0"/>
        <w:widowControl w:val="0"/>
        <w:kinsoku/>
        <w:wordWrap/>
        <w:overflowPunct/>
        <w:topLinePunct w:val="0"/>
        <w:autoSpaceDE/>
        <w:autoSpaceDN/>
        <w:bidi w:val="0"/>
        <w:adjustRightInd/>
        <w:snapToGrid/>
        <w:spacing w:line="400" w:lineRule="exact"/>
        <w:ind w:left="1370" w:leftChars="500" w:hanging="320" w:hangingChars="1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《滁州市重点工程建设管理处</w:t>
      </w:r>
      <w:r>
        <w:rPr>
          <w:rFonts w:hint="default" w:ascii="Times New Roman" w:hAnsi="Times New Roman" w:eastAsia="仿宋_GB2312" w:cs="Times New Roman"/>
          <w:color w:val="auto"/>
          <w:sz w:val="32"/>
          <w:szCs w:val="32"/>
          <w:highlight w:val="none"/>
          <w:lang w:eastAsia="zh-CN"/>
        </w:rPr>
        <w:t>跟踪</w:t>
      </w:r>
      <w:r>
        <w:rPr>
          <w:rStyle w:val="155"/>
          <w:rFonts w:hint="default" w:ascii="Times New Roman" w:hAnsi="Times New Roman" w:eastAsia="仿宋_GB2312" w:cs="Times New Roman"/>
          <w:b w:val="0"/>
          <w:color w:val="auto"/>
          <w:sz w:val="32"/>
          <w:szCs w:val="32"/>
          <w:highlight w:val="none"/>
          <w:lang w:bidi="ar"/>
        </w:rPr>
        <w:t>审计服务质量日常考核表</w:t>
      </w:r>
      <w:r>
        <w:rPr>
          <w:rFonts w:hint="default" w:ascii="Times New Roman" w:hAnsi="Times New Roman" w:eastAsia="仿宋_GB2312" w:cs="Times New Roman"/>
          <w:color w:val="auto"/>
          <w:sz w:val="32"/>
          <w:szCs w:val="32"/>
          <w:highlight w:val="none"/>
        </w:rPr>
        <w:t>》</w:t>
      </w:r>
    </w:p>
    <w:tbl>
      <w:tblPr>
        <w:tblStyle w:val="46"/>
        <w:tblpPr w:leftFromText="180" w:rightFromText="180" w:vertAnchor="text" w:horzAnchor="page" w:tblpXSpec="center" w:tblpY="1462"/>
        <w:tblOverlap w:val="never"/>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354"/>
      </w:tblGrid>
      <w:tr w14:paraId="555630B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354" w:type="dxa"/>
            <w:tcBorders>
              <w:top w:val="single" w:color="auto" w:sz="12" w:space="0"/>
              <w:bottom w:val="single" w:color="auto" w:sz="4" w:space="0"/>
              <w:tl2br w:val="nil"/>
              <w:tr2bl w:val="nil"/>
            </w:tcBorders>
            <w:noWrap w:val="0"/>
            <w:vAlign w:val="top"/>
          </w:tcPr>
          <w:p w14:paraId="771C9E0B">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rPr>
                <w:rFonts w:hint="default" w:ascii="Times New Roman" w:hAnsi="Times New Roman" w:eastAsia="仿宋_GB2312" w:cs="Times New Roman"/>
                <w:b w:val="0"/>
                <w:bCs w:val="0"/>
                <w:color w:val="auto"/>
                <w:sz w:val="32"/>
                <w:szCs w:val="32"/>
                <w:highlight w:val="none"/>
                <w:vertAlign w:val="baseline"/>
                <w:lang w:val="en-US" w:eastAsia="zh-CN"/>
              </w:rPr>
            </w:pPr>
            <w:r>
              <w:rPr>
                <w:rFonts w:hint="default" w:ascii="Times New Roman" w:hAnsi="Times New Roman" w:eastAsia="仿宋_GB2312" w:cs="Times New Roman"/>
                <w:color w:val="auto"/>
                <w:kern w:val="0"/>
                <w:sz w:val="32"/>
                <w:szCs w:val="32"/>
                <w:highlight w:val="none"/>
              </w:rPr>
              <w:t>抄送：市审计局，市住建局，市财政局，市公管局</w:t>
            </w:r>
          </w:p>
        </w:tc>
      </w:tr>
      <w:tr w14:paraId="38558A5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354" w:type="dxa"/>
            <w:tcBorders>
              <w:top w:val="single" w:color="auto" w:sz="4" w:space="0"/>
              <w:bottom w:val="single" w:color="auto" w:sz="12" w:space="0"/>
              <w:tl2br w:val="nil"/>
              <w:tr2bl w:val="nil"/>
            </w:tcBorders>
            <w:noWrap w:val="0"/>
            <w:vAlign w:val="top"/>
          </w:tcPr>
          <w:p w14:paraId="13076E55">
            <w:pPr>
              <w:pStyle w:val="2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eastAsia="仿宋_GB2312" w:cs="Times New Roman"/>
                <w:b w:val="0"/>
                <w:bCs w:val="0"/>
                <w:color w:val="auto"/>
                <w:sz w:val="32"/>
                <w:szCs w:val="32"/>
                <w:highlight w:val="none"/>
                <w:vertAlign w:val="baseline"/>
                <w:lang w:val="en-US" w:eastAsia="zh-CN"/>
              </w:rPr>
            </w:pPr>
            <w:r>
              <w:rPr>
                <w:rFonts w:hint="default" w:ascii="Times New Roman" w:hAnsi="Times New Roman" w:eastAsia="仿宋_GB2312" w:cs="Times New Roman"/>
                <w:b w:val="0"/>
                <w:bCs w:val="0"/>
                <w:color w:val="auto"/>
                <w:sz w:val="32"/>
                <w:szCs w:val="32"/>
                <w:highlight w:val="none"/>
                <w:lang w:val="en-US" w:eastAsia="zh-CN"/>
              </w:rPr>
              <w:t>滁州市重点工程建设管理处办公室        2022年9月5日印发</w:t>
            </w:r>
          </w:p>
        </w:tc>
      </w:tr>
    </w:tbl>
    <w:p w14:paraId="4A67A413">
      <w:pPr>
        <w:pStyle w:val="2"/>
        <w:keepNext w:val="0"/>
        <w:keepLines w:val="0"/>
        <w:pageBreakBefore w:val="0"/>
        <w:widowControl w:val="0"/>
        <w:kinsoku/>
        <w:wordWrap/>
        <w:overflowPunct/>
        <w:topLinePunct w:val="0"/>
        <w:autoSpaceDE/>
        <w:autoSpaceDN/>
        <w:bidi w:val="0"/>
        <w:adjustRightInd/>
        <w:snapToGrid/>
        <w:spacing w:after="0" w:line="400" w:lineRule="exact"/>
        <w:ind w:left="1370" w:leftChars="500" w:hanging="320" w:hangingChars="1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《滁州市重点工程建设管理处结算审</w:t>
      </w:r>
      <w:r>
        <w:rPr>
          <w:rFonts w:hint="default" w:ascii="Times New Roman" w:hAnsi="Times New Roman" w:eastAsia="仿宋_GB2312" w:cs="Times New Roman"/>
          <w:color w:val="auto"/>
          <w:sz w:val="32"/>
          <w:szCs w:val="32"/>
          <w:highlight w:val="none"/>
          <w:lang w:eastAsia="zh-CN"/>
        </w:rPr>
        <w:t>（复）</w:t>
      </w:r>
      <w:r>
        <w:rPr>
          <w:rFonts w:hint="default" w:ascii="Times New Roman" w:hAnsi="Times New Roman" w:eastAsia="仿宋_GB2312" w:cs="Times New Roman"/>
          <w:color w:val="auto"/>
          <w:sz w:val="32"/>
          <w:szCs w:val="32"/>
          <w:highlight w:val="none"/>
        </w:rPr>
        <w:t>核</w:t>
      </w:r>
      <w:r>
        <w:rPr>
          <w:rFonts w:hint="default" w:ascii="Times New Roman" w:hAnsi="Times New Roman" w:eastAsia="仿宋_GB2312" w:cs="Times New Roman"/>
          <w:color w:val="auto"/>
          <w:sz w:val="32"/>
          <w:szCs w:val="32"/>
          <w:highlight w:val="none"/>
          <w:lang w:eastAsia="zh-CN"/>
        </w:rPr>
        <w:t>成果质量</w:t>
      </w:r>
      <w:r>
        <w:rPr>
          <w:rFonts w:hint="default" w:ascii="Times New Roman" w:hAnsi="Times New Roman" w:eastAsia="仿宋_GB2312" w:cs="Times New Roman"/>
          <w:color w:val="auto"/>
          <w:sz w:val="32"/>
          <w:szCs w:val="32"/>
          <w:highlight w:val="none"/>
        </w:rPr>
        <w:t>考核表》</w:t>
      </w:r>
    </w:p>
    <w:p w14:paraId="7747B6AC">
      <w:pPr>
        <w:pStyle w:val="2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仿宋_GB2312" w:cs="Times New Roman"/>
          <w:color w:val="auto"/>
          <w:sz w:val="32"/>
          <w:szCs w:val="32"/>
          <w:highlight w:val="none"/>
          <w:lang w:val="en-US" w:eastAsia="zh-CN"/>
        </w:rPr>
        <w:sectPr>
          <w:footerReference r:id="rId8" w:type="default"/>
          <w:pgSz w:w="11906" w:h="16838"/>
          <w:pgMar w:top="1417" w:right="1417" w:bottom="1134" w:left="1417" w:header="680" w:footer="680" w:gutter="0"/>
          <w:pgBorders w:offsetFrom="page">
            <w:top w:val="none" w:sz="0" w:space="0"/>
            <w:left w:val="none" w:sz="0" w:space="0"/>
            <w:bottom w:val="none" w:sz="0" w:space="0"/>
            <w:right w:val="none" w:sz="0" w:space="0"/>
          </w:pgBorders>
          <w:pgNumType w:fmt="decimal"/>
          <w:cols w:space="0" w:num="1"/>
          <w:rtlGutter w:val="0"/>
          <w:docGrid w:type="lines" w:linePitch="318" w:charSpace="0"/>
        </w:sectPr>
      </w:pPr>
    </w:p>
    <w:p w14:paraId="51C7697F">
      <w:pPr>
        <w:pStyle w:val="2"/>
        <w:spacing w:line="24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tbl>
      <w:tblPr>
        <w:tblStyle w:val="45"/>
        <w:tblpPr w:leftFromText="180" w:rightFromText="180" w:vertAnchor="text" w:horzAnchor="page" w:tblpX="795" w:tblpY="744"/>
        <w:tblOverlap w:val="never"/>
        <w:tblW w:w="10412" w:type="dxa"/>
        <w:jc w:val="center"/>
        <w:tblLayout w:type="fixed"/>
        <w:tblCellMar>
          <w:top w:w="0" w:type="dxa"/>
          <w:left w:w="0" w:type="dxa"/>
          <w:bottom w:w="0" w:type="dxa"/>
          <w:right w:w="0" w:type="dxa"/>
        </w:tblCellMar>
      </w:tblPr>
      <w:tblGrid>
        <w:gridCol w:w="640"/>
        <w:gridCol w:w="689"/>
        <w:gridCol w:w="2928"/>
        <w:gridCol w:w="566"/>
        <w:gridCol w:w="702"/>
        <w:gridCol w:w="1030"/>
        <w:gridCol w:w="3857"/>
      </w:tblGrid>
      <w:tr w14:paraId="5745EAB2">
        <w:tblPrEx>
          <w:tblCellMar>
            <w:top w:w="0" w:type="dxa"/>
            <w:left w:w="0" w:type="dxa"/>
            <w:bottom w:w="0" w:type="dxa"/>
            <w:right w:w="0" w:type="dxa"/>
          </w:tblCellMar>
        </w:tblPrEx>
        <w:trPr>
          <w:trHeight w:val="435" w:hRule="atLeast"/>
          <w:jc w:val="center"/>
        </w:trPr>
        <w:tc>
          <w:tcPr>
            <w:tcW w:w="10412" w:type="dxa"/>
            <w:gridSpan w:val="7"/>
            <w:tcBorders>
              <w:top w:val="nil"/>
              <w:left w:val="nil"/>
              <w:bottom w:val="single" w:color="000000" w:sz="4" w:space="0"/>
              <w:right w:val="nil"/>
            </w:tcBorders>
            <w:noWrap w:val="0"/>
            <w:tcMar>
              <w:top w:w="15" w:type="dxa"/>
              <w:left w:w="15" w:type="dxa"/>
              <w:right w:w="15" w:type="dxa"/>
            </w:tcMar>
            <w:vAlign w:val="center"/>
          </w:tcPr>
          <w:p w14:paraId="53EB4CDA">
            <w:pPr>
              <w:widowControl/>
              <w:jc w:val="center"/>
              <w:textAlignment w:val="center"/>
              <w:rPr>
                <w:rFonts w:hint="eastAsia" w:ascii="宋体" w:hAnsi="宋体" w:eastAsia="宋体" w:cs="宋体"/>
                <w:b/>
                <w:color w:val="auto"/>
                <w:szCs w:val="32"/>
                <w:highlight w:val="none"/>
              </w:rPr>
            </w:pPr>
            <w:r>
              <w:rPr>
                <w:rFonts w:hint="eastAsia" w:ascii="宋体" w:hAnsi="宋体" w:eastAsia="宋体" w:cs="宋体"/>
                <w:b/>
                <w:color w:val="auto"/>
                <w:kern w:val="0"/>
                <w:szCs w:val="32"/>
                <w:highlight w:val="none"/>
                <w:u w:val="single"/>
                <w:lang w:bidi="ar"/>
              </w:rPr>
              <w:t xml:space="preserve">                      </w:t>
            </w:r>
            <w:r>
              <w:rPr>
                <w:rStyle w:val="149"/>
                <w:rFonts w:hint="eastAsia" w:ascii="宋体" w:hAnsi="宋体" w:eastAsia="宋体" w:cs="宋体"/>
                <w:b w:val="0"/>
                <w:color w:val="auto"/>
                <w:highlight w:val="none"/>
                <w:lang w:bidi="ar"/>
              </w:rPr>
              <w:t>项目工程量清单</w:t>
            </w:r>
            <w:r>
              <w:rPr>
                <w:rStyle w:val="149"/>
                <w:rFonts w:hint="eastAsia" w:ascii="宋体" w:hAnsi="宋体" w:eastAsia="宋体" w:cs="宋体"/>
                <w:b w:val="0"/>
                <w:color w:val="auto"/>
                <w:highlight w:val="none"/>
                <w:lang w:eastAsia="zh-CN" w:bidi="ar"/>
              </w:rPr>
              <w:t>及</w:t>
            </w:r>
            <w:r>
              <w:rPr>
                <w:rStyle w:val="149"/>
                <w:rFonts w:hint="eastAsia" w:ascii="宋体" w:hAnsi="宋体" w:eastAsia="宋体" w:cs="宋体"/>
                <w:b w:val="0"/>
                <w:color w:val="auto"/>
                <w:highlight w:val="none"/>
                <w:lang w:bidi="ar"/>
              </w:rPr>
              <w:t xml:space="preserve">最高投标限价编制质量考核表 </w:t>
            </w:r>
          </w:p>
        </w:tc>
      </w:tr>
      <w:tr w14:paraId="284BAF87">
        <w:tblPrEx>
          <w:tblCellMar>
            <w:top w:w="0" w:type="dxa"/>
            <w:left w:w="0" w:type="dxa"/>
            <w:bottom w:w="0" w:type="dxa"/>
            <w:right w:w="0" w:type="dxa"/>
          </w:tblCellMar>
        </w:tblPrEx>
        <w:trPr>
          <w:trHeight w:val="503" w:hRule="atLeast"/>
          <w:jc w:val="center"/>
        </w:trPr>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47703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kern w:val="0"/>
                <w:sz w:val="22"/>
                <w:szCs w:val="22"/>
                <w:highlight w:val="none"/>
                <w:lang w:eastAsia="zh-CN" w:bidi="ar"/>
              </w:rPr>
              <w:t>序号</w:t>
            </w:r>
          </w:p>
        </w:tc>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6125D8">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指标</w:t>
            </w: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9066EB">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内容</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3A31C1">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总分</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41D8F6">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得分</w:t>
            </w: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439650">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打分说明</w:t>
            </w: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CD3286">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备注</w:t>
            </w:r>
          </w:p>
        </w:tc>
      </w:tr>
      <w:tr w14:paraId="27C981FF">
        <w:tblPrEx>
          <w:tblCellMar>
            <w:top w:w="0" w:type="dxa"/>
            <w:left w:w="0" w:type="dxa"/>
            <w:bottom w:w="0" w:type="dxa"/>
            <w:right w:w="0" w:type="dxa"/>
          </w:tblCellMar>
        </w:tblPrEx>
        <w:trPr>
          <w:trHeight w:val="90" w:hRule="atLeast"/>
          <w:jc w:val="center"/>
        </w:trPr>
        <w:tc>
          <w:tcPr>
            <w:tcW w:w="64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AA0F3DE">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一</w:t>
            </w:r>
          </w:p>
        </w:tc>
        <w:tc>
          <w:tcPr>
            <w:tcW w:w="689"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A81AEC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基本考核分</w:t>
            </w: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9BD6CB">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人员能力是否具备胜任本项目需要</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B52DA3">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20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8D76D1">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CB3EAE">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C88808">
            <w:pPr>
              <w:widowControl/>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eastAsia="zh-CN" w:bidi="ar"/>
              </w:rPr>
              <w:t>需在项目开始编制前向综合计划科报送编制审核组成员任命文件：</w:t>
            </w:r>
            <w:r>
              <w:rPr>
                <w:rFonts w:hint="eastAsia" w:ascii="宋体" w:hAnsi="宋体" w:eastAsia="宋体" w:cs="宋体"/>
                <w:color w:val="auto"/>
                <w:kern w:val="0"/>
                <w:sz w:val="24"/>
                <w:szCs w:val="24"/>
                <w:highlight w:val="none"/>
                <w:lang w:val="en-US" w:eastAsia="zh-CN" w:bidi="ar"/>
              </w:rPr>
              <w:t>5分</w:t>
            </w:r>
          </w:p>
          <w:p w14:paraId="2FA08CB6">
            <w:pPr>
              <w:widowControl/>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编制</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 xml:space="preserve">复核人员资格：5分                                      </w:t>
            </w:r>
          </w:p>
          <w:p w14:paraId="4BB90FCA">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会审汇报人员资格 ：</w:t>
            </w:r>
            <w:r>
              <w:rPr>
                <w:rFonts w:hint="eastAsia" w:ascii="宋体" w:hAnsi="宋体" w:eastAsia="宋体" w:cs="宋体"/>
                <w:color w:val="auto"/>
                <w:kern w:val="0"/>
                <w:sz w:val="24"/>
                <w:szCs w:val="24"/>
                <w:highlight w:val="none"/>
                <w:lang w:val="en-US" w:eastAsia="zh-CN" w:bidi="ar"/>
              </w:rPr>
              <w:t>10</w:t>
            </w:r>
            <w:r>
              <w:rPr>
                <w:rFonts w:hint="eastAsia" w:ascii="宋体" w:hAnsi="宋体" w:eastAsia="宋体" w:cs="宋体"/>
                <w:color w:val="auto"/>
                <w:kern w:val="0"/>
                <w:sz w:val="24"/>
                <w:szCs w:val="24"/>
                <w:highlight w:val="none"/>
                <w:lang w:bidi="ar"/>
              </w:rPr>
              <w:t xml:space="preserve">分                  </w:t>
            </w:r>
          </w:p>
        </w:tc>
      </w:tr>
      <w:tr w14:paraId="2AE1F268">
        <w:tblPrEx>
          <w:tblCellMar>
            <w:top w:w="0" w:type="dxa"/>
            <w:left w:w="0" w:type="dxa"/>
            <w:bottom w:w="0" w:type="dxa"/>
            <w:right w:w="0" w:type="dxa"/>
          </w:tblCellMar>
        </w:tblPrEx>
        <w:trPr>
          <w:trHeight w:val="541" w:hRule="atLeast"/>
          <w:jc w:val="center"/>
        </w:trPr>
        <w:tc>
          <w:tcPr>
            <w:tcW w:w="640" w:type="dxa"/>
            <w:vMerge w:val="continue"/>
            <w:tcBorders>
              <w:left w:val="single" w:color="000000" w:sz="4" w:space="0"/>
              <w:right w:val="single" w:color="000000" w:sz="4" w:space="0"/>
            </w:tcBorders>
            <w:noWrap w:val="0"/>
            <w:tcMar>
              <w:top w:w="15" w:type="dxa"/>
              <w:left w:w="15" w:type="dxa"/>
              <w:right w:w="15" w:type="dxa"/>
            </w:tcMar>
            <w:vAlign w:val="center"/>
          </w:tcPr>
          <w:p w14:paraId="235A8EEC">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1A50FB56">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3760F7">
            <w:pPr>
              <w:widowControl/>
              <w:numPr>
                <w:ilvl w:val="0"/>
                <w:numId w:val="0"/>
              </w:numPr>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现场踏勘</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195AFB">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37B742">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5C7BB5">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DFA906">
            <w:pPr>
              <w:widowControl/>
              <w:jc w:val="left"/>
              <w:textAlignment w:val="center"/>
              <w:rPr>
                <w:rFonts w:hint="eastAsia" w:ascii="宋体" w:hAnsi="宋体" w:eastAsia="宋体" w:cs="宋体"/>
                <w:color w:val="auto"/>
                <w:sz w:val="24"/>
                <w:szCs w:val="24"/>
                <w:highlight w:val="none"/>
                <w:lang w:val="en-US" w:eastAsia="zh-CN"/>
              </w:rPr>
            </w:pPr>
          </w:p>
        </w:tc>
      </w:tr>
      <w:tr w14:paraId="3B2B88FF">
        <w:tblPrEx>
          <w:tblCellMar>
            <w:top w:w="0" w:type="dxa"/>
            <w:left w:w="0" w:type="dxa"/>
            <w:bottom w:w="0" w:type="dxa"/>
            <w:right w:w="0" w:type="dxa"/>
          </w:tblCellMar>
        </w:tblPrEx>
        <w:trPr>
          <w:trHeight w:val="1710" w:hRule="atLeast"/>
          <w:jc w:val="center"/>
        </w:trPr>
        <w:tc>
          <w:tcPr>
            <w:tcW w:w="640" w:type="dxa"/>
            <w:vMerge w:val="continue"/>
            <w:tcBorders>
              <w:left w:val="single" w:color="000000" w:sz="4" w:space="0"/>
              <w:right w:val="single" w:color="000000" w:sz="4" w:space="0"/>
            </w:tcBorders>
            <w:noWrap w:val="0"/>
            <w:tcMar>
              <w:top w:w="15" w:type="dxa"/>
              <w:left w:w="15" w:type="dxa"/>
              <w:right w:w="15" w:type="dxa"/>
            </w:tcMar>
            <w:vAlign w:val="center"/>
          </w:tcPr>
          <w:p w14:paraId="7E2E2589">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2A3425F7">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FB165B">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3.是否按时完成清单编制</w:t>
            </w:r>
            <w:r>
              <w:rPr>
                <w:rFonts w:hint="eastAsia" w:ascii="宋体" w:hAnsi="宋体" w:eastAsia="宋体" w:cs="宋体"/>
                <w:color w:val="auto"/>
                <w:kern w:val="0"/>
                <w:sz w:val="24"/>
                <w:szCs w:val="24"/>
                <w:highlight w:val="none"/>
                <w:lang w:bidi="ar"/>
              </w:rPr>
              <w:t>清单</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6043D3">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20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B6AD26">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39C5AF">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F54627">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原则上</w:t>
            </w:r>
            <w:r>
              <w:rPr>
                <w:rStyle w:val="151"/>
                <w:rFonts w:hint="eastAsia" w:ascii="宋体" w:hAnsi="宋体" w:eastAsia="宋体" w:cs="宋体"/>
                <w:color w:val="auto"/>
                <w:sz w:val="24"/>
                <w:szCs w:val="24"/>
                <w:highlight w:val="none"/>
                <w:lang w:bidi="ar"/>
              </w:rPr>
              <w:t>500</w:t>
            </w:r>
            <w:r>
              <w:rPr>
                <w:rStyle w:val="152"/>
                <w:rFonts w:hint="eastAsia" w:ascii="宋体" w:hAnsi="宋体" w:eastAsia="宋体" w:cs="宋体"/>
                <w:color w:val="auto"/>
                <w:sz w:val="24"/>
                <w:szCs w:val="24"/>
                <w:highlight w:val="none"/>
                <w:lang w:bidi="ar"/>
              </w:rPr>
              <w:t>万元以下项目编制时间为</w:t>
            </w:r>
            <w:r>
              <w:rPr>
                <w:rStyle w:val="151"/>
                <w:rFonts w:hint="eastAsia" w:ascii="宋体" w:hAnsi="宋体" w:eastAsia="宋体" w:cs="宋体"/>
                <w:color w:val="auto"/>
                <w:sz w:val="24"/>
                <w:szCs w:val="24"/>
                <w:highlight w:val="none"/>
                <w:lang w:bidi="ar"/>
              </w:rPr>
              <w:t>7</w:t>
            </w:r>
            <w:r>
              <w:rPr>
                <w:rStyle w:val="152"/>
                <w:rFonts w:hint="eastAsia" w:ascii="宋体" w:hAnsi="宋体" w:eastAsia="宋体" w:cs="宋体"/>
                <w:color w:val="auto"/>
                <w:sz w:val="24"/>
                <w:szCs w:val="24"/>
                <w:highlight w:val="none"/>
                <w:lang w:bidi="ar"/>
              </w:rPr>
              <w:t>天,</w:t>
            </w:r>
            <w:r>
              <w:rPr>
                <w:rStyle w:val="151"/>
                <w:rFonts w:hint="eastAsia" w:ascii="宋体" w:hAnsi="宋体" w:eastAsia="宋体" w:cs="宋体"/>
                <w:color w:val="auto"/>
                <w:sz w:val="24"/>
                <w:szCs w:val="24"/>
                <w:highlight w:val="none"/>
                <w:lang w:bidi="ar"/>
              </w:rPr>
              <w:t>500-1000</w:t>
            </w:r>
            <w:r>
              <w:rPr>
                <w:rStyle w:val="152"/>
                <w:rFonts w:hint="eastAsia" w:ascii="宋体" w:hAnsi="宋体" w:eastAsia="宋体" w:cs="宋体"/>
                <w:color w:val="auto"/>
                <w:sz w:val="24"/>
                <w:szCs w:val="24"/>
                <w:highlight w:val="none"/>
                <w:lang w:bidi="ar"/>
              </w:rPr>
              <w:t>万元项目</w:t>
            </w:r>
            <w:r>
              <w:rPr>
                <w:rStyle w:val="151"/>
                <w:rFonts w:hint="eastAsia" w:ascii="宋体" w:hAnsi="宋体" w:eastAsia="宋体" w:cs="宋体"/>
                <w:color w:val="auto"/>
                <w:sz w:val="24"/>
                <w:szCs w:val="24"/>
                <w:highlight w:val="none"/>
                <w:lang w:bidi="ar"/>
              </w:rPr>
              <w:t>15</w:t>
            </w:r>
            <w:r>
              <w:rPr>
                <w:rStyle w:val="152"/>
                <w:rFonts w:hint="eastAsia" w:ascii="宋体" w:hAnsi="宋体" w:eastAsia="宋体" w:cs="宋体"/>
                <w:color w:val="auto"/>
                <w:sz w:val="24"/>
                <w:szCs w:val="24"/>
                <w:highlight w:val="none"/>
                <w:lang w:bidi="ar"/>
              </w:rPr>
              <w:t>天，</w:t>
            </w:r>
            <w:r>
              <w:rPr>
                <w:rStyle w:val="151"/>
                <w:rFonts w:hint="eastAsia" w:ascii="宋体" w:hAnsi="宋体" w:eastAsia="宋体" w:cs="宋体"/>
                <w:color w:val="auto"/>
                <w:sz w:val="24"/>
                <w:szCs w:val="24"/>
                <w:highlight w:val="none"/>
                <w:lang w:bidi="ar"/>
              </w:rPr>
              <w:t>1000</w:t>
            </w:r>
            <w:r>
              <w:rPr>
                <w:rStyle w:val="152"/>
                <w:rFonts w:hint="eastAsia" w:ascii="宋体" w:hAnsi="宋体" w:eastAsia="宋体" w:cs="宋体"/>
                <w:color w:val="auto"/>
                <w:sz w:val="24"/>
                <w:szCs w:val="24"/>
                <w:highlight w:val="none"/>
                <w:lang w:bidi="ar"/>
              </w:rPr>
              <w:t>万元</w:t>
            </w:r>
            <w:r>
              <w:rPr>
                <w:rStyle w:val="151"/>
                <w:rFonts w:hint="eastAsia" w:ascii="宋体" w:hAnsi="宋体" w:eastAsia="宋体" w:cs="宋体"/>
                <w:color w:val="auto"/>
                <w:sz w:val="24"/>
                <w:szCs w:val="24"/>
                <w:highlight w:val="none"/>
                <w:lang w:bidi="ar"/>
              </w:rPr>
              <w:t>-5000</w:t>
            </w:r>
            <w:r>
              <w:rPr>
                <w:rStyle w:val="152"/>
                <w:rFonts w:hint="eastAsia" w:ascii="宋体" w:hAnsi="宋体" w:eastAsia="宋体" w:cs="宋体"/>
                <w:color w:val="auto"/>
                <w:sz w:val="24"/>
                <w:szCs w:val="24"/>
                <w:highlight w:val="none"/>
                <w:lang w:bidi="ar"/>
              </w:rPr>
              <w:t>万元项目</w:t>
            </w:r>
            <w:r>
              <w:rPr>
                <w:rStyle w:val="151"/>
                <w:rFonts w:hint="eastAsia" w:ascii="宋体" w:hAnsi="宋体" w:eastAsia="宋体" w:cs="宋体"/>
                <w:color w:val="auto"/>
                <w:sz w:val="24"/>
                <w:szCs w:val="24"/>
                <w:highlight w:val="none"/>
                <w:lang w:bidi="ar"/>
              </w:rPr>
              <w:t>20</w:t>
            </w:r>
            <w:r>
              <w:rPr>
                <w:rStyle w:val="152"/>
                <w:rFonts w:hint="eastAsia" w:ascii="宋体" w:hAnsi="宋体" w:eastAsia="宋体" w:cs="宋体"/>
                <w:color w:val="auto"/>
                <w:sz w:val="24"/>
                <w:szCs w:val="24"/>
                <w:highlight w:val="none"/>
                <w:lang w:bidi="ar"/>
              </w:rPr>
              <w:t>天，</w:t>
            </w:r>
            <w:r>
              <w:rPr>
                <w:rStyle w:val="151"/>
                <w:rFonts w:hint="eastAsia" w:ascii="宋体" w:hAnsi="宋体" w:eastAsia="宋体" w:cs="宋体"/>
                <w:color w:val="auto"/>
                <w:sz w:val="24"/>
                <w:szCs w:val="24"/>
                <w:highlight w:val="none"/>
                <w:lang w:bidi="ar"/>
              </w:rPr>
              <w:t>5000</w:t>
            </w:r>
            <w:r>
              <w:rPr>
                <w:rStyle w:val="152"/>
                <w:rFonts w:hint="eastAsia" w:ascii="宋体" w:hAnsi="宋体" w:eastAsia="宋体" w:cs="宋体"/>
                <w:color w:val="auto"/>
                <w:sz w:val="24"/>
                <w:szCs w:val="24"/>
                <w:highlight w:val="none"/>
                <w:lang w:bidi="ar"/>
              </w:rPr>
              <w:t>万元</w:t>
            </w:r>
            <w:r>
              <w:rPr>
                <w:rStyle w:val="151"/>
                <w:rFonts w:hint="eastAsia" w:ascii="宋体" w:hAnsi="宋体" w:eastAsia="宋体" w:cs="宋体"/>
                <w:color w:val="auto"/>
                <w:sz w:val="24"/>
                <w:szCs w:val="24"/>
                <w:highlight w:val="none"/>
                <w:lang w:bidi="ar"/>
              </w:rPr>
              <w:t>-1</w:t>
            </w:r>
            <w:r>
              <w:rPr>
                <w:rStyle w:val="152"/>
                <w:rFonts w:hint="eastAsia" w:ascii="宋体" w:hAnsi="宋体" w:eastAsia="宋体" w:cs="宋体"/>
                <w:color w:val="auto"/>
                <w:sz w:val="24"/>
                <w:szCs w:val="24"/>
                <w:highlight w:val="none"/>
                <w:lang w:bidi="ar"/>
              </w:rPr>
              <w:t>亿元项目</w:t>
            </w:r>
            <w:r>
              <w:rPr>
                <w:rStyle w:val="151"/>
                <w:rFonts w:hint="eastAsia" w:ascii="宋体" w:hAnsi="宋体" w:eastAsia="宋体" w:cs="宋体"/>
                <w:color w:val="auto"/>
                <w:sz w:val="24"/>
                <w:szCs w:val="24"/>
                <w:highlight w:val="none"/>
                <w:lang w:bidi="ar"/>
              </w:rPr>
              <w:t>25</w:t>
            </w:r>
            <w:r>
              <w:rPr>
                <w:rStyle w:val="152"/>
                <w:rFonts w:hint="eastAsia" w:ascii="宋体" w:hAnsi="宋体" w:eastAsia="宋体" w:cs="宋体"/>
                <w:color w:val="auto"/>
                <w:sz w:val="24"/>
                <w:szCs w:val="24"/>
                <w:highlight w:val="none"/>
                <w:lang w:bidi="ar"/>
              </w:rPr>
              <w:t>天，</w:t>
            </w:r>
            <w:r>
              <w:rPr>
                <w:rStyle w:val="151"/>
                <w:rFonts w:hint="eastAsia" w:ascii="宋体" w:hAnsi="宋体" w:eastAsia="宋体" w:cs="宋体"/>
                <w:color w:val="auto"/>
                <w:sz w:val="24"/>
                <w:szCs w:val="24"/>
                <w:highlight w:val="none"/>
                <w:lang w:bidi="ar"/>
              </w:rPr>
              <w:t>1</w:t>
            </w:r>
            <w:r>
              <w:rPr>
                <w:rStyle w:val="152"/>
                <w:rFonts w:hint="eastAsia" w:ascii="宋体" w:hAnsi="宋体" w:eastAsia="宋体" w:cs="宋体"/>
                <w:color w:val="auto"/>
                <w:sz w:val="24"/>
                <w:szCs w:val="24"/>
                <w:highlight w:val="none"/>
                <w:lang w:bidi="ar"/>
              </w:rPr>
              <w:t>亿元以上项目不低于</w:t>
            </w:r>
            <w:r>
              <w:rPr>
                <w:rStyle w:val="151"/>
                <w:rFonts w:hint="eastAsia" w:ascii="宋体" w:hAnsi="宋体" w:eastAsia="宋体" w:cs="宋体"/>
                <w:color w:val="auto"/>
                <w:sz w:val="24"/>
                <w:szCs w:val="24"/>
                <w:highlight w:val="none"/>
                <w:lang w:bidi="ar"/>
              </w:rPr>
              <w:t>30</w:t>
            </w:r>
            <w:r>
              <w:rPr>
                <w:rStyle w:val="152"/>
                <w:rFonts w:hint="eastAsia" w:ascii="宋体" w:hAnsi="宋体" w:eastAsia="宋体" w:cs="宋体"/>
                <w:color w:val="auto"/>
                <w:sz w:val="24"/>
                <w:szCs w:val="24"/>
                <w:highlight w:val="none"/>
                <w:lang w:bidi="ar"/>
              </w:rPr>
              <w:t>天，特殊项目经处领导同意可以适当缩短或延长编制时间</w:t>
            </w:r>
            <w:r>
              <w:rPr>
                <w:rStyle w:val="152"/>
                <w:rFonts w:hint="eastAsia" w:ascii="宋体" w:hAnsi="宋体" w:eastAsia="宋体" w:cs="宋体"/>
                <w:color w:val="auto"/>
                <w:sz w:val="24"/>
                <w:szCs w:val="24"/>
                <w:highlight w:val="none"/>
                <w:lang w:eastAsia="zh-CN" w:bidi="ar"/>
              </w:rPr>
              <w:t>。每延误</w:t>
            </w:r>
            <w:r>
              <w:rPr>
                <w:rStyle w:val="152"/>
                <w:rFonts w:hint="eastAsia" w:ascii="宋体" w:hAnsi="宋体" w:eastAsia="宋体" w:cs="宋体"/>
                <w:color w:val="auto"/>
                <w:sz w:val="24"/>
                <w:szCs w:val="24"/>
                <w:highlight w:val="none"/>
                <w:lang w:val="en-US" w:eastAsia="zh-CN" w:bidi="ar"/>
              </w:rPr>
              <w:t>1</w:t>
            </w:r>
            <w:r>
              <w:rPr>
                <w:rStyle w:val="152"/>
                <w:rFonts w:hint="eastAsia" w:ascii="宋体" w:hAnsi="宋体" w:eastAsia="宋体" w:cs="宋体"/>
                <w:color w:val="auto"/>
                <w:sz w:val="24"/>
                <w:szCs w:val="24"/>
                <w:highlight w:val="none"/>
                <w:lang w:eastAsia="zh-CN" w:bidi="ar"/>
              </w:rPr>
              <w:t>天扣</w:t>
            </w:r>
            <w:r>
              <w:rPr>
                <w:rStyle w:val="152"/>
                <w:rFonts w:hint="eastAsia" w:ascii="宋体" w:hAnsi="宋体" w:eastAsia="宋体" w:cs="宋体"/>
                <w:color w:val="auto"/>
                <w:sz w:val="24"/>
                <w:szCs w:val="24"/>
                <w:highlight w:val="none"/>
                <w:lang w:val="en-US" w:eastAsia="zh-CN" w:bidi="ar"/>
              </w:rPr>
              <w:t>1分，扣完为止。</w:t>
            </w:r>
          </w:p>
        </w:tc>
      </w:tr>
      <w:tr w14:paraId="06EE182A">
        <w:tblPrEx>
          <w:tblCellMar>
            <w:top w:w="0" w:type="dxa"/>
            <w:left w:w="0" w:type="dxa"/>
            <w:bottom w:w="0" w:type="dxa"/>
            <w:right w:w="0" w:type="dxa"/>
          </w:tblCellMar>
        </w:tblPrEx>
        <w:trPr>
          <w:trHeight w:val="480" w:hRule="atLeast"/>
          <w:jc w:val="center"/>
        </w:trPr>
        <w:tc>
          <w:tcPr>
            <w:tcW w:w="640" w:type="dxa"/>
            <w:vMerge w:val="continue"/>
            <w:tcBorders>
              <w:left w:val="single" w:color="000000" w:sz="4" w:space="0"/>
              <w:right w:val="single" w:color="000000" w:sz="4" w:space="0"/>
            </w:tcBorders>
            <w:noWrap w:val="0"/>
            <w:tcMar>
              <w:top w:w="15" w:type="dxa"/>
              <w:left w:w="15" w:type="dxa"/>
              <w:right w:w="15" w:type="dxa"/>
            </w:tcMar>
            <w:vAlign w:val="center"/>
          </w:tcPr>
          <w:p w14:paraId="6F2E2BB9">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41C636D2">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46B471">
            <w:pPr>
              <w:widowControl/>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bidi="ar"/>
              </w:rPr>
              <w:t>会审发现错漏情况</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4D7C62">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20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416840">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8EDC34">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0C4C0B">
            <w:pPr>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本项基本分</w:t>
            </w:r>
            <w:r>
              <w:rPr>
                <w:rFonts w:hint="eastAsia" w:ascii="宋体" w:hAnsi="宋体" w:eastAsia="宋体" w:cs="宋体"/>
                <w:color w:val="auto"/>
                <w:kern w:val="0"/>
                <w:sz w:val="24"/>
                <w:szCs w:val="24"/>
                <w:highlight w:val="none"/>
                <w:lang w:val="en-US" w:eastAsia="zh-CN" w:bidi="ar"/>
              </w:rPr>
              <w:t>20</w:t>
            </w:r>
            <w:r>
              <w:rPr>
                <w:rFonts w:hint="eastAsia" w:ascii="宋体" w:hAnsi="宋体" w:eastAsia="宋体" w:cs="宋体"/>
                <w:color w:val="auto"/>
                <w:kern w:val="0"/>
                <w:sz w:val="24"/>
                <w:szCs w:val="24"/>
                <w:highlight w:val="none"/>
                <w:lang w:bidi="ar"/>
              </w:rPr>
              <w:t>分，出现</w:t>
            </w:r>
            <w:r>
              <w:rPr>
                <w:rFonts w:hint="eastAsia" w:ascii="宋体" w:hAnsi="宋体" w:eastAsia="宋体" w:cs="宋体"/>
                <w:color w:val="auto"/>
                <w:kern w:val="0"/>
                <w:sz w:val="24"/>
                <w:szCs w:val="24"/>
                <w:highlight w:val="none"/>
                <w:lang w:eastAsia="zh-CN" w:bidi="ar"/>
              </w:rPr>
              <w:t>单项</w:t>
            </w:r>
            <w:r>
              <w:rPr>
                <w:rFonts w:hint="eastAsia" w:ascii="宋体" w:hAnsi="宋体" w:eastAsia="宋体" w:cs="宋体"/>
                <w:color w:val="auto"/>
                <w:kern w:val="0"/>
                <w:sz w:val="24"/>
                <w:szCs w:val="24"/>
                <w:highlight w:val="none"/>
                <w:lang w:bidi="ar"/>
              </w:rPr>
              <w:t>工程量计算误差超过15%每项扣1分，清单描述错误或未描述或描述不清楚或组价错误每项扣2分，取费错误每项扣5分，扣完为止</w:t>
            </w:r>
          </w:p>
        </w:tc>
      </w:tr>
      <w:tr w14:paraId="1EA0C599">
        <w:tblPrEx>
          <w:tblCellMar>
            <w:top w:w="0" w:type="dxa"/>
            <w:left w:w="0" w:type="dxa"/>
            <w:bottom w:w="0" w:type="dxa"/>
            <w:right w:w="0" w:type="dxa"/>
          </w:tblCellMar>
        </w:tblPrEx>
        <w:trPr>
          <w:trHeight w:val="932" w:hRule="atLeast"/>
          <w:jc w:val="center"/>
        </w:trPr>
        <w:tc>
          <w:tcPr>
            <w:tcW w:w="640" w:type="dxa"/>
            <w:vMerge w:val="continue"/>
            <w:tcBorders>
              <w:left w:val="single" w:color="000000" w:sz="4" w:space="0"/>
              <w:right w:val="single" w:color="000000" w:sz="4" w:space="0"/>
            </w:tcBorders>
            <w:noWrap w:val="0"/>
            <w:tcMar>
              <w:top w:w="15" w:type="dxa"/>
              <w:left w:w="15" w:type="dxa"/>
              <w:right w:w="15" w:type="dxa"/>
            </w:tcMar>
            <w:vAlign w:val="center"/>
          </w:tcPr>
          <w:p w14:paraId="70EF0C98">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3D7BBFBC">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48855A">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bidi="ar"/>
              </w:rPr>
              <w:t>成果文件修改定稿时间满足会议要求</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F42BB8">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CA608E">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8B631C">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848488">
            <w:pPr>
              <w:jc w:val="left"/>
              <w:rPr>
                <w:rFonts w:hint="eastAsia" w:ascii="宋体" w:hAnsi="宋体" w:eastAsia="宋体" w:cs="宋体"/>
                <w:color w:val="auto"/>
                <w:sz w:val="24"/>
                <w:szCs w:val="24"/>
                <w:highlight w:val="none"/>
              </w:rPr>
            </w:pPr>
          </w:p>
        </w:tc>
      </w:tr>
      <w:tr w14:paraId="2656486A">
        <w:tblPrEx>
          <w:tblCellMar>
            <w:top w:w="0" w:type="dxa"/>
            <w:left w:w="0" w:type="dxa"/>
            <w:bottom w:w="0" w:type="dxa"/>
            <w:right w:w="0" w:type="dxa"/>
          </w:tblCellMar>
        </w:tblPrEx>
        <w:trPr>
          <w:trHeight w:val="872" w:hRule="atLeast"/>
          <w:jc w:val="center"/>
        </w:trPr>
        <w:tc>
          <w:tcPr>
            <w:tcW w:w="640" w:type="dxa"/>
            <w:vMerge w:val="continue"/>
            <w:tcBorders>
              <w:left w:val="single" w:color="000000" w:sz="4" w:space="0"/>
              <w:right w:val="single" w:color="000000" w:sz="4" w:space="0"/>
            </w:tcBorders>
            <w:noWrap w:val="0"/>
            <w:tcMar>
              <w:top w:w="15" w:type="dxa"/>
              <w:left w:w="15" w:type="dxa"/>
              <w:right w:w="15" w:type="dxa"/>
            </w:tcMar>
            <w:vAlign w:val="center"/>
          </w:tcPr>
          <w:p w14:paraId="5F6BE33E">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559511DF">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03F952">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6.</w:t>
            </w:r>
            <w:r>
              <w:rPr>
                <w:rFonts w:hint="eastAsia" w:ascii="宋体" w:hAnsi="宋体" w:eastAsia="宋体" w:cs="宋体"/>
                <w:color w:val="auto"/>
                <w:kern w:val="0"/>
                <w:sz w:val="24"/>
                <w:szCs w:val="24"/>
                <w:highlight w:val="none"/>
                <w:lang w:eastAsia="zh-CN" w:bidi="ar"/>
              </w:rPr>
              <w:t>备忘录（</w:t>
            </w:r>
            <w:r>
              <w:rPr>
                <w:rFonts w:hint="eastAsia" w:ascii="宋体" w:hAnsi="宋体" w:eastAsia="宋体" w:cs="宋体"/>
                <w:color w:val="auto"/>
                <w:kern w:val="0"/>
                <w:sz w:val="24"/>
                <w:szCs w:val="24"/>
                <w:highlight w:val="none"/>
                <w:lang w:bidi="ar"/>
              </w:rPr>
              <w:t>编制说明</w:t>
            </w:r>
            <w:r>
              <w:rPr>
                <w:rFonts w:hint="eastAsia" w:ascii="宋体" w:hAnsi="宋体" w:eastAsia="宋体" w:cs="宋体"/>
                <w:color w:val="auto"/>
                <w:kern w:val="0"/>
                <w:sz w:val="24"/>
                <w:szCs w:val="24"/>
                <w:highlight w:val="none"/>
                <w:lang w:eastAsia="zh-CN" w:bidi="ar"/>
              </w:rPr>
              <w:t>）</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8A37DC">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1F7937">
            <w:pPr>
              <w:jc w:val="left"/>
              <w:rPr>
                <w:rFonts w:hint="eastAsia" w:ascii="宋体" w:hAnsi="宋体" w:eastAsia="宋体" w:cs="宋体"/>
                <w:b/>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A6CC21">
            <w:pPr>
              <w:jc w:val="left"/>
              <w:rPr>
                <w:rFonts w:hint="eastAsia" w:ascii="宋体" w:hAnsi="宋体" w:eastAsia="宋体" w:cs="宋体"/>
                <w:b/>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7CAE35">
            <w:pPr>
              <w:jc w:val="left"/>
              <w:rPr>
                <w:rFonts w:hint="eastAsia" w:ascii="宋体" w:hAnsi="宋体" w:eastAsia="宋体" w:cs="宋体"/>
                <w:color w:val="auto"/>
                <w:sz w:val="24"/>
                <w:szCs w:val="24"/>
                <w:highlight w:val="none"/>
              </w:rPr>
            </w:pPr>
          </w:p>
        </w:tc>
      </w:tr>
      <w:tr w14:paraId="116614D6">
        <w:tblPrEx>
          <w:tblCellMar>
            <w:top w:w="0" w:type="dxa"/>
            <w:left w:w="0" w:type="dxa"/>
            <w:bottom w:w="0" w:type="dxa"/>
            <w:right w:w="0" w:type="dxa"/>
          </w:tblCellMar>
        </w:tblPrEx>
        <w:trPr>
          <w:trHeight w:val="90" w:hRule="atLeast"/>
          <w:jc w:val="center"/>
        </w:trPr>
        <w:tc>
          <w:tcPr>
            <w:tcW w:w="640"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66EEB794">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1C7842D1">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73EBB42">
            <w:pPr>
              <w:widowControl/>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7.业主综合评价</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612CD0">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4EDC37">
            <w:pPr>
              <w:jc w:val="left"/>
              <w:rPr>
                <w:rFonts w:hint="eastAsia" w:ascii="宋体" w:hAnsi="宋体" w:eastAsia="宋体" w:cs="宋体"/>
                <w:b/>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51CE54">
            <w:pPr>
              <w:jc w:val="left"/>
              <w:rPr>
                <w:rFonts w:hint="eastAsia" w:ascii="宋体" w:hAnsi="宋体" w:eastAsia="宋体" w:cs="宋体"/>
                <w:b/>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7630E9">
            <w:pPr>
              <w:jc w:val="left"/>
              <w:rPr>
                <w:rFonts w:hint="eastAsia" w:ascii="宋体" w:hAnsi="宋体" w:eastAsia="宋体" w:cs="宋体"/>
                <w:color w:val="auto"/>
                <w:sz w:val="24"/>
                <w:szCs w:val="24"/>
                <w:highlight w:val="none"/>
              </w:rPr>
            </w:pPr>
          </w:p>
        </w:tc>
      </w:tr>
      <w:tr w14:paraId="469D4441">
        <w:tblPrEx>
          <w:tblCellMar>
            <w:top w:w="0" w:type="dxa"/>
            <w:left w:w="0" w:type="dxa"/>
            <w:bottom w:w="0" w:type="dxa"/>
            <w:right w:w="0" w:type="dxa"/>
          </w:tblCellMar>
        </w:tblPrEx>
        <w:trPr>
          <w:trHeight w:val="1400" w:hRule="atLeast"/>
          <w:jc w:val="center"/>
        </w:trPr>
        <w:tc>
          <w:tcPr>
            <w:tcW w:w="64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F53E7A5">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二</w:t>
            </w:r>
          </w:p>
        </w:tc>
        <w:tc>
          <w:tcPr>
            <w:tcW w:w="68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49A8AF3">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扣分项</w:t>
            </w:r>
          </w:p>
        </w:tc>
        <w:tc>
          <w:tcPr>
            <w:tcW w:w="292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C68BCD8">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8.</w:t>
            </w:r>
            <w:r>
              <w:rPr>
                <w:rFonts w:hint="eastAsia" w:ascii="宋体" w:hAnsi="宋体" w:eastAsia="宋体" w:cs="宋体"/>
                <w:color w:val="auto"/>
                <w:kern w:val="0"/>
                <w:sz w:val="24"/>
                <w:szCs w:val="24"/>
                <w:highlight w:val="none"/>
                <w:lang w:bidi="ar"/>
              </w:rPr>
              <w:t>存在转包、违法分包嫌疑</w:t>
            </w:r>
          </w:p>
        </w:tc>
        <w:tc>
          <w:tcPr>
            <w:tcW w:w="56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8F9ED5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A15196">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33897F">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14EAAB">
            <w:pPr>
              <w:widowControl/>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bidi="ar"/>
              </w:rPr>
              <w:t>编制人员与投标</w:t>
            </w:r>
            <w:r>
              <w:rPr>
                <w:rFonts w:hint="eastAsia" w:ascii="宋体" w:hAnsi="宋体" w:eastAsia="宋体" w:cs="宋体"/>
                <w:color w:val="auto"/>
                <w:kern w:val="0"/>
                <w:sz w:val="24"/>
                <w:szCs w:val="24"/>
                <w:highlight w:val="none"/>
                <w:lang w:eastAsia="zh-CN" w:bidi="ar"/>
              </w:rPr>
              <w:t>时</w:t>
            </w:r>
            <w:r>
              <w:rPr>
                <w:rFonts w:hint="eastAsia" w:ascii="宋体" w:hAnsi="宋体" w:eastAsia="宋体" w:cs="宋体"/>
                <w:color w:val="auto"/>
                <w:kern w:val="0"/>
                <w:sz w:val="24"/>
                <w:szCs w:val="24"/>
                <w:highlight w:val="none"/>
                <w:lang w:bidi="ar"/>
              </w:rPr>
              <w:t>人员一致；成果文件签章人员与实际编制人员一致；人员变更报送批准，且变更人员符合项目招标时人员配备要求，不符合要求</w:t>
            </w:r>
            <w:r>
              <w:rPr>
                <w:rFonts w:hint="eastAsia" w:ascii="宋体" w:hAnsi="宋体" w:eastAsia="宋体" w:cs="宋体"/>
                <w:color w:val="auto"/>
                <w:kern w:val="0"/>
                <w:sz w:val="24"/>
                <w:szCs w:val="24"/>
                <w:highlight w:val="none"/>
                <w:lang w:eastAsia="zh-CN" w:bidi="ar"/>
              </w:rPr>
              <w:t>的每项</w:t>
            </w:r>
            <w:r>
              <w:rPr>
                <w:rFonts w:hint="eastAsia" w:ascii="宋体" w:hAnsi="宋体" w:eastAsia="宋体" w:cs="宋体"/>
                <w:color w:val="auto"/>
                <w:kern w:val="0"/>
                <w:sz w:val="24"/>
                <w:szCs w:val="24"/>
                <w:highlight w:val="none"/>
                <w:lang w:bidi="ar"/>
              </w:rPr>
              <w:t>扣10分</w:t>
            </w:r>
          </w:p>
        </w:tc>
      </w:tr>
      <w:tr w14:paraId="407CB5B4">
        <w:tblPrEx>
          <w:tblCellMar>
            <w:top w:w="0" w:type="dxa"/>
            <w:left w:w="0" w:type="dxa"/>
            <w:bottom w:w="0" w:type="dxa"/>
            <w:right w:w="0" w:type="dxa"/>
          </w:tblCellMar>
        </w:tblPrEx>
        <w:trPr>
          <w:trHeight w:val="1061" w:hRule="atLeast"/>
          <w:jc w:val="center"/>
        </w:trPr>
        <w:tc>
          <w:tcPr>
            <w:tcW w:w="640" w:type="dxa"/>
            <w:vMerge w:val="continue"/>
            <w:tcBorders>
              <w:top w:val="single" w:color="auto" w:sz="4" w:space="0"/>
              <w:left w:val="single" w:color="auto" w:sz="4" w:space="0"/>
              <w:right w:val="single" w:color="000000" w:sz="4" w:space="0"/>
            </w:tcBorders>
            <w:noWrap w:val="0"/>
            <w:tcMar>
              <w:top w:w="15" w:type="dxa"/>
              <w:left w:w="15" w:type="dxa"/>
              <w:right w:w="15" w:type="dxa"/>
            </w:tcMar>
            <w:vAlign w:val="center"/>
          </w:tcPr>
          <w:p w14:paraId="4141160B">
            <w:pPr>
              <w:jc w:val="center"/>
              <w:rPr>
                <w:rFonts w:hint="eastAsia" w:ascii="宋体" w:hAnsi="宋体" w:eastAsia="宋体" w:cs="宋体"/>
                <w:color w:val="auto"/>
                <w:sz w:val="24"/>
                <w:szCs w:val="24"/>
                <w:highlight w:val="none"/>
              </w:rPr>
            </w:pPr>
          </w:p>
        </w:tc>
        <w:tc>
          <w:tcPr>
            <w:tcW w:w="689" w:type="dxa"/>
            <w:vMerge w:val="continue"/>
            <w:tcBorders>
              <w:top w:val="single" w:color="auto" w:sz="4" w:space="0"/>
              <w:left w:val="single" w:color="000000" w:sz="4" w:space="0"/>
              <w:right w:val="single" w:color="000000" w:sz="4" w:space="0"/>
            </w:tcBorders>
            <w:noWrap w:val="0"/>
            <w:tcMar>
              <w:top w:w="15" w:type="dxa"/>
              <w:left w:w="15" w:type="dxa"/>
              <w:right w:w="15" w:type="dxa"/>
            </w:tcMar>
            <w:vAlign w:val="center"/>
          </w:tcPr>
          <w:p w14:paraId="455D43FE">
            <w:pPr>
              <w:jc w:val="center"/>
              <w:rPr>
                <w:rFonts w:hint="eastAsia" w:ascii="宋体" w:hAnsi="宋体" w:eastAsia="宋体" w:cs="宋体"/>
                <w:color w:val="auto"/>
                <w:sz w:val="24"/>
                <w:szCs w:val="24"/>
                <w:highlight w:val="none"/>
              </w:rPr>
            </w:pPr>
          </w:p>
        </w:tc>
        <w:tc>
          <w:tcPr>
            <w:tcW w:w="2928"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E786C5">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9.</w:t>
            </w:r>
            <w:r>
              <w:rPr>
                <w:rFonts w:hint="eastAsia" w:ascii="宋体" w:hAnsi="宋体" w:eastAsia="宋体" w:cs="宋体"/>
                <w:color w:val="auto"/>
                <w:kern w:val="0"/>
                <w:sz w:val="24"/>
                <w:szCs w:val="24"/>
                <w:highlight w:val="none"/>
                <w:lang w:bidi="ar"/>
              </w:rPr>
              <w:t>施工过程中发现清单错漏单项</w:t>
            </w:r>
            <w:r>
              <w:rPr>
                <w:rFonts w:hint="eastAsia" w:ascii="宋体" w:hAnsi="宋体" w:eastAsia="宋体" w:cs="宋体"/>
                <w:color w:val="auto"/>
                <w:kern w:val="0"/>
                <w:sz w:val="24"/>
                <w:szCs w:val="24"/>
                <w:highlight w:val="none"/>
                <w:lang w:val="en-US" w:eastAsia="zh-CN" w:bidi="ar"/>
              </w:rPr>
              <w:t>5万元（含）-30万元（不含）的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D7A29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41783B">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9B6F6">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F448B8">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每次扣5分</w:t>
            </w:r>
          </w:p>
        </w:tc>
      </w:tr>
      <w:tr w14:paraId="7A0F8B84">
        <w:tblPrEx>
          <w:tblCellMar>
            <w:top w:w="0" w:type="dxa"/>
            <w:left w:w="0" w:type="dxa"/>
            <w:bottom w:w="0" w:type="dxa"/>
            <w:right w:w="0" w:type="dxa"/>
          </w:tblCellMar>
        </w:tblPrEx>
        <w:trPr>
          <w:trHeight w:val="1061" w:hRule="atLeast"/>
          <w:jc w:val="center"/>
        </w:trPr>
        <w:tc>
          <w:tcPr>
            <w:tcW w:w="640" w:type="dxa"/>
            <w:vMerge w:val="continue"/>
            <w:tcBorders>
              <w:left w:val="single" w:color="auto" w:sz="4" w:space="0"/>
              <w:right w:val="single" w:color="000000" w:sz="4" w:space="0"/>
            </w:tcBorders>
            <w:noWrap w:val="0"/>
            <w:tcMar>
              <w:top w:w="15" w:type="dxa"/>
              <w:left w:w="15" w:type="dxa"/>
              <w:right w:w="15" w:type="dxa"/>
            </w:tcMar>
            <w:vAlign w:val="center"/>
          </w:tcPr>
          <w:p w14:paraId="50B7267D">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6C9D74FC">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67416A">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10.</w:t>
            </w:r>
            <w:r>
              <w:rPr>
                <w:rFonts w:hint="eastAsia" w:ascii="宋体" w:hAnsi="宋体" w:eastAsia="宋体" w:cs="宋体"/>
                <w:color w:val="auto"/>
                <w:kern w:val="0"/>
                <w:sz w:val="24"/>
                <w:szCs w:val="24"/>
                <w:highlight w:val="none"/>
                <w:lang w:bidi="ar"/>
              </w:rPr>
              <w:t>施工过程中发现清单错漏</w:t>
            </w:r>
            <w:r>
              <w:rPr>
                <w:rFonts w:hint="eastAsia" w:ascii="宋体" w:hAnsi="宋体" w:eastAsia="宋体" w:cs="宋体"/>
                <w:color w:val="auto"/>
                <w:kern w:val="0"/>
                <w:sz w:val="24"/>
                <w:szCs w:val="24"/>
                <w:highlight w:val="none"/>
                <w:lang w:eastAsia="zh-CN" w:bidi="ar"/>
              </w:rPr>
              <w:t>累计</w:t>
            </w:r>
            <w:r>
              <w:rPr>
                <w:rFonts w:hint="eastAsia" w:ascii="宋体" w:hAnsi="宋体" w:eastAsia="宋体" w:cs="宋体"/>
                <w:color w:val="auto"/>
                <w:kern w:val="0"/>
                <w:sz w:val="24"/>
                <w:szCs w:val="24"/>
                <w:highlight w:val="none"/>
                <w:lang w:val="en-US" w:eastAsia="zh-CN" w:bidi="ar"/>
              </w:rPr>
              <w:t>30万元（含）-50万元（不含）的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1183BF">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540229">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44E67C">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7F2913">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扣</w:t>
            </w:r>
            <w:r>
              <w:rPr>
                <w:rFonts w:hint="eastAsia" w:ascii="宋体" w:hAnsi="宋体" w:eastAsia="宋体" w:cs="宋体"/>
                <w:color w:val="auto"/>
                <w:kern w:val="0"/>
                <w:sz w:val="24"/>
                <w:szCs w:val="24"/>
                <w:highlight w:val="none"/>
                <w:lang w:val="en-US" w:eastAsia="zh-CN" w:bidi="ar"/>
              </w:rPr>
              <w:t>10</w:t>
            </w:r>
            <w:r>
              <w:rPr>
                <w:rFonts w:hint="eastAsia" w:ascii="宋体" w:hAnsi="宋体" w:eastAsia="宋体" w:cs="宋体"/>
                <w:color w:val="auto"/>
                <w:kern w:val="0"/>
                <w:sz w:val="24"/>
                <w:szCs w:val="24"/>
                <w:highlight w:val="none"/>
                <w:lang w:bidi="ar"/>
              </w:rPr>
              <w:t>分</w:t>
            </w:r>
          </w:p>
        </w:tc>
      </w:tr>
      <w:tr w14:paraId="7F261B70">
        <w:tblPrEx>
          <w:tblCellMar>
            <w:top w:w="0" w:type="dxa"/>
            <w:left w:w="0" w:type="dxa"/>
            <w:bottom w:w="0" w:type="dxa"/>
            <w:right w:w="0" w:type="dxa"/>
          </w:tblCellMar>
        </w:tblPrEx>
        <w:trPr>
          <w:trHeight w:val="1061" w:hRule="atLeast"/>
          <w:jc w:val="center"/>
        </w:trPr>
        <w:tc>
          <w:tcPr>
            <w:tcW w:w="640" w:type="dxa"/>
            <w:vMerge w:val="continue"/>
            <w:tcBorders>
              <w:left w:val="single" w:color="auto" w:sz="4" w:space="0"/>
              <w:right w:val="single" w:color="000000" w:sz="4" w:space="0"/>
            </w:tcBorders>
            <w:noWrap w:val="0"/>
            <w:tcMar>
              <w:top w:w="15" w:type="dxa"/>
              <w:left w:w="15" w:type="dxa"/>
              <w:right w:w="15" w:type="dxa"/>
            </w:tcMar>
            <w:vAlign w:val="center"/>
          </w:tcPr>
          <w:p w14:paraId="50ECB03B">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6AA9212D">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9D8578">
            <w:pPr>
              <w:widowControl/>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11.</w:t>
            </w:r>
            <w:r>
              <w:rPr>
                <w:rFonts w:hint="eastAsia" w:ascii="宋体" w:hAnsi="宋体" w:eastAsia="宋体" w:cs="宋体"/>
                <w:color w:val="auto"/>
                <w:kern w:val="0"/>
                <w:sz w:val="24"/>
                <w:szCs w:val="24"/>
                <w:highlight w:val="none"/>
                <w:lang w:bidi="ar"/>
              </w:rPr>
              <w:t>施工过程中发现清单错漏</w:t>
            </w:r>
            <w:r>
              <w:rPr>
                <w:rFonts w:hint="eastAsia" w:ascii="宋体" w:hAnsi="宋体" w:eastAsia="宋体" w:cs="宋体"/>
                <w:color w:val="auto"/>
                <w:kern w:val="0"/>
                <w:sz w:val="24"/>
                <w:szCs w:val="24"/>
                <w:highlight w:val="none"/>
                <w:lang w:eastAsia="zh-CN" w:bidi="ar"/>
              </w:rPr>
              <w:t>累计</w:t>
            </w:r>
            <w:r>
              <w:rPr>
                <w:rFonts w:hint="eastAsia" w:ascii="宋体" w:hAnsi="宋体" w:eastAsia="宋体" w:cs="宋体"/>
                <w:color w:val="auto"/>
                <w:kern w:val="0"/>
                <w:sz w:val="24"/>
                <w:szCs w:val="24"/>
                <w:highlight w:val="none"/>
                <w:lang w:val="en-US" w:eastAsia="zh-CN" w:bidi="ar"/>
              </w:rPr>
              <w:t>50万元（含）-100万元（不含）的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6DC382">
            <w:pPr>
              <w:widowControl/>
              <w:jc w:val="center"/>
              <w:textAlignment w:val="center"/>
              <w:rPr>
                <w:rFonts w:hint="eastAsia" w:ascii="宋体" w:hAnsi="宋体" w:eastAsia="宋体" w:cs="宋体"/>
                <w:color w:val="auto"/>
                <w:kern w:val="0"/>
                <w:sz w:val="24"/>
                <w:szCs w:val="24"/>
                <w:highlight w:val="none"/>
                <w:lang w:bidi="ar"/>
              </w:rPr>
            </w:pP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3DB37E">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BC20A6">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2EA67C">
            <w:pPr>
              <w:widowControl/>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扣</w:t>
            </w:r>
            <w:r>
              <w:rPr>
                <w:rFonts w:hint="eastAsia" w:ascii="宋体" w:hAnsi="宋体" w:eastAsia="宋体" w:cs="宋体"/>
                <w:color w:val="auto"/>
                <w:kern w:val="0"/>
                <w:sz w:val="24"/>
                <w:szCs w:val="24"/>
                <w:highlight w:val="none"/>
                <w:lang w:val="en-US" w:eastAsia="zh-CN" w:bidi="ar"/>
              </w:rPr>
              <w:t>20</w:t>
            </w:r>
            <w:r>
              <w:rPr>
                <w:rFonts w:hint="eastAsia" w:ascii="宋体" w:hAnsi="宋体" w:eastAsia="宋体" w:cs="宋体"/>
                <w:color w:val="auto"/>
                <w:kern w:val="0"/>
                <w:sz w:val="24"/>
                <w:szCs w:val="24"/>
                <w:highlight w:val="none"/>
                <w:lang w:bidi="ar"/>
              </w:rPr>
              <w:t>分</w:t>
            </w:r>
          </w:p>
        </w:tc>
      </w:tr>
      <w:tr w14:paraId="6A74C286">
        <w:tblPrEx>
          <w:tblCellMar>
            <w:top w:w="0" w:type="dxa"/>
            <w:left w:w="0" w:type="dxa"/>
            <w:bottom w:w="0" w:type="dxa"/>
            <w:right w:w="0" w:type="dxa"/>
          </w:tblCellMar>
        </w:tblPrEx>
        <w:trPr>
          <w:trHeight w:val="1169" w:hRule="atLeast"/>
          <w:jc w:val="center"/>
        </w:trPr>
        <w:tc>
          <w:tcPr>
            <w:tcW w:w="640" w:type="dxa"/>
            <w:vMerge w:val="continue"/>
            <w:tcBorders>
              <w:left w:val="single" w:color="auto" w:sz="4" w:space="0"/>
              <w:right w:val="single" w:color="000000" w:sz="4" w:space="0"/>
            </w:tcBorders>
            <w:noWrap w:val="0"/>
            <w:tcMar>
              <w:top w:w="15" w:type="dxa"/>
              <w:left w:w="15" w:type="dxa"/>
              <w:right w:w="15" w:type="dxa"/>
            </w:tcMar>
            <w:vAlign w:val="center"/>
          </w:tcPr>
          <w:p w14:paraId="0847C6B8">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258B3266">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6FEF42">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12.</w:t>
            </w:r>
            <w:r>
              <w:rPr>
                <w:rFonts w:hint="eastAsia" w:ascii="宋体" w:hAnsi="宋体" w:eastAsia="宋体" w:cs="宋体"/>
                <w:color w:val="auto"/>
                <w:kern w:val="0"/>
                <w:sz w:val="24"/>
                <w:szCs w:val="24"/>
                <w:highlight w:val="none"/>
                <w:lang w:bidi="ar"/>
              </w:rPr>
              <w:t>施工过程中发现清单错漏</w:t>
            </w:r>
            <w:r>
              <w:rPr>
                <w:rFonts w:hint="eastAsia" w:ascii="宋体" w:hAnsi="宋体" w:eastAsia="宋体" w:cs="宋体"/>
                <w:color w:val="auto"/>
                <w:kern w:val="0"/>
                <w:sz w:val="24"/>
                <w:szCs w:val="24"/>
                <w:highlight w:val="none"/>
                <w:lang w:eastAsia="zh-CN" w:bidi="ar"/>
              </w:rPr>
              <w:t>累计</w:t>
            </w:r>
            <w:r>
              <w:rPr>
                <w:rFonts w:hint="eastAsia" w:ascii="宋体" w:hAnsi="宋体" w:eastAsia="宋体" w:cs="宋体"/>
                <w:color w:val="auto"/>
                <w:kern w:val="0"/>
                <w:sz w:val="24"/>
                <w:szCs w:val="24"/>
                <w:highlight w:val="none"/>
                <w:lang w:val="en-US" w:eastAsia="zh-CN" w:bidi="ar"/>
              </w:rPr>
              <w:t>100</w:t>
            </w:r>
            <w:r>
              <w:rPr>
                <w:rFonts w:hint="eastAsia" w:ascii="宋体" w:hAnsi="宋体" w:eastAsia="宋体" w:cs="宋体"/>
                <w:color w:val="auto"/>
                <w:kern w:val="0"/>
                <w:sz w:val="24"/>
                <w:szCs w:val="24"/>
                <w:highlight w:val="none"/>
                <w:lang w:bidi="ar"/>
              </w:rPr>
              <w:t>万元</w:t>
            </w:r>
            <w:r>
              <w:rPr>
                <w:rFonts w:hint="eastAsia" w:ascii="宋体" w:hAnsi="宋体" w:eastAsia="宋体" w:cs="宋体"/>
                <w:color w:val="auto"/>
                <w:kern w:val="0"/>
                <w:sz w:val="24"/>
                <w:szCs w:val="24"/>
                <w:highlight w:val="none"/>
                <w:lang w:val="en-US" w:eastAsia="zh-CN" w:bidi="ar"/>
              </w:rPr>
              <w:t>且误差率3%（含）以内的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913B3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D1AD42">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78F065">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BEE78C">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扣</w:t>
            </w:r>
            <w:r>
              <w:rPr>
                <w:rFonts w:hint="eastAsia" w:ascii="宋体" w:hAnsi="宋体" w:eastAsia="宋体" w:cs="宋体"/>
                <w:color w:val="auto"/>
                <w:kern w:val="0"/>
                <w:sz w:val="24"/>
                <w:szCs w:val="24"/>
                <w:highlight w:val="none"/>
                <w:lang w:val="en-US" w:eastAsia="zh-CN" w:bidi="ar"/>
              </w:rPr>
              <w:t>30</w:t>
            </w:r>
            <w:r>
              <w:rPr>
                <w:rFonts w:hint="eastAsia" w:ascii="宋体" w:hAnsi="宋体" w:eastAsia="宋体" w:cs="宋体"/>
                <w:color w:val="auto"/>
                <w:kern w:val="0"/>
                <w:sz w:val="24"/>
                <w:szCs w:val="24"/>
                <w:highlight w:val="none"/>
                <w:lang w:bidi="ar"/>
              </w:rPr>
              <w:t>分</w:t>
            </w:r>
          </w:p>
        </w:tc>
      </w:tr>
      <w:tr w14:paraId="29B7F7EC">
        <w:tblPrEx>
          <w:tblCellMar>
            <w:top w:w="0" w:type="dxa"/>
            <w:left w:w="0" w:type="dxa"/>
            <w:bottom w:w="0" w:type="dxa"/>
            <w:right w:w="0" w:type="dxa"/>
          </w:tblCellMar>
        </w:tblPrEx>
        <w:trPr>
          <w:trHeight w:val="1363" w:hRule="atLeast"/>
          <w:jc w:val="center"/>
        </w:trPr>
        <w:tc>
          <w:tcPr>
            <w:tcW w:w="640" w:type="dxa"/>
            <w:vMerge w:val="continue"/>
            <w:tcBorders>
              <w:left w:val="single" w:color="auto" w:sz="4" w:space="0"/>
              <w:right w:val="single" w:color="000000" w:sz="4" w:space="0"/>
            </w:tcBorders>
            <w:noWrap w:val="0"/>
            <w:tcMar>
              <w:top w:w="15" w:type="dxa"/>
              <w:left w:w="15" w:type="dxa"/>
              <w:right w:w="15" w:type="dxa"/>
            </w:tcMar>
            <w:vAlign w:val="center"/>
          </w:tcPr>
          <w:p w14:paraId="56011C21">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60DA2A3F">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3A2C0A">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13.</w:t>
            </w:r>
            <w:r>
              <w:rPr>
                <w:rFonts w:hint="eastAsia" w:ascii="宋体" w:hAnsi="宋体" w:eastAsia="宋体" w:cs="宋体"/>
                <w:color w:val="auto"/>
                <w:kern w:val="0"/>
                <w:sz w:val="24"/>
                <w:szCs w:val="24"/>
                <w:highlight w:val="none"/>
                <w:lang w:bidi="ar"/>
              </w:rPr>
              <w:t>施工过程中发现清单错漏</w:t>
            </w:r>
            <w:r>
              <w:rPr>
                <w:rFonts w:hint="eastAsia" w:ascii="宋体" w:hAnsi="宋体" w:eastAsia="宋体" w:cs="宋体"/>
                <w:color w:val="auto"/>
                <w:kern w:val="0"/>
                <w:sz w:val="24"/>
                <w:szCs w:val="24"/>
                <w:highlight w:val="none"/>
                <w:lang w:eastAsia="zh-CN" w:bidi="ar"/>
              </w:rPr>
              <w:t>累计</w:t>
            </w:r>
            <w:r>
              <w:rPr>
                <w:rFonts w:hint="eastAsia" w:ascii="宋体" w:hAnsi="宋体" w:eastAsia="宋体" w:cs="宋体"/>
                <w:color w:val="auto"/>
                <w:kern w:val="0"/>
                <w:sz w:val="24"/>
                <w:szCs w:val="24"/>
                <w:highlight w:val="none"/>
                <w:lang w:val="en-US" w:eastAsia="zh-CN" w:bidi="ar"/>
              </w:rPr>
              <w:t>100万元（含）以上的且误差率在3%（不含）-5%（含）的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B5A593">
            <w:pPr>
              <w:jc w:val="center"/>
              <w:rPr>
                <w:rFonts w:hint="eastAsia" w:ascii="宋体" w:hAnsi="宋体" w:eastAsia="宋体" w:cs="宋体"/>
                <w:color w:val="auto"/>
                <w:sz w:val="24"/>
                <w:szCs w:val="24"/>
                <w:highlight w:val="none"/>
              </w:rPr>
            </w:pP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FFADEF">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EFF308">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2AC9E6">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扣</w:t>
            </w:r>
            <w:r>
              <w:rPr>
                <w:rFonts w:hint="eastAsia" w:ascii="宋体" w:hAnsi="宋体" w:eastAsia="宋体" w:cs="宋体"/>
                <w:color w:val="auto"/>
                <w:kern w:val="0"/>
                <w:sz w:val="24"/>
                <w:szCs w:val="24"/>
                <w:highlight w:val="none"/>
                <w:lang w:val="en-US" w:eastAsia="zh-CN" w:bidi="ar"/>
              </w:rPr>
              <w:t>40</w:t>
            </w:r>
            <w:r>
              <w:rPr>
                <w:rFonts w:hint="eastAsia" w:ascii="宋体" w:hAnsi="宋体" w:eastAsia="宋体" w:cs="宋体"/>
                <w:color w:val="auto"/>
                <w:kern w:val="0"/>
                <w:sz w:val="24"/>
                <w:szCs w:val="24"/>
                <w:highlight w:val="none"/>
                <w:lang w:bidi="ar"/>
              </w:rPr>
              <w:t>分</w:t>
            </w:r>
          </w:p>
        </w:tc>
      </w:tr>
      <w:tr w14:paraId="6D948B65">
        <w:tblPrEx>
          <w:tblCellMar>
            <w:top w:w="0" w:type="dxa"/>
            <w:left w:w="0" w:type="dxa"/>
            <w:bottom w:w="0" w:type="dxa"/>
            <w:right w:w="0" w:type="dxa"/>
          </w:tblCellMar>
        </w:tblPrEx>
        <w:trPr>
          <w:trHeight w:val="1396" w:hRule="atLeast"/>
          <w:jc w:val="center"/>
        </w:trPr>
        <w:tc>
          <w:tcPr>
            <w:tcW w:w="640" w:type="dxa"/>
            <w:vMerge w:val="continue"/>
            <w:tcBorders>
              <w:left w:val="single" w:color="auto" w:sz="4" w:space="0"/>
              <w:bottom w:val="single" w:color="000000" w:sz="4" w:space="0"/>
              <w:right w:val="single" w:color="000000" w:sz="4" w:space="0"/>
            </w:tcBorders>
            <w:noWrap w:val="0"/>
            <w:tcMar>
              <w:top w:w="15" w:type="dxa"/>
              <w:left w:w="15" w:type="dxa"/>
              <w:right w:w="15" w:type="dxa"/>
            </w:tcMar>
            <w:vAlign w:val="center"/>
          </w:tcPr>
          <w:p w14:paraId="64B455B3">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CED53F1">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3A4AF1">
            <w:pPr>
              <w:widowControl/>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14.</w:t>
            </w:r>
            <w:r>
              <w:rPr>
                <w:rFonts w:hint="eastAsia" w:ascii="宋体" w:hAnsi="宋体" w:eastAsia="宋体" w:cs="宋体"/>
                <w:color w:val="auto"/>
                <w:kern w:val="0"/>
                <w:sz w:val="24"/>
                <w:szCs w:val="24"/>
                <w:highlight w:val="none"/>
                <w:lang w:bidi="ar"/>
              </w:rPr>
              <w:t>施工过程中发现清单错漏</w:t>
            </w:r>
            <w:r>
              <w:rPr>
                <w:rFonts w:hint="eastAsia" w:ascii="宋体" w:hAnsi="宋体" w:eastAsia="宋体" w:cs="宋体"/>
                <w:color w:val="auto"/>
                <w:kern w:val="0"/>
                <w:sz w:val="24"/>
                <w:szCs w:val="24"/>
                <w:highlight w:val="none"/>
                <w:lang w:eastAsia="zh-CN" w:bidi="ar"/>
              </w:rPr>
              <w:t>累计</w:t>
            </w:r>
            <w:r>
              <w:rPr>
                <w:rFonts w:hint="eastAsia" w:ascii="宋体" w:hAnsi="宋体" w:eastAsia="宋体" w:cs="宋体"/>
                <w:color w:val="auto"/>
                <w:kern w:val="0"/>
                <w:sz w:val="24"/>
                <w:szCs w:val="24"/>
                <w:highlight w:val="none"/>
                <w:lang w:val="en-US" w:eastAsia="zh-CN" w:bidi="ar"/>
              </w:rPr>
              <w:t>100万元（含）以上的且误差率超过5%（含）的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DCC979">
            <w:pPr>
              <w:jc w:val="center"/>
              <w:rPr>
                <w:rFonts w:hint="eastAsia" w:ascii="宋体" w:hAnsi="宋体" w:eastAsia="宋体" w:cs="宋体"/>
                <w:color w:val="auto"/>
                <w:sz w:val="24"/>
                <w:szCs w:val="24"/>
                <w:highlight w:val="none"/>
              </w:rPr>
            </w:pP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ABDCEE">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AB2036">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B7DF2C">
            <w:pPr>
              <w:widowControl/>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扣</w:t>
            </w:r>
            <w:r>
              <w:rPr>
                <w:rFonts w:hint="eastAsia" w:ascii="宋体" w:hAnsi="宋体" w:eastAsia="宋体" w:cs="宋体"/>
                <w:color w:val="auto"/>
                <w:kern w:val="0"/>
                <w:sz w:val="24"/>
                <w:szCs w:val="24"/>
                <w:highlight w:val="none"/>
                <w:lang w:val="en-US" w:eastAsia="zh-CN" w:bidi="ar"/>
              </w:rPr>
              <w:t>50</w:t>
            </w:r>
            <w:r>
              <w:rPr>
                <w:rFonts w:hint="eastAsia" w:ascii="宋体" w:hAnsi="宋体" w:eastAsia="宋体" w:cs="宋体"/>
                <w:color w:val="auto"/>
                <w:kern w:val="0"/>
                <w:sz w:val="24"/>
                <w:szCs w:val="24"/>
                <w:highlight w:val="none"/>
                <w:lang w:bidi="ar"/>
              </w:rPr>
              <w:t>分</w:t>
            </w:r>
          </w:p>
        </w:tc>
      </w:tr>
      <w:tr w14:paraId="5B7ED349">
        <w:tblPrEx>
          <w:tblCellMar>
            <w:top w:w="0" w:type="dxa"/>
            <w:left w:w="0" w:type="dxa"/>
            <w:bottom w:w="0" w:type="dxa"/>
            <w:right w:w="0" w:type="dxa"/>
          </w:tblCellMar>
        </w:tblPrEx>
        <w:trPr>
          <w:trHeight w:val="645" w:hRule="atLeast"/>
          <w:jc w:val="center"/>
        </w:trPr>
        <w:tc>
          <w:tcPr>
            <w:tcW w:w="6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27C754">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三</w:t>
            </w:r>
          </w:p>
        </w:tc>
        <w:tc>
          <w:tcPr>
            <w:tcW w:w="68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8411A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加分项</w:t>
            </w: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647479">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15.</w:t>
            </w:r>
            <w:r>
              <w:rPr>
                <w:rFonts w:hint="eastAsia" w:ascii="宋体" w:hAnsi="宋体" w:eastAsia="宋体" w:cs="宋体"/>
                <w:color w:val="auto"/>
                <w:kern w:val="0"/>
                <w:sz w:val="24"/>
                <w:szCs w:val="24"/>
                <w:highlight w:val="none"/>
                <w:lang w:bidi="ar"/>
              </w:rPr>
              <w:t>发现设计重大错漏</w:t>
            </w:r>
          </w:p>
        </w:tc>
        <w:tc>
          <w:tcPr>
            <w:tcW w:w="566"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5CDCFDEE">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22256BA9">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03598870">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02A46CF5">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每项加5分</w:t>
            </w:r>
          </w:p>
        </w:tc>
      </w:tr>
      <w:tr w14:paraId="2DCA6B3B">
        <w:tblPrEx>
          <w:tblCellMar>
            <w:top w:w="0" w:type="dxa"/>
            <w:left w:w="0" w:type="dxa"/>
            <w:bottom w:w="0" w:type="dxa"/>
            <w:right w:w="0" w:type="dxa"/>
          </w:tblCellMar>
        </w:tblPrEx>
        <w:trPr>
          <w:trHeight w:val="718" w:hRule="atLeast"/>
          <w:jc w:val="center"/>
        </w:trPr>
        <w:tc>
          <w:tcPr>
            <w:tcW w:w="6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D66755">
            <w:pPr>
              <w:jc w:val="center"/>
              <w:rPr>
                <w:rFonts w:hint="eastAsia" w:ascii="宋体" w:hAnsi="宋体" w:eastAsia="宋体" w:cs="宋体"/>
                <w:color w:val="auto"/>
                <w:sz w:val="24"/>
                <w:szCs w:val="24"/>
                <w:highlight w:val="none"/>
              </w:rPr>
            </w:pPr>
          </w:p>
        </w:tc>
        <w:tc>
          <w:tcPr>
            <w:tcW w:w="68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5D5C32">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EECBDE">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16.</w:t>
            </w:r>
            <w:r>
              <w:rPr>
                <w:rFonts w:hint="eastAsia" w:ascii="宋体" w:hAnsi="宋体" w:eastAsia="宋体" w:cs="宋体"/>
                <w:color w:val="auto"/>
                <w:kern w:val="0"/>
                <w:sz w:val="24"/>
                <w:szCs w:val="24"/>
                <w:highlight w:val="none"/>
                <w:lang w:bidi="ar"/>
              </w:rPr>
              <w:t>提出合理化意见被采纳的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B3B6D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8CEA10">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BB6E43">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7850AF">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每项加5分</w:t>
            </w:r>
          </w:p>
        </w:tc>
      </w:tr>
      <w:tr w14:paraId="6C2C5956">
        <w:tblPrEx>
          <w:tblCellMar>
            <w:top w:w="0" w:type="dxa"/>
            <w:left w:w="0" w:type="dxa"/>
            <w:bottom w:w="0" w:type="dxa"/>
            <w:right w:w="0" w:type="dxa"/>
          </w:tblCellMar>
        </w:tblPrEx>
        <w:trPr>
          <w:trHeight w:val="784" w:hRule="atLeast"/>
          <w:jc w:val="center"/>
        </w:trPr>
        <w:tc>
          <w:tcPr>
            <w:tcW w:w="6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A3E9D7">
            <w:pPr>
              <w:jc w:val="center"/>
              <w:rPr>
                <w:rFonts w:hint="eastAsia" w:ascii="宋体" w:hAnsi="宋体" w:eastAsia="宋体" w:cs="宋体"/>
                <w:color w:val="auto"/>
                <w:sz w:val="24"/>
                <w:szCs w:val="24"/>
                <w:highlight w:val="none"/>
              </w:rPr>
            </w:pPr>
          </w:p>
        </w:tc>
        <w:tc>
          <w:tcPr>
            <w:tcW w:w="68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C2D259">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3C3B9E">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17.</w:t>
            </w:r>
            <w:r>
              <w:rPr>
                <w:rFonts w:hint="eastAsia" w:ascii="宋体" w:hAnsi="宋体" w:eastAsia="宋体" w:cs="宋体"/>
                <w:color w:val="auto"/>
                <w:kern w:val="0"/>
                <w:sz w:val="24"/>
                <w:szCs w:val="24"/>
                <w:highlight w:val="none"/>
                <w:lang w:bidi="ar"/>
              </w:rPr>
              <w:t>发现并移交经济案件线索且被立案查处</w:t>
            </w:r>
          </w:p>
        </w:tc>
        <w:tc>
          <w:tcPr>
            <w:tcW w:w="566"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6E50C74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0262A128">
            <w:pPr>
              <w:jc w:val="left"/>
              <w:rPr>
                <w:rFonts w:hint="eastAsia" w:ascii="宋体" w:hAnsi="宋体" w:eastAsia="宋体" w:cs="宋体"/>
                <w:color w:val="auto"/>
                <w:sz w:val="24"/>
                <w:szCs w:val="24"/>
                <w:highlight w:val="none"/>
              </w:rPr>
            </w:pPr>
          </w:p>
        </w:tc>
        <w:tc>
          <w:tcPr>
            <w:tcW w:w="103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60089FB1">
            <w:pPr>
              <w:jc w:val="left"/>
              <w:rPr>
                <w:rFonts w:hint="eastAsia" w:ascii="宋体" w:hAnsi="宋体" w:eastAsia="宋体" w:cs="宋体"/>
                <w:color w:val="auto"/>
                <w:sz w:val="24"/>
                <w:szCs w:val="24"/>
                <w:highlight w:val="none"/>
              </w:rPr>
            </w:pPr>
          </w:p>
        </w:tc>
        <w:tc>
          <w:tcPr>
            <w:tcW w:w="3857"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7175181F">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每件加20分</w:t>
            </w:r>
          </w:p>
        </w:tc>
      </w:tr>
      <w:tr w14:paraId="0CA81264">
        <w:tblPrEx>
          <w:tblCellMar>
            <w:top w:w="0" w:type="dxa"/>
            <w:left w:w="0" w:type="dxa"/>
            <w:bottom w:w="0" w:type="dxa"/>
            <w:right w:w="0" w:type="dxa"/>
          </w:tblCellMar>
        </w:tblPrEx>
        <w:trPr>
          <w:trHeight w:val="470" w:hRule="atLeast"/>
          <w:jc w:val="center"/>
        </w:trPr>
        <w:tc>
          <w:tcPr>
            <w:tcW w:w="482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FA33C8">
            <w:pPr>
              <w:widowControl/>
              <w:jc w:val="right"/>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合计</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4B9086">
            <w:pPr>
              <w:jc w:val="left"/>
              <w:rPr>
                <w:rFonts w:hint="eastAsia" w:ascii="宋体" w:hAnsi="宋体" w:eastAsia="宋体" w:cs="宋体"/>
                <w:b/>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8D9B23">
            <w:pPr>
              <w:jc w:val="left"/>
              <w:rPr>
                <w:rFonts w:hint="eastAsia" w:ascii="宋体" w:hAnsi="宋体" w:eastAsia="宋体" w:cs="宋体"/>
                <w:b/>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E436CF">
            <w:pPr>
              <w:jc w:val="left"/>
              <w:rPr>
                <w:rFonts w:hint="eastAsia" w:ascii="宋体" w:hAnsi="宋体" w:eastAsia="宋体" w:cs="宋体"/>
                <w:color w:val="auto"/>
                <w:sz w:val="24"/>
                <w:szCs w:val="24"/>
                <w:highlight w:val="none"/>
              </w:rPr>
            </w:pPr>
          </w:p>
        </w:tc>
      </w:tr>
      <w:tr w14:paraId="52340764">
        <w:tblPrEx>
          <w:tblCellMar>
            <w:top w:w="0" w:type="dxa"/>
            <w:left w:w="0" w:type="dxa"/>
            <w:bottom w:w="0" w:type="dxa"/>
            <w:right w:w="0" w:type="dxa"/>
          </w:tblCellMar>
        </w:tblPrEx>
        <w:trPr>
          <w:trHeight w:val="944" w:hRule="atLeast"/>
          <w:jc w:val="center"/>
        </w:trPr>
        <w:tc>
          <w:tcPr>
            <w:tcW w:w="10412"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D2CC01A">
            <w:pPr>
              <w:widowControl/>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造价咨询人员签字：               考核人员签字 ：              </w:t>
            </w:r>
          </w:p>
          <w:p w14:paraId="633CB4C3">
            <w:pPr>
              <w:widowControl/>
              <w:textAlignment w:val="center"/>
              <w:rPr>
                <w:rFonts w:hint="eastAsia" w:ascii="宋体" w:hAnsi="宋体" w:eastAsia="宋体" w:cs="宋体"/>
                <w:color w:val="auto"/>
                <w:kern w:val="0"/>
                <w:sz w:val="24"/>
                <w:szCs w:val="24"/>
                <w:highlight w:val="none"/>
                <w:lang w:bidi="ar"/>
              </w:rPr>
            </w:pPr>
          </w:p>
          <w:p w14:paraId="52BF021C">
            <w:pPr>
              <w:widowControl/>
              <w:ind w:firstLine="7560" w:firstLineChars="3150"/>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r>
              <w:rPr>
                <w:rStyle w:val="153"/>
                <w:rFonts w:hint="eastAsia" w:ascii="宋体" w:hAnsi="宋体" w:eastAsia="宋体" w:cs="宋体"/>
                <w:color w:val="auto"/>
                <w:sz w:val="24"/>
                <w:szCs w:val="24"/>
                <w:highlight w:val="none"/>
                <w:lang w:bidi="ar"/>
              </w:rPr>
              <w:t xml:space="preserve">     </w:t>
            </w:r>
            <w:r>
              <w:rPr>
                <w:rStyle w:val="154"/>
                <w:rFonts w:hint="eastAsia" w:ascii="宋体" w:hAnsi="宋体" w:eastAsia="宋体" w:cs="宋体"/>
                <w:color w:val="auto"/>
                <w:sz w:val="24"/>
                <w:szCs w:val="24"/>
                <w:highlight w:val="none"/>
                <w:lang w:bidi="ar"/>
              </w:rPr>
              <w:t>年</w:t>
            </w:r>
            <w:r>
              <w:rPr>
                <w:rStyle w:val="153"/>
                <w:rFonts w:hint="eastAsia" w:ascii="宋体" w:hAnsi="宋体" w:eastAsia="宋体" w:cs="宋体"/>
                <w:color w:val="auto"/>
                <w:sz w:val="24"/>
                <w:szCs w:val="24"/>
                <w:highlight w:val="none"/>
                <w:lang w:bidi="ar"/>
              </w:rPr>
              <w:t xml:space="preserve">   </w:t>
            </w:r>
            <w:r>
              <w:rPr>
                <w:rStyle w:val="154"/>
                <w:rFonts w:hint="eastAsia" w:ascii="宋体" w:hAnsi="宋体" w:eastAsia="宋体" w:cs="宋体"/>
                <w:color w:val="auto"/>
                <w:sz w:val="24"/>
                <w:szCs w:val="24"/>
                <w:highlight w:val="none"/>
                <w:lang w:bidi="ar"/>
              </w:rPr>
              <w:t>月</w:t>
            </w:r>
            <w:r>
              <w:rPr>
                <w:rStyle w:val="153"/>
                <w:rFonts w:hint="eastAsia" w:ascii="宋体" w:hAnsi="宋体" w:eastAsia="宋体" w:cs="宋体"/>
                <w:color w:val="auto"/>
                <w:sz w:val="24"/>
                <w:szCs w:val="24"/>
                <w:highlight w:val="none"/>
                <w:lang w:bidi="ar"/>
              </w:rPr>
              <w:t xml:space="preserve">   </w:t>
            </w:r>
            <w:r>
              <w:rPr>
                <w:rStyle w:val="154"/>
                <w:rFonts w:hint="eastAsia" w:ascii="宋体" w:hAnsi="宋体" w:eastAsia="宋体" w:cs="宋体"/>
                <w:color w:val="auto"/>
                <w:sz w:val="24"/>
                <w:szCs w:val="24"/>
                <w:highlight w:val="none"/>
                <w:lang w:bidi="ar"/>
              </w:rPr>
              <w:t xml:space="preserve">日     </w:t>
            </w:r>
          </w:p>
        </w:tc>
      </w:tr>
    </w:tbl>
    <w:p w14:paraId="7E9CCC01">
      <w:pPr>
        <w:pStyle w:val="2"/>
        <w:spacing w:line="240" w:lineRule="auto"/>
        <w:ind w:left="0" w:leftChars="0" w:firstLine="0" w:firstLineChars="0"/>
        <w:rPr>
          <w:rFonts w:hint="eastAsia" w:ascii="宋体" w:hAnsi="宋体" w:eastAsia="宋体" w:cs="宋体"/>
          <w:color w:val="auto"/>
          <w:sz w:val="32"/>
          <w:szCs w:val="32"/>
          <w:highlight w:val="none"/>
        </w:rPr>
      </w:pPr>
    </w:p>
    <w:p w14:paraId="15FDB7B2">
      <w:pPr>
        <w:pStyle w:val="2"/>
        <w:spacing w:line="240" w:lineRule="auto"/>
        <w:ind w:left="0" w:leftChars="0" w:firstLine="0" w:firstLineChars="0"/>
        <w:rPr>
          <w:rFonts w:hint="eastAsia" w:ascii="宋体" w:hAnsi="宋体" w:eastAsia="宋体" w:cs="宋体"/>
          <w:color w:val="auto"/>
          <w:sz w:val="32"/>
          <w:szCs w:val="32"/>
          <w:highlight w:val="none"/>
        </w:rPr>
      </w:pPr>
    </w:p>
    <w:p w14:paraId="344C7DD0">
      <w:pPr>
        <w:rPr>
          <w:rFonts w:hint="eastAsia" w:ascii="宋体" w:hAnsi="宋体" w:eastAsia="宋体" w:cs="宋体"/>
          <w:color w:val="auto"/>
          <w:sz w:val="32"/>
          <w:szCs w:val="32"/>
          <w:highlight w:val="none"/>
        </w:rPr>
      </w:pPr>
    </w:p>
    <w:p w14:paraId="4A2B78AE">
      <w:pPr>
        <w:pStyle w:val="2"/>
        <w:rPr>
          <w:rFonts w:hint="eastAsia" w:ascii="宋体" w:hAnsi="宋体" w:eastAsia="宋体" w:cs="宋体"/>
          <w:color w:val="auto"/>
          <w:sz w:val="32"/>
          <w:szCs w:val="32"/>
          <w:highlight w:val="none"/>
        </w:rPr>
      </w:pPr>
    </w:p>
    <w:p w14:paraId="7409AD80">
      <w:pPr>
        <w:rPr>
          <w:rFonts w:hint="eastAsia" w:ascii="宋体" w:hAnsi="宋体" w:eastAsia="宋体" w:cs="宋体"/>
          <w:color w:val="auto"/>
          <w:sz w:val="32"/>
          <w:szCs w:val="32"/>
          <w:highlight w:val="none"/>
        </w:rPr>
      </w:pPr>
    </w:p>
    <w:p w14:paraId="3EA97D51">
      <w:pPr>
        <w:pStyle w:val="2"/>
        <w:rPr>
          <w:rFonts w:hint="eastAsia" w:ascii="宋体" w:hAnsi="宋体" w:eastAsia="宋体" w:cs="宋体"/>
          <w:color w:val="auto"/>
          <w:sz w:val="32"/>
          <w:szCs w:val="32"/>
          <w:highlight w:val="none"/>
        </w:rPr>
      </w:pPr>
    </w:p>
    <w:p w14:paraId="3DFCAA94">
      <w:pPr>
        <w:rPr>
          <w:rFonts w:hint="eastAsia" w:ascii="宋体" w:hAnsi="宋体" w:eastAsia="宋体" w:cs="宋体"/>
          <w:color w:val="auto"/>
          <w:sz w:val="32"/>
          <w:szCs w:val="32"/>
          <w:highlight w:val="none"/>
        </w:rPr>
      </w:pPr>
    </w:p>
    <w:p w14:paraId="3E001B22">
      <w:pPr>
        <w:pStyle w:val="2"/>
        <w:rPr>
          <w:rFonts w:hint="eastAsia"/>
          <w:color w:val="auto"/>
          <w:highlight w:val="none"/>
        </w:rPr>
      </w:pPr>
    </w:p>
    <w:p w14:paraId="525AF85E">
      <w:pPr>
        <w:rPr>
          <w:rFonts w:hint="eastAsia" w:ascii="宋体" w:hAnsi="宋体" w:eastAsia="宋体" w:cs="宋体"/>
          <w:color w:val="auto"/>
          <w:sz w:val="32"/>
          <w:szCs w:val="32"/>
          <w:highlight w:val="none"/>
        </w:rPr>
      </w:pPr>
    </w:p>
    <w:p w14:paraId="6A88782D">
      <w:pPr>
        <w:keepNext w:val="0"/>
        <w:keepLines w:val="0"/>
        <w:pageBreakBefore/>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工程建设约谈管理规定</w:t>
      </w:r>
    </w:p>
    <w:p w14:paraId="7766AB67">
      <w:pPr>
        <w:keepNext w:val="0"/>
        <w:keepLines w:val="0"/>
        <w:pageBreakBefore w:val="0"/>
        <w:kinsoku/>
        <w:wordWrap/>
        <w:overflowPunct/>
        <w:topLinePunct w:val="0"/>
        <w:autoSpaceDE/>
        <w:autoSpaceDN/>
        <w:bidi w:val="0"/>
        <w:adjustRightInd/>
        <w:snapToGrid/>
        <w:spacing w:line="288" w:lineRule="auto"/>
        <w:ind w:firstLine="413" w:firstLineChars="196"/>
        <w:jc w:val="left"/>
        <w:textAlignment w:val="auto"/>
        <w:outlineLvl w:val="9"/>
        <w:rPr>
          <w:rFonts w:hint="eastAsia" w:ascii="宋体" w:hAnsi="宋体" w:eastAsia="宋体" w:cs="宋体"/>
          <w:b/>
          <w:color w:val="auto"/>
          <w:sz w:val="21"/>
          <w:szCs w:val="21"/>
          <w:highlight w:val="none"/>
        </w:rPr>
      </w:pPr>
    </w:p>
    <w:p w14:paraId="27905D28">
      <w:pPr>
        <w:keepNext w:val="0"/>
        <w:keepLines w:val="0"/>
        <w:pageBreakBefore w:val="0"/>
        <w:kinsoku/>
        <w:wordWrap/>
        <w:overflowPunct/>
        <w:topLinePunct w:val="0"/>
        <w:autoSpaceDE/>
        <w:autoSpaceDN/>
        <w:bidi w:val="0"/>
        <w:adjustRightInd/>
        <w:snapToGrid/>
        <w:spacing w:line="288" w:lineRule="auto"/>
        <w:ind w:firstLine="413" w:firstLineChars="196"/>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第一条</w:t>
      </w:r>
      <w:r>
        <w:rPr>
          <w:rFonts w:hint="eastAsia" w:ascii="宋体" w:hAnsi="宋体" w:eastAsia="宋体" w:cs="宋体"/>
          <w:b/>
          <w:bCs/>
          <w:color w:val="auto"/>
          <w:sz w:val="21"/>
          <w:szCs w:val="21"/>
          <w:highlight w:val="none"/>
        </w:rPr>
        <w:t xml:space="preserve"> </w:t>
      </w:r>
      <w:r>
        <w:rPr>
          <w:rFonts w:hint="eastAsia" w:ascii="宋体" w:hAnsi="宋体" w:eastAsia="宋体" w:cs="宋体"/>
          <w:color w:val="auto"/>
          <w:sz w:val="21"/>
          <w:szCs w:val="21"/>
          <w:highlight w:val="none"/>
        </w:rPr>
        <w:t>为进一步规范工程建设管理约谈行为，加强</w:t>
      </w:r>
      <w:r>
        <w:rPr>
          <w:rFonts w:hint="eastAsia" w:ascii="宋体" w:hAnsi="宋体" w:eastAsia="宋体" w:cs="宋体"/>
          <w:color w:val="auto"/>
          <w:sz w:val="21"/>
          <w:szCs w:val="21"/>
          <w:highlight w:val="none"/>
          <w:lang w:eastAsia="zh-CN"/>
        </w:rPr>
        <w:t>各参建</w:t>
      </w:r>
      <w:r>
        <w:rPr>
          <w:rFonts w:hint="eastAsia" w:ascii="宋体" w:hAnsi="宋体" w:eastAsia="宋体" w:cs="宋体"/>
          <w:color w:val="auto"/>
          <w:sz w:val="21"/>
          <w:szCs w:val="21"/>
          <w:highlight w:val="none"/>
        </w:rPr>
        <w:t>单位履约意识，保障项目建设，制定本规定。</w:t>
      </w:r>
    </w:p>
    <w:p w14:paraId="11BA04A7">
      <w:pPr>
        <w:keepNext w:val="0"/>
        <w:keepLines w:val="0"/>
        <w:pageBreakBefore w:val="0"/>
        <w:kinsoku/>
        <w:wordWrap/>
        <w:overflowPunct/>
        <w:topLinePunct w:val="0"/>
        <w:autoSpaceDE/>
        <w:autoSpaceDN/>
        <w:bidi w:val="0"/>
        <w:adjustRightInd/>
        <w:snapToGrid/>
        <w:spacing w:line="288" w:lineRule="auto"/>
        <w:ind w:firstLine="413" w:firstLineChars="196"/>
        <w:textAlignment w:val="auto"/>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第二条</w:t>
      </w:r>
      <w:r>
        <w:rPr>
          <w:rFonts w:hint="eastAsia" w:ascii="宋体" w:hAnsi="宋体" w:eastAsia="宋体" w:cs="宋体"/>
          <w:b/>
          <w:bCs/>
          <w:color w:val="auto"/>
          <w:sz w:val="21"/>
          <w:szCs w:val="21"/>
          <w:highlight w:val="none"/>
        </w:rPr>
        <w:t xml:space="preserve"> </w:t>
      </w:r>
      <w:r>
        <w:rPr>
          <w:rFonts w:hint="eastAsia" w:ascii="宋体" w:hAnsi="宋体" w:eastAsia="宋体" w:cs="宋体"/>
          <w:color w:val="auto"/>
          <w:sz w:val="21"/>
          <w:szCs w:val="21"/>
          <w:highlight w:val="none"/>
        </w:rPr>
        <w:t>约谈分为中标人约谈和履约约谈。</w:t>
      </w:r>
    </w:p>
    <w:p w14:paraId="05FB427B">
      <w:pPr>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第三条 </w:t>
      </w:r>
      <w:r>
        <w:rPr>
          <w:rFonts w:hint="eastAsia" w:ascii="宋体" w:hAnsi="宋体" w:eastAsia="宋体" w:cs="宋体"/>
          <w:color w:val="auto"/>
          <w:sz w:val="21"/>
          <w:szCs w:val="21"/>
          <w:highlight w:val="none"/>
        </w:rPr>
        <w:t>中标人约谈是指中标通知书发出后，项目开工前，处相关科室对中标人进行的约谈。履约约谈是指项目管理过程中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处相关科室对中标人进行的约谈。中标人包括勘察、设计、施工、监理</w:t>
      </w:r>
      <w:r>
        <w:rPr>
          <w:rFonts w:hint="eastAsia" w:ascii="宋体" w:hAnsi="宋体" w:eastAsia="宋体" w:cs="宋体"/>
          <w:color w:val="auto"/>
          <w:sz w:val="21"/>
          <w:szCs w:val="21"/>
          <w:highlight w:val="none"/>
          <w:lang w:eastAsia="zh-CN"/>
        </w:rPr>
        <w:t>、跟踪审计</w:t>
      </w:r>
      <w:r>
        <w:rPr>
          <w:rFonts w:hint="eastAsia" w:ascii="宋体" w:hAnsi="宋体" w:eastAsia="宋体" w:cs="宋体"/>
          <w:color w:val="auto"/>
          <w:sz w:val="21"/>
          <w:szCs w:val="21"/>
          <w:highlight w:val="none"/>
        </w:rPr>
        <w:t>及重要设备（材料）供货商等相关单位</w:t>
      </w:r>
      <w:r>
        <w:rPr>
          <w:rFonts w:hint="eastAsia" w:ascii="宋体" w:hAnsi="宋体" w:eastAsia="宋体" w:cs="宋体"/>
          <w:color w:val="auto"/>
          <w:sz w:val="21"/>
          <w:szCs w:val="21"/>
          <w:highlight w:val="none"/>
          <w:lang w:eastAsia="zh-CN"/>
        </w:rPr>
        <w:t>（以下简称“被约谈单位”）</w:t>
      </w:r>
      <w:r>
        <w:rPr>
          <w:rFonts w:hint="eastAsia" w:ascii="宋体" w:hAnsi="宋体" w:eastAsia="宋体" w:cs="宋体"/>
          <w:color w:val="auto"/>
          <w:sz w:val="21"/>
          <w:szCs w:val="21"/>
          <w:highlight w:val="none"/>
        </w:rPr>
        <w:t xml:space="preserve">。 </w:t>
      </w:r>
    </w:p>
    <w:p w14:paraId="5F70878A">
      <w:pPr>
        <w:pStyle w:val="18"/>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第四条</w:t>
      </w:r>
      <w:r>
        <w:rPr>
          <w:rFonts w:hint="eastAsia" w:ascii="宋体" w:hAnsi="宋体" w:eastAsia="宋体" w:cs="宋体"/>
          <w:bCs/>
          <w:color w:val="auto"/>
          <w:sz w:val="21"/>
          <w:szCs w:val="21"/>
          <w:highlight w:val="none"/>
        </w:rPr>
        <w:t xml:space="preserve"> </w:t>
      </w:r>
      <w:r>
        <w:rPr>
          <w:rFonts w:hint="eastAsia" w:ascii="宋体" w:hAnsi="宋体" w:eastAsia="宋体" w:cs="宋体"/>
          <w:color w:val="auto"/>
          <w:sz w:val="21"/>
          <w:szCs w:val="21"/>
          <w:highlight w:val="none"/>
        </w:rPr>
        <w:t>中标人约谈由综合计划科牵头，</w:t>
      </w:r>
      <w:r>
        <w:rPr>
          <w:rFonts w:hint="eastAsia" w:ascii="宋体" w:hAnsi="宋体" w:eastAsia="宋体" w:cs="宋体"/>
          <w:color w:val="auto"/>
          <w:sz w:val="21"/>
          <w:szCs w:val="21"/>
          <w:highlight w:val="none"/>
          <w:lang w:eastAsia="zh-CN"/>
        </w:rPr>
        <w:t>项目</w:t>
      </w:r>
      <w:r>
        <w:rPr>
          <w:rFonts w:hint="eastAsia" w:ascii="宋体" w:hAnsi="宋体" w:eastAsia="宋体" w:cs="宋体"/>
          <w:color w:val="auto"/>
          <w:sz w:val="21"/>
          <w:szCs w:val="21"/>
          <w:highlight w:val="none"/>
        </w:rPr>
        <w:t>分管领导、工程</w:t>
      </w:r>
      <w:r>
        <w:rPr>
          <w:rFonts w:hint="eastAsia" w:ascii="宋体" w:hAnsi="宋体" w:eastAsia="宋体" w:cs="宋体"/>
          <w:color w:val="auto"/>
          <w:sz w:val="21"/>
          <w:szCs w:val="21"/>
          <w:highlight w:val="none"/>
          <w:lang w:eastAsia="zh-CN"/>
        </w:rPr>
        <w:t>建设</w:t>
      </w:r>
      <w:r>
        <w:rPr>
          <w:rFonts w:hint="eastAsia" w:ascii="宋体" w:hAnsi="宋体" w:eastAsia="宋体" w:cs="宋体"/>
          <w:color w:val="auto"/>
          <w:sz w:val="21"/>
          <w:szCs w:val="21"/>
          <w:highlight w:val="none"/>
        </w:rPr>
        <w:t>科、监管科、协调科、财务科、党办等相关科室参加，</w:t>
      </w:r>
      <w:r>
        <w:rPr>
          <w:rFonts w:hint="eastAsia" w:ascii="宋体" w:hAnsi="宋体" w:eastAsia="宋体" w:cs="宋体"/>
          <w:color w:val="auto"/>
          <w:sz w:val="21"/>
          <w:szCs w:val="21"/>
          <w:highlight w:val="none"/>
          <w:lang w:eastAsia="zh-CN"/>
        </w:rPr>
        <w:t>特殊</w:t>
      </w:r>
      <w:r>
        <w:rPr>
          <w:rFonts w:hint="eastAsia" w:ascii="宋体" w:hAnsi="宋体" w:eastAsia="宋体" w:cs="宋体"/>
          <w:color w:val="auto"/>
          <w:sz w:val="21"/>
          <w:szCs w:val="21"/>
          <w:highlight w:val="none"/>
        </w:rPr>
        <w:t>项目邀请纪检组参加</w:t>
      </w:r>
      <w:r>
        <w:rPr>
          <w:rStyle w:val="58"/>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履约约谈由处职能科室牵头，在项目管理过程中</w:t>
      </w:r>
      <w:r>
        <w:rPr>
          <w:rFonts w:hint="eastAsia" w:ascii="宋体" w:hAnsi="宋体" w:eastAsia="宋体" w:cs="宋体"/>
          <w:bCs/>
          <w:color w:val="auto"/>
          <w:sz w:val="21"/>
          <w:szCs w:val="21"/>
          <w:highlight w:val="none"/>
        </w:rPr>
        <w:t>对承包人（</w:t>
      </w:r>
      <w:r>
        <w:rPr>
          <w:rFonts w:hint="eastAsia" w:ascii="宋体" w:hAnsi="宋体" w:eastAsia="宋体" w:cs="宋体"/>
          <w:bCs/>
          <w:color w:val="auto"/>
          <w:sz w:val="21"/>
          <w:szCs w:val="21"/>
          <w:highlight w:val="none"/>
          <w:lang w:eastAsia="zh-CN"/>
        </w:rPr>
        <w:t>受</w:t>
      </w:r>
      <w:r>
        <w:rPr>
          <w:rFonts w:hint="eastAsia" w:ascii="宋体" w:hAnsi="宋体" w:eastAsia="宋体" w:cs="宋体"/>
          <w:bCs/>
          <w:color w:val="auto"/>
          <w:sz w:val="21"/>
          <w:szCs w:val="21"/>
          <w:highlight w:val="none"/>
        </w:rPr>
        <w:t>托人）进行的</w:t>
      </w:r>
      <w:r>
        <w:rPr>
          <w:rFonts w:hint="eastAsia" w:ascii="宋体" w:hAnsi="宋体" w:eastAsia="宋体" w:cs="宋体"/>
          <w:color w:val="auto"/>
          <w:sz w:val="21"/>
          <w:szCs w:val="21"/>
          <w:highlight w:val="none"/>
        </w:rPr>
        <w:t>提醒、警告等形式</w:t>
      </w:r>
      <w:r>
        <w:rPr>
          <w:rFonts w:hint="eastAsia" w:ascii="宋体" w:hAnsi="宋体" w:eastAsia="宋体" w:cs="宋体"/>
          <w:color w:val="auto"/>
          <w:sz w:val="21"/>
          <w:szCs w:val="21"/>
          <w:highlight w:val="none"/>
          <w:lang w:eastAsia="zh-CN"/>
        </w:rPr>
        <w:t>的约谈</w:t>
      </w:r>
      <w:r>
        <w:rPr>
          <w:rFonts w:hint="eastAsia" w:ascii="宋体" w:hAnsi="宋体" w:eastAsia="宋体" w:cs="宋体"/>
          <w:color w:val="auto"/>
          <w:sz w:val="21"/>
          <w:szCs w:val="21"/>
          <w:highlight w:val="none"/>
        </w:rPr>
        <w:t>。</w:t>
      </w:r>
    </w:p>
    <w:p w14:paraId="6FCE4B24">
      <w:pPr>
        <w:pStyle w:val="18"/>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第五条</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eastAsia="zh-CN"/>
        </w:rPr>
        <w:t>被</w:t>
      </w:r>
      <w:r>
        <w:rPr>
          <w:rFonts w:hint="eastAsia" w:ascii="宋体" w:hAnsi="宋体" w:eastAsia="宋体" w:cs="宋体"/>
          <w:color w:val="auto"/>
          <w:sz w:val="21"/>
          <w:szCs w:val="21"/>
          <w:highlight w:val="none"/>
          <w:lang w:eastAsia="zh-CN"/>
        </w:rPr>
        <w:t>约谈单位需</w:t>
      </w:r>
      <w:r>
        <w:rPr>
          <w:rFonts w:hint="eastAsia" w:ascii="宋体" w:hAnsi="宋体" w:eastAsia="宋体" w:cs="宋体"/>
          <w:color w:val="auto"/>
          <w:sz w:val="21"/>
          <w:szCs w:val="21"/>
          <w:highlight w:val="none"/>
        </w:rPr>
        <w:t>法定代表人或</w:t>
      </w:r>
      <w:r>
        <w:rPr>
          <w:rFonts w:hint="eastAsia" w:ascii="宋体" w:hAnsi="宋体" w:eastAsia="宋体" w:cs="宋体"/>
          <w:color w:val="auto"/>
          <w:sz w:val="21"/>
          <w:szCs w:val="21"/>
          <w:highlight w:val="none"/>
          <w:lang w:eastAsia="zh-CN"/>
        </w:rPr>
        <w:t>企业</w:t>
      </w:r>
      <w:r>
        <w:rPr>
          <w:rFonts w:hint="eastAsia" w:ascii="宋体" w:hAnsi="宋体" w:eastAsia="宋体" w:cs="宋体"/>
          <w:color w:val="auto"/>
          <w:sz w:val="21"/>
          <w:szCs w:val="21"/>
          <w:highlight w:val="none"/>
        </w:rPr>
        <w:t>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项目负责人</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项目技术负责人等携带有效</w:t>
      </w:r>
      <w:r>
        <w:rPr>
          <w:rFonts w:hint="eastAsia" w:ascii="宋体" w:hAnsi="宋体" w:eastAsia="宋体" w:cs="宋体"/>
          <w:color w:val="auto"/>
          <w:sz w:val="21"/>
          <w:szCs w:val="21"/>
          <w:highlight w:val="none"/>
          <w:lang w:eastAsia="zh-CN"/>
        </w:rPr>
        <w:t>身份</w:t>
      </w:r>
      <w:r>
        <w:rPr>
          <w:rFonts w:hint="eastAsia" w:ascii="宋体" w:hAnsi="宋体" w:eastAsia="宋体" w:cs="宋体"/>
          <w:color w:val="auto"/>
          <w:sz w:val="21"/>
          <w:szCs w:val="21"/>
          <w:highlight w:val="none"/>
        </w:rPr>
        <w:t>证件参加约谈，</w:t>
      </w:r>
      <w:r>
        <w:rPr>
          <w:rFonts w:hint="eastAsia" w:ascii="宋体" w:hAnsi="宋体" w:eastAsia="宋体" w:cs="宋体"/>
          <w:color w:val="auto"/>
          <w:sz w:val="21"/>
          <w:szCs w:val="21"/>
          <w:highlight w:val="none"/>
          <w:lang w:eastAsia="zh-CN"/>
        </w:rPr>
        <w:t>企业</w:t>
      </w:r>
      <w:r>
        <w:rPr>
          <w:rFonts w:hint="eastAsia" w:ascii="宋体" w:hAnsi="宋体" w:eastAsia="宋体" w:cs="宋体"/>
          <w:color w:val="auto"/>
          <w:sz w:val="21"/>
          <w:szCs w:val="21"/>
          <w:highlight w:val="none"/>
        </w:rPr>
        <w:t>负责人</w:t>
      </w:r>
      <w:r>
        <w:rPr>
          <w:rFonts w:hint="eastAsia" w:ascii="宋体" w:hAnsi="宋体" w:eastAsia="宋体" w:cs="宋体"/>
          <w:color w:val="auto"/>
          <w:sz w:val="21"/>
          <w:szCs w:val="21"/>
          <w:highlight w:val="none"/>
          <w:lang w:eastAsia="zh-CN"/>
        </w:rPr>
        <w:t>还</w:t>
      </w:r>
      <w:r>
        <w:rPr>
          <w:rFonts w:hint="eastAsia" w:ascii="宋体" w:hAnsi="宋体" w:eastAsia="宋体" w:cs="宋体"/>
          <w:color w:val="auto"/>
          <w:sz w:val="21"/>
          <w:szCs w:val="21"/>
          <w:highlight w:val="none"/>
        </w:rPr>
        <w:t>需携带公司授权委托书</w:t>
      </w:r>
      <w:r>
        <w:rPr>
          <w:rFonts w:hint="eastAsia" w:ascii="宋体" w:hAnsi="宋体" w:eastAsia="宋体" w:cs="宋体"/>
          <w:color w:val="auto"/>
          <w:sz w:val="21"/>
          <w:szCs w:val="21"/>
          <w:highlight w:val="none"/>
          <w:lang w:eastAsia="zh-CN"/>
        </w:rPr>
        <w:t>和职务证明</w:t>
      </w:r>
      <w:r>
        <w:rPr>
          <w:rFonts w:hint="eastAsia" w:ascii="宋体" w:hAnsi="宋体" w:eastAsia="宋体" w:cs="宋体"/>
          <w:color w:val="auto"/>
          <w:sz w:val="21"/>
          <w:szCs w:val="21"/>
          <w:highlight w:val="none"/>
        </w:rPr>
        <w:t>文件。</w:t>
      </w:r>
    </w:p>
    <w:p w14:paraId="0F93C434">
      <w:pPr>
        <w:pStyle w:val="18"/>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eastAsia="zh-CN"/>
        </w:rPr>
        <w:t>六</w:t>
      </w:r>
      <w:r>
        <w:rPr>
          <w:rFonts w:hint="eastAsia" w:ascii="宋体" w:hAnsi="宋体" w:eastAsia="宋体" w:cs="宋体"/>
          <w:b/>
          <w:color w:val="auto"/>
          <w:sz w:val="21"/>
          <w:szCs w:val="21"/>
          <w:highlight w:val="none"/>
        </w:rPr>
        <w:t xml:space="preserve">条 </w:t>
      </w:r>
      <w:r>
        <w:rPr>
          <w:rFonts w:hint="eastAsia" w:ascii="宋体" w:hAnsi="宋体" w:eastAsia="宋体" w:cs="宋体"/>
          <w:color w:val="auto"/>
          <w:sz w:val="21"/>
          <w:szCs w:val="21"/>
          <w:highlight w:val="none"/>
        </w:rPr>
        <w:t>履约约谈</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情形</w:t>
      </w:r>
      <w:r>
        <w:rPr>
          <w:rFonts w:hint="eastAsia" w:ascii="宋体" w:hAnsi="宋体" w:eastAsia="宋体" w:cs="宋体"/>
          <w:color w:val="auto"/>
          <w:sz w:val="21"/>
          <w:szCs w:val="21"/>
          <w:highlight w:val="none"/>
          <w:lang w:eastAsia="zh-CN"/>
        </w:rPr>
        <w:t>：</w:t>
      </w:r>
    </w:p>
    <w:p w14:paraId="667E7980">
      <w:pPr>
        <w:pStyle w:val="18"/>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（一）人员</w:t>
      </w:r>
      <w:r>
        <w:rPr>
          <w:rFonts w:hint="eastAsia" w:ascii="宋体" w:hAnsi="宋体" w:eastAsia="宋体" w:cs="宋体"/>
          <w:color w:val="auto"/>
          <w:sz w:val="21"/>
          <w:szCs w:val="21"/>
          <w:highlight w:val="none"/>
        </w:rPr>
        <w:t>到岗、履责</w:t>
      </w:r>
      <w:r>
        <w:rPr>
          <w:rFonts w:hint="eastAsia" w:ascii="宋体" w:hAnsi="宋体" w:eastAsia="宋体" w:cs="宋体"/>
          <w:bCs/>
          <w:color w:val="auto"/>
          <w:sz w:val="21"/>
          <w:szCs w:val="21"/>
          <w:highlight w:val="none"/>
        </w:rPr>
        <w:t>不符合要求的；</w:t>
      </w:r>
    </w:p>
    <w:p w14:paraId="57871364">
      <w:pPr>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（二）不配合办理项目建设手续的；</w:t>
      </w:r>
    </w:p>
    <w:p w14:paraId="095441F5">
      <w:pPr>
        <w:pStyle w:val="18"/>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（三）出现质量安全隐患整改</w:t>
      </w:r>
      <w:r>
        <w:rPr>
          <w:rFonts w:hint="eastAsia" w:ascii="宋体" w:hAnsi="宋体" w:eastAsia="宋体" w:cs="宋体"/>
          <w:color w:val="auto"/>
          <w:sz w:val="21"/>
          <w:szCs w:val="21"/>
          <w:highlight w:val="none"/>
        </w:rPr>
        <w:t>不及时、不到位的</w:t>
      </w:r>
      <w:r>
        <w:rPr>
          <w:rFonts w:hint="eastAsia" w:ascii="宋体" w:hAnsi="宋体" w:eastAsia="宋体" w:cs="宋体"/>
          <w:bCs/>
          <w:color w:val="auto"/>
          <w:sz w:val="21"/>
          <w:szCs w:val="21"/>
          <w:highlight w:val="none"/>
        </w:rPr>
        <w:t>；</w:t>
      </w:r>
    </w:p>
    <w:p w14:paraId="6C8230F7">
      <w:pPr>
        <w:pStyle w:val="18"/>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（四）施工现场不服从调度或工程进度</w:t>
      </w:r>
      <w:r>
        <w:rPr>
          <w:rFonts w:hint="eastAsia" w:ascii="宋体" w:hAnsi="宋体" w:eastAsia="宋体" w:cs="宋体"/>
          <w:color w:val="auto"/>
          <w:sz w:val="21"/>
          <w:szCs w:val="21"/>
          <w:highlight w:val="none"/>
        </w:rPr>
        <w:t>滞后</w:t>
      </w:r>
      <w:r>
        <w:rPr>
          <w:rFonts w:hint="eastAsia" w:ascii="宋体" w:hAnsi="宋体" w:eastAsia="宋体" w:cs="宋体"/>
          <w:bCs/>
          <w:color w:val="auto"/>
          <w:sz w:val="21"/>
          <w:szCs w:val="21"/>
          <w:highlight w:val="none"/>
        </w:rPr>
        <w:t>，严重影响工期的；</w:t>
      </w:r>
    </w:p>
    <w:p w14:paraId="3C76AFD0">
      <w:pPr>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（五）出现质量安全事故的；</w:t>
      </w:r>
    </w:p>
    <w:p w14:paraId="6966865A">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（六）拖欠农民工工资或因工资、材料款</w:t>
      </w:r>
      <w:r>
        <w:rPr>
          <w:rFonts w:hint="eastAsia" w:ascii="宋体" w:hAnsi="宋体" w:eastAsia="宋体" w:cs="宋体"/>
          <w:color w:val="auto"/>
          <w:sz w:val="21"/>
          <w:szCs w:val="21"/>
          <w:highlight w:val="none"/>
        </w:rPr>
        <w:t>原因</w:t>
      </w:r>
      <w:r>
        <w:rPr>
          <w:rFonts w:hint="eastAsia" w:ascii="宋体" w:hAnsi="宋体" w:eastAsia="宋体" w:cs="宋体"/>
          <w:bCs/>
          <w:color w:val="auto"/>
          <w:sz w:val="21"/>
          <w:szCs w:val="21"/>
          <w:highlight w:val="none"/>
        </w:rPr>
        <w:t>等造成一定影响的</w:t>
      </w:r>
      <w:r>
        <w:rPr>
          <w:rFonts w:hint="eastAsia" w:ascii="宋体" w:hAnsi="宋体" w:eastAsia="宋体" w:cs="宋体"/>
          <w:bCs/>
          <w:color w:val="auto"/>
          <w:sz w:val="21"/>
          <w:szCs w:val="21"/>
          <w:highlight w:val="none"/>
          <w:lang w:eastAsia="zh-CN"/>
        </w:rPr>
        <w:t>或</w:t>
      </w:r>
      <w:r>
        <w:rPr>
          <w:rFonts w:hint="eastAsia" w:ascii="宋体" w:hAnsi="宋体" w:eastAsia="宋体" w:cs="宋体"/>
          <w:bCs/>
          <w:color w:val="auto"/>
          <w:sz w:val="21"/>
          <w:szCs w:val="21"/>
          <w:highlight w:val="none"/>
        </w:rPr>
        <w:t>出现群访事件处理不及时的；</w:t>
      </w:r>
    </w:p>
    <w:p w14:paraId="2F1EA6D6">
      <w:pPr>
        <w:pStyle w:val="2"/>
        <w:keepNext w:val="0"/>
        <w:keepLines w:val="0"/>
        <w:pageBreakBefore w:val="0"/>
        <w:kinsoku/>
        <w:wordWrap/>
        <w:overflowPunct/>
        <w:topLinePunct w:val="0"/>
        <w:autoSpaceDE/>
        <w:autoSpaceDN/>
        <w:bidi w:val="0"/>
        <w:adjustRightInd/>
        <w:snapToGrid/>
        <w:spacing w:line="288" w:lineRule="auto"/>
        <w:ind w:left="0" w:leftChars="0" w:firstLine="64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（七）工程竣工半年(含)以上经多次催促未完成竣工结算的；</w:t>
      </w:r>
    </w:p>
    <w:p w14:paraId="7AC50F1D">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（八）未按合同期限按时移交的；</w:t>
      </w:r>
    </w:p>
    <w:p w14:paraId="358521D0">
      <w:pPr>
        <w:pStyle w:val="2"/>
        <w:keepNext w:val="0"/>
        <w:keepLines w:val="0"/>
        <w:pageBreakBefore w:val="0"/>
        <w:kinsoku/>
        <w:wordWrap/>
        <w:overflowPunct/>
        <w:topLinePunct w:val="0"/>
        <w:autoSpaceDE/>
        <w:autoSpaceDN/>
        <w:bidi w:val="0"/>
        <w:adjustRightInd/>
        <w:snapToGrid/>
        <w:spacing w:line="288" w:lineRule="auto"/>
        <w:ind w:left="0" w:leftChars="0" w:firstLine="64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（九）不按规定提供工程资料造成不能归档的或归档不及时的；</w:t>
      </w:r>
    </w:p>
    <w:p w14:paraId="7B75D8F3">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（十）其他情形。</w:t>
      </w:r>
    </w:p>
    <w:p w14:paraId="679463FE">
      <w:pPr>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eastAsia="zh-CN"/>
        </w:rPr>
        <w:t>七</w:t>
      </w:r>
      <w:r>
        <w:rPr>
          <w:rFonts w:hint="eastAsia" w:ascii="宋体" w:hAnsi="宋体" w:eastAsia="宋体" w:cs="宋体"/>
          <w:b/>
          <w:color w:val="auto"/>
          <w:sz w:val="21"/>
          <w:szCs w:val="21"/>
          <w:highlight w:val="none"/>
        </w:rPr>
        <w:t xml:space="preserve">条 </w:t>
      </w:r>
      <w:r>
        <w:rPr>
          <w:rFonts w:hint="eastAsia" w:ascii="宋体" w:hAnsi="宋体" w:eastAsia="宋体" w:cs="宋体"/>
          <w:bCs/>
          <w:color w:val="auto"/>
          <w:sz w:val="21"/>
          <w:szCs w:val="21"/>
          <w:highlight w:val="none"/>
        </w:rPr>
        <w:t>罚则</w:t>
      </w:r>
    </w:p>
    <w:p w14:paraId="540206E2">
      <w:pPr>
        <w:pStyle w:val="18"/>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bCs/>
          <w:color w:val="auto"/>
          <w:sz w:val="21"/>
          <w:szCs w:val="21"/>
          <w:highlight w:val="none"/>
        </w:rPr>
        <w:t>未经批准</w:t>
      </w:r>
      <w:r>
        <w:rPr>
          <w:rFonts w:hint="eastAsia" w:ascii="宋体" w:hAnsi="宋体" w:eastAsia="宋体" w:cs="宋体"/>
          <w:bCs/>
          <w:color w:val="auto"/>
          <w:sz w:val="21"/>
          <w:szCs w:val="21"/>
          <w:highlight w:val="none"/>
          <w:lang w:eastAsia="zh-CN"/>
        </w:rPr>
        <w:t>不</w:t>
      </w:r>
      <w:r>
        <w:rPr>
          <w:rFonts w:hint="eastAsia" w:ascii="宋体" w:hAnsi="宋体" w:eastAsia="宋体" w:cs="宋体"/>
          <w:bCs/>
          <w:color w:val="auto"/>
          <w:sz w:val="21"/>
          <w:szCs w:val="21"/>
          <w:highlight w:val="none"/>
        </w:rPr>
        <w:t>按规定参加中标约谈的，取消中标资格，</w:t>
      </w:r>
      <w:r>
        <w:rPr>
          <w:rFonts w:hint="eastAsia" w:ascii="宋体" w:hAnsi="宋体" w:eastAsia="宋体" w:cs="宋体"/>
          <w:color w:val="auto"/>
          <w:sz w:val="21"/>
          <w:szCs w:val="21"/>
          <w:highlight w:val="none"/>
        </w:rPr>
        <w:t>投标保证金</w:t>
      </w:r>
      <w:r>
        <w:rPr>
          <w:rFonts w:hint="eastAsia" w:ascii="宋体" w:hAnsi="宋体" w:eastAsia="宋体" w:cs="宋体"/>
          <w:color w:val="auto"/>
          <w:sz w:val="21"/>
          <w:szCs w:val="21"/>
          <w:highlight w:val="none"/>
          <w:lang w:eastAsia="zh-CN"/>
        </w:rPr>
        <w:t>不予退还</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情节严重的，提请建设、招标等行政主管部门依法查处。</w:t>
      </w:r>
    </w:p>
    <w:p w14:paraId="048619D5">
      <w:pPr>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（二）未经批准</w:t>
      </w:r>
      <w:r>
        <w:rPr>
          <w:rFonts w:hint="eastAsia" w:ascii="宋体" w:hAnsi="宋体" w:eastAsia="宋体" w:cs="宋体"/>
          <w:color w:val="auto"/>
          <w:sz w:val="21"/>
          <w:szCs w:val="21"/>
          <w:highlight w:val="none"/>
          <w:lang w:eastAsia="zh-CN"/>
        </w:rPr>
        <w:t>不</w:t>
      </w:r>
      <w:r>
        <w:rPr>
          <w:rFonts w:hint="eastAsia" w:ascii="宋体" w:hAnsi="宋体" w:eastAsia="宋体" w:cs="宋体"/>
          <w:color w:val="auto"/>
          <w:sz w:val="21"/>
          <w:szCs w:val="21"/>
          <w:highlight w:val="none"/>
        </w:rPr>
        <w:t>按规定参加履约约谈</w:t>
      </w:r>
      <w:r>
        <w:rPr>
          <w:rFonts w:hint="eastAsia" w:ascii="宋体" w:hAnsi="宋体" w:eastAsia="宋体" w:cs="宋体"/>
          <w:bCs/>
          <w:color w:val="auto"/>
          <w:sz w:val="21"/>
          <w:szCs w:val="21"/>
          <w:highlight w:val="none"/>
        </w:rPr>
        <w:t>的或</w:t>
      </w:r>
      <w:r>
        <w:rPr>
          <w:rFonts w:hint="eastAsia" w:ascii="宋体" w:hAnsi="宋体" w:eastAsia="宋体" w:cs="宋体"/>
          <w:color w:val="auto"/>
          <w:sz w:val="21"/>
          <w:szCs w:val="21"/>
          <w:highlight w:val="none"/>
        </w:rPr>
        <w:t>约谈后未按要求整改的</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限期内整改</w:t>
      </w:r>
      <w:r>
        <w:rPr>
          <w:rFonts w:hint="eastAsia" w:ascii="宋体" w:hAnsi="宋体" w:eastAsia="宋体" w:cs="宋体"/>
          <w:color w:val="auto"/>
          <w:sz w:val="21"/>
          <w:szCs w:val="21"/>
          <w:highlight w:val="none"/>
          <w:lang w:eastAsia="zh-CN"/>
        </w:rPr>
        <w:t>不到位</w:t>
      </w:r>
      <w:r>
        <w:rPr>
          <w:rFonts w:hint="eastAsia" w:ascii="宋体" w:hAnsi="宋体" w:eastAsia="宋体" w:cs="宋体"/>
          <w:color w:val="auto"/>
          <w:sz w:val="21"/>
          <w:szCs w:val="21"/>
          <w:highlight w:val="none"/>
        </w:rPr>
        <w:t>的，情节严重的，提请建设、招标等行政主管部门依法查处。</w:t>
      </w:r>
    </w:p>
    <w:p w14:paraId="622EA70E">
      <w:pPr>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rPr>
        <w:t>第</w:t>
      </w:r>
      <w:r>
        <w:rPr>
          <w:rFonts w:hint="eastAsia" w:ascii="宋体" w:hAnsi="宋体" w:eastAsia="宋体" w:cs="宋体"/>
          <w:b/>
          <w:bCs w:val="0"/>
          <w:color w:val="auto"/>
          <w:sz w:val="21"/>
          <w:szCs w:val="21"/>
          <w:highlight w:val="none"/>
          <w:lang w:eastAsia="zh-CN"/>
        </w:rPr>
        <w:t>八</w:t>
      </w:r>
      <w:r>
        <w:rPr>
          <w:rFonts w:hint="eastAsia" w:ascii="宋体" w:hAnsi="宋体" w:eastAsia="宋体" w:cs="宋体"/>
          <w:b/>
          <w:bCs w:val="0"/>
          <w:color w:val="auto"/>
          <w:sz w:val="21"/>
          <w:szCs w:val="21"/>
          <w:highlight w:val="none"/>
        </w:rPr>
        <w:t>条</w:t>
      </w:r>
      <w:r>
        <w:rPr>
          <w:rFonts w:hint="eastAsia" w:ascii="宋体" w:hAnsi="宋体" w:eastAsia="宋体" w:cs="宋体"/>
          <w:b/>
          <w:bCs/>
          <w:color w:val="auto"/>
          <w:sz w:val="21"/>
          <w:szCs w:val="21"/>
          <w:highlight w:val="none"/>
        </w:rPr>
        <w:t xml:space="preserve"> </w:t>
      </w:r>
      <w:r>
        <w:rPr>
          <w:rFonts w:hint="eastAsia" w:ascii="宋体" w:hAnsi="宋体" w:eastAsia="宋体" w:cs="宋体"/>
          <w:color w:val="auto"/>
          <w:sz w:val="21"/>
          <w:szCs w:val="21"/>
          <w:highlight w:val="none"/>
        </w:rPr>
        <w:t>本规定自发布之日起施行</w:t>
      </w:r>
      <w:r>
        <w:rPr>
          <w:rFonts w:hint="eastAsia" w:ascii="宋体" w:hAnsi="宋体" w:eastAsia="宋体" w:cs="宋体"/>
          <w:color w:val="auto"/>
          <w:sz w:val="21"/>
          <w:szCs w:val="21"/>
          <w:highlight w:val="none"/>
          <w:lang w:eastAsia="zh-CN"/>
        </w:rPr>
        <w:t>，处属各中心参照执行</w:t>
      </w:r>
      <w:r>
        <w:rPr>
          <w:rFonts w:hint="eastAsia" w:ascii="宋体" w:hAnsi="宋体" w:eastAsia="宋体" w:cs="宋体"/>
          <w:color w:val="auto"/>
          <w:sz w:val="21"/>
          <w:szCs w:val="21"/>
          <w:highlight w:val="none"/>
        </w:rPr>
        <w:t>。</w:t>
      </w:r>
    </w:p>
    <w:p w14:paraId="2A5D12A8">
      <w:pPr>
        <w:pStyle w:val="28"/>
        <w:keepNext w:val="0"/>
        <w:keepLines w:val="0"/>
        <w:pageBreakBefore w:val="0"/>
        <w:kinsoku/>
        <w:wordWrap/>
        <w:overflowPunct/>
        <w:topLinePunct w:val="0"/>
        <w:autoSpaceDE/>
        <w:autoSpaceDN/>
        <w:bidi w:val="0"/>
        <w:adjustRightInd/>
        <w:snapToGrid/>
        <w:spacing w:line="288"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附件：到岗履责承诺书</w:t>
      </w:r>
    </w:p>
    <w:p w14:paraId="2114E40B">
      <w:pPr>
        <w:keepNext w:val="0"/>
        <w:keepLines w:val="0"/>
        <w:pageBreakBefore/>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highlight w:val="none"/>
        </w:rPr>
      </w:pPr>
      <w:r>
        <w:rPr>
          <w:rFonts w:hint="eastAsia" w:ascii="宋体" w:hAnsi="宋体" w:eastAsia="宋体" w:cs="宋体"/>
          <w:b/>
          <w:bCs w:val="0"/>
          <w:color w:val="auto"/>
          <w:sz w:val="24"/>
          <w:szCs w:val="24"/>
          <w:highlight w:val="none"/>
        </w:rPr>
        <w:t>到岗履责承诺书</w:t>
      </w:r>
    </w:p>
    <w:p w14:paraId="4B3B6941">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p>
    <w:p w14:paraId="465A1363">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本人被任命为</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工程</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岗位职务，本人保证能到岗到位，履行岗位管理职责，并做如下郑重承诺：</w:t>
      </w:r>
    </w:p>
    <w:p w14:paraId="2C492056">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一、按本项目招标文件及滁州市相关文件等要求，若不能按要求到岗，同意接受处罚；</w:t>
      </w:r>
    </w:p>
    <w:p w14:paraId="7D49E88B">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二、本人按招、投标文件的承诺等，履行相关法律、法规、规范和合同约定的义务；否则，按有关法律、法规和重点</w:t>
      </w:r>
      <w:r>
        <w:rPr>
          <w:rFonts w:hint="eastAsia" w:ascii="宋体" w:hAnsi="宋体" w:eastAsia="宋体" w:cs="宋体"/>
          <w:color w:val="auto"/>
          <w:sz w:val="24"/>
          <w:szCs w:val="24"/>
          <w:highlight w:val="none"/>
          <w:lang w:eastAsia="zh-CN"/>
        </w:rPr>
        <w:t>处</w:t>
      </w:r>
      <w:r>
        <w:rPr>
          <w:rFonts w:hint="eastAsia" w:ascii="宋体" w:hAnsi="宋体" w:eastAsia="宋体" w:cs="宋体"/>
          <w:color w:val="auto"/>
          <w:sz w:val="24"/>
          <w:szCs w:val="24"/>
          <w:highlight w:val="none"/>
        </w:rPr>
        <w:t>有关文件进行处罚。</w:t>
      </w:r>
    </w:p>
    <w:p w14:paraId="53510BF2">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三、本人同意把岗位证书交重点</w:t>
      </w:r>
      <w:r>
        <w:rPr>
          <w:rFonts w:hint="eastAsia" w:ascii="宋体" w:hAnsi="宋体" w:eastAsia="宋体" w:cs="宋体"/>
          <w:color w:val="auto"/>
          <w:sz w:val="24"/>
          <w:szCs w:val="24"/>
          <w:highlight w:val="none"/>
          <w:lang w:eastAsia="zh-CN"/>
        </w:rPr>
        <w:t>处</w:t>
      </w:r>
      <w:r>
        <w:rPr>
          <w:rFonts w:hint="eastAsia" w:ascii="宋体" w:hAnsi="宋体" w:eastAsia="宋体" w:cs="宋体"/>
          <w:color w:val="auto"/>
          <w:sz w:val="24"/>
          <w:szCs w:val="24"/>
          <w:highlight w:val="none"/>
        </w:rPr>
        <w:t>保管，直至工程竣工验收。若在工程施工管理过程中存在违法违规行为，愿意把自己岗位证书交相关管理部门注销。</w:t>
      </w:r>
    </w:p>
    <w:p w14:paraId="648E7599">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四、施工单位建造师、项目技术负责人、“五大员”等承诺常驻现场；监理单位总监、总监代表、专业监理、监理员、见证取样员等承诺常驻现场。</w:t>
      </w:r>
    </w:p>
    <w:p w14:paraId="6D054340">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五、项目部、监理部组成人员承诺一周内到岗，否则同意取消中标资格。</w:t>
      </w:r>
    </w:p>
    <w:p w14:paraId="30AE09E3">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六、项目部人员考勤由总监理工程师负责，业主代表每周进行随机考勤抽查，如考勤抽查记录与监理考勤记录不符，情况核实后，将对监理单位进行严厉处罚。</w:t>
      </w:r>
    </w:p>
    <w:p w14:paraId="0598EA3E">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p>
    <w:p w14:paraId="3B6F561C">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承诺人：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承诺人所在单位：</w:t>
      </w:r>
    </w:p>
    <w:p w14:paraId="04E65246">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年   月   日</w:t>
      </w:r>
    </w:p>
    <w:p w14:paraId="1BBA673D">
      <w:pPr>
        <w:pStyle w:val="42"/>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80" w:firstLineChars="200"/>
        <w:textAlignment w:val="auto"/>
        <w:rPr>
          <w:rFonts w:hint="eastAsia" w:ascii="宋体" w:hAnsi="宋体" w:eastAsia="宋体" w:cs="宋体"/>
          <w:color w:val="auto"/>
          <w:kern w:val="2"/>
          <w:sz w:val="24"/>
          <w:szCs w:val="24"/>
          <w:highlight w:val="none"/>
        </w:rPr>
      </w:pPr>
    </w:p>
    <w:p w14:paraId="5E067DDB">
      <w:pPr>
        <w:spacing w:line="480" w:lineRule="exact"/>
        <w:rPr>
          <w:rFonts w:hint="eastAsia" w:ascii="宋体" w:hAnsi="宋体" w:cs="宋体"/>
          <w:color w:val="auto"/>
          <w:sz w:val="21"/>
          <w:szCs w:val="21"/>
          <w:highlight w:val="none"/>
        </w:rPr>
      </w:pPr>
    </w:p>
    <w:p w14:paraId="54711E38">
      <w:pPr>
        <w:rPr>
          <w:color w:val="auto"/>
          <w:sz w:val="21"/>
          <w:szCs w:val="21"/>
          <w:highlight w:val="none"/>
        </w:rPr>
      </w:pPr>
    </w:p>
    <w:p w14:paraId="4610A6B8">
      <w:pPr>
        <w:pStyle w:val="2"/>
        <w:rPr>
          <w:rFonts w:hint="eastAsia"/>
          <w:color w:val="auto"/>
          <w:highlight w:val="none"/>
        </w:rPr>
      </w:pPr>
    </w:p>
    <w:p w14:paraId="5DB86DD5">
      <w:pPr>
        <w:pStyle w:val="2"/>
        <w:ind w:left="420" w:firstLine="420"/>
        <w:rPr>
          <w:rFonts w:hint="eastAsia"/>
          <w:color w:val="auto"/>
          <w:highlight w:val="none"/>
        </w:rPr>
      </w:pPr>
    </w:p>
    <w:p w14:paraId="53AB3B76">
      <w:pPr>
        <w:pStyle w:val="20"/>
        <w:jc w:val="left"/>
        <w:rPr>
          <w:rFonts w:hint="eastAsia" w:ascii="宋体" w:hAnsi="宋体" w:eastAsia="宋体" w:cs="宋体"/>
          <w:color w:val="auto"/>
          <w:kern w:val="0"/>
          <w:sz w:val="24"/>
          <w:szCs w:val="24"/>
          <w:highlight w:val="none"/>
        </w:rPr>
      </w:pPr>
    </w:p>
    <w:p w14:paraId="32517B5B">
      <w:pPr>
        <w:pStyle w:val="20"/>
        <w:jc w:val="left"/>
        <w:rPr>
          <w:rFonts w:hint="eastAsia" w:ascii="宋体" w:hAnsi="宋体" w:eastAsia="宋体" w:cs="宋体"/>
          <w:color w:val="auto"/>
          <w:kern w:val="0"/>
          <w:sz w:val="24"/>
          <w:szCs w:val="24"/>
          <w:highlight w:val="none"/>
        </w:rPr>
      </w:pPr>
    </w:p>
    <w:sectPr>
      <w:footerReference r:id="rId9" w:type="default"/>
      <w:pgSz w:w="11906" w:h="16838"/>
      <w:pgMar w:top="935" w:right="1106" w:bottom="936" w:left="1259" w:header="680" w:footer="680" w:gutter="0"/>
      <w:pgNumType w:fmt="decimal"/>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1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60405020304"/>
    <w:charset w:val="00"/>
    <w:family w:val="roman"/>
    <w:pitch w:val="default"/>
    <w:sig w:usb0="00000000" w:usb1="00000000" w:usb2="00000000" w:usb3="00000000" w:csb0="00000093"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auto"/>
    <w:pitch w:val="default"/>
    <w:sig w:usb0="00000000" w:usb1="00000000" w:usb2="00000000" w:usb3="00000000" w:csb0="80000000" w:csb1="00000000"/>
  </w:font>
  <w:font w:name="汉仪大黑简">
    <w:altName w:val="黑体"/>
    <w:panose1 w:val="00000000000000000000"/>
    <w:charset w:val="00"/>
    <w:family w:val="auto"/>
    <w:pitch w:val="default"/>
    <w:sig w:usb0="00000000" w:usb1="00000000" w:usb2="00000000" w:usb3="00000000" w:csb0="00000000" w:csb1="00000000"/>
  </w:font>
  <w:font w:name="方正小标宋简体">
    <w:altName w:val="黑体"/>
    <w:panose1 w:val="03000509000000000000"/>
    <w:charset w:val="86"/>
    <w:family w:val="auto"/>
    <w:pitch w:val="default"/>
    <w:sig w:usb0="00000000" w:usb1="00000000" w:usb2="00000000" w:usb3="00000000" w:csb0="00040000" w:csb1="00000000"/>
  </w:font>
  <w:font w:name="KSOF2A9ED157">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ActionIcon">
    <w:altName w:val="ksdb"/>
    <w:panose1 w:val="00000000000000000000"/>
    <w:charset w:val="00"/>
    <w:family w:val="auto"/>
    <w:pitch w:val="default"/>
    <w:sig w:usb0="00000000" w:usb1="00000000" w:usb2="00000000" w:usb3="00000000" w:csb0="00000000" w:csb1="00000000"/>
  </w:font>
  <w:font w:name="ModIcon">
    <w:altName w:val="ksdb"/>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EE9D1">
    <w:pPr>
      <w:pStyle w:val="30"/>
      <w:rPr>
        <w:rStyle w:val="49"/>
      </w:rPr>
    </w:pPr>
  </w:p>
  <w:p w14:paraId="24D89652">
    <w:pPr>
      <w:pStyle w:val="30"/>
      <w:ind w:right="360"/>
      <w:rPr>
        <w:kern w:val="0"/>
      </w:rPr>
    </w:pPr>
    <w:r>
      <mc:AlternateContent>
        <mc:Choice Requires="wps">
          <w:drawing>
            <wp:anchor distT="0" distB="0" distL="114300" distR="114300" simplePos="0" relativeHeight="251659264"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5"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113FE5FF"/>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59264;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QQliK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eUOK4xYGf&#10;v387//h1/vm1zu4MITaY9BDuYd5FhFnqqMDmL4ogY3H0dHVUjokIDFb16mb1BqkFnlVvV1VdLGeP&#10;twPE9E56SzJoKeDEipH8+CEmrIipl5RczPk7bUyZmnF/BTBxisgy9vl2bn9qOKM07sZZxc53J1Ru&#10;3jt0M7+MC4AL2F3AIYDe99hclQ1hmQinUVqbX04e95/7kvX4t2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QQliKuAEAAHUDAAAOAAAAAAAAAAEAIAAAACkBAABkcnMvZTJvRG9jLnhtbFBL&#10;BQYAAAAABgAGAFkBAABTBQAAAAA=&#10;">
              <v:fill on="f" focussize="0,0"/>
              <v:stroke on="f"/>
              <v:imagedata o:title=""/>
              <o:lock v:ext="edit" aspectratio="f"/>
              <v:textbox inset="0mm,0mm,0mm,0mm">
                <w:txbxContent>
                  <w:p w14:paraId="113FE5FF"/>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F5F65">
    <w:pPr>
      <w:pStyle w:val="30"/>
      <w:tabs>
        <w:tab w:val="center" w:pos="7483"/>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12467DE">
                          <w:pPr>
                            <w:pStyle w:val="30"/>
                          </w:pPr>
                          <w:r>
                            <w:fldChar w:fldCharType="begin"/>
                          </w:r>
                          <w:r>
                            <w:instrText xml:space="preserve"> PAGE  \* MERGEFORMAT </w:instrText>
                          </w:r>
                          <w:r>
                            <w:fldChar w:fldCharType="separate"/>
                          </w:r>
                          <w:r>
                            <w:t></w:t>
                          </w:r>
                          <w: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mK+1NABAACqAwAADgAAAGRycy9lMm9Eb2MueG1srVPNjtMwEL4j8Q6W&#10;7zRpV1pVUdMVqFqEhABp4QFcZ9JY8p88bpO+ALwBJy7cea4+B2Mn6cJy2QMXZ/78zXyfJ5u7wWh2&#10;goDK2ZovFyVnYKVrlD3U/Mvn+1drzjAK2wjtLNT8DMjvti9fbHpfwcp1TjcQGIFYrHpf8y5GXxUF&#10;yg6MwIXzYCnZumBEJDcciiaIntCNLlZleVv0LjQ+OAmIFN2NST4hhucAurZVEnZOHg3YOKIG0CIS&#10;JeyUR77N07YtyPixbREi0zUnpjGf1ITsfTqL7UZUhyB8p+Q0gnjOCE84GaEsNb1C7UQU7BjUP1BG&#10;yeDQtXEhnSlGIlkRYrEsn2jz0AkPmQtJjf4qOv4/WPnh9Ckw1dT8ljMrDD345fu3y49fl59f2bK8&#10;uUkK9R4rKnzwVBqHN26gvZnjSMFEfGiDSV+ixChP+p6v+sIQmUyX1qv1uqSUpNzsEH7xeN0HjG/B&#10;GZaMmgd6wKyrOL3HOJbOJambdfdK6/yI2v4VIMwxAnkLptuJyThxsuKwHyZ6e9eciV1Pm1BzS4vP&#10;mX5nSei0NLMRZmM/G0cf1KGjQZd5SvSvj5FGypOmDiMsMUwOPWHmOq1b2pE//Vz1+Itt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mK+1NABAACqAwAADgAAAAAAAAABACAAAAAeAQAAZHJz&#10;L2Uyb0RvYy54bWxQSwUGAAAAAAYABgBZAQAAYAUAAAAA&#10;">
              <v:fill on="f" focussize="0,0"/>
              <v:stroke on="f"/>
              <v:imagedata o:title=""/>
              <o:lock v:ext="edit" aspectratio="f"/>
              <v:textbox inset="0mm,0mm,0mm,0mm" style="mso-fit-shape-to-text:t;">
                <w:txbxContent>
                  <w:p w14:paraId="612467DE">
                    <w:pPr>
                      <w:pStyle w:val="30"/>
                    </w:pPr>
                    <w:r>
                      <w:fldChar w:fldCharType="begin"/>
                    </w:r>
                    <w:r>
                      <w:instrText xml:space="preserve"> PAGE  \* MERGEFORMAT </w:instrText>
                    </w:r>
                    <w:r>
                      <w:fldChar w:fldCharType="separate"/>
                    </w:r>
                    <w:r>
                      <w:t></w:t>
                    </w:r>
                    <w:r>
                      <w:fldChar w:fldCharType="end"/>
                    </w:r>
                  </w:p>
                </w:txbxContent>
              </v:textbox>
            </v:shape>
          </w:pict>
        </mc:Fallback>
      </mc:AlternateConten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2C0A7">
    <w:pPr>
      <w:pStyle w:val="30"/>
      <w:rPr>
        <w:rStyle w:val="49"/>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AA1F24">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AA1F24">
                    <w:pPr>
                      <w:pStyle w:val="30"/>
                    </w:pPr>
                    <w:r>
                      <w:fldChar w:fldCharType="begin"/>
                    </w:r>
                    <w:r>
                      <w:instrText xml:space="preserve"> PAGE  \* MERGEFORMAT </w:instrText>
                    </w:r>
                    <w:r>
                      <w:fldChar w:fldCharType="separate"/>
                    </w:r>
                    <w:r>
                      <w:t>1</w:t>
                    </w:r>
                    <w:r>
                      <w:fldChar w:fldCharType="end"/>
                    </w:r>
                  </w:p>
                </w:txbxContent>
              </v:textbox>
            </v:shape>
          </w:pict>
        </mc:Fallback>
      </mc:AlternateContent>
    </w:r>
  </w:p>
  <w:p w14:paraId="59DC18A4">
    <w:pPr>
      <w:pStyle w:val="30"/>
      <w:ind w:right="360"/>
      <w:rPr>
        <w:kern w:val="0"/>
      </w:rPr>
    </w:pPr>
    <w:r>
      <mc:AlternateContent>
        <mc:Choice Requires="wps">
          <w:drawing>
            <wp:anchor distT="0" distB="0" distL="114300" distR="114300" simplePos="0" relativeHeight="251661312"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2"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5D5C6234"/>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61312;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Bcxk6a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WlDhuceDn&#10;79/OP36df36tsztDiA0mPYR7mHcRYZY6KrD5iyLIWBw9XR2VYyICg1W9ulm9uaFE4Fn1dlXVxXL2&#10;eDtATO+ktySDlgJOrBjJjx9iwoqYeknJxZy/08aUqRn3VwATp4gsY59v5/anhjNK426cVex8d0Ll&#10;5r1DN/PLuAC4gN0FHALofY/NVdkQlolwGqW1+eXkcf+5L1mPf8vm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Bcxk6auAEAAHUDAAAOAAAAAAAAAAEAIAAAACkBAABkcnMvZTJvRG9jLnhtbFBL&#10;BQYAAAAABgAGAFkBAABTBQAAAAA=&#10;">
              <v:fill on="f" focussize="0,0"/>
              <v:stroke on="f"/>
              <v:imagedata o:title=""/>
              <o:lock v:ext="edit" aspectratio="f"/>
              <v:textbox inset="0mm,0mm,0mm,0mm">
                <w:txbxContent>
                  <w:p w14:paraId="5D5C6234"/>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34885">
    <w:pPr>
      <w:pStyle w:val="30"/>
      <w:rPr>
        <w:rStyle w:val="49"/>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24959D">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A24959D">
                    <w:pPr>
                      <w:pStyle w:val="30"/>
                    </w:pPr>
                    <w:r>
                      <w:fldChar w:fldCharType="begin"/>
                    </w:r>
                    <w:r>
                      <w:instrText xml:space="preserve"> PAGE  \* MERGEFORMAT </w:instrText>
                    </w:r>
                    <w:r>
                      <w:fldChar w:fldCharType="separate"/>
                    </w:r>
                    <w:r>
                      <w:t>1</w:t>
                    </w:r>
                    <w:r>
                      <w:fldChar w:fldCharType="end"/>
                    </w:r>
                  </w:p>
                </w:txbxContent>
              </v:textbox>
            </v:shape>
          </w:pict>
        </mc:Fallback>
      </mc:AlternateContent>
    </w:r>
  </w:p>
  <w:p w14:paraId="77C6AFA8">
    <w:pPr>
      <w:pStyle w:val="30"/>
      <w:ind w:right="360"/>
      <w:rPr>
        <w:kern w:val="0"/>
      </w:rPr>
    </w:pPr>
    <w:r>
      <mc:AlternateContent>
        <mc:Choice Requires="wps">
          <w:drawing>
            <wp:anchor distT="0" distB="0" distL="114300" distR="114300" simplePos="0" relativeHeight="251661312"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3"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42B2323A"/>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61312;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Fn6JTuQEAAHUDAAAOAAAAZHJzL2Uyb0RvYy54bWyt&#10;U0tu2zAQ3RfoHQjua1oK0jqC5WyMBAGKNkCaA9AUZRHgD0Paki/Q3qCrbrrvuXyODinZSdNNFtlQ&#10;j8Phm3lvqOX1YDTZSwjK2ZoWszkl0grXKLut6eO3mw8LSkLktuHaWVnTgwz0evX+3bL3lSxd53Qj&#10;gSCJDVXva9rF6CvGguik4WHmvLR42DowPOIWtqwB3iO70ayczz+y3kHjwQkZAkbX4yGdGOE1hK5t&#10;lZBrJ3ZG2jiygtQ8oqTQKR/oKnfbtlLEr20bZCS6pqg05hWLIN6kla2WvNoC950SUwv8NS280GS4&#10;slj0TLXmkZMdqP+ojBLggmvjTDjDRiHZEVRRzF9489BxL7MWtDr4s+nh7WjFl/09ENXU9IISyw0O&#10;/Pjzx/HXn+Pv72Vyp/ehwqQHfw/TLiBMUocWTPqiCDJkRw9nR+UQicBgUS4uF58uKRF4VlwtijJb&#10;zp5uewjxVjpDEqgp4MSykXz/OUSsiKmnlFTMuhuldZ6atv8EMHGMyDz26XZqf2w4oThshknFxjUH&#10;VK7vLLqZXsYJwAlsTmDnQW07bK5IhrBEhNPIrU0vJ437+T5nPf0tq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JLHcS2gAAAAkBAAAPAAAAAAAAAAEAIAAAACIAAABkcnMvZG93bnJldi54bWxQSwEC&#10;FAAUAAAACACHTuJABZ+iU7kBAAB1AwAADgAAAAAAAAABACAAAAApAQAAZHJzL2Uyb0RvYy54bWxQ&#10;SwUGAAAAAAYABgBZAQAAVAUAAAAA&#10;">
              <v:fill on="f" focussize="0,0"/>
              <v:stroke on="f"/>
              <v:imagedata o:title=""/>
              <o:lock v:ext="edit" aspectratio="f"/>
              <v:textbox inset="0mm,0mm,0mm,0mm">
                <w:txbxContent>
                  <w:p w14:paraId="42B2323A"/>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D2BC3">
    <w:pPr>
      <w:pStyle w:val="30"/>
      <w:ind w:right="360" w:firstLine="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7ADB62">
                          <w:pPr>
                            <w:pStyle w:val="30"/>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77ADB62">
                    <w:pPr>
                      <w:pStyle w:val="30"/>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62396">
    <w:pPr>
      <w:pStyle w:val="30"/>
      <w:rPr>
        <w:rStyle w:val="49"/>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46BAED">
                          <w:pPr>
                            <w:pStyle w:val="30"/>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B46BAED">
                    <w:pPr>
                      <w:pStyle w:val="30"/>
                    </w:pPr>
                    <w:r>
                      <w:fldChar w:fldCharType="begin"/>
                    </w:r>
                    <w:r>
                      <w:instrText xml:space="preserve"> PAGE  \* MERGEFORMAT </w:instrText>
                    </w:r>
                    <w:r>
                      <w:fldChar w:fldCharType="separate"/>
                    </w:r>
                    <w:r>
                      <w:t>73</w:t>
                    </w:r>
                    <w:r>
                      <w:fldChar w:fldCharType="end"/>
                    </w:r>
                  </w:p>
                </w:txbxContent>
              </v:textbox>
            </v:shape>
          </w:pict>
        </mc:Fallback>
      </mc:AlternateContent>
    </w:r>
  </w:p>
  <w:p w14:paraId="157870D5">
    <w:pPr>
      <w:pStyle w:val="30"/>
      <w:ind w:right="360"/>
      <w:rPr>
        <w:kern w:val="0"/>
      </w:rPr>
    </w:pPr>
    <w:r>
      <mc:AlternateContent>
        <mc:Choice Requires="wps">
          <w:drawing>
            <wp:anchor distT="0" distB="0" distL="114300" distR="114300" simplePos="0" relativeHeight="251660288"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8"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4D5C9321"/>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60288;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ipzAr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i2B23OPDz&#10;92/nH7/OP7/W2Z0hxAaTHsI9zLuIMEsdFdj8RRFkLI6ero7KMRGBwape3aze3FAi8Kx6u6rqYjl7&#10;vB0gpnfSW5JBSwEnVozkxw8xYUVMvaTkYs7faWPK1Iz7K4CJU0SWsc+3c/tTwxmlcTfOKna+O6Fy&#10;896hm/llXABcwO4CDgH0vsfmqmwIy0Q4jdLa/HLyuP/cl6zHv2Xz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ipzAruAEAAHUDAAAOAAAAAAAAAAEAIAAAACkBAABkcnMvZTJvRG9jLnhtbFBL&#10;BQYAAAAABgAGAFkBAABTBQAAAAA=&#10;">
              <v:fill on="f" focussize="0,0"/>
              <v:stroke on="f"/>
              <v:imagedata o:title=""/>
              <o:lock v:ext="edit" aspectratio="f"/>
              <v:textbox inset="0mm,0mm,0mm,0mm">
                <w:txbxContent>
                  <w:p w14:paraId="4D5C9321"/>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E2992">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2BC5AA"/>
    <w:multiLevelType w:val="singleLevel"/>
    <w:tmpl w:val="872BC5AA"/>
    <w:lvl w:ilvl="0" w:tentative="0">
      <w:start w:val="2"/>
      <w:numFmt w:val="decimal"/>
      <w:lvlText w:val="%1."/>
      <w:lvlJc w:val="left"/>
      <w:pPr>
        <w:tabs>
          <w:tab w:val="left" w:pos="312"/>
        </w:tabs>
      </w:pPr>
    </w:lvl>
  </w:abstractNum>
  <w:abstractNum w:abstractNumId="1">
    <w:nsid w:val="E7258976"/>
    <w:multiLevelType w:val="singleLevel"/>
    <w:tmpl w:val="E7258976"/>
    <w:lvl w:ilvl="0" w:tentative="0">
      <w:start w:val="1"/>
      <w:numFmt w:val="chineseCounting"/>
      <w:suff w:val="space"/>
      <w:lvlText w:val="（%1）"/>
      <w:lvlJc w:val="left"/>
      <w:pPr>
        <w:ind w:left="-10"/>
      </w:pPr>
      <w:rPr>
        <w:rFonts w:hint="eastAsia" w:ascii="仿宋_GB2312" w:hAnsi="仿宋_GB2312" w:eastAsia="仿宋_GB2312" w:cs="仿宋_GB2312"/>
        <w:sz w:val="32"/>
        <w:szCs w:val="32"/>
      </w:rPr>
    </w:lvl>
  </w:abstractNum>
  <w:abstractNum w:abstractNumId="2">
    <w:nsid w:val="1EF8CB6E"/>
    <w:multiLevelType w:val="singleLevel"/>
    <w:tmpl w:val="1EF8CB6E"/>
    <w:lvl w:ilvl="0" w:tentative="0">
      <w:start w:val="1"/>
      <w:numFmt w:val="upperLetter"/>
      <w:suff w:val="nothing"/>
      <w:lvlText w:val="%1、"/>
      <w:lvlJc w:val="left"/>
    </w:lvl>
  </w:abstractNum>
  <w:abstractNum w:abstractNumId="3">
    <w:nsid w:val="434FCDAE"/>
    <w:multiLevelType w:val="singleLevel"/>
    <w:tmpl w:val="434FCDAE"/>
    <w:lvl w:ilvl="0" w:tentative="0">
      <w:start w:val="1"/>
      <w:numFmt w:val="chineseCounting"/>
      <w:suff w:val="space"/>
      <w:lvlText w:val="（%1）"/>
      <w:lvlJc w:val="left"/>
      <w:rPr>
        <w:rFonts w:hint="eastAsia"/>
      </w:rPr>
    </w:lvl>
  </w:abstractNum>
  <w:abstractNum w:abstractNumId="4">
    <w:nsid w:val="4AEE3BEB"/>
    <w:multiLevelType w:val="singleLevel"/>
    <w:tmpl w:val="4AEE3BEB"/>
    <w:lvl w:ilvl="0" w:tentative="0">
      <w:start w:val="2"/>
      <w:numFmt w:val="chineseCounting"/>
      <w:suff w:val="space"/>
      <w:lvlText w:val="（%1）"/>
      <w:lvlJc w:val="left"/>
      <w:rPr>
        <w:rFonts w:hint="eastAsia"/>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oNotHyphenateCaps/>
  <w:drawingGridVerticalSpacing w:val="159"/>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5MDNjMmIyODczM2YwMGZkZTNjYWY1NjIxZTY5YjcifQ=="/>
  </w:docVars>
  <w:rsids>
    <w:rsidRoot w:val="00277DEA"/>
    <w:rsid w:val="000407AC"/>
    <w:rsid w:val="00040A78"/>
    <w:rsid w:val="00057816"/>
    <w:rsid w:val="000E13AD"/>
    <w:rsid w:val="00131FFF"/>
    <w:rsid w:val="00135312"/>
    <w:rsid w:val="00144E2C"/>
    <w:rsid w:val="001643AB"/>
    <w:rsid w:val="0016450D"/>
    <w:rsid w:val="001A591F"/>
    <w:rsid w:val="001C6848"/>
    <w:rsid w:val="001D4B0B"/>
    <w:rsid w:val="001F10F0"/>
    <w:rsid w:val="00217AF2"/>
    <w:rsid w:val="00217EB9"/>
    <w:rsid w:val="00217FF1"/>
    <w:rsid w:val="0023383D"/>
    <w:rsid w:val="00252D6D"/>
    <w:rsid w:val="00253B24"/>
    <w:rsid w:val="00270071"/>
    <w:rsid w:val="002740D6"/>
    <w:rsid w:val="00274549"/>
    <w:rsid w:val="00277DEA"/>
    <w:rsid w:val="002A2969"/>
    <w:rsid w:val="002C40D1"/>
    <w:rsid w:val="002E76AA"/>
    <w:rsid w:val="002F38FE"/>
    <w:rsid w:val="00313EF1"/>
    <w:rsid w:val="00332C02"/>
    <w:rsid w:val="00336837"/>
    <w:rsid w:val="00370095"/>
    <w:rsid w:val="0037519A"/>
    <w:rsid w:val="003776B6"/>
    <w:rsid w:val="003A3D22"/>
    <w:rsid w:val="003C11CB"/>
    <w:rsid w:val="003D00F9"/>
    <w:rsid w:val="003E18D3"/>
    <w:rsid w:val="003E616C"/>
    <w:rsid w:val="004108BC"/>
    <w:rsid w:val="00410ABB"/>
    <w:rsid w:val="00411EFB"/>
    <w:rsid w:val="00430081"/>
    <w:rsid w:val="0045352B"/>
    <w:rsid w:val="004806E1"/>
    <w:rsid w:val="004943F2"/>
    <w:rsid w:val="004D7A32"/>
    <w:rsid w:val="004F10A4"/>
    <w:rsid w:val="004F5FF3"/>
    <w:rsid w:val="00523372"/>
    <w:rsid w:val="00544FBB"/>
    <w:rsid w:val="00555AF7"/>
    <w:rsid w:val="00587AEB"/>
    <w:rsid w:val="005D26BD"/>
    <w:rsid w:val="005F02AC"/>
    <w:rsid w:val="005F4D1F"/>
    <w:rsid w:val="006008C2"/>
    <w:rsid w:val="00600A1A"/>
    <w:rsid w:val="00613B3B"/>
    <w:rsid w:val="00635236"/>
    <w:rsid w:val="00640C59"/>
    <w:rsid w:val="006412B4"/>
    <w:rsid w:val="00643128"/>
    <w:rsid w:val="006B2CC6"/>
    <w:rsid w:val="006E2124"/>
    <w:rsid w:val="006E24A2"/>
    <w:rsid w:val="006F1EB8"/>
    <w:rsid w:val="00762DC1"/>
    <w:rsid w:val="007701C5"/>
    <w:rsid w:val="0077045D"/>
    <w:rsid w:val="0079752E"/>
    <w:rsid w:val="007E581B"/>
    <w:rsid w:val="008052CD"/>
    <w:rsid w:val="008057AF"/>
    <w:rsid w:val="00806B50"/>
    <w:rsid w:val="00806DEB"/>
    <w:rsid w:val="008706BB"/>
    <w:rsid w:val="008801B2"/>
    <w:rsid w:val="008B45BE"/>
    <w:rsid w:val="008B6AF2"/>
    <w:rsid w:val="008C044F"/>
    <w:rsid w:val="008C7B90"/>
    <w:rsid w:val="008E0BFB"/>
    <w:rsid w:val="008F24D9"/>
    <w:rsid w:val="009148C9"/>
    <w:rsid w:val="00916805"/>
    <w:rsid w:val="0093540E"/>
    <w:rsid w:val="009430F7"/>
    <w:rsid w:val="009548E3"/>
    <w:rsid w:val="009D69A7"/>
    <w:rsid w:val="009E2CB7"/>
    <w:rsid w:val="009F052A"/>
    <w:rsid w:val="009F2331"/>
    <w:rsid w:val="00A109CD"/>
    <w:rsid w:val="00A11EEC"/>
    <w:rsid w:val="00A364A9"/>
    <w:rsid w:val="00A74A67"/>
    <w:rsid w:val="00A92252"/>
    <w:rsid w:val="00A95FC8"/>
    <w:rsid w:val="00AA6310"/>
    <w:rsid w:val="00B21B8E"/>
    <w:rsid w:val="00B3371B"/>
    <w:rsid w:val="00B5033A"/>
    <w:rsid w:val="00B86725"/>
    <w:rsid w:val="00BB5EA4"/>
    <w:rsid w:val="00BC093E"/>
    <w:rsid w:val="00C04D5A"/>
    <w:rsid w:val="00C522F7"/>
    <w:rsid w:val="00C56491"/>
    <w:rsid w:val="00C77D9B"/>
    <w:rsid w:val="00C959B4"/>
    <w:rsid w:val="00CA283F"/>
    <w:rsid w:val="00CB14DC"/>
    <w:rsid w:val="00CC06A5"/>
    <w:rsid w:val="00CD2E86"/>
    <w:rsid w:val="00CD6B6D"/>
    <w:rsid w:val="00CF2E1F"/>
    <w:rsid w:val="00CF524A"/>
    <w:rsid w:val="00CF5B3F"/>
    <w:rsid w:val="00D05A15"/>
    <w:rsid w:val="00D07052"/>
    <w:rsid w:val="00D2599B"/>
    <w:rsid w:val="00D27C1C"/>
    <w:rsid w:val="00D32138"/>
    <w:rsid w:val="00D50ADE"/>
    <w:rsid w:val="00D50E64"/>
    <w:rsid w:val="00D67520"/>
    <w:rsid w:val="00D74DB0"/>
    <w:rsid w:val="00D75D04"/>
    <w:rsid w:val="00D862EF"/>
    <w:rsid w:val="00DD408F"/>
    <w:rsid w:val="00DE23F0"/>
    <w:rsid w:val="00E13C49"/>
    <w:rsid w:val="00E3458D"/>
    <w:rsid w:val="00EB6A15"/>
    <w:rsid w:val="00EC6F26"/>
    <w:rsid w:val="00EC6F84"/>
    <w:rsid w:val="00EC7414"/>
    <w:rsid w:val="00EE5A0A"/>
    <w:rsid w:val="00EE7AEC"/>
    <w:rsid w:val="00F10FD4"/>
    <w:rsid w:val="00F12999"/>
    <w:rsid w:val="00F16AA1"/>
    <w:rsid w:val="00F407A6"/>
    <w:rsid w:val="00F738CB"/>
    <w:rsid w:val="00F82A9A"/>
    <w:rsid w:val="00F83340"/>
    <w:rsid w:val="00FB2776"/>
    <w:rsid w:val="00FD0DE5"/>
    <w:rsid w:val="00FE4E55"/>
    <w:rsid w:val="00FF64C5"/>
    <w:rsid w:val="010C450B"/>
    <w:rsid w:val="01CC1A40"/>
    <w:rsid w:val="023C4E17"/>
    <w:rsid w:val="02860CE1"/>
    <w:rsid w:val="028D0613"/>
    <w:rsid w:val="02A06DF6"/>
    <w:rsid w:val="02AD40CA"/>
    <w:rsid w:val="02C71777"/>
    <w:rsid w:val="02DA63DE"/>
    <w:rsid w:val="03241F36"/>
    <w:rsid w:val="03311B51"/>
    <w:rsid w:val="035607B0"/>
    <w:rsid w:val="035A0B08"/>
    <w:rsid w:val="03BE185C"/>
    <w:rsid w:val="03DD3435"/>
    <w:rsid w:val="04813DBA"/>
    <w:rsid w:val="04880F3B"/>
    <w:rsid w:val="04BB1052"/>
    <w:rsid w:val="04EF66A6"/>
    <w:rsid w:val="050C3B6C"/>
    <w:rsid w:val="058F191A"/>
    <w:rsid w:val="0620235A"/>
    <w:rsid w:val="064047AA"/>
    <w:rsid w:val="07023E8A"/>
    <w:rsid w:val="073060B3"/>
    <w:rsid w:val="073F34F8"/>
    <w:rsid w:val="074D59C7"/>
    <w:rsid w:val="0768220B"/>
    <w:rsid w:val="07855569"/>
    <w:rsid w:val="07DD03A2"/>
    <w:rsid w:val="083216E2"/>
    <w:rsid w:val="08891FDF"/>
    <w:rsid w:val="08EE1782"/>
    <w:rsid w:val="090B57DF"/>
    <w:rsid w:val="094625ED"/>
    <w:rsid w:val="098C0FAE"/>
    <w:rsid w:val="0A1370D9"/>
    <w:rsid w:val="0A426CE3"/>
    <w:rsid w:val="0A783487"/>
    <w:rsid w:val="0A920A74"/>
    <w:rsid w:val="0B1A05CF"/>
    <w:rsid w:val="0B3B4932"/>
    <w:rsid w:val="0B8A5AE2"/>
    <w:rsid w:val="0B9F1F73"/>
    <w:rsid w:val="0C30371E"/>
    <w:rsid w:val="0C47209B"/>
    <w:rsid w:val="0C56467C"/>
    <w:rsid w:val="0CDE4AF1"/>
    <w:rsid w:val="0CEC2F96"/>
    <w:rsid w:val="0D2F7233"/>
    <w:rsid w:val="0D352C95"/>
    <w:rsid w:val="0D4555DC"/>
    <w:rsid w:val="0DB0649C"/>
    <w:rsid w:val="0E2234E7"/>
    <w:rsid w:val="0E832759"/>
    <w:rsid w:val="0E910299"/>
    <w:rsid w:val="0EA842DB"/>
    <w:rsid w:val="0ECF7747"/>
    <w:rsid w:val="0F9D46EF"/>
    <w:rsid w:val="112137C2"/>
    <w:rsid w:val="11D57582"/>
    <w:rsid w:val="124026B6"/>
    <w:rsid w:val="12C329EB"/>
    <w:rsid w:val="12DA0F1C"/>
    <w:rsid w:val="12E37A4D"/>
    <w:rsid w:val="137A735A"/>
    <w:rsid w:val="13B24508"/>
    <w:rsid w:val="13B92B25"/>
    <w:rsid w:val="13E54BBD"/>
    <w:rsid w:val="146D5339"/>
    <w:rsid w:val="14CE6AB2"/>
    <w:rsid w:val="14D0357D"/>
    <w:rsid w:val="152F63E2"/>
    <w:rsid w:val="158272E5"/>
    <w:rsid w:val="15864214"/>
    <w:rsid w:val="15D60886"/>
    <w:rsid w:val="15D71D2C"/>
    <w:rsid w:val="16873D30"/>
    <w:rsid w:val="16A220B2"/>
    <w:rsid w:val="16AB249D"/>
    <w:rsid w:val="16E538DC"/>
    <w:rsid w:val="17141A67"/>
    <w:rsid w:val="17153410"/>
    <w:rsid w:val="17171557"/>
    <w:rsid w:val="176A4DBE"/>
    <w:rsid w:val="184B770B"/>
    <w:rsid w:val="18E65745"/>
    <w:rsid w:val="19197809"/>
    <w:rsid w:val="19475149"/>
    <w:rsid w:val="1A1E40F3"/>
    <w:rsid w:val="1AF847D0"/>
    <w:rsid w:val="1C112A19"/>
    <w:rsid w:val="1C136BB6"/>
    <w:rsid w:val="1C4B5EA8"/>
    <w:rsid w:val="1C990D5F"/>
    <w:rsid w:val="1D854405"/>
    <w:rsid w:val="1DB42418"/>
    <w:rsid w:val="1E1554ED"/>
    <w:rsid w:val="1E66223E"/>
    <w:rsid w:val="1E9B39D7"/>
    <w:rsid w:val="1EE53BAE"/>
    <w:rsid w:val="1F5C123B"/>
    <w:rsid w:val="1F720A5F"/>
    <w:rsid w:val="1FA31BDA"/>
    <w:rsid w:val="1FA4448B"/>
    <w:rsid w:val="2022793B"/>
    <w:rsid w:val="207B6E01"/>
    <w:rsid w:val="211B1C44"/>
    <w:rsid w:val="21905B3D"/>
    <w:rsid w:val="21F200C1"/>
    <w:rsid w:val="22284619"/>
    <w:rsid w:val="224A075F"/>
    <w:rsid w:val="22E66E8E"/>
    <w:rsid w:val="23816BA4"/>
    <w:rsid w:val="23B802A0"/>
    <w:rsid w:val="25650EAD"/>
    <w:rsid w:val="259A75DB"/>
    <w:rsid w:val="25E4098B"/>
    <w:rsid w:val="26252182"/>
    <w:rsid w:val="265122FF"/>
    <w:rsid w:val="265E174C"/>
    <w:rsid w:val="2686038F"/>
    <w:rsid w:val="26EF5515"/>
    <w:rsid w:val="271C79A1"/>
    <w:rsid w:val="2725381D"/>
    <w:rsid w:val="274F505D"/>
    <w:rsid w:val="28C64B8B"/>
    <w:rsid w:val="28C72B2B"/>
    <w:rsid w:val="29D8382E"/>
    <w:rsid w:val="29E75E0C"/>
    <w:rsid w:val="29F23E8A"/>
    <w:rsid w:val="2A241E9E"/>
    <w:rsid w:val="2A566AD6"/>
    <w:rsid w:val="2B231E21"/>
    <w:rsid w:val="2B367DA6"/>
    <w:rsid w:val="2B45781E"/>
    <w:rsid w:val="2C6C3FFF"/>
    <w:rsid w:val="2C7D3C0D"/>
    <w:rsid w:val="2C874AAF"/>
    <w:rsid w:val="2C8E66A6"/>
    <w:rsid w:val="2CAF5168"/>
    <w:rsid w:val="2CBB47F9"/>
    <w:rsid w:val="2CF26DC6"/>
    <w:rsid w:val="2D4A1910"/>
    <w:rsid w:val="2DFF7667"/>
    <w:rsid w:val="2E267150"/>
    <w:rsid w:val="2E5874B6"/>
    <w:rsid w:val="2EFD1D1D"/>
    <w:rsid w:val="2F3029A9"/>
    <w:rsid w:val="2F3A186E"/>
    <w:rsid w:val="2FA0175F"/>
    <w:rsid w:val="2FE563D7"/>
    <w:rsid w:val="319951CC"/>
    <w:rsid w:val="31FB42D0"/>
    <w:rsid w:val="32852601"/>
    <w:rsid w:val="32D3700E"/>
    <w:rsid w:val="32F07192"/>
    <w:rsid w:val="332433C5"/>
    <w:rsid w:val="3376156C"/>
    <w:rsid w:val="33DB598F"/>
    <w:rsid w:val="33FB393B"/>
    <w:rsid w:val="348E387D"/>
    <w:rsid w:val="35A324DC"/>
    <w:rsid w:val="35A46FAE"/>
    <w:rsid w:val="37026723"/>
    <w:rsid w:val="37526B7E"/>
    <w:rsid w:val="385F78F9"/>
    <w:rsid w:val="38793253"/>
    <w:rsid w:val="398960D8"/>
    <w:rsid w:val="39E8421F"/>
    <w:rsid w:val="3A066436"/>
    <w:rsid w:val="3A2516BB"/>
    <w:rsid w:val="3B3C635C"/>
    <w:rsid w:val="3CCB04A6"/>
    <w:rsid w:val="3CD37326"/>
    <w:rsid w:val="3DA16242"/>
    <w:rsid w:val="3E7850FA"/>
    <w:rsid w:val="3EED354E"/>
    <w:rsid w:val="3F1410DB"/>
    <w:rsid w:val="3F173AB4"/>
    <w:rsid w:val="3F1B5AF7"/>
    <w:rsid w:val="3F7A539C"/>
    <w:rsid w:val="3FB5783A"/>
    <w:rsid w:val="402406BD"/>
    <w:rsid w:val="408338D7"/>
    <w:rsid w:val="41510996"/>
    <w:rsid w:val="42147451"/>
    <w:rsid w:val="42664FBD"/>
    <w:rsid w:val="43727992"/>
    <w:rsid w:val="43881670"/>
    <w:rsid w:val="43E82525"/>
    <w:rsid w:val="44592EA6"/>
    <w:rsid w:val="44A8055A"/>
    <w:rsid w:val="44B02520"/>
    <w:rsid w:val="44F7334E"/>
    <w:rsid w:val="44FA379B"/>
    <w:rsid w:val="45273CAF"/>
    <w:rsid w:val="459E52B5"/>
    <w:rsid w:val="45AF30FD"/>
    <w:rsid w:val="463460DC"/>
    <w:rsid w:val="46420BB9"/>
    <w:rsid w:val="465B3014"/>
    <w:rsid w:val="467B3F5F"/>
    <w:rsid w:val="472C45CF"/>
    <w:rsid w:val="472F5293"/>
    <w:rsid w:val="473A07C7"/>
    <w:rsid w:val="474E7DCE"/>
    <w:rsid w:val="47C31B76"/>
    <w:rsid w:val="47DB0FE0"/>
    <w:rsid w:val="47E77736"/>
    <w:rsid w:val="47EB386F"/>
    <w:rsid w:val="485A4022"/>
    <w:rsid w:val="48986B3F"/>
    <w:rsid w:val="48C93BB0"/>
    <w:rsid w:val="48CE1A9E"/>
    <w:rsid w:val="494476DB"/>
    <w:rsid w:val="49B66251"/>
    <w:rsid w:val="4A125037"/>
    <w:rsid w:val="4AB455FC"/>
    <w:rsid w:val="4B4C6831"/>
    <w:rsid w:val="4BA63BCF"/>
    <w:rsid w:val="4BB93099"/>
    <w:rsid w:val="4C4C39B0"/>
    <w:rsid w:val="4CA21C4A"/>
    <w:rsid w:val="4E87606B"/>
    <w:rsid w:val="4ED1777D"/>
    <w:rsid w:val="4F443F90"/>
    <w:rsid w:val="4F627A2B"/>
    <w:rsid w:val="4F7D616C"/>
    <w:rsid w:val="4F8A1859"/>
    <w:rsid w:val="4FCD4721"/>
    <w:rsid w:val="4FE45773"/>
    <w:rsid w:val="50281B04"/>
    <w:rsid w:val="502D24E4"/>
    <w:rsid w:val="504773D5"/>
    <w:rsid w:val="50EC70D4"/>
    <w:rsid w:val="511E5BAD"/>
    <w:rsid w:val="513918A9"/>
    <w:rsid w:val="517F3DD4"/>
    <w:rsid w:val="51BC2AE8"/>
    <w:rsid w:val="52244348"/>
    <w:rsid w:val="52466141"/>
    <w:rsid w:val="52CE5689"/>
    <w:rsid w:val="530B071F"/>
    <w:rsid w:val="538843E3"/>
    <w:rsid w:val="53B33700"/>
    <w:rsid w:val="55376345"/>
    <w:rsid w:val="558A3D0F"/>
    <w:rsid w:val="559A68B9"/>
    <w:rsid w:val="55B10490"/>
    <w:rsid w:val="569E5C28"/>
    <w:rsid w:val="56B17EF3"/>
    <w:rsid w:val="57313D11"/>
    <w:rsid w:val="578D69F6"/>
    <w:rsid w:val="58311B26"/>
    <w:rsid w:val="583B105E"/>
    <w:rsid w:val="58F55D5D"/>
    <w:rsid w:val="59254E33"/>
    <w:rsid w:val="59360753"/>
    <w:rsid w:val="597E4543"/>
    <w:rsid w:val="599A4762"/>
    <w:rsid w:val="59B94A33"/>
    <w:rsid w:val="59C42C57"/>
    <w:rsid w:val="5A613B97"/>
    <w:rsid w:val="5A6D513D"/>
    <w:rsid w:val="5AFB2C32"/>
    <w:rsid w:val="5B1A64ED"/>
    <w:rsid w:val="5B2F036B"/>
    <w:rsid w:val="5B583D18"/>
    <w:rsid w:val="5B5877E2"/>
    <w:rsid w:val="5BA9771F"/>
    <w:rsid w:val="5BAC7A1D"/>
    <w:rsid w:val="5BAE0EF6"/>
    <w:rsid w:val="5BDF2754"/>
    <w:rsid w:val="5BE3458F"/>
    <w:rsid w:val="5DD0286D"/>
    <w:rsid w:val="5EEA0F2A"/>
    <w:rsid w:val="5F9D1CA2"/>
    <w:rsid w:val="5FD300DB"/>
    <w:rsid w:val="5FE25B93"/>
    <w:rsid w:val="603F3AE9"/>
    <w:rsid w:val="605A527E"/>
    <w:rsid w:val="608C59E7"/>
    <w:rsid w:val="61051B53"/>
    <w:rsid w:val="61095D5D"/>
    <w:rsid w:val="61284751"/>
    <w:rsid w:val="61425A64"/>
    <w:rsid w:val="61EB473F"/>
    <w:rsid w:val="62257FFA"/>
    <w:rsid w:val="629F458E"/>
    <w:rsid w:val="63637DFA"/>
    <w:rsid w:val="63C45248"/>
    <w:rsid w:val="63E47698"/>
    <w:rsid w:val="63EE6769"/>
    <w:rsid w:val="64F222D0"/>
    <w:rsid w:val="655541D3"/>
    <w:rsid w:val="65566374"/>
    <w:rsid w:val="65594766"/>
    <w:rsid w:val="65AE22F3"/>
    <w:rsid w:val="65C12033"/>
    <w:rsid w:val="66465782"/>
    <w:rsid w:val="6686712D"/>
    <w:rsid w:val="66AF6E4C"/>
    <w:rsid w:val="670A4733"/>
    <w:rsid w:val="6727057A"/>
    <w:rsid w:val="67DE5EA5"/>
    <w:rsid w:val="68DB72BC"/>
    <w:rsid w:val="68E615DD"/>
    <w:rsid w:val="6907286A"/>
    <w:rsid w:val="6908397B"/>
    <w:rsid w:val="692923F8"/>
    <w:rsid w:val="6A16299D"/>
    <w:rsid w:val="6ADC37BF"/>
    <w:rsid w:val="6B1637B6"/>
    <w:rsid w:val="6B354DBB"/>
    <w:rsid w:val="6B456EE8"/>
    <w:rsid w:val="6B705F22"/>
    <w:rsid w:val="6B737C7F"/>
    <w:rsid w:val="6CC00CAD"/>
    <w:rsid w:val="6D0B604A"/>
    <w:rsid w:val="6DAC05BE"/>
    <w:rsid w:val="6E2337BB"/>
    <w:rsid w:val="6E526A5F"/>
    <w:rsid w:val="6E531FEA"/>
    <w:rsid w:val="6E802F39"/>
    <w:rsid w:val="6F5F3A74"/>
    <w:rsid w:val="6F8373FF"/>
    <w:rsid w:val="6FDE7145"/>
    <w:rsid w:val="701268B7"/>
    <w:rsid w:val="7025059A"/>
    <w:rsid w:val="708446DD"/>
    <w:rsid w:val="713E6246"/>
    <w:rsid w:val="71C6395B"/>
    <w:rsid w:val="71FF4E08"/>
    <w:rsid w:val="725809D6"/>
    <w:rsid w:val="7274040D"/>
    <w:rsid w:val="72EE22E1"/>
    <w:rsid w:val="73362BEB"/>
    <w:rsid w:val="73840989"/>
    <w:rsid w:val="73875405"/>
    <w:rsid w:val="73B74532"/>
    <w:rsid w:val="74425F26"/>
    <w:rsid w:val="74CC7CBB"/>
    <w:rsid w:val="75401980"/>
    <w:rsid w:val="75847F67"/>
    <w:rsid w:val="75F06371"/>
    <w:rsid w:val="766308F1"/>
    <w:rsid w:val="7682140E"/>
    <w:rsid w:val="76D62696"/>
    <w:rsid w:val="774E2667"/>
    <w:rsid w:val="77910BE3"/>
    <w:rsid w:val="78270463"/>
    <w:rsid w:val="783F0EE9"/>
    <w:rsid w:val="787B059F"/>
    <w:rsid w:val="78EA3B59"/>
    <w:rsid w:val="79492020"/>
    <w:rsid w:val="79A47B9E"/>
    <w:rsid w:val="7A356A48"/>
    <w:rsid w:val="7B2726C7"/>
    <w:rsid w:val="7B360113"/>
    <w:rsid w:val="7C016BE2"/>
    <w:rsid w:val="7C727ADF"/>
    <w:rsid w:val="7C8660BD"/>
    <w:rsid w:val="7C8D68FB"/>
    <w:rsid w:val="7C934347"/>
    <w:rsid w:val="7CA05978"/>
    <w:rsid w:val="7E255CFA"/>
    <w:rsid w:val="7F09259F"/>
    <w:rsid w:val="7F2050E8"/>
    <w:rsid w:val="7F894C06"/>
    <w:rsid w:val="7FBC5227"/>
    <w:rsid w:val="7FEE047D"/>
    <w:rsid w:val="CF67815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name="index 4"/>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qFormat="1" w:unhideWhenUsed="0" w:uiPriority="99" w:name="table of figures"/>
    <w:lsdException w:uiPriority="99" w:name="envelope address" w:locked="1"/>
    <w:lsdException w:qFormat="1" w:unhideWhenUsed="0" w:uiPriority="99" w:semiHidden="0" w:name="envelope return"/>
    <w:lsdException w:qFormat="1" w:unhideWhenUsed="0" w:uiPriority="99" w:name="footnote reference"/>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uiPriority="99" w:name="Body Text First Indent" w:locked="1"/>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5">
    <w:name w:val="heading 1"/>
    <w:basedOn w:val="1"/>
    <w:next w:val="1"/>
    <w:link w:val="64"/>
    <w:qFormat/>
    <w:uiPriority w:val="99"/>
    <w:pPr>
      <w:keepNext/>
      <w:keepLines/>
      <w:spacing w:before="340" w:after="330" w:line="360" w:lineRule="auto"/>
      <w:jc w:val="center"/>
      <w:outlineLvl w:val="0"/>
    </w:pPr>
    <w:rPr>
      <w:rFonts w:eastAsia="仿宋"/>
      <w:b/>
      <w:bCs/>
      <w:kern w:val="44"/>
      <w:sz w:val="30"/>
      <w:szCs w:val="44"/>
    </w:rPr>
  </w:style>
  <w:style w:type="paragraph" w:styleId="6">
    <w:name w:val="heading 2"/>
    <w:basedOn w:val="1"/>
    <w:next w:val="1"/>
    <w:link w:val="65"/>
    <w:qFormat/>
    <w:uiPriority w:val="99"/>
    <w:pPr>
      <w:keepNext/>
      <w:keepLines/>
      <w:spacing w:before="260" w:after="260" w:line="416" w:lineRule="auto"/>
      <w:outlineLvl w:val="1"/>
    </w:pPr>
    <w:rPr>
      <w:rFonts w:ascii="Arial" w:hAnsi="Arial" w:eastAsia="黑体" w:cs="Arial"/>
      <w:b/>
      <w:bCs/>
      <w:sz w:val="32"/>
      <w:szCs w:val="32"/>
    </w:rPr>
  </w:style>
  <w:style w:type="paragraph" w:styleId="7">
    <w:name w:val="heading 3"/>
    <w:basedOn w:val="1"/>
    <w:next w:val="1"/>
    <w:link w:val="66"/>
    <w:qFormat/>
    <w:uiPriority w:val="99"/>
    <w:pPr>
      <w:keepNext/>
      <w:keepLines/>
      <w:spacing w:before="260" w:after="260" w:line="416" w:lineRule="auto"/>
      <w:outlineLvl w:val="2"/>
    </w:pPr>
    <w:rPr>
      <w:b/>
      <w:bCs/>
      <w:sz w:val="32"/>
      <w:szCs w:val="32"/>
    </w:rPr>
  </w:style>
  <w:style w:type="paragraph" w:styleId="8">
    <w:name w:val="heading 4"/>
    <w:basedOn w:val="1"/>
    <w:next w:val="1"/>
    <w:link w:val="67"/>
    <w:qFormat/>
    <w:uiPriority w:val="99"/>
    <w:pPr>
      <w:keepNext/>
      <w:keepLines/>
      <w:spacing w:before="280" w:after="290" w:line="372" w:lineRule="auto"/>
      <w:outlineLvl w:val="3"/>
    </w:pPr>
    <w:rPr>
      <w:rFonts w:ascii="Cambria" w:hAnsi="Cambria" w:cs="Cambria"/>
      <w:b/>
      <w:bCs/>
      <w:sz w:val="28"/>
      <w:szCs w:val="28"/>
    </w:rPr>
  </w:style>
  <w:style w:type="paragraph" w:styleId="9">
    <w:name w:val="heading 5"/>
    <w:basedOn w:val="1"/>
    <w:next w:val="1"/>
    <w:link w:val="68"/>
    <w:qFormat/>
    <w:uiPriority w:val="99"/>
    <w:pPr>
      <w:keepNext/>
      <w:keepLines/>
      <w:spacing w:before="280" w:after="290" w:line="372" w:lineRule="auto"/>
      <w:outlineLvl w:val="4"/>
    </w:pPr>
    <w:rPr>
      <w:rFonts w:ascii="Calibri" w:hAnsi="Calibri" w:cs="Calibri"/>
      <w:b/>
      <w:bCs/>
      <w:sz w:val="28"/>
      <w:szCs w:val="28"/>
    </w:rPr>
  </w:style>
  <w:style w:type="paragraph" w:styleId="10">
    <w:name w:val="heading 6"/>
    <w:basedOn w:val="1"/>
    <w:next w:val="1"/>
    <w:link w:val="69"/>
    <w:qFormat/>
    <w:uiPriority w:val="99"/>
    <w:pPr>
      <w:keepNext/>
      <w:keepLines/>
      <w:spacing w:before="240" w:after="64" w:line="317" w:lineRule="auto"/>
      <w:outlineLvl w:val="5"/>
    </w:pPr>
    <w:rPr>
      <w:rFonts w:ascii="Cambria" w:hAnsi="Cambria" w:cs="Cambria"/>
      <w:b/>
      <w:bCs/>
      <w:sz w:val="24"/>
      <w:szCs w:val="24"/>
    </w:rPr>
  </w:style>
  <w:style w:type="paragraph" w:styleId="11">
    <w:name w:val="heading 7"/>
    <w:basedOn w:val="1"/>
    <w:next w:val="1"/>
    <w:link w:val="70"/>
    <w:qFormat/>
    <w:uiPriority w:val="99"/>
    <w:pPr>
      <w:keepNext/>
      <w:keepLines/>
      <w:spacing w:before="240" w:after="64" w:line="317" w:lineRule="auto"/>
      <w:outlineLvl w:val="6"/>
    </w:pPr>
    <w:rPr>
      <w:rFonts w:ascii="Calibri" w:hAnsi="Calibri" w:cs="Calibri"/>
      <w:b/>
      <w:bCs/>
      <w:sz w:val="24"/>
      <w:szCs w:val="24"/>
    </w:rPr>
  </w:style>
  <w:style w:type="paragraph" w:styleId="12">
    <w:name w:val="heading 8"/>
    <w:basedOn w:val="1"/>
    <w:next w:val="1"/>
    <w:link w:val="71"/>
    <w:qFormat/>
    <w:uiPriority w:val="99"/>
    <w:pPr>
      <w:keepNext/>
      <w:keepLines/>
      <w:spacing w:before="240" w:after="64" w:line="317" w:lineRule="auto"/>
      <w:outlineLvl w:val="7"/>
    </w:pPr>
    <w:rPr>
      <w:rFonts w:ascii="Cambria" w:hAnsi="Cambria" w:cs="Cambria"/>
      <w:sz w:val="24"/>
      <w:szCs w:val="24"/>
    </w:rPr>
  </w:style>
  <w:style w:type="paragraph" w:styleId="13">
    <w:name w:val="heading 9"/>
    <w:basedOn w:val="1"/>
    <w:next w:val="1"/>
    <w:link w:val="72"/>
    <w:qFormat/>
    <w:uiPriority w:val="99"/>
    <w:pPr>
      <w:keepNext/>
      <w:keepLines/>
      <w:spacing w:before="240" w:after="64" w:line="317" w:lineRule="auto"/>
      <w:outlineLvl w:val="8"/>
    </w:pPr>
    <w:rPr>
      <w:rFonts w:ascii="Cambria" w:hAnsi="Cambria" w:cs="Cambria"/>
    </w:rPr>
  </w:style>
  <w:style w:type="character" w:default="1" w:styleId="47">
    <w:name w:val="Default Paragraph Font"/>
    <w:semiHidden/>
    <w:qFormat/>
    <w:uiPriority w:val="99"/>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90"/>
    <w:qFormat/>
    <w:uiPriority w:val="99"/>
    <w:pPr>
      <w:ind w:firstLine="420" w:firstLineChars="200"/>
    </w:pPr>
  </w:style>
  <w:style w:type="paragraph" w:styleId="3">
    <w:name w:val="Body Text Indent"/>
    <w:basedOn w:val="1"/>
    <w:next w:val="4"/>
    <w:link w:val="77"/>
    <w:qFormat/>
    <w:uiPriority w:val="99"/>
    <w:pPr>
      <w:spacing w:line="500" w:lineRule="exact"/>
      <w:ind w:firstLine="538"/>
    </w:pPr>
    <w:rPr>
      <w:sz w:val="28"/>
      <w:szCs w:val="28"/>
    </w:rPr>
  </w:style>
  <w:style w:type="paragraph" w:styleId="4">
    <w:name w:val="envelope return"/>
    <w:basedOn w:val="1"/>
    <w:qFormat/>
    <w:uiPriority w:val="99"/>
    <w:pPr>
      <w:snapToGrid w:val="0"/>
    </w:pPr>
    <w:rPr>
      <w:rFonts w:ascii="Arial" w:hAnsi="Arial"/>
    </w:rPr>
  </w:style>
  <w:style w:type="paragraph" w:styleId="14">
    <w:name w:val="toc 7"/>
    <w:basedOn w:val="1"/>
    <w:next w:val="1"/>
    <w:semiHidden/>
    <w:qFormat/>
    <w:uiPriority w:val="99"/>
    <w:pPr>
      <w:ind w:left="2520" w:leftChars="1200"/>
    </w:pPr>
    <w:rPr>
      <w:rFonts w:ascii="Calibri" w:hAnsi="Calibri" w:cs="Calibri"/>
    </w:rPr>
  </w:style>
  <w:style w:type="paragraph" w:styleId="15">
    <w:name w:val="Normal Indent"/>
    <w:basedOn w:val="1"/>
    <w:qFormat/>
    <w:uiPriority w:val="99"/>
    <w:pPr>
      <w:adjustRightInd w:val="0"/>
      <w:spacing w:line="360" w:lineRule="atLeast"/>
      <w:ind w:firstLine="482"/>
      <w:textAlignment w:val="baseline"/>
    </w:pPr>
    <w:rPr>
      <w:kern w:val="0"/>
      <w:sz w:val="24"/>
      <w:szCs w:val="24"/>
    </w:rPr>
  </w:style>
  <w:style w:type="paragraph" w:styleId="16">
    <w:name w:val="caption"/>
    <w:basedOn w:val="1"/>
    <w:next w:val="1"/>
    <w:qFormat/>
    <w:uiPriority w:val="99"/>
    <w:rPr>
      <w:rFonts w:ascii="Cambria" w:hAnsi="Cambria" w:eastAsia="黑体" w:cs="Cambria"/>
      <w:sz w:val="20"/>
      <w:szCs w:val="20"/>
    </w:rPr>
  </w:style>
  <w:style w:type="paragraph" w:styleId="17">
    <w:name w:val="Document Map"/>
    <w:basedOn w:val="1"/>
    <w:link w:val="73"/>
    <w:semiHidden/>
    <w:qFormat/>
    <w:uiPriority w:val="99"/>
    <w:pPr>
      <w:shd w:val="clear" w:color="auto" w:fill="000080"/>
    </w:pPr>
    <w:rPr>
      <w:kern w:val="0"/>
      <w:sz w:val="20"/>
      <w:szCs w:val="20"/>
      <w:shd w:val="clear" w:color="auto" w:fill="000080"/>
    </w:rPr>
  </w:style>
  <w:style w:type="paragraph" w:styleId="18">
    <w:name w:val="annotation text"/>
    <w:basedOn w:val="1"/>
    <w:link w:val="74"/>
    <w:semiHidden/>
    <w:qFormat/>
    <w:uiPriority w:val="99"/>
    <w:pPr>
      <w:jc w:val="left"/>
    </w:pPr>
  </w:style>
  <w:style w:type="paragraph" w:styleId="19">
    <w:name w:val="Body Text 3"/>
    <w:basedOn w:val="1"/>
    <w:link w:val="75"/>
    <w:qFormat/>
    <w:uiPriority w:val="99"/>
    <w:rPr>
      <w:rFonts w:ascii="宋体" w:cs="宋体"/>
      <w:sz w:val="24"/>
      <w:szCs w:val="24"/>
    </w:rPr>
  </w:style>
  <w:style w:type="paragraph" w:styleId="20">
    <w:name w:val="Body Text"/>
    <w:basedOn w:val="1"/>
    <w:link w:val="76"/>
    <w:qFormat/>
    <w:uiPriority w:val="99"/>
    <w:pPr>
      <w:jc w:val="center"/>
    </w:pPr>
    <w:rPr>
      <w:b/>
      <w:bCs/>
      <w:sz w:val="44"/>
      <w:szCs w:val="44"/>
    </w:rPr>
  </w:style>
  <w:style w:type="paragraph" w:styleId="21">
    <w:name w:val="Block Text"/>
    <w:basedOn w:val="1"/>
    <w:qFormat/>
    <w:uiPriority w:val="99"/>
    <w:pPr>
      <w:spacing w:line="400" w:lineRule="exact"/>
      <w:ind w:left="-359" w:leftChars="-171" w:right="31" w:rightChars="15" w:firstLine="980" w:firstLineChars="350"/>
    </w:pPr>
    <w:rPr>
      <w:rFonts w:ascii="宋体" w:hAnsi="宋体" w:cs="宋体"/>
      <w:sz w:val="28"/>
      <w:szCs w:val="28"/>
    </w:rPr>
  </w:style>
  <w:style w:type="paragraph" w:styleId="22">
    <w:name w:val="index 4"/>
    <w:basedOn w:val="1"/>
    <w:next w:val="1"/>
    <w:semiHidden/>
    <w:qFormat/>
    <w:uiPriority w:val="99"/>
    <w:pPr>
      <w:ind w:left="600" w:leftChars="600"/>
    </w:pPr>
  </w:style>
  <w:style w:type="paragraph" w:styleId="23">
    <w:name w:val="toc 5"/>
    <w:basedOn w:val="1"/>
    <w:next w:val="1"/>
    <w:semiHidden/>
    <w:qFormat/>
    <w:uiPriority w:val="99"/>
    <w:pPr>
      <w:tabs>
        <w:tab w:val="right" w:leader="dot" w:pos="8296"/>
      </w:tabs>
      <w:ind w:left="1050" w:leftChars="500"/>
    </w:pPr>
    <w:rPr>
      <w:rFonts w:ascii="Calibri" w:hAnsi="Calibri" w:cs="Calibri"/>
    </w:rPr>
  </w:style>
  <w:style w:type="paragraph" w:styleId="24">
    <w:name w:val="toc 3"/>
    <w:basedOn w:val="1"/>
    <w:next w:val="1"/>
    <w:semiHidden/>
    <w:qFormat/>
    <w:uiPriority w:val="99"/>
    <w:pPr>
      <w:ind w:left="840" w:leftChars="400"/>
    </w:pPr>
    <w:rPr>
      <w:rFonts w:ascii="Calibri" w:hAnsi="Calibri" w:cs="Calibri"/>
    </w:rPr>
  </w:style>
  <w:style w:type="paragraph" w:styleId="25">
    <w:name w:val="Plain Text"/>
    <w:basedOn w:val="1"/>
    <w:next w:val="1"/>
    <w:link w:val="78"/>
    <w:qFormat/>
    <w:uiPriority w:val="99"/>
    <w:rPr>
      <w:rFonts w:ascii="宋体" w:hAnsi="Courier New" w:cs="宋体"/>
    </w:rPr>
  </w:style>
  <w:style w:type="paragraph" w:styleId="26">
    <w:name w:val="toc 8"/>
    <w:basedOn w:val="1"/>
    <w:next w:val="1"/>
    <w:semiHidden/>
    <w:qFormat/>
    <w:uiPriority w:val="99"/>
    <w:pPr>
      <w:ind w:left="2940" w:leftChars="1400"/>
    </w:pPr>
    <w:rPr>
      <w:rFonts w:ascii="Calibri" w:hAnsi="Calibri" w:cs="Calibri"/>
    </w:rPr>
  </w:style>
  <w:style w:type="paragraph" w:styleId="27">
    <w:name w:val="Date"/>
    <w:basedOn w:val="1"/>
    <w:next w:val="1"/>
    <w:link w:val="79"/>
    <w:qFormat/>
    <w:uiPriority w:val="99"/>
    <w:rPr>
      <w:rFonts w:ascii="仿宋_GB2312" w:eastAsia="仿宋_GB2312" w:cs="仿宋_GB2312"/>
      <w:sz w:val="30"/>
      <w:szCs w:val="30"/>
    </w:rPr>
  </w:style>
  <w:style w:type="paragraph" w:styleId="28">
    <w:name w:val="Body Text Indent 2"/>
    <w:basedOn w:val="1"/>
    <w:next w:val="1"/>
    <w:link w:val="80"/>
    <w:qFormat/>
    <w:uiPriority w:val="99"/>
    <w:pPr>
      <w:spacing w:line="360" w:lineRule="exact"/>
      <w:ind w:firstLine="600" w:firstLineChars="250"/>
      <w:jc w:val="left"/>
    </w:pPr>
    <w:rPr>
      <w:sz w:val="24"/>
      <w:szCs w:val="24"/>
    </w:rPr>
  </w:style>
  <w:style w:type="paragraph" w:styleId="29">
    <w:name w:val="Balloon Text"/>
    <w:basedOn w:val="1"/>
    <w:link w:val="81"/>
    <w:semiHidden/>
    <w:qFormat/>
    <w:uiPriority w:val="99"/>
    <w:rPr>
      <w:sz w:val="18"/>
      <w:szCs w:val="18"/>
    </w:rPr>
  </w:style>
  <w:style w:type="paragraph" w:styleId="30">
    <w:name w:val="footer"/>
    <w:basedOn w:val="1"/>
    <w:link w:val="82"/>
    <w:qFormat/>
    <w:uiPriority w:val="99"/>
    <w:pPr>
      <w:tabs>
        <w:tab w:val="center" w:pos="4153"/>
        <w:tab w:val="right" w:pos="8306"/>
      </w:tabs>
      <w:snapToGrid w:val="0"/>
      <w:jc w:val="left"/>
    </w:pPr>
    <w:rPr>
      <w:sz w:val="18"/>
      <w:szCs w:val="18"/>
    </w:rPr>
  </w:style>
  <w:style w:type="paragraph" w:styleId="31">
    <w:name w:val="header"/>
    <w:basedOn w:val="1"/>
    <w:link w:val="83"/>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semiHidden/>
    <w:qFormat/>
    <w:uiPriority w:val="99"/>
    <w:pPr>
      <w:tabs>
        <w:tab w:val="right" w:leader="dot" w:pos="8296"/>
      </w:tabs>
    </w:pPr>
    <w:rPr>
      <w:rFonts w:ascii="宋体" w:eastAsia="楷体_GB2312" w:cs="宋体"/>
      <w:b/>
      <w:bCs/>
      <w:kern w:val="0"/>
      <w:sz w:val="28"/>
      <w:szCs w:val="28"/>
    </w:rPr>
  </w:style>
  <w:style w:type="paragraph" w:styleId="33">
    <w:name w:val="toc 4"/>
    <w:basedOn w:val="1"/>
    <w:next w:val="1"/>
    <w:semiHidden/>
    <w:qFormat/>
    <w:uiPriority w:val="99"/>
    <w:pPr>
      <w:tabs>
        <w:tab w:val="left" w:pos="1890"/>
        <w:tab w:val="right" w:leader="dot" w:pos="8296"/>
      </w:tabs>
      <w:ind w:left="630" w:leftChars="300"/>
    </w:pPr>
    <w:rPr>
      <w:rFonts w:ascii="Calibri" w:hAnsi="Calibri" w:cs="Calibri"/>
    </w:rPr>
  </w:style>
  <w:style w:type="paragraph" w:styleId="34">
    <w:name w:val="Subtitle"/>
    <w:basedOn w:val="1"/>
    <w:next w:val="1"/>
    <w:link w:val="84"/>
    <w:qFormat/>
    <w:uiPriority w:val="99"/>
    <w:pPr>
      <w:spacing w:before="240" w:after="60" w:line="312" w:lineRule="auto"/>
      <w:jc w:val="center"/>
      <w:outlineLvl w:val="1"/>
    </w:pPr>
    <w:rPr>
      <w:rFonts w:ascii="Cambria" w:hAnsi="Cambria" w:cs="Cambria"/>
      <w:b/>
      <w:bCs/>
      <w:kern w:val="28"/>
      <w:sz w:val="32"/>
      <w:szCs w:val="32"/>
    </w:rPr>
  </w:style>
  <w:style w:type="paragraph" w:styleId="35">
    <w:name w:val="footnote text"/>
    <w:basedOn w:val="1"/>
    <w:link w:val="85"/>
    <w:semiHidden/>
    <w:qFormat/>
    <w:uiPriority w:val="99"/>
    <w:rPr>
      <w:sz w:val="20"/>
      <w:szCs w:val="20"/>
    </w:rPr>
  </w:style>
  <w:style w:type="paragraph" w:styleId="36">
    <w:name w:val="toc 6"/>
    <w:basedOn w:val="1"/>
    <w:next w:val="1"/>
    <w:semiHidden/>
    <w:qFormat/>
    <w:uiPriority w:val="99"/>
    <w:pPr>
      <w:ind w:left="2100" w:leftChars="1000"/>
    </w:pPr>
    <w:rPr>
      <w:rFonts w:ascii="Calibri" w:hAnsi="Calibri" w:cs="Calibri"/>
    </w:rPr>
  </w:style>
  <w:style w:type="paragraph" w:styleId="37">
    <w:name w:val="Body Text Indent 3"/>
    <w:basedOn w:val="1"/>
    <w:link w:val="86"/>
    <w:qFormat/>
    <w:uiPriority w:val="99"/>
    <w:pPr>
      <w:spacing w:after="120"/>
      <w:ind w:left="420" w:leftChars="200"/>
    </w:pPr>
    <w:rPr>
      <w:sz w:val="16"/>
      <w:szCs w:val="16"/>
    </w:rPr>
  </w:style>
  <w:style w:type="paragraph" w:styleId="38">
    <w:name w:val="table of figures"/>
    <w:basedOn w:val="1"/>
    <w:next w:val="1"/>
    <w:semiHidden/>
    <w:qFormat/>
    <w:uiPriority w:val="99"/>
    <w:pPr>
      <w:ind w:left="200" w:leftChars="200" w:hanging="200" w:hangingChars="200"/>
    </w:pPr>
  </w:style>
  <w:style w:type="paragraph" w:styleId="39">
    <w:name w:val="toc 2"/>
    <w:basedOn w:val="1"/>
    <w:next w:val="1"/>
    <w:semiHidden/>
    <w:qFormat/>
    <w:uiPriority w:val="99"/>
    <w:pPr>
      <w:ind w:left="420" w:leftChars="200"/>
    </w:pPr>
    <w:rPr>
      <w:rFonts w:ascii="宋体" w:cs="宋体"/>
      <w:b/>
      <w:bCs/>
      <w:sz w:val="28"/>
      <w:szCs w:val="28"/>
    </w:rPr>
  </w:style>
  <w:style w:type="paragraph" w:styleId="40">
    <w:name w:val="toc 9"/>
    <w:basedOn w:val="1"/>
    <w:next w:val="1"/>
    <w:semiHidden/>
    <w:qFormat/>
    <w:uiPriority w:val="99"/>
    <w:pPr>
      <w:ind w:left="3360" w:leftChars="1600"/>
    </w:pPr>
    <w:rPr>
      <w:rFonts w:ascii="Calibri" w:hAnsi="Calibri" w:cs="Calibri"/>
    </w:rPr>
  </w:style>
  <w:style w:type="paragraph" w:styleId="41">
    <w:name w:val="Body Text 2"/>
    <w:basedOn w:val="1"/>
    <w:link w:val="87"/>
    <w:qFormat/>
    <w:uiPriority w:val="99"/>
    <w:pPr>
      <w:spacing w:line="440" w:lineRule="exact"/>
    </w:pPr>
    <w:rPr>
      <w:sz w:val="28"/>
      <w:szCs w:val="28"/>
    </w:rPr>
  </w:style>
  <w:style w:type="paragraph" w:styleId="42">
    <w:name w:val="Normal (Web)"/>
    <w:basedOn w:val="1"/>
    <w:qFormat/>
    <w:uiPriority w:val="99"/>
    <w:pPr>
      <w:widowControl/>
      <w:spacing w:before="100" w:beforeAutospacing="1" w:after="100" w:afterAutospacing="1" w:line="320" w:lineRule="atLeast"/>
      <w:jc w:val="left"/>
    </w:pPr>
    <w:rPr>
      <w:rFonts w:ascii="宋体" w:hAnsi="宋体" w:cs="宋体"/>
      <w:kern w:val="0"/>
      <w:sz w:val="18"/>
      <w:szCs w:val="18"/>
    </w:rPr>
  </w:style>
  <w:style w:type="paragraph" w:styleId="43">
    <w:name w:val="Title"/>
    <w:basedOn w:val="1"/>
    <w:next w:val="1"/>
    <w:link w:val="88"/>
    <w:qFormat/>
    <w:uiPriority w:val="99"/>
    <w:pPr>
      <w:spacing w:before="240" w:after="60"/>
      <w:jc w:val="center"/>
      <w:outlineLvl w:val="0"/>
    </w:pPr>
    <w:rPr>
      <w:rFonts w:ascii="Cambria" w:hAnsi="Cambria" w:cs="Cambria"/>
      <w:b/>
      <w:bCs/>
      <w:sz w:val="32"/>
      <w:szCs w:val="32"/>
    </w:rPr>
  </w:style>
  <w:style w:type="paragraph" w:styleId="44">
    <w:name w:val="annotation subject"/>
    <w:basedOn w:val="18"/>
    <w:next w:val="18"/>
    <w:link w:val="89"/>
    <w:semiHidden/>
    <w:qFormat/>
    <w:uiPriority w:val="99"/>
    <w:rPr>
      <w:rFonts w:ascii="宋体" w:cs="宋体"/>
      <w:b/>
      <w:bCs/>
      <w:kern w:val="0"/>
      <w:sz w:val="28"/>
      <w:szCs w:val="28"/>
    </w:rPr>
  </w:style>
  <w:style w:type="table" w:styleId="46">
    <w:name w:val="Table Grid"/>
    <w:basedOn w:val="45"/>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basedOn w:val="47"/>
    <w:qFormat/>
    <w:uiPriority w:val="99"/>
    <w:rPr>
      <w:rFonts w:cs="Times New Roman"/>
      <w:b/>
      <w:bCs/>
    </w:rPr>
  </w:style>
  <w:style w:type="character" w:styleId="49">
    <w:name w:val="page number"/>
    <w:basedOn w:val="47"/>
    <w:qFormat/>
    <w:uiPriority w:val="99"/>
    <w:rPr>
      <w:rFonts w:cs="Times New Roman"/>
    </w:rPr>
  </w:style>
  <w:style w:type="character" w:styleId="50">
    <w:name w:val="FollowedHyperlink"/>
    <w:basedOn w:val="47"/>
    <w:qFormat/>
    <w:uiPriority w:val="99"/>
    <w:rPr>
      <w:rFonts w:cs="Times New Roman"/>
      <w:color w:val="333333"/>
      <w:u w:val="none"/>
    </w:rPr>
  </w:style>
  <w:style w:type="character" w:styleId="51">
    <w:name w:val="Emphasis"/>
    <w:basedOn w:val="47"/>
    <w:qFormat/>
    <w:uiPriority w:val="99"/>
    <w:rPr>
      <w:rFonts w:cs="Times New Roman"/>
      <w:color w:val="auto"/>
    </w:rPr>
  </w:style>
  <w:style w:type="character" w:styleId="52">
    <w:name w:val="HTML Definition"/>
    <w:basedOn w:val="47"/>
    <w:qFormat/>
    <w:uiPriority w:val="99"/>
    <w:rPr>
      <w:rFonts w:cs="Times New Roman"/>
    </w:rPr>
  </w:style>
  <w:style w:type="character" w:styleId="53">
    <w:name w:val="HTML Typewriter"/>
    <w:basedOn w:val="47"/>
    <w:qFormat/>
    <w:uiPriority w:val="99"/>
    <w:rPr>
      <w:rFonts w:ascii="monospace" w:hAnsi="monospace" w:cs="monospace"/>
      <w:sz w:val="20"/>
    </w:rPr>
  </w:style>
  <w:style w:type="character" w:styleId="54">
    <w:name w:val="HTML Acronym"/>
    <w:basedOn w:val="47"/>
    <w:qFormat/>
    <w:uiPriority w:val="99"/>
    <w:rPr>
      <w:rFonts w:cs="Times New Roman"/>
    </w:rPr>
  </w:style>
  <w:style w:type="character" w:styleId="55">
    <w:name w:val="HTML Variable"/>
    <w:basedOn w:val="47"/>
    <w:qFormat/>
    <w:uiPriority w:val="99"/>
    <w:rPr>
      <w:rFonts w:cs="Times New Roman"/>
    </w:rPr>
  </w:style>
  <w:style w:type="character" w:styleId="56">
    <w:name w:val="Hyperlink"/>
    <w:basedOn w:val="47"/>
    <w:qFormat/>
    <w:uiPriority w:val="99"/>
    <w:rPr>
      <w:rFonts w:cs="Times New Roman"/>
      <w:color w:val="333333"/>
      <w:u w:val="none"/>
    </w:rPr>
  </w:style>
  <w:style w:type="character" w:styleId="57">
    <w:name w:val="HTML Code"/>
    <w:basedOn w:val="47"/>
    <w:qFormat/>
    <w:uiPriority w:val="99"/>
    <w:rPr>
      <w:rFonts w:ascii="monospace" w:hAnsi="monospace" w:cs="monospace"/>
      <w:sz w:val="20"/>
    </w:rPr>
  </w:style>
  <w:style w:type="character" w:styleId="58">
    <w:name w:val="annotation reference"/>
    <w:basedOn w:val="47"/>
    <w:semiHidden/>
    <w:qFormat/>
    <w:uiPriority w:val="99"/>
    <w:rPr>
      <w:rFonts w:cs="Times New Roman"/>
      <w:sz w:val="21"/>
      <w:szCs w:val="21"/>
    </w:rPr>
  </w:style>
  <w:style w:type="character" w:styleId="59">
    <w:name w:val="HTML Cite"/>
    <w:basedOn w:val="47"/>
    <w:qFormat/>
    <w:uiPriority w:val="99"/>
    <w:rPr>
      <w:rFonts w:cs="Times New Roman"/>
    </w:rPr>
  </w:style>
  <w:style w:type="character" w:styleId="60">
    <w:name w:val="footnote reference"/>
    <w:basedOn w:val="47"/>
    <w:semiHidden/>
    <w:qFormat/>
    <w:uiPriority w:val="99"/>
    <w:rPr>
      <w:rFonts w:cs="Times New Roman"/>
      <w:vertAlign w:val="superscript"/>
    </w:rPr>
  </w:style>
  <w:style w:type="character" w:styleId="61">
    <w:name w:val="HTML Keyboard"/>
    <w:basedOn w:val="47"/>
    <w:qFormat/>
    <w:uiPriority w:val="99"/>
    <w:rPr>
      <w:rFonts w:ascii="monospace" w:hAnsi="monospace" w:cs="monospace"/>
      <w:sz w:val="20"/>
    </w:rPr>
  </w:style>
  <w:style w:type="character" w:styleId="62">
    <w:name w:val="HTML Sample"/>
    <w:basedOn w:val="47"/>
    <w:qFormat/>
    <w:uiPriority w:val="99"/>
    <w:rPr>
      <w:rFonts w:ascii="monospace" w:hAnsi="monospace" w:cs="monospace"/>
    </w:rPr>
  </w:style>
  <w:style w:type="paragraph" w:customStyle="1" w:styleId="63">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64">
    <w:name w:val="Heading 1 Char"/>
    <w:basedOn w:val="47"/>
    <w:link w:val="5"/>
    <w:qFormat/>
    <w:locked/>
    <w:uiPriority w:val="99"/>
    <w:rPr>
      <w:rFonts w:ascii="Times New Roman" w:hAnsi="Times New Roman" w:eastAsia="仿宋" w:cs="Times New Roman"/>
      <w:b/>
      <w:bCs/>
      <w:kern w:val="44"/>
      <w:sz w:val="44"/>
      <w:szCs w:val="44"/>
      <w:lang w:val="en-US" w:eastAsia="zh-CN"/>
    </w:rPr>
  </w:style>
  <w:style w:type="character" w:customStyle="1" w:styleId="65">
    <w:name w:val="Heading 2 Char"/>
    <w:basedOn w:val="47"/>
    <w:link w:val="6"/>
    <w:qFormat/>
    <w:locked/>
    <w:uiPriority w:val="99"/>
    <w:rPr>
      <w:rFonts w:ascii="Arial" w:hAnsi="Arial" w:eastAsia="黑体" w:cs="Arial"/>
      <w:b/>
      <w:bCs/>
      <w:kern w:val="2"/>
      <w:sz w:val="32"/>
      <w:szCs w:val="32"/>
      <w:lang w:val="en-US" w:eastAsia="zh-CN"/>
    </w:rPr>
  </w:style>
  <w:style w:type="character" w:customStyle="1" w:styleId="66">
    <w:name w:val="Heading 3 Char"/>
    <w:basedOn w:val="47"/>
    <w:link w:val="7"/>
    <w:qFormat/>
    <w:locked/>
    <w:uiPriority w:val="99"/>
    <w:rPr>
      <w:rFonts w:eastAsia="宋体" w:cs="Times New Roman"/>
      <w:b/>
      <w:bCs/>
      <w:kern w:val="2"/>
      <w:sz w:val="32"/>
      <w:szCs w:val="32"/>
      <w:lang w:val="en-US" w:eastAsia="zh-CN"/>
    </w:rPr>
  </w:style>
  <w:style w:type="character" w:customStyle="1" w:styleId="67">
    <w:name w:val="Heading 4 Char"/>
    <w:basedOn w:val="47"/>
    <w:link w:val="8"/>
    <w:qFormat/>
    <w:locked/>
    <w:uiPriority w:val="99"/>
    <w:rPr>
      <w:rFonts w:ascii="Cambria" w:hAnsi="Cambria" w:eastAsia="宋体" w:cs="Cambria"/>
      <w:b/>
      <w:bCs/>
      <w:kern w:val="2"/>
      <w:sz w:val="28"/>
      <w:szCs w:val="28"/>
      <w:lang w:val="en-US" w:eastAsia="zh-CN"/>
    </w:rPr>
  </w:style>
  <w:style w:type="character" w:customStyle="1" w:styleId="68">
    <w:name w:val="Heading 5 Char"/>
    <w:basedOn w:val="47"/>
    <w:link w:val="9"/>
    <w:qFormat/>
    <w:locked/>
    <w:uiPriority w:val="99"/>
    <w:rPr>
      <w:rFonts w:ascii="Calibri" w:hAnsi="Calibri" w:eastAsia="宋体" w:cs="Calibri"/>
      <w:b/>
      <w:bCs/>
      <w:kern w:val="2"/>
      <w:sz w:val="28"/>
      <w:szCs w:val="28"/>
      <w:lang w:val="en-US" w:eastAsia="zh-CN"/>
    </w:rPr>
  </w:style>
  <w:style w:type="character" w:customStyle="1" w:styleId="69">
    <w:name w:val="Heading 6 Char"/>
    <w:basedOn w:val="47"/>
    <w:link w:val="10"/>
    <w:qFormat/>
    <w:locked/>
    <w:uiPriority w:val="99"/>
    <w:rPr>
      <w:rFonts w:ascii="Cambria" w:hAnsi="Cambria" w:eastAsia="宋体" w:cs="Cambria"/>
      <w:b/>
      <w:bCs/>
      <w:kern w:val="2"/>
      <w:sz w:val="24"/>
      <w:szCs w:val="24"/>
      <w:lang w:val="en-US" w:eastAsia="zh-CN"/>
    </w:rPr>
  </w:style>
  <w:style w:type="character" w:customStyle="1" w:styleId="70">
    <w:name w:val="Heading 7 Char"/>
    <w:basedOn w:val="47"/>
    <w:link w:val="11"/>
    <w:qFormat/>
    <w:locked/>
    <w:uiPriority w:val="99"/>
    <w:rPr>
      <w:rFonts w:ascii="Calibri" w:hAnsi="Calibri" w:eastAsia="宋体" w:cs="Calibri"/>
      <w:b/>
      <w:bCs/>
      <w:kern w:val="2"/>
      <w:sz w:val="24"/>
      <w:szCs w:val="24"/>
      <w:lang w:val="en-US" w:eastAsia="zh-CN"/>
    </w:rPr>
  </w:style>
  <w:style w:type="character" w:customStyle="1" w:styleId="71">
    <w:name w:val="Heading 8 Char"/>
    <w:basedOn w:val="47"/>
    <w:link w:val="12"/>
    <w:qFormat/>
    <w:locked/>
    <w:uiPriority w:val="99"/>
    <w:rPr>
      <w:rFonts w:ascii="Cambria" w:hAnsi="Cambria" w:eastAsia="宋体" w:cs="Cambria"/>
      <w:kern w:val="2"/>
      <w:sz w:val="24"/>
      <w:szCs w:val="24"/>
      <w:lang w:val="en-US" w:eastAsia="zh-CN"/>
    </w:rPr>
  </w:style>
  <w:style w:type="character" w:customStyle="1" w:styleId="72">
    <w:name w:val="Heading 9 Char"/>
    <w:basedOn w:val="47"/>
    <w:link w:val="13"/>
    <w:qFormat/>
    <w:locked/>
    <w:uiPriority w:val="99"/>
    <w:rPr>
      <w:rFonts w:ascii="Cambria" w:hAnsi="Cambria" w:eastAsia="宋体" w:cs="Cambria"/>
      <w:kern w:val="2"/>
      <w:sz w:val="21"/>
      <w:szCs w:val="21"/>
      <w:lang w:val="en-US" w:eastAsia="zh-CN"/>
    </w:rPr>
  </w:style>
  <w:style w:type="character" w:customStyle="1" w:styleId="73">
    <w:name w:val="Document Map Char"/>
    <w:basedOn w:val="47"/>
    <w:link w:val="17"/>
    <w:qFormat/>
    <w:locked/>
    <w:uiPriority w:val="99"/>
    <w:rPr>
      <w:rFonts w:cs="Times New Roman"/>
      <w:sz w:val="24"/>
      <w:szCs w:val="24"/>
      <w:shd w:val="clear" w:color="auto" w:fill="000080"/>
    </w:rPr>
  </w:style>
  <w:style w:type="character" w:customStyle="1" w:styleId="74">
    <w:name w:val="Comment Text Char"/>
    <w:basedOn w:val="47"/>
    <w:link w:val="18"/>
    <w:qFormat/>
    <w:locked/>
    <w:uiPriority w:val="99"/>
    <w:rPr>
      <w:rFonts w:cs="Times New Roman"/>
      <w:kern w:val="2"/>
      <w:sz w:val="22"/>
      <w:szCs w:val="22"/>
    </w:rPr>
  </w:style>
  <w:style w:type="character" w:customStyle="1" w:styleId="75">
    <w:name w:val="Body Text 3 Char"/>
    <w:basedOn w:val="47"/>
    <w:link w:val="19"/>
    <w:semiHidden/>
    <w:qFormat/>
    <w:locked/>
    <w:uiPriority w:val="99"/>
    <w:rPr>
      <w:rFonts w:cs="Times New Roman"/>
      <w:sz w:val="16"/>
      <w:szCs w:val="16"/>
    </w:rPr>
  </w:style>
  <w:style w:type="character" w:customStyle="1" w:styleId="76">
    <w:name w:val="Body Text Char"/>
    <w:basedOn w:val="47"/>
    <w:link w:val="20"/>
    <w:qFormat/>
    <w:locked/>
    <w:uiPriority w:val="99"/>
    <w:rPr>
      <w:rFonts w:eastAsia="宋体" w:cs="Times New Roman"/>
      <w:b/>
      <w:bCs/>
      <w:kern w:val="2"/>
      <w:sz w:val="44"/>
      <w:szCs w:val="44"/>
      <w:lang w:val="en-US" w:eastAsia="zh-CN"/>
    </w:rPr>
  </w:style>
  <w:style w:type="character" w:customStyle="1" w:styleId="77">
    <w:name w:val="Body Text Indent Char"/>
    <w:basedOn w:val="47"/>
    <w:link w:val="3"/>
    <w:semiHidden/>
    <w:qFormat/>
    <w:locked/>
    <w:uiPriority w:val="99"/>
    <w:rPr>
      <w:rFonts w:cs="Times New Roman"/>
      <w:sz w:val="21"/>
      <w:szCs w:val="21"/>
    </w:rPr>
  </w:style>
  <w:style w:type="character" w:customStyle="1" w:styleId="78">
    <w:name w:val="Plain Text Char"/>
    <w:basedOn w:val="47"/>
    <w:link w:val="25"/>
    <w:semiHidden/>
    <w:qFormat/>
    <w:locked/>
    <w:uiPriority w:val="99"/>
    <w:rPr>
      <w:rFonts w:ascii="宋体" w:hAnsi="Courier New" w:cs="Courier New"/>
      <w:sz w:val="21"/>
      <w:szCs w:val="21"/>
    </w:rPr>
  </w:style>
  <w:style w:type="character" w:customStyle="1" w:styleId="79">
    <w:name w:val="Date Char"/>
    <w:basedOn w:val="47"/>
    <w:link w:val="27"/>
    <w:qFormat/>
    <w:locked/>
    <w:uiPriority w:val="99"/>
    <w:rPr>
      <w:rFonts w:ascii="仿宋_GB2312" w:eastAsia="仿宋_GB2312" w:cs="仿宋_GB2312"/>
      <w:kern w:val="2"/>
      <w:sz w:val="30"/>
      <w:szCs w:val="30"/>
      <w:lang w:val="en-US" w:eastAsia="zh-CN"/>
    </w:rPr>
  </w:style>
  <w:style w:type="character" w:customStyle="1" w:styleId="80">
    <w:name w:val="Body Text Indent 2 Char"/>
    <w:basedOn w:val="47"/>
    <w:link w:val="28"/>
    <w:semiHidden/>
    <w:qFormat/>
    <w:locked/>
    <w:uiPriority w:val="99"/>
    <w:rPr>
      <w:rFonts w:cs="Times New Roman"/>
      <w:sz w:val="21"/>
      <w:szCs w:val="21"/>
    </w:rPr>
  </w:style>
  <w:style w:type="character" w:customStyle="1" w:styleId="81">
    <w:name w:val="Balloon Text Char"/>
    <w:basedOn w:val="47"/>
    <w:link w:val="29"/>
    <w:semiHidden/>
    <w:qFormat/>
    <w:locked/>
    <w:uiPriority w:val="99"/>
    <w:rPr>
      <w:rFonts w:cs="Times New Roman"/>
      <w:sz w:val="2"/>
    </w:rPr>
  </w:style>
  <w:style w:type="character" w:customStyle="1" w:styleId="82">
    <w:name w:val="Footer Char"/>
    <w:basedOn w:val="47"/>
    <w:link w:val="30"/>
    <w:qFormat/>
    <w:locked/>
    <w:uiPriority w:val="99"/>
    <w:rPr>
      <w:rFonts w:eastAsia="宋体" w:cs="Times New Roman"/>
      <w:kern w:val="2"/>
      <w:sz w:val="18"/>
      <w:szCs w:val="18"/>
      <w:lang w:val="en-US" w:eastAsia="zh-CN"/>
    </w:rPr>
  </w:style>
  <w:style w:type="character" w:customStyle="1" w:styleId="83">
    <w:name w:val="Header Char"/>
    <w:basedOn w:val="47"/>
    <w:link w:val="31"/>
    <w:qFormat/>
    <w:locked/>
    <w:uiPriority w:val="99"/>
    <w:rPr>
      <w:rFonts w:eastAsia="宋体" w:cs="Times New Roman"/>
      <w:kern w:val="2"/>
      <w:sz w:val="18"/>
      <w:szCs w:val="18"/>
      <w:lang w:val="en-US" w:eastAsia="zh-CN"/>
    </w:rPr>
  </w:style>
  <w:style w:type="character" w:customStyle="1" w:styleId="84">
    <w:name w:val="Subtitle Char"/>
    <w:basedOn w:val="47"/>
    <w:link w:val="34"/>
    <w:qFormat/>
    <w:locked/>
    <w:uiPriority w:val="99"/>
    <w:rPr>
      <w:rFonts w:ascii="Cambria" w:hAnsi="Cambria" w:cs="Cambria"/>
      <w:b/>
      <w:bCs/>
      <w:kern w:val="28"/>
      <w:sz w:val="32"/>
      <w:szCs w:val="32"/>
    </w:rPr>
  </w:style>
  <w:style w:type="character" w:customStyle="1" w:styleId="85">
    <w:name w:val="Footnote Text Char"/>
    <w:basedOn w:val="47"/>
    <w:link w:val="35"/>
    <w:semiHidden/>
    <w:qFormat/>
    <w:locked/>
    <w:uiPriority w:val="99"/>
    <w:rPr>
      <w:rFonts w:cs="Times New Roman"/>
      <w:sz w:val="18"/>
      <w:szCs w:val="18"/>
    </w:rPr>
  </w:style>
  <w:style w:type="character" w:customStyle="1" w:styleId="86">
    <w:name w:val="Body Text Indent 3 Char"/>
    <w:basedOn w:val="47"/>
    <w:link w:val="37"/>
    <w:semiHidden/>
    <w:qFormat/>
    <w:locked/>
    <w:uiPriority w:val="99"/>
    <w:rPr>
      <w:rFonts w:cs="Times New Roman"/>
      <w:sz w:val="16"/>
      <w:szCs w:val="16"/>
    </w:rPr>
  </w:style>
  <w:style w:type="character" w:customStyle="1" w:styleId="87">
    <w:name w:val="Body Text 2 Char"/>
    <w:basedOn w:val="47"/>
    <w:link w:val="41"/>
    <w:semiHidden/>
    <w:qFormat/>
    <w:locked/>
    <w:uiPriority w:val="99"/>
    <w:rPr>
      <w:rFonts w:cs="Times New Roman"/>
      <w:sz w:val="21"/>
      <w:szCs w:val="21"/>
    </w:rPr>
  </w:style>
  <w:style w:type="character" w:customStyle="1" w:styleId="88">
    <w:name w:val="Title Char"/>
    <w:basedOn w:val="47"/>
    <w:link w:val="43"/>
    <w:qFormat/>
    <w:locked/>
    <w:uiPriority w:val="99"/>
    <w:rPr>
      <w:rFonts w:ascii="Cambria" w:hAnsi="Cambria" w:cs="Cambria"/>
      <w:b/>
      <w:bCs/>
      <w:kern w:val="2"/>
      <w:sz w:val="32"/>
      <w:szCs w:val="32"/>
    </w:rPr>
  </w:style>
  <w:style w:type="character" w:customStyle="1" w:styleId="89">
    <w:name w:val="Comment Subject Char"/>
    <w:basedOn w:val="74"/>
    <w:link w:val="44"/>
    <w:qFormat/>
    <w:locked/>
    <w:uiPriority w:val="99"/>
    <w:rPr>
      <w:rFonts w:ascii="宋体" w:cs="宋体"/>
      <w:b/>
      <w:bCs/>
      <w:sz w:val="28"/>
      <w:szCs w:val="28"/>
    </w:rPr>
  </w:style>
  <w:style w:type="character" w:customStyle="1" w:styleId="90">
    <w:name w:val="Body Text First Indent 2 Char"/>
    <w:basedOn w:val="77"/>
    <w:link w:val="2"/>
    <w:semiHidden/>
    <w:qFormat/>
    <w:locked/>
    <w:uiPriority w:val="99"/>
  </w:style>
  <w:style w:type="character" w:customStyle="1" w:styleId="91">
    <w:name w:val="批注文字 Char Char"/>
    <w:qFormat/>
    <w:uiPriority w:val="99"/>
    <w:rPr>
      <w:rFonts w:ascii="宋体" w:hAnsi="Times New Roman" w:eastAsia="宋体"/>
      <w:sz w:val="20"/>
    </w:rPr>
  </w:style>
  <w:style w:type="character" w:customStyle="1" w:styleId="92">
    <w:name w:val="标题 1 Char Char"/>
    <w:qFormat/>
    <w:locked/>
    <w:uiPriority w:val="99"/>
    <w:rPr>
      <w:rFonts w:eastAsia="宋体"/>
      <w:b/>
      <w:kern w:val="44"/>
      <w:sz w:val="44"/>
      <w:lang w:val="en-US" w:eastAsia="zh-CN"/>
    </w:rPr>
  </w:style>
  <w:style w:type="character" w:customStyle="1" w:styleId="93">
    <w:name w:val="Char Char"/>
    <w:qFormat/>
    <w:uiPriority w:val="99"/>
    <w:rPr>
      <w:rFonts w:ascii="Arial" w:hAnsi="Arial" w:eastAsia="黑体"/>
      <w:b/>
      <w:kern w:val="2"/>
      <w:sz w:val="32"/>
      <w:lang w:val="en-US" w:eastAsia="zh-CN"/>
    </w:rPr>
  </w:style>
  <w:style w:type="character" w:customStyle="1" w:styleId="94">
    <w:name w:val="明显参考1"/>
    <w:qFormat/>
    <w:uiPriority w:val="99"/>
    <w:rPr>
      <w:b/>
      <w:smallCaps/>
      <w:color w:val="auto"/>
      <w:spacing w:val="5"/>
      <w:u w:val="single"/>
    </w:rPr>
  </w:style>
  <w:style w:type="character" w:customStyle="1" w:styleId="95">
    <w:name w:val="明显强调1"/>
    <w:qFormat/>
    <w:uiPriority w:val="99"/>
    <w:rPr>
      <w:b/>
      <w:i/>
      <w:color w:val="4F81BD"/>
    </w:rPr>
  </w:style>
  <w:style w:type="character" w:customStyle="1" w:styleId="96">
    <w:name w:val="文档结构图 Char1"/>
    <w:qFormat/>
    <w:uiPriority w:val="99"/>
    <w:rPr>
      <w:rFonts w:ascii="宋体"/>
      <w:kern w:val="2"/>
      <w:sz w:val="18"/>
    </w:rPr>
  </w:style>
  <w:style w:type="character" w:customStyle="1" w:styleId="97">
    <w:name w:val="日期 Char"/>
    <w:qFormat/>
    <w:uiPriority w:val="99"/>
    <w:rPr>
      <w:rFonts w:ascii="仿宋_GB2312" w:eastAsia="仿宋_GB2312"/>
      <w:kern w:val="2"/>
      <w:sz w:val="30"/>
      <w:lang w:val="en-US" w:eastAsia="zh-CN"/>
    </w:rPr>
  </w:style>
  <w:style w:type="character" w:customStyle="1" w:styleId="98">
    <w:name w:val="textcontents"/>
    <w:qFormat/>
    <w:uiPriority w:val="99"/>
  </w:style>
  <w:style w:type="character" w:customStyle="1" w:styleId="99">
    <w:name w:val="引用 Char"/>
    <w:link w:val="100"/>
    <w:qFormat/>
    <w:locked/>
    <w:uiPriority w:val="99"/>
    <w:rPr>
      <w:i/>
      <w:color w:val="000000"/>
      <w:kern w:val="2"/>
      <w:sz w:val="22"/>
    </w:rPr>
  </w:style>
  <w:style w:type="paragraph" w:customStyle="1" w:styleId="100">
    <w:name w:val="引用1"/>
    <w:basedOn w:val="1"/>
    <w:next w:val="1"/>
    <w:link w:val="99"/>
    <w:qFormat/>
    <w:uiPriority w:val="99"/>
    <w:rPr>
      <w:i/>
      <w:color w:val="000000"/>
      <w:sz w:val="22"/>
      <w:szCs w:val="20"/>
    </w:rPr>
  </w:style>
  <w:style w:type="character" w:customStyle="1" w:styleId="101">
    <w:name w:val="日期 Char1"/>
    <w:qFormat/>
    <w:uiPriority w:val="99"/>
    <w:rPr>
      <w:kern w:val="2"/>
      <w:sz w:val="22"/>
    </w:rPr>
  </w:style>
  <w:style w:type="character" w:customStyle="1" w:styleId="102">
    <w:name w:val="不明显参考1"/>
    <w:qFormat/>
    <w:uiPriority w:val="99"/>
    <w:rPr>
      <w:smallCaps/>
      <w:color w:val="auto"/>
      <w:u w:val="single"/>
    </w:rPr>
  </w:style>
  <w:style w:type="character" w:customStyle="1" w:styleId="103">
    <w:name w:val="批注框文本 Char1"/>
    <w:qFormat/>
    <w:uiPriority w:val="99"/>
    <w:rPr>
      <w:kern w:val="2"/>
      <w:sz w:val="18"/>
    </w:rPr>
  </w:style>
  <w:style w:type="character" w:customStyle="1" w:styleId="104">
    <w:name w:val="不明显强调1"/>
    <w:qFormat/>
    <w:uiPriority w:val="99"/>
    <w:rPr>
      <w:i/>
      <w:color w:val="808080"/>
    </w:rPr>
  </w:style>
  <w:style w:type="character" w:customStyle="1" w:styleId="105">
    <w:name w:val="标题4 Char Char"/>
    <w:link w:val="106"/>
    <w:qFormat/>
    <w:locked/>
    <w:uiPriority w:val="99"/>
    <w:rPr>
      <w:rFonts w:ascii="Arial" w:hAnsi="Arial"/>
      <w:b/>
      <w:sz w:val="32"/>
    </w:rPr>
  </w:style>
  <w:style w:type="paragraph" w:customStyle="1" w:styleId="106">
    <w:name w:val="标题4"/>
    <w:basedOn w:val="6"/>
    <w:next w:val="22"/>
    <w:link w:val="105"/>
    <w:qFormat/>
    <w:uiPriority w:val="99"/>
    <w:pPr>
      <w:spacing w:line="413" w:lineRule="auto"/>
    </w:pPr>
    <w:rPr>
      <w:rFonts w:eastAsia="宋体" w:cs="Times New Roman"/>
      <w:bCs w:val="0"/>
      <w:kern w:val="0"/>
      <w:szCs w:val="20"/>
    </w:rPr>
  </w:style>
  <w:style w:type="character" w:customStyle="1" w:styleId="107">
    <w:name w:val="书籍标题1"/>
    <w:qFormat/>
    <w:uiPriority w:val="99"/>
    <w:rPr>
      <w:b/>
      <w:smallCaps/>
      <w:spacing w:val="5"/>
    </w:rPr>
  </w:style>
  <w:style w:type="character" w:customStyle="1" w:styleId="108">
    <w:name w:val="bigfont"/>
    <w:basedOn w:val="47"/>
    <w:qFormat/>
    <w:uiPriority w:val="99"/>
    <w:rPr>
      <w:rFonts w:cs="Times New Roman"/>
    </w:rPr>
  </w:style>
  <w:style w:type="character" w:customStyle="1" w:styleId="109">
    <w:name w:val="news_title1"/>
    <w:qFormat/>
    <w:uiPriority w:val="99"/>
    <w:rPr>
      <w:rFonts w:ascii="宋体" w:hAnsi="宋体" w:eastAsia="宋体"/>
      <w:b/>
      <w:color w:val="000000"/>
      <w:sz w:val="36"/>
      <w:u w:val="none"/>
    </w:rPr>
  </w:style>
  <w:style w:type="character" w:customStyle="1" w:styleId="110">
    <w:name w:val="标题5 Char Char"/>
    <w:link w:val="111"/>
    <w:qFormat/>
    <w:locked/>
    <w:uiPriority w:val="99"/>
    <w:rPr>
      <w:rFonts w:ascii="Arial" w:hAnsi="Arial"/>
      <w:b/>
      <w:sz w:val="32"/>
    </w:rPr>
  </w:style>
  <w:style w:type="paragraph" w:customStyle="1" w:styleId="111">
    <w:name w:val="标题5"/>
    <w:basedOn w:val="7"/>
    <w:link w:val="110"/>
    <w:qFormat/>
    <w:uiPriority w:val="99"/>
    <w:pPr>
      <w:spacing w:line="413" w:lineRule="auto"/>
    </w:pPr>
    <w:rPr>
      <w:rFonts w:ascii="Arial" w:hAnsi="Arial"/>
      <w:bCs w:val="0"/>
      <w:kern w:val="0"/>
      <w:szCs w:val="20"/>
    </w:rPr>
  </w:style>
  <w:style w:type="character" w:customStyle="1" w:styleId="112">
    <w:name w:val="font161"/>
    <w:qFormat/>
    <w:uiPriority w:val="99"/>
    <w:rPr>
      <w:b/>
      <w:sz w:val="32"/>
    </w:rPr>
  </w:style>
  <w:style w:type="character" w:customStyle="1" w:styleId="113">
    <w:name w:val="标题 2 Char Char"/>
    <w:qFormat/>
    <w:locked/>
    <w:uiPriority w:val="99"/>
    <w:rPr>
      <w:rFonts w:ascii="Arial" w:hAnsi="Arial" w:eastAsia="黑体"/>
      <w:b/>
      <w:kern w:val="2"/>
      <w:sz w:val="32"/>
      <w:lang w:val="en-US" w:eastAsia="zh-CN"/>
    </w:rPr>
  </w:style>
  <w:style w:type="character" w:customStyle="1" w:styleId="114">
    <w:name w:val="Char Char1"/>
    <w:qFormat/>
    <w:uiPriority w:val="99"/>
    <w:rPr>
      <w:rFonts w:ascii="宋体" w:hAnsi="Times New Roman"/>
      <w:sz w:val="28"/>
    </w:rPr>
  </w:style>
  <w:style w:type="character" w:customStyle="1" w:styleId="115">
    <w:name w:val="明显引用 Char"/>
    <w:link w:val="116"/>
    <w:qFormat/>
    <w:locked/>
    <w:uiPriority w:val="99"/>
    <w:rPr>
      <w:b/>
      <w:i/>
      <w:color w:val="4F81BD"/>
      <w:kern w:val="2"/>
      <w:sz w:val="22"/>
    </w:rPr>
  </w:style>
  <w:style w:type="paragraph" w:customStyle="1" w:styleId="116">
    <w:name w:val="明显引用1"/>
    <w:basedOn w:val="1"/>
    <w:next w:val="1"/>
    <w:link w:val="115"/>
    <w:qFormat/>
    <w:uiPriority w:val="99"/>
    <w:pPr>
      <w:pBdr>
        <w:bottom w:val="single" w:color="4F81BD" w:sz="4" w:space="4"/>
      </w:pBdr>
      <w:spacing w:before="200" w:after="280"/>
      <w:ind w:left="936" w:right="936"/>
    </w:pPr>
    <w:rPr>
      <w:b/>
      <w:i/>
      <w:color w:val="4F81BD"/>
      <w:sz w:val="22"/>
      <w:szCs w:val="20"/>
    </w:rPr>
  </w:style>
  <w:style w:type="character" w:customStyle="1" w:styleId="117">
    <w:name w:val="批注主题 Char1"/>
    <w:qFormat/>
    <w:uiPriority w:val="99"/>
    <w:rPr>
      <w:b/>
      <w:kern w:val="2"/>
      <w:sz w:val="22"/>
    </w:rPr>
  </w:style>
  <w:style w:type="character" w:customStyle="1" w:styleId="118">
    <w:name w:val="正文文本 Char1"/>
    <w:qFormat/>
    <w:uiPriority w:val="99"/>
    <w:rPr>
      <w:kern w:val="2"/>
      <w:sz w:val="22"/>
    </w:rPr>
  </w:style>
  <w:style w:type="paragraph" w:customStyle="1" w:styleId="119">
    <w:name w:val="默认段落字体 Para Char Char Char Char"/>
    <w:basedOn w:val="1"/>
    <w:qFormat/>
    <w:uiPriority w:val="99"/>
  </w:style>
  <w:style w:type="paragraph" w:customStyle="1" w:styleId="120">
    <w:name w:val="Char Char Char Char Char Char Char Char Char Char Char Char Char"/>
    <w:basedOn w:val="1"/>
    <w:qFormat/>
    <w:uiPriority w:val="99"/>
  </w:style>
  <w:style w:type="paragraph" w:customStyle="1" w:styleId="121">
    <w:name w:val="样式 标题 3 + (中文) 黑体 小四 非加粗 段前: 7.8 磅 段后: 0 磅 行距: 固定值 20 磅"/>
    <w:basedOn w:val="7"/>
    <w:qFormat/>
    <w:uiPriority w:val="99"/>
    <w:pPr>
      <w:spacing w:before="0" w:after="0" w:line="400" w:lineRule="exact"/>
    </w:pPr>
    <w:rPr>
      <w:rFonts w:eastAsia="黑体"/>
      <w:b w:val="0"/>
      <w:bCs w:val="0"/>
      <w:sz w:val="24"/>
      <w:szCs w:val="24"/>
    </w:rPr>
  </w:style>
  <w:style w:type="paragraph" w:customStyle="1" w:styleId="122">
    <w:name w:val="表格文字"/>
    <w:basedOn w:val="1"/>
    <w:qFormat/>
    <w:uiPriority w:val="99"/>
    <w:pPr>
      <w:adjustRightInd w:val="0"/>
      <w:spacing w:line="420" w:lineRule="atLeast"/>
      <w:jc w:val="left"/>
      <w:textAlignment w:val="baseline"/>
    </w:pPr>
    <w:rPr>
      <w:kern w:val="0"/>
    </w:rPr>
  </w:style>
  <w:style w:type="paragraph" w:customStyle="1" w:styleId="123">
    <w:name w:val="修订1"/>
    <w:qFormat/>
    <w:uiPriority w:val="99"/>
    <w:rPr>
      <w:rFonts w:ascii="Times New Roman" w:hAnsi="Times New Roman" w:eastAsia="宋体" w:cs="Times New Roman"/>
      <w:kern w:val="2"/>
      <w:sz w:val="21"/>
      <w:szCs w:val="21"/>
      <w:lang w:val="en-US" w:eastAsia="zh-CN" w:bidi="ar-SA"/>
    </w:rPr>
  </w:style>
  <w:style w:type="paragraph" w:customStyle="1" w:styleId="124">
    <w:name w:val="Char"/>
    <w:basedOn w:val="1"/>
    <w:next w:val="1"/>
    <w:qFormat/>
    <w:uiPriority w:val="99"/>
    <w:pPr>
      <w:widowControl/>
      <w:spacing w:line="360" w:lineRule="auto"/>
      <w:jc w:val="left"/>
    </w:pPr>
    <w:rPr>
      <w:kern w:val="0"/>
      <w:lang w:eastAsia="en-US"/>
    </w:rPr>
  </w:style>
  <w:style w:type="paragraph" w:customStyle="1" w:styleId="125">
    <w:name w:val="样式2"/>
    <w:basedOn w:val="7"/>
    <w:qFormat/>
    <w:uiPriority w:val="99"/>
    <w:pPr>
      <w:spacing w:line="413" w:lineRule="auto"/>
    </w:pPr>
  </w:style>
  <w:style w:type="paragraph" w:customStyle="1" w:styleId="126">
    <w:name w:val="6'"/>
    <w:basedOn w:val="1"/>
    <w:qFormat/>
    <w:uiPriority w:val="99"/>
    <w:pPr>
      <w:autoSpaceDE w:val="0"/>
      <w:autoSpaceDN w:val="0"/>
      <w:adjustRightInd w:val="0"/>
      <w:snapToGrid w:val="0"/>
      <w:spacing w:line="320" w:lineRule="exact"/>
      <w:jc w:val="center"/>
      <w:textAlignment w:val="baseline"/>
    </w:pPr>
    <w:rPr>
      <w:spacing w:val="20"/>
      <w:kern w:val="28"/>
    </w:rPr>
  </w:style>
  <w:style w:type="paragraph" w:customStyle="1" w:styleId="127">
    <w:name w:val="表格"/>
    <w:basedOn w:val="1"/>
    <w:qFormat/>
    <w:uiPriority w:val="99"/>
    <w:pPr>
      <w:jc w:val="center"/>
      <w:textAlignment w:val="center"/>
    </w:pPr>
    <w:rPr>
      <w:rFonts w:ascii="华文细黑" w:hAnsi="华文细黑" w:cs="华文细黑"/>
      <w:kern w:val="0"/>
    </w:rPr>
  </w:style>
  <w:style w:type="paragraph" w:customStyle="1" w:styleId="128">
    <w:name w:val="Blockquote"/>
    <w:basedOn w:val="1"/>
    <w:qFormat/>
    <w:uiPriority w:val="99"/>
    <w:pPr>
      <w:autoSpaceDE w:val="0"/>
      <w:autoSpaceDN w:val="0"/>
      <w:adjustRightInd w:val="0"/>
      <w:spacing w:before="100" w:after="100"/>
      <w:ind w:left="360" w:right="360"/>
      <w:jc w:val="left"/>
    </w:pPr>
    <w:rPr>
      <w:kern w:val="0"/>
      <w:sz w:val="24"/>
      <w:szCs w:val="24"/>
    </w:rPr>
  </w:style>
  <w:style w:type="paragraph" w:customStyle="1" w:styleId="129">
    <w:name w:val="1"/>
    <w:basedOn w:val="1"/>
    <w:next w:val="1"/>
    <w:qFormat/>
    <w:uiPriority w:val="99"/>
  </w:style>
  <w:style w:type="paragraph" w:customStyle="1" w:styleId="130">
    <w:name w:val="样式1"/>
    <w:basedOn w:val="7"/>
    <w:qFormat/>
    <w:uiPriority w:val="99"/>
    <w:pPr>
      <w:spacing w:line="413" w:lineRule="auto"/>
    </w:pPr>
  </w:style>
  <w:style w:type="paragraph" w:customStyle="1" w:styleId="131">
    <w:name w:val="flNote"/>
    <w:basedOn w:val="1"/>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customStyle="1" w:styleId="132">
    <w:name w:val="无间隔1"/>
    <w:qFormat/>
    <w:uiPriority w:val="99"/>
    <w:pPr>
      <w:widowControl w:val="0"/>
      <w:jc w:val="both"/>
    </w:pPr>
    <w:rPr>
      <w:rFonts w:ascii="Calibri" w:hAnsi="Calibri" w:eastAsia="宋体" w:cs="Calibri"/>
      <w:kern w:val="2"/>
      <w:sz w:val="21"/>
      <w:szCs w:val="21"/>
      <w:lang w:val="en-US" w:eastAsia="zh-CN" w:bidi="ar-SA"/>
    </w:rPr>
  </w:style>
  <w:style w:type="paragraph" w:customStyle="1" w:styleId="133">
    <w:name w:val="样式4"/>
    <w:basedOn w:val="7"/>
    <w:qFormat/>
    <w:uiPriority w:val="99"/>
    <w:pPr>
      <w:spacing w:line="413" w:lineRule="auto"/>
    </w:pPr>
  </w:style>
  <w:style w:type="paragraph" w:customStyle="1" w:styleId="134">
    <w:name w:val="TOC 标题1"/>
    <w:basedOn w:val="5"/>
    <w:next w:val="1"/>
    <w:qFormat/>
    <w:uiPriority w:val="99"/>
    <w:pPr>
      <w:spacing w:line="576" w:lineRule="auto"/>
      <w:outlineLvl w:val="9"/>
    </w:pPr>
    <w:rPr>
      <w:rFonts w:ascii="Calibri" w:hAnsi="Calibri" w:cs="Calibri"/>
    </w:rPr>
  </w:style>
  <w:style w:type="paragraph" w:customStyle="1" w:styleId="135">
    <w:name w:val="样式 标题 1 + 黑体 三号 非加粗 居中 段前: 6 磅 段后: 6 磅 行距: 固定值 20 磅"/>
    <w:basedOn w:val="5"/>
    <w:qFormat/>
    <w:uiPriority w:val="99"/>
    <w:pPr>
      <w:spacing w:before="120" w:after="120" w:line="400" w:lineRule="exact"/>
    </w:pPr>
    <w:rPr>
      <w:rFonts w:ascii="黑体" w:hAnsi="黑体" w:eastAsia="黑体" w:cs="黑体"/>
      <w:b w:val="0"/>
      <w:bCs w:val="0"/>
      <w:sz w:val="32"/>
      <w:szCs w:val="32"/>
    </w:rPr>
  </w:style>
  <w:style w:type="paragraph" w:customStyle="1" w:styleId="136">
    <w:name w:val="样式 标题 2 + Times New Roman 四号 非加粗 段前: 5 磅 段后: 0 磅 行距: 固定值 20..."/>
    <w:basedOn w:val="6"/>
    <w:qFormat/>
    <w:uiPriority w:val="99"/>
    <w:pPr>
      <w:spacing w:before="100" w:after="0" w:line="400" w:lineRule="exact"/>
    </w:pPr>
    <w:rPr>
      <w:rFonts w:ascii="Times New Roman" w:hAnsi="Times New Roman" w:cs="Times New Roman"/>
      <w:b w:val="0"/>
      <w:bCs w:val="0"/>
      <w:kern w:val="0"/>
      <w:sz w:val="28"/>
      <w:szCs w:val="28"/>
    </w:rPr>
  </w:style>
  <w:style w:type="paragraph" w:customStyle="1" w:styleId="137">
    <w:name w:val="Char Char Char Char Char Char Char Char Char Char Char Char Char1"/>
    <w:basedOn w:val="17"/>
    <w:qFormat/>
    <w:uiPriority w:val="99"/>
    <w:rPr>
      <w:rFonts w:ascii="Tahoma" w:hAnsi="Tahoma" w:cs="Tahoma"/>
      <w:sz w:val="24"/>
      <w:szCs w:val="24"/>
      <w:shd w:val="clear" w:color="auto" w:fill="auto"/>
    </w:rPr>
  </w:style>
  <w:style w:type="paragraph" w:customStyle="1" w:styleId="138">
    <w:name w:val="列出段落1"/>
    <w:basedOn w:val="1"/>
    <w:qFormat/>
    <w:uiPriority w:val="99"/>
    <w:pPr>
      <w:ind w:firstLine="420" w:firstLineChars="200"/>
    </w:pPr>
    <w:rPr>
      <w:rFonts w:ascii="Calibri" w:hAnsi="Calibri" w:cs="Calibri"/>
    </w:rPr>
  </w:style>
  <w:style w:type="paragraph" w:customStyle="1" w:styleId="139">
    <w:name w:val="Char1"/>
    <w:basedOn w:val="1"/>
    <w:qFormat/>
    <w:uiPriority w:val="99"/>
    <w:rPr>
      <w:rFonts w:ascii="Tahoma" w:hAnsi="Tahoma" w:cs="Tahoma"/>
      <w:sz w:val="24"/>
      <w:szCs w:val="24"/>
    </w:rPr>
  </w:style>
  <w:style w:type="paragraph" w:customStyle="1" w:styleId="140">
    <w:name w:val="空半行"/>
    <w:basedOn w:val="1"/>
    <w:qFormat/>
    <w:uiPriority w:val="99"/>
    <w:pPr>
      <w:adjustRightInd w:val="0"/>
      <w:spacing w:line="120" w:lineRule="exact"/>
      <w:textAlignment w:val="baseline"/>
    </w:pPr>
    <w:rPr>
      <w:rFonts w:eastAsia="仿宋_GB2312"/>
      <w:color w:val="FFFFFF"/>
      <w:kern w:val="0"/>
      <w:sz w:val="30"/>
      <w:szCs w:val="30"/>
    </w:rPr>
  </w:style>
  <w:style w:type="paragraph" w:customStyle="1" w:styleId="141">
    <w:name w:val="样式3"/>
    <w:basedOn w:val="7"/>
    <w:qFormat/>
    <w:uiPriority w:val="99"/>
    <w:pPr>
      <w:spacing w:line="413" w:lineRule="auto"/>
    </w:pPr>
  </w:style>
  <w:style w:type="paragraph" w:customStyle="1" w:styleId="142">
    <w:name w:val="正文1"/>
    <w:qFormat/>
    <w:uiPriority w:val="99"/>
    <w:pPr>
      <w:widowControl w:val="0"/>
      <w:adjustRightInd w:val="0"/>
      <w:spacing w:line="312" w:lineRule="atLeast"/>
      <w:jc w:val="both"/>
      <w:textAlignment w:val="baseline"/>
    </w:pPr>
    <w:rPr>
      <w:rFonts w:ascii="宋体" w:hAnsi="Times New Roman" w:eastAsia="宋体" w:cs="宋体"/>
      <w:kern w:val="0"/>
      <w:sz w:val="24"/>
      <w:szCs w:val="24"/>
      <w:lang w:val="en-US" w:eastAsia="zh-CN" w:bidi="ar-SA"/>
    </w:rPr>
  </w:style>
  <w:style w:type="paragraph" w:customStyle="1" w:styleId="143">
    <w:name w:val="列出段落2"/>
    <w:basedOn w:val="1"/>
    <w:qFormat/>
    <w:uiPriority w:val="99"/>
    <w:pPr>
      <w:ind w:firstLine="200" w:firstLineChars="200"/>
    </w:pPr>
  </w:style>
  <w:style w:type="paragraph" w:customStyle="1" w:styleId="144">
    <w:name w:val="p0"/>
    <w:basedOn w:val="1"/>
    <w:qFormat/>
    <w:uiPriority w:val="99"/>
    <w:pPr>
      <w:widowControl/>
    </w:pPr>
    <w:rPr>
      <w:kern w:val="0"/>
    </w:rPr>
  </w:style>
  <w:style w:type="paragraph" w:customStyle="1" w:styleId="145">
    <w:name w:val="节标题"/>
    <w:basedOn w:val="1"/>
    <w:next w:val="1"/>
    <w:qFormat/>
    <w:uiPriority w:val="99"/>
    <w:pPr>
      <w:widowControl/>
      <w:spacing w:line="289" w:lineRule="atLeast"/>
      <w:jc w:val="center"/>
      <w:textAlignment w:val="baseline"/>
    </w:pPr>
    <w:rPr>
      <w:color w:val="000000"/>
      <w:kern w:val="0"/>
      <w:sz w:val="28"/>
      <w:szCs w:val="20"/>
    </w:rPr>
  </w:style>
  <w:style w:type="paragraph" w:customStyle="1" w:styleId="146">
    <w:name w:val="WPSOffice手动目录 1"/>
    <w:qFormat/>
    <w:uiPriority w:val="99"/>
    <w:rPr>
      <w:rFonts w:ascii="Times New Roman" w:hAnsi="Times New Roman" w:eastAsia="宋体" w:cs="Times New Roman"/>
      <w:kern w:val="0"/>
      <w:sz w:val="20"/>
      <w:szCs w:val="20"/>
      <w:lang w:val="en-US" w:eastAsia="zh-CN" w:bidi="ar-SA"/>
    </w:rPr>
  </w:style>
  <w:style w:type="paragraph" w:customStyle="1" w:styleId="147">
    <w:name w:val="WPSOffice手动目录 2"/>
    <w:qFormat/>
    <w:uiPriority w:val="99"/>
    <w:pPr>
      <w:ind w:left="200" w:leftChars="200"/>
    </w:pPr>
    <w:rPr>
      <w:rFonts w:ascii="Times New Roman" w:hAnsi="Times New Roman" w:eastAsia="宋体" w:cs="Times New Roman"/>
      <w:kern w:val="0"/>
      <w:sz w:val="20"/>
      <w:szCs w:val="20"/>
      <w:lang w:val="en-US" w:eastAsia="zh-CN" w:bidi="ar-SA"/>
    </w:rPr>
  </w:style>
  <w:style w:type="paragraph" w:customStyle="1" w:styleId="148">
    <w:name w:val="WPSOffice手动目录 3"/>
    <w:qFormat/>
    <w:uiPriority w:val="99"/>
    <w:pPr>
      <w:ind w:left="400" w:leftChars="400"/>
    </w:pPr>
    <w:rPr>
      <w:rFonts w:ascii="Times New Roman" w:hAnsi="Times New Roman" w:eastAsia="宋体" w:cs="Times New Roman"/>
      <w:kern w:val="0"/>
      <w:sz w:val="20"/>
      <w:szCs w:val="20"/>
      <w:lang w:val="en-US" w:eastAsia="zh-CN" w:bidi="ar-SA"/>
    </w:rPr>
  </w:style>
  <w:style w:type="character" w:customStyle="1" w:styleId="149">
    <w:name w:val="font12"/>
    <w:basedOn w:val="47"/>
    <w:qFormat/>
    <w:uiPriority w:val="0"/>
    <w:rPr>
      <w:rFonts w:hint="eastAsia" w:ascii="仿宋" w:hAnsi="仿宋" w:eastAsia="仿宋" w:cs="仿宋"/>
      <w:b/>
      <w:color w:val="000000"/>
      <w:sz w:val="32"/>
      <w:szCs w:val="32"/>
      <w:u w:val="none"/>
    </w:rPr>
  </w:style>
  <w:style w:type="paragraph" w:customStyle="1" w:styleId="150">
    <w:name w:val="Char1 Char Char Char"/>
    <w:basedOn w:val="1"/>
    <w:qFormat/>
    <w:uiPriority w:val="0"/>
    <w:pPr>
      <w:widowControl/>
      <w:spacing w:after="160" w:line="240" w:lineRule="exact"/>
      <w:jc w:val="left"/>
    </w:pPr>
    <w:rPr>
      <w:rFonts w:ascii="Verdana" w:hAnsi="Verdana"/>
      <w:kern w:val="0"/>
      <w:sz w:val="30"/>
      <w:szCs w:val="30"/>
      <w:lang w:eastAsia="en-US"/>
    </w:rPr>
  </w:style>
  <w:style w:type="character" w:customStyle="1" w:styleId="151">
    <w:name w:val="font101"/>
    <w:basedOn w:val="47"/>
    <w:qFormat/>
    <w:uiPriority w:val="0"/>
    <w:rPr>
      <w:rFonts w:hint="default" w:ascii="Times New Roman" w:hAnsi="Times New Roman" w:cs="Times New Roman"/>
      <w:color w:val="000000"/>
      <w:sz w:val="24"/>
      <w:szCs w:val="24"/>
      <w:u w:val="none"/>
    </w:rPr>
  </w:style>
  <w:style w:type="character" w:customStyle="1" w:styleId="152">
    <w:name w:val="font111"/>
    <w:basedOn w:val="47"/>
    <w:qFormat/>
    <w:uiPriority w:val="0"/>
    <w:rPr>
      <w:rFonts w:ascii="仿宋_GB2312" w:eastAsia="仿宋_GB2312" w:cs="仿宋_GB2312"/>
      <w:color w:val="000000"/>
      <w:sz w:val="24"/>
      <w:szCs w:val="24"/>
      <w:u w:val="none"/>
    </w:rPr>
  </w:style>
  <w:style w:type="character" w:customStyle="1" w:styleId="153">
    <w:name w:val="font91"/>
    <w:basedOn w:val="47"/>
    <w:qFormat/>
    <w:uiPriority w:val="0"/>
    <w:rPr>
      <w:rFonts w:hint="eastAsia" w:ascii="仿宋" w:hAnsi="仿宋" w:eastAsia="仿宋" w:cs="仿宋"/>
      <w:color w:val="000000"/>
      <w:sz w:val="24"/>
      <w:szCs w:val="24"/>
      <w:u w:val="single"/>
    </w:rPr>
  </w:style>
  <w:style w:type="character" w:customStyle="1" w:styleId="154">
    <w:name w:val="font81"/>
    <w:basedOn w:val="47"/>
    <w:qFormat/>
    <w:uiPriority w:val="0"/>
    <w:rPr>
      <w:rFonts w:hint="eastAsia" w:ascii="仿宋" w:hAnsi="仿宋" w:eastAsia="仿宋" w:cs="仿宋"/>
      <w:color w:val="000000"/>
      <w:sz w:val="24"/>
      <w:szCs w:val="24"/>
      <w:u w:val="none"/>
    </w:rPr>
  </w:style>
  <w:style w:type="character" w:customStyle="1" w:styleId="155">
    <w:name w:val="font61"/>
    <w:basedOn w:val="47"/>
    <w:qFormat/>
    <w:uiPriority w:val="0"/>
    <w:rPr>
      <w:rFonts w:hint="eastAsia" w:ascii="仿宋" w:hAnsi="仿宋" w:eastAsia="仿宋" w:cs="仿宋"/>
      <w:b/>
      <w:color w:val="000000"/>
      <w:sz w:val="32"/>
      <w:szCs w:val="32"/>
      <w:u w:val="none"/>
    </w:rPr>
  </w:style>
  <w:style w:type="character" w:customStyle="1" w:styleId="156">
    <w:name w:val="font21"/>
    <w:basedOn w:val="47"/>
    <w:qFormat/>
    <w:uiPriority w:val="0"/>
    <w:rPr>
      <w:rFonts w:hint="eastAsia" w:ascii="仿宋" w:hAnsi="仿宋" w:eastAsia="仿宋" w:cs="仿宋"/>
      <w:color w:val="000000"/>
      <w:sz w:val="24"/>
      <w:szCs w:val="24"/>
      <w:u w:val="none"/>
    </w:rPr>
  </w:style>
  <w:style w:type="paragraph" w:customStyle="1" w:styleId="157">
    <w:name w:val="纯文本1"/>
    <w:basedOn w:val="1"/>
    <w:qFormat/>
    <w:uiPriority w:val="0"/>
    <w:rPr>
      <w:rFonts w:ascii="宋体"/>
      <w:color w:val="000000"/>
    </w:rPr>
  </w:style>
  <w:style w:type="character" w:customStyle="1" w:styleId="158">
    <w:name w:val="status"/>
    <w:basedOn w:val="47"/>
    <w:qFormat/>
    <w:uiPriority w:val="0"/>
    <w:rPr>
      <w:color w:val="0776DD"/>
    </w:rPr>
  </w:style>
  <w:style w:type="character" w:customStyle="1" w:styleId="159">
    <w:name w:val="time"/>
    <w:basedOn w:val="47"/>
    <w:qFormat/>
    <w:uiPriority w:val="0"/>
  </w:style>
  <w:style w:type="paragraph" w:customStyle="1" w:styleId="160">
    <w:name w:val="Table Paragraph"/>
    <w:basedOn w:val="1"/>
    <w:qFormat/>
    <w:uiPriority w:val="1"/>
    <w:rPr>
      <w:rFonts w:ascii="宋体" w:hAnsi="宋体" w:eastAsia="宋体" w:cs="宋体"/>
      <w:lang w:val="zh-CN" w:eastAsia="zh-CN" w:bidi="zh-CN"/>
    </w:rPr>
  </w:style>
  <w:style w:type="character" w:customStyle="1" w:styleId="161">
    <w:name w:val="15"/>
    <w:basedOn w:val="47"/>
    <w:qFormat/>
    <w:uiPriority w:val="0"/>
    <w:rPr>
      <w:rFonts w:hint="default" w:ascii="Times New Roman" w:hAnsi="Times New Roman" w:cs="Times New Roman"/>
    </w:rPr>
  </w:style>
  <w:style w:type="character" w:customStyle="1" w:styleId="162">
    <w:name w:val="10"/>
    <w:basedOn w:val="47"/>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67</Pages>
  <Words>2782</Words>
  <Characters>3437</Characters>
  <Lines>1</Lines>
  <Paragraphs>1</Paragraphs>
  <TotalTime>10</TotalTime>
  <ScaleCrop>false</ScaleCrop>
  <LinksUpToDate>false</LinksUpToDate>
  <CharactersWithSpaces>3468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2017-05-18T16:09:00Z</dcterms:created>
  <dc:creator>微软用户</dc:creator>
  <cp:lastModifiedBy>Pim Pom丶</cp:lastModifiedBy>
  <cp:lastPrinted>2025-04-11T07:13:00Z</cp:lastPrinted>
  <dcterms:modified xsi:type="dcterms:W3CDTF">2026-03-24T03:20:48Z</dcterms:modified>
  <dc:title>创业园小区9#楼工程施工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9CFEE953F2184222AB867545202810F6_13</vt:lpwstr>
  </property>
  <property fmtid="{D5CDD505-2E9C-101B-9397-08002B2CF9AE}" pid="4" name="KSOTemplateDocerSaveRecord">
    <vt:lpwstr>eyJoZGlkIjoiOTk1OGJkZDZlMmJiZjgxZThhZWQ4YzE0YWIxYTUyMmQiLCJ1c2VySWQiOiI0MDkyMjI1MTkifQ==</vt:lpwstr>
  </property>
</Properties>
</file>