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5A0D5">
      <w:pPr>
        <w:spacing w:line="360" w:lineRule="auto"/>
        <w:jc w:val="center"/>
        <w:rPr>
          <w:rFonts w:hint="eastAsia" w:ascii="宋体" w:hAnsi="宋体" w:cs="宋体"/>
          <w:b/>
          <w:bCs/>
          <w:kern w:val="0"/>
          <w:sz w:val="32"/>
          <w:szCs w:val="32"/>
        </w:rPr>
      </w:pPr>
      <w:bookmarkStart w:id="0" w:name="_Toc78448233"/>
      <w:bookmarkStart w:id="1" w:name="_Toc78448327"/>
      <w:r>
        <w:rPr>
          <w:rFonts w:hint="eastAsia" w:ascii="宋体" w:hAnsi="宋体" w:cs="宋体"/>
          <w:b/>
          <w:bCs/>
          <w:kern w:val="0"/>
          <w:sz w:val="32"/>
          <w:szCs w:val="32"/>
          <w:lang w:val="en-US" w:eastAsia="zh-CN"/>
        </w:rPr>
        <w:t>明湖新区道路绿化项目控制价</w:t>
      </w:r>
      <w:r>
        <w:rPr>
          <w:rFonts w:hint="eastAsia" w:ascii="宋体" w:hAnsi="宋体" w:cs="宋体"/>
          <w:b/>
          <w:bCs/>
          <w:kern w:val="0"/>
          <w:sz w:val="32"/>
          <w:szCs w:val="32"/>
        </w:rPr>
        <w:t>编制说明</w:t>
      </w:r>
    </w:p>
    <w:p w14:paraId="6B6029A9">
      <w:pPr>
        <w:keepNext w:val="0"/>
        <w:keepLines w:val="0"/>
        <w:pageBreakBefore w:val="0"/>
        <w:widowControl w:val="0"/>
        <w:kinsoku/>
        <w:wordWrap/>
        <w:overflowPunct/>
        <w:topLinePunct w:val="0"/>
        <w:autoSpaceDE/>
        <w:autoSpaceDN/>
        <w:bidi w:val="0"/>
        <w:adjustRightInd/>
        <w:snapToGrid/>
        <w:spacing w:line="460" w:lineRule="exact"/>
        <w:ind w:left="177" w:leftChars="27" w:hanging="120" w:hangingChars="50"/>
        <w:jc w:val="left"/>
        <w:textAlignment w:val="auto"/>
        <w:rPr>
          <w:rFonts w:hint="eastAsia" w:ascii="宋体" w:hAnsi="宋体"/>
          <w:color w:val="000000"/>
          <w:sz w:val="24"/>
        </w:rPr>
      </w:pPr>
      <w:r>
        <w:rPr>
          <w:rFonts w:hint="eastAsia" w:ascii="宋体" w:hAnsi="宋体"/>
          <w:color w:val="000000"/>
          <w:sz w:val="24"/>
        </w:rPr>
        <w:t xml:space="preserve"> </w:t>
      </w:r>
    </w:p>
    <w:p w14:paraId="46D97889">
      <w:pPr>
        <w:keepNext w:val="0"/>
        <w:keepLines w:val="0"/>
        <w:pageBreakBefore w:val="0"/>
        <w:widowControl w:val="0"/>
        <w:kinsoku/>
        <w:wordWrap/>
        <w:overflowPunct/>
        <w:topLinePunct w:val="0"/>
        <w:autoSpaceDE/>
        <w:autoSpaceDN/>
        <w:bidi w:val="0"/>
        <w:adjustRightInd/>
        <w:snapToGrid/>
        <w:spacing w:line="460" w:lineRule="exact"/>
        <w:ind w:left="177" w:leftChars="27" w:hanging="120" w:hangingChars="50"/>
        <w:jc w:val="left"/>
        <w:textAlignment w:val="auto"/>
        <w:rPr>
          <w:rFonts w:hint="eastAsia" w:ascii="宋体" w:hAnsi="宋体" w:eastAsia="宋体" w:cs="Times New Roman"/>
          <w:b/>
          <w:sz w:val="24"/>
        </w:rPr>
      </w:pPr>
      <w:r>
        <w:rPr>
          <w:rFonts w:hint="eastAsia" w:ascii="宋体" w:hAnsi="宋体" w:eastAsia="宋体" w:cs="Times New Roman"/>
          <w:b/>
          <w:sz w:val="24"/>
        </w:rPr>
        <w:t>一、工程概况：</w:t>
      </w:r>
    </w:p>
    <w:bookmarkEnd w:id="0"/>
    <w:bookmarkEnd w:id="1"/>
    <w:p w14:paraId="6DBAD5AF">
      <w:pPr>
        <w:keepNext w:val="0"/>
        <w:keepLines w:val="0"/>
        <w:pageBreakBefore w:val="0"/>
        <w:widowControl w:val="0"/>
        <w:kinsoku/>
        <w:wordWrap/>
        <w:overflowPunct/>
        <w:topLinePunct w:val="0"/>
        <w:autoSpaceDE/>
        <w:autoSpaceDN/>
        <w:bidi w:val="0"/>
        <w:adjustRightInd/>
        <w:snapToGrid/>
        <w:spacing w:line="460" w:lineRule="exact"/>
        <w:ind w:left="279" w:leftChars="133" w:firstLine="480" w:firstLineChars="200"/>
        <w:jc w:val="left"/>
        <w:textAlignment w:val="auto"/>
        <w:rPr>
          <w:rFonts w:hint="default" w:ascii="宋体" w:hAnsi="宋体" w:eastAsia="宋体" w:cs="Times New Roman"/>
          <w:sz w:val="24"/>
          <w:szCs w:val="24"/>
          <w:lang w:val="en-US" w:eastAsia="zh-CN"/>
        </w:rPr>
      </w:pPr>
      <w:r>
        <w:rPr>
          <w:rFonts w:hint="eastAsia" w:ascii="宋体" w:hAnsi="宋体" w:eastAsia="宋体" w:cs="Times New Roman"/>
          <w:color w:val="auto"/>
          <w:sz w:val="24"/>
          <w:szCs w:val="24"/>
          <w:lang w:val="en-US" w:eastAsia="zh-CN"/>
        </w:rPr>
        <w:t>本工程为明湖新区道路绿化项目</w:t>
      </w:r>
      <w:r>
        <w:rPr>
          <w:rFonts w:hint="eastAsia" w:ascii="宋体" w:hAnsi="宋体" w:eastAsia="宋体" w:cs="Times New Roman"/>
          <w:sz w:val="24"/>
          <w:szCs w:val="24"/>
          <w:lang w:val="en-US" w:eastAsia="zh-CN"/>
        </w:rPr>
        <w:t>。主要</w:t>
      </w:r>
      <w:r>
        <w:rPr>
          <w:rFonts w:hint="eastAsia" w:ascii="宋体" w:hAnsi="宋体" w:cs="Times New Roman"/>
          <w:sz w:val="24"/>
          <w:szCs w:val="24"/>
          <w:lang w:val="en-US" w:eastAsia="zh-CN"/>
        </w:rPr>
        <w:t>滁州大道辅路与金陵南路交差口高架桥下空地</w:t>
      </w:r>
      <w:r>
        <w:rPr>
          <w:rFonts w:hint="eastAsia" w:ascii="宋体" w:hAnsi="宋体" w:eastAsia="宋体" w:cs="Times New Roman"/>
          <w:sz w:val="24"/>
          <w:szCs w:val="24"/>
          <w:lang w:val="en-US" w:eastAsia="zh-CN"/>
        </w:rPr>
        <w:t>绿化</w:t>
      </w:r>
      <w:r>
        <w:rPr>
          <w:rFonts w:hint="eastAsia" w:ascii="宋体" w:hAnsi="宋体" w:cs="Times New Roman"/>
          <w:sz w:val="24"/>
          <w:szCs w:val="24"/>
          <w:lang w:val="en-US" w:eastAsia="zh-CN"/>
        </w:rPr>
        <w:t>及辅车道分隔带绿化项目</w:t>
      </w:r>
      <w:r>
        <w:rPr>
          <w:rFonts w:hint="eastAsia" w:ascii="宋体" w:hAnsi="宋体" w:eastAsia="宋体" w:cs="Times New Roman"/>
          <w:sz w:val="24"/>
          <w:szCs w:val="24"/>
          <w:lang w:val="en-US" w:eastAsia="zh-CN"/>
        </w:rPr>
        <w:t>。</w:t>
      </w:r>
    </w:p>
    <w:p w14:paraId="64643AB9">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181" w:firstLineChars="75"/>
        <w:textAlignment w:val="auto"/>
        <w:rPr>
          <w:rFonts w:hint="eastAsia" w:ascii="宋体" w:hAnsi="宋体"/>
          <w:color w:val="000000"/>
          <w:sz w:val="28"/>
          <w:szCs w:val="28"/>
        </w:rPr>
      </w:pPr>
      <w:r>
        <w:rPr>
          <w:rFonts w:hint="eastAsia" w:ascii="宋体" w:hAnsi="宋体" w:eastAsia="宋体" w:cs="Times New Roman"/>
          <w:b/>
          <w:sz w:val="24"/>
        </w:rPr>
        <w:t>工程招标范围：</w:t>
      </w:r>
    </w:p>
    <w:p w14:paraId="168ACA4E">
      <w:pPr>
        <w:keepNext w:val="0"/>
        <w:keepLines w:val="0"/>
        <w:pageBreakBefore w:val="0"/>
        <w:widowControl w:val="0"/>
        <w:kinsoku/>
        <w:wordWrap/>
        <w:overflowPunct/>
        <w:topLinePunct w:val="0"/>
        <w:autoSpaceDE/>
        <w:autoSpaceDN/>
        <w:bidi w:val="0"/>
        <w:adjustRightInd/>
        <w:snapToGrid/>
        <w:spacing w:line="460" w:lineRule="exact"/>
        <w:ind w:left="279" w:leftChars="133"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主要</w:t>
      </w:r>
      <w:r>
        <w:rPr>
          <w:rFonts w:hint="eastAsia" w:ascii="宋体" w:hAnsi="宋体" w:eastAsia="宋体" w:cs="Times New Roman"/>
          <w:sz w:val="24"/>
          <w:szCs w:val="24"/>
          <w:lang w:val="en-US" w:eastAsia="zh-CN"/>
        </w:rPr>
        <w:t>包括：</w:t>
      </w:r>
      <w:r>
        <w:rPr>
          <w:rFonts w:hint="eastAsia" w:ascii="宋体" w:hAnsi="宋体" w:cs="Times New Roman"/>
          <w:sz w:val="24"/>
          <w:szCs w:val="24"/>
          <w:lang w:val="en-US" w:eastAsia="zh-CN"/>
        </w:rPr>
        <w:t>分隔带主要为红叶石楠色带，麦冬镶边</w:t>
      </w: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高架下空地绿化为局部红叶石楠+海桐+红花继木色带+百慕大混播草坪</w:t>
      </w: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播撒大花金鸡菊籽播，辅道路肩为百慕大混播黑麦草混播，罗木石楠隔离带，局部造型树乌桕、朴树、早樱等；详见工程量清单；</w:t>
      </w:r>
      <w:r>
        <w:rPr>
          <w:rFonts w:hint="eastAsia" w:ascii="宋体" w:hAnsi="宋体" w:eastAsia="宋体" w:cs="Times New Roman"/>
          <w:sz w:val="24"/>
          <w:szCs w:val="24"/>
          <w:lang w:val="en-US" w:eastAsia="zh-CN"/>
        </w:rPr>
        <w:t>三级养护，成活养护1个月，保存养护2个月，日常管理养护9个月</w:t>
      </w:r>
      <w:r>
        <w:rPr>
          <w:rFonts w:hint="eastAsia" w:ascii="宋体" w:hAnsi="宋体" w:eastAsia="宋体" w:cs="Times New Roman"/>
          <w:sz w:val="24"/>
          <w:szCs w:val="24"/>
        </w:rPr>
        <w:t>。</w:t>
      </w:r>
    </w:p>
    <w:p w14:paraId="138071D3">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181" w:firstLineChars="75"/>
        <w:textAlignment w:val="auto"/>
        <w:rPr>
          <w:rFonts w:hint="eastAsia" w:ascii="宋体" w:hAnsi="宋体" w:eastAsia="宋体" w:cs="Times New Roman"/>
          <w:b/>
          <w:sz w:val="24"/>
        </w:rPr>
      </w:pPr>
      <w:r>
        <w:rPr>
          <w:rFonts w:hint="eastAsia" w:ascii="宋体" w:hAnsi="宋体" w:eastAsia="宋体" w:cs="Times New Roman"/>
          <w:b/>
          <w:sz w:val="24"/>
        </w:rPr>
        <w:t>编制依据</w:t>
      </w:r>
    </w:p>
    <w:p w14:paraId="27498E59">
      <w:pPr>
        <w:snapToGrid w:val="0"/>
        <w:spacing w:line="520" w:lineRule="exact"/>
        <w:ind w:firstLine="480" w:firstLineChars="200"/>
        <w:rPr>
          <w:rFonts w:hint="default" w:ascii="宋体" w:hAnsi="宋体"/>
          <w:sz w:val="24"/>
          <w:lang w:val="en-US" w:eastAsia="zh-CN"/>
        </w:rPr>
      </w:pPr>
      <w:r>
        <w:rPr>
          <w:rFonts w:hint="eastAsia" w:ascii="宋体" w:hAnsi="宋体"/>
          <w:sz w:val="24"/>
          <w:lang w:val="en-US" w:eastAsia="zh-CN"/>
        </w:rPr>
        <w:t>1、本项目招标文件、委托咨询合同及相关附件；</w:t>
      </w:r>
    </w:p>
    <w:p w14:paraId="206BF8B3">
      <w:pPr>
        <w:snapToGrid w:val="0"/>
        <w:spacing w:line="520" w:lineRule="exact"/>
        <w:ind w:firstLine="480" w:firstLineChars="200"/>
        <w:rPr>
          <w:rFonts w:hint="default" w:ascii="宋体" w:hAnsi="宋体" w:eastAsia="宋体"/>
          <w:sz w:val="24"/>
          <w:lang w:val="en-US" w:eastAsia="zh-CN"/>
        </w:rPr>
      </w:pPr>
      <w:r>
        <w:rPr>
          <w:rFonts w:hint="eastAsia" w:ascii="宋体" w:hAnsi="宋体"/>
          <w:sz w:val="24"/>
          <w:lang w:val="en-US" w:eastAsia="zh-CN"/>
        </w:rPr>
        <w:t>2、不可竞争费执行《安徽省住房和城乡建设厅关于调整安徽省建设工程不可竞争费构成及计费标准通知》建标【2021】42号文；</w:t>
      </w:r>
    </w:p>
    <w:p w14:paraId="4C2C0782">
      <w:pPr>
        <w:snapToGrid w:val="0"/>
        <w:spacing w:line="520" w:lineRule="exact"/>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、《安徽省建设工程工程量清单计价规范》（DBJ26/T-206-2013）、《安徽省建设工程工程量清单计价办法》；</w:t>
      </w:r>
    </w:p>
    <w:p w14:paraId="230B1CF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、《安徽省</w:t>
      </w:r>
      <w:r>
        <w:rPr>
          <w:rFonts w:hint="eastAsia" w:ascii="宋体" w:hAnsi="宋体"/>
          <w:sz w:val="24"/>
          <w:lang w:val="en-US" w:eastAsia="zh-CN"/>
        </w:rPr>
        <w:t>园林绿化</w:t>
      </w:r>
      <w:r>
        <w:rPr>
          <w:rFonts w:hint="eastAsia" w:ascii="宋体" w:hAnsi="宋体"/>
          <w:sz w:val="24"/>
        </w:rPr>
        <w:t>工程计价定额》（2018年）；《安徽省建设工程施工机械台班费用编制规则》</w:t>
      </w:r>
      <w:r>
        <w:rPr>
          <w:rFonts w:hint="eastAsia" w:ascii="宋体" w:hAnsi="宋体"/>
          <w:sz w:val="24"/>
          <w:lang w:eastAsia="zh-CN"/>
        </w:rPr>
        <w:t>；</w:t>
      </w:r>
      <w:r>
        <w:rPr>
          <w:rFonts w:hint="eastAsia" w:ascii="宋体" w:hAnsi="宋体"/>
          <w:sz w:val="24"/>
        </w:rPr>
        <w:t>《安徽省建设工程费用定额》（2018年）；</w:t>
      </w:r>
    </w:p>
    <w:p w14:paraId="27AEE5C3">
      <w:pPr>
        <w:snapToGrid w:val="0"/>
        <w:spacing w:line="52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截止安徽省、滁州市202</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月底的有关政策性文件。</w:t>
      </w:r>
    </w:p>
    <w:p w14:paraId="3875B57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b/>
          <w:sz w:val="24"/>
        </w:rPr>
        <w:t>四、</w:t>
      </w:r>
      <w:r>
        <w:rPr>
          <w:rFonts w:hint="eastAsia" w:ascii="宋体" w:hAnsi="宋体" w:eastAsia="宋体" w:cs="Times New Roman"/>
          <w:b/>
          <w:sz w:val="24"/>
          <w:lang w:val="en-US" w:eastAsia="zh-CN"/>
        </w:rPr>
        <w:t>编制方法：</w:t>
      </w:r>
    </w:p>
    <w:p w14:paraId="2AAF6718">
      <w:pPr>
        <w:snapToGrid w:val="0"/>
        <w:spacing w:line="520" w:lineRule="exact"/>
        <w:ind w:firstLine="720" w:firstLineChars="300"/>
        <w:rPr>
          <w:rFonts w:hint="default" w:ascii="宋体" w:hAnsi="宋体" w:eastAsia="宋体" w:cs="Times New Roman"/>
          <w:sz w:val="24"/>
          <w:szCs w:val="24"/>
          <w:lang w:val="en-US" w:eastAsia="zh-CN"/>
        </w:rPr>
      </w:pPr>
      <w:r>
        <w:rPr>
          <w:rFonts w:hint="eastAsia" w:ascii="宋体" w:hAnsi="宋体"/>
          <w:sz w:val="24"/>
        </w:rPr>
        <w:t>工程量清单计价法（增值税一般计税）</w:t>
      </w:r>
      <w:r>
        <w:rPr>
          <w:rFonts w:hint="eastAsia" w:ascii="宋体" w:hAnsi="宋体" w:eastAsia="宋体" w:cs="宋体"/>
          <w:sz w:val="24"/>
          <w:szCs w:val="24"/>
          <w:lang w:val="en-US" w:eastAsia="zh-CN"/>
        </w:rPr>
        <w:t>动态调整第2期</w:t>
      </w:r>
      <w:r>
        <w:rPr>
          <w:rFonts w:hint="eastAsia" w:ascii="宋体" w:hAnsi="宋体"/>
          <w:sz w:val="24"/>
          <w:lang w:eastAsia="zh-CN"/>
        </w:rPr>
        <w:t>。</w:t>
      </w:r>
    </w:p>
    <w:p w14:paraId="5E329C13">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Times New Roman"/>
          <w:sz w:val="24"/>
          <w:szCs w:val="24"/>
        </w:rPr>
      </w:pPr>
      <w:r>
        <w:rPr>
          <w:rFonts w:hint="eastAsia" w:ascii="宋体" w:hAnsi="宋体" w:eastAsia="宋体" w:cs="Times New Roman"/>
          <w:b/>
          <w:sz w:val="24"/>
          <w:lang w:val="en-US" w:eastAsia="zh-CN"/>
        </w:rPr>
        <w:t>五、需说明事项：</w:t>
      </w:r>
    </w:p>
    <w:p w14:paraId="12DD02BA">
      <w:pPr>
        <w:snapToGrid w:val="0"/>
        <w:spacing w:line="52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1、</w:t>
      </w:r>
      <w:r>
        <w:rPr>
          <w:rFonts w:hint="eastAsia" w:ascii="宋体" w:hAnsi="宋体" w:cs="Times New Roman"/>
          <w:sz w:val="24"/>
          <w:szCs w:val="24"/>
          <w:lang w:val="en-US" w:eastAsia="zh-CN"/>
        </w:rPr>
        <w:t>滁州大道辅路与金陵南路交差口高架桥下空地</w:t>
      </w:r>
      <w:r>
        <w:rPr>
          <w:rFonts w:hint="eastAsia" w:ascii="宋体" w:hAnsi="宋体" w:eastAsia="宋体" w:cs="Times New Roman"/>
          <w:sz w:val="24"/>
          <w:szCs w:val="24"/>
          <w:lang w:val="en-US" w:eastAsia="zh-CN"/>
        </w:rPr>
        <w:t>绿化</w:t>
      </w:r>
      <w:r>
        <w:rPr>
          <w:rFonts w:hint="eastAsia" w:ascii="宋体" w:hAnsi="宋体" w:cs="Times New Roman"/>
          <w:sz w:val="24"/>
          <w:szCs w:val="24"/>
          <w:lang w:val="en-US" w:eastAsia="zh-CN"/>
        </w:rPr>
        <w:t>及辅车道分隔带绿化苗木进场需经业主认可，满足招标文件及附件要求，项目施工需满足业主单位验收标准</w:t>
      </w:r>
      <w:r>
        <w:rPr>
          <w:rFonts w:hint="eastAsia" w:ascii="宋体" w:hAnsi="宋体" w:eastAsia="宋体" w:cs="Times New Roman"/>
          <w:sz w:val="24"/>
          <w:lang w:val="en-US" w:eastAsia="zh-CN"/>
        </w:rPr>
        <w:t>；</w:t>
      </w:r>
    </w:p>
    <w:p w14:paraId="29E8FA0C">
      <w:pPr>
        <w:snapToGrid w:val="0"/>
        <w:spacing w:line="52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2、土方工程量</w:t>
      </w:r>
      <w:r>
        <w:rPr>
          <w:rFonts w:hint="eastAsia" w:ascii="宋体" w:hAnsi="宋体" w:cs="Times New Roman"/>
          <w:sz w:val="24"/>
          <w:lang w:val="en-US" w:eastAsia="zh-CN"/>
        </w:rPr>
        <w:t>为满足局部栽植效果，取土点由投标人自行解决，运距自行考虑，取土运输通道、保洁费、土源费等与之相关的一切费用均列入报价</w:t>
      </w:r>
      <w:r>
        <w:rPr>
          <w:rFonts w:hint="eastAsia" w:ascii="宋体" w:hAnsi="宋体" w:eastAsia="宋体" w:cs="Times New Roman"/>
          <w:sz w:val="24"/>
          <w:lang w:val="en-US" w:eastAsia="zh-CN"/>
        </w:rPr>
        <w:t>，缺方内运及余方弃置运距，投标单位自行考虑，结算不予调整；</w:t>
      </w:r>
    </w:p>
    <w:p w14:paraId="38F0FFB0">
      <w:pPr>
        <w:snapToGrid w:val="0"/>
        <w:spacing w:line="52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3、现场</w:t>
      </w:r>
      <w:r>
        <w:rPr>
          <w:rFonts w:hint="eastAsia" w:ascii="宋体" w:hAnsi="宋体" w:cs="Times New Roman"/>
          <w:sz w:val="24"/>
          <w:lang w:val="en-US" w:eastAsia="zh-CN"/>
        </w:rPr>
        <w:t>发生地下管线及</w:t>
      </w:r>
      <w:r>
        <w:rPr>
          <w:rFonts w:hint="eastAsia" w:ascii="宋体" w:hAnsi="宋体" w:eastAsia="宋体" w:cs="Times New Roman"/>
          <w:sz w:val="24"/>
          <w:lang w:val="en-US" w:eastAsia="zh-CN"/>
        </w:rPr>
        <w:t>行道树苗木移除，由中标单位自行处理，投标单位自行报价，</w:t>
      </w:r>
      <w:r>
        <w:rPr>
          <w:rFonts w:hint="eastAsia" w:ascii="宋体" w:hAnsi="宋体" w:cs="Times New Roman"/>
          <w:sz w:val="24"/>
          <w:lang w:val="en-US" w:eastAsia="zh-CN"/>
        </w:rPr>
        <w:t>视为包含在中标清单中，</w:t>
      </w:r>
      <w:r>
        <w:rPr>
          <w:rFonts w:hint="eastAsia" w:ascii="宋体" w:hAnsi="宋体" w:eastAsia="宋体" w:cs="Times New Roman"/>
          <w:sz w:val="24"/>
          <w:lang w:val="en-US" w:eastAsia="zh-CN"/>
        </w:rPr>
        <w:t>结算不予调整；</w:t>
      </w:r>
    </w:p>
    <w:p w14:paraId="69C8842B">
      <w:pPr>
        <w:snapToGrid w:val="0"/>
        <w:spacing w:line="520" w:lineRule="exact"/>
        <w:ind w:firstLine="480" w:firstLineChars="200"/>
        <w:rPr>
          <w:rFonts w:hint="default" w:ascii="宋体" w:hAnsi="宋体" w:eastAsia="宋体" w:cs="Times New Roman"/>
          <w:sz w:val="24"/>
          <w:lang w:val="en-US" w:eastAsia="zh-CN"/>
        </w:rPr>
      </w:pPr>
      <w:r>
        <w:rPr>
          <w:rFonts w:hint="eastAsia" w:ascii="宋体" w:hAnsi="宋体" w:cs="Times New Roman"/>
          <w:sz w:val="24"/>
          <w:lang w:val="en-US" w:eastAsia="zh-CN"/>
        </w:rPr>
        <w:t>4</w:t>
      </w:r>
      <w:r>
        <w:rPr>
          <w:rFonts w:hint="eastAsia" w:ascii="宋体" w:hAnsi="宋体" w:eastAsia="宋体" w:cs="Times New Roman"/>
          <w:sz w:val="24"/>
          <w:lang w:val="en-US" w:eastAsia="zh-CN"/>
        </w:rPr>
        <w:t>、机械进退场费</w:t>
      </w:r>
      <w:r>
        <w:rPr>
          <w:rFonts w:hint="eastAsia" w:ascii="宋体" w:hAnsi="宋体" w:cs="Times New Roman"/>
          <w:sz w:val="24"/>
          <w:lang w:val="en-US" w:eastAsia="zh-CN"/>
        </w:rPr>
        <w:t>包含在中标清单中</w:t>
      </w:r>
      <w:r>
        <w:rPr>
          <w:rFonts w:hint="eastAsia" w:ascii="宋体" w:hAnsi="宋体" w:eastAsia="宋体" w:cs="Times New Roman"/>
          <w:sz w:val="24"/>
          <w:lang w:val="en-US" w:eastAsia="zh-CN"/>
        </w:rPr>
        <w:t>，投标单位综合考虑使用的各种机械进退场，结算不予调整。</w:t>
      </w:r>
      <w:bookmarkStart w:id="2" w:name="_GoBack"/>
      <w:bookmarkEnd w:id="2"/>
    </w:p>
    <w:p w14:paraId="41A0C0CB">
      <w:pPr>
        <w:snapToGrid w:val="0"/>
        <w:spacing w:line="520" w:lineRule="exact"/>
        <w:ind w:firstLine="480" w:firstLineChars="200"/>
        <w:rPr>
          <w:rFonts w:hint="eastAsia" w:ascii="宋体" w:hAnsi="宋体" w:eastAsia="宋体" w:cs="Times New Roman"/>
          <w:b/>
          <w:sz w:val="24"/>
          <w:lang w:val="en-US" w:eastAsia="zh-CN"/>
        </w:rPr>
      </w:pPr>
      <w:r>
        <w:rPr>
          <w:rFonts w:hint="eastAsia" w:ascii="宋体" w:hAnsi="宋体" w:eastAsia="宋体" w:cs="Times New Roman"/>
          <w:sz w:val="24"/>
          <w:lang w:eastAsia="zh-CN"/>
        </w:rPr>
        <w:t xml:space="preserve">   </w:t>
      </w:r>
      <w:r>
        <w:rPr>
          <w:rFonts w:hint="eastAsia" w:ascii="宋体" w:hAnsi="宋体" w:eastAsia="宋体" w:cs="Times New Roman"/>
          <w:sz w:val="24"/>
          <w:lang w:val="en-US" w:eastAsia="zh-CN"/>
        </w:rPr>
        <w:t>六</w:t>
      </w:r>
      <w:r>
        <w:rPr>
          <w:rFonts w:hint="eastAsia" w:ascii="宋体" w:hAnsi="宋体" w:eastAsia="宋体" w:cs="Times New Roman"/>
          <w:b/>
          <w:sz w:val="24"/>
          <w:lang w:val="en-US" w:eastAsia="zh-CN"/>
        </w:rPr>
        <w:t>、编制结论：</w:t>
      </w:r>
    </w:p>
    <w:p w14:paraId="15551C61">
      <w:pPr>
        <w:snapToGrid w:val="0"/>
        <w:spacing w:line="520" w:lineRule="exact"/>
        <w:ind w:firstLine="960" w:firstLineChars="400"/>
        <w:rPr>
          <w:rFonts w:hint="eastAsia" w:ascii="宋体" w:hAnsi="宋体" w:eastAsia="宋体" w:cs="Times New Roman"/>
          <w:color w:val="auto"/>
          <w:sz w:val="24"/>
          <w:lang w:val="en-US" w:eastAsia="zh-CN"/>
        </w:rPr>
      </w:pPr>
      <w:r>
        <w:rPr>
          <w:rFonts w:hint="eastAsia" w:ascii="宋体" w:hAnsi="宋体" w:eastAsia="宋体" w:cs="Times New Roman"/>
          <w:sz w:val="24"/>
          <w:lang w:val="en-US" w:eastAsia="zh-CN"/>
        </w:rPr>
        <w:t>最高限价</w:t>
      </w:r>
      <w:r>
        <w:rPr>
          <w:rFonts w:hint="eastAsia" w:ascii="宋体" w:hAnsi="宋体" w:eastAsia="宋体" w:cs="Times New Roman"/>
          <w:sz w:val="24"/>
          <w:highlight w:val="none"/>
          <w:lang w:val="en-US" w:eastAsia="zh-CN"/>
        </w:rPr>
        <w:t>：</w:t>
      </w:r>
      <w:r>
        <w:rPr>
          <w:rFonts w:hint="eastAsia" w:ascii="宋体" w:hAnsi="宋体" w:cs="Times New Roman"/>
          <w:sz w:val="24"/>
          <w:highlight w:val="none"/>
          <w:lang w:val="en-US" w:eastAsia="zh-CN"/>
        </w:rPr>
        <w:t>476658.64</w:t>
      </w:r>
      <w:r>
        <w:rPr>
          <w:rFonts w:hint="eastAsia" w:ascii="宋体" w:hAnsi="宋体" w:eastAsia="宋体" w:cs="Times New Roman"/>
          <w:color w:val="auto"/>
          <w:sz w:val="24"/>
          <w:lang w:val="en-US" w:eastAsia="zh-CN"/>
        </w:rPr>
        <w:t>元</w:t>
      </w:r>
    </w:p>
    <w:p w14:paraId="1B08CC59">
      <w:pPr>
        <w:snapToGrid w:val="0"/>
        <w:spacing w:line="520" w:lineRule="exact"/>
        <w:ind w:firstLine="960" w:firstLineChars="400"/>
        <w:rPr>
          <w:rFonts w:hint="eastAsia" w:ascii="宋体" w:hAnsi="宋体"/>
          <w:color w:val="000000"/>
          <w:sz w:val="24"/>
        </w:rPr>
      </w:pPr>
      <w:r>
        <w:rPr>
          <w:rFonts w:hint="eastAsia" w:ascii="宋体" w:hAnsi="宋体" w:eastAsia="宋体" w:cs="Times New Roman"/>
          <w:sz w:val="24"/>
          <w:lang w:val="en-US" w:eastAsia="zh-CN"/>
        </w:rPr>
        <w:t>人民币大写：</w:t>
      </w:r>
      <w:r>
        <w:rPr>
          <w:rFonts w:hint="eastAsia" w:ascii="宋体" w:hAnsi="宋体" w:cs="Times New Roman"/>
          <w:sz w:val="24"/>
          <w:lang w:val="en-US" w:eastAsia="zh-CN"/>
        </w:rPr>
        <w:t>肆拾柒万陆仟陆佰伍拾捌元陆角肆分</w:t>
      </w:r>
      <w:r>
        <w:rPr>
          <w:rFonts w:hint="eastAsia" w:ascii="宋体" w:hAnsi="宋体" w:eastAsia="宋体" w:cs="Times New Roman"/>
          <w:sz w:val="24"/>
          <w:lang w:val="en-US" w:eastAsia="zh-CN"/>
        </w:rPr>
        <w:t>。</w:t>
      </w:r>
      <w:r>
        <w:rPr>
          <w:rFonts w:hint="eastAsia" w:ascii="宋体" w:hAnsi="宋体"/>
          <w:color w:val="000000"/>
          <w:sz w:val="24"/>
        </w:rPr>
        <w:t xml:space="preserve"> </w:t>
      </w:r>
    </w:p>
    <w:p w14:paraId="609CA30C">
      <w:pPr>
        <w:snapToGrid w:val="0"/>
        <w:spacing w:line="520" w:lineRule="exact"/>
        <w:ind w:firstLine="960" w:firstLineChars="400"/>
        <w:rPr>
          <w:rFonts w:hint="eastAsia" w:ascii="宋体" w:hAnsi="宋体"/>
          <w:color w:val="000000"/>
          <w:sz w:val="24"/>
        </w:rPr>
      </w:pPr>
    </w:p>
    <w:p w14:paraId="5296C304">
      <w:pPr>
        <w:snapToGrid w:val="0"/>
        <w:spacing w:line="520" w:lineRule="exact"/>
        <w:ind w:firstLine="960" w:firstLineChars="400"/>
        <w:rPr>
          <w:rFonts w:hint="eastAsia" w:ascii="宋体" w:hAnsi="宋体"/>
          <w:color w:val="000000"/>
          <w:sz w:val="24"/>
        </w:rPr>
      </w:pPr>
    </w:p>
    <w:p w14:paraId="3A9F41F7">
      <w:pPr>
        <w:snapToGrid w:val="0"/>
        <w:spacing w:line="520" w:lineRule="exact"/>
        <w:ind w:firstLine="960" w:firstLineChars="400"/>
        <w:rPr>
          <w:rFonts w:hint="eastAsia" w:ascii="宋体" w:hAnsi="宋体"/>
          <w:color w:val="000000"/>
          <w:sz w:val="24"/>
        </w:rPr>
      </w:pPr>
    </w:p>
    <w:p w14:paraId="27AA974A">
      <w:pPr>
        <w:snapToGrid w:val="0"/>
        <w:spacing w:line="520" w:lineRule="exact"/>
        <w:ind w:firstLine="960" w:firstLineChars="400"/>
        <w:rPr>
          <w:rFonts w:hint="eastAsia" w:ascii="宋体" w:hAnsi="宋体"/>
          <w:color w:val="000000"/>
          <w:sz w:val="24"/>
        </w:rPr>
      </w:pPr>
    </w:p>
    <w:p w14:paraId="28979580">
      <w:pPr>
        <w:snapToGrid w:val="0"/>
        <w:spacing w:line="520" w:lineRule="exact"/>
        <w:ind w:firstLine="960" w:firstLineChars="400"/>
        <w:rPr>
          <w:rFonts w:hint="eastAsia" w:ascii="宋体" w:hAnsi="宋体"/>
          <w:color w:val="000000"/>
          <w:sz w:val="24"/>
        </w:rPr>
      </w:pPr>
      <w:r>
        <w:rPr>
          <w:rFonts w:hint="eastAsia" w:ascii="宋体" w:hAnsi="宋体"/>
          <w:color w:val="000000"/>
          <w:sz w:val="24"/>
        </w:rPr>
        <w:t xml:space="preserve"> </w:t>
      </w:r>
    </w:p>
    <w:p w14:paraId="54AF8838">
      <w:r>
        <w:rPr>
          <w:rFonts w:hint="eastAsia" w:ascii="宋体" w:hAnsi="宋体"/>
          <w:color w:val="000000"/>
          <w:sz w:val="24"/>
          <w:lang w:val="en-US" w:eastAsia="zh-CN"/>
        </w:rPr>
        <w:t xml:space="preserve">                                                  2026年4月29日</w:t>
      </w:r>
      <w:r>
        <w:rPr>
          <w:rFonts w:hint="eastAsia" w:ascii="宋体" w:hAnsi="宋体"/>
          <w:color w:val="000000"/>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43846E"/>
    <w:multiLevelType w:val="singleLevel"/>
    <w:tmpl w:val="4343846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E06CF2"/>
    <w:rsid w:val="1EE06CF2"/>
    <w:rsid w:val="2EA63F04"/>
    <w:rsid w:val="57481CE1"/>
    <w:rsid w:val="667E4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778</Words>
  <Characters>818</Characters>
  <Lines>0</Lines>
  <Paragraphs>0</Paragraphs>
  <TotalTime>19</TotalTime>
  <ScaleCrop>false</ScaleCrop>
  <LinksUpToDate>false</LinksUpToDate>
  <CharactersWithSpaces>879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2026-03-20T04:01:00Z</dcterms:created>
  <dc:creator>建设-张正宇</dc:creator>
  <cp:lastModifiedBy>建设-张正宇</cp:lastModifiedBy>
  <dcterms:modified xsi:type="dcterms:W3CDTF">2026-04-29T06:52:59Z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57F4379A36EB420696DFE65FF89B4036_11</vt:lpwstr>
  </property>
  <property fmtid="{D5CDD505-2E9C-101B-9397-08002B2CF9AE}" pid="4" name="KSOTemplateDocerSaveRecord">
    <vt:lpwstr>eyJoZGlkIjoiNzU0NmY4ZTZjNDgyYzNkYjI4ZjllMTQ2NGQwNGU5NDkiLCJ1c2VySWQiOiI2OTYyNzI4NjkifQ==</vt:lpwstr>
  </property>
</Properties>
</file>