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775F3">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p>
    <w:p w14:paraId="67FC1741">
      <w:pPr>
        <w:tabs>
          <w:tab w:val="left" w:pos="315"/>
          <w:tab w:val="left" w:pos="8820"/>
        </w:tabs>
        <w:spacing w:before="240" w:beforeLines="100" w:after="120" w:afterLines="50" w:line="500" w:lineRule="exact"/>
        <w:ind w:right="267" w:rightChars="127"/>
        <w:jc w:val="both"/>
        <w:rPr>
          <w:rFonts w:hint="eastAsia" w:ascii="宋体" w:hAnsi="宋体" w:eastAsia="宋体" w:cs="宋体"/>
          <w:b/>
          <w:bCs/>
          <w:color w:val="auto"/>
          <w:sz w:val="52"/>
          <w:szCs w:val="52"/>
          <w:highlight w:val="none"/>
        </w:rPr>
      </w:pPr>
    </w:p>
    <w:p w14:paraId="48DE3A90">
      <w:pPr>
        <w:pStyle w:val="10"/>
        <w:ind w:firstLine="420" w:firstLineChars="0"/>
        <w:rPr>
          <w:rFonts w:hint="eastAsia" w:ascii="宋体" w:hAnsi="宋体" w:eastAsia="宋体" w:cs="宋体"/>
          <w:color w:val="auto"/>
          <w:highlight w:val="none"/>
        </w:rPr>
      </w:pPr>
    </w:p>
    <w:p w14:paraId="3F8DCEFB">
      <w:pPr>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kern w:val="0"/>
          <w:sz w:val="60"/>
          <w:szCs w:val="60"/>
          <w:highlight w:val="none"/>
          <w:lang w:eastAsia="zh-CN"/>
        </w:rPr>
        <w:t>明湖新区道路绿化项目</w:t>
      </w:r>
    </w:p>
    <w:p w14:paraId="02916AFF">
      <w:pPr>
        <w:ind w:firstLine="3614" w:firstLineChars="1500"/>
        <w:rPr>
          <w:rFonts w:hint="eastAsia" w:ascii="宋体" w:hAnsi="宋体" w:eastAsia="宋体" w:cs="宋体"/>
          <w:b/>
          <w:color w:val="auto"/>
          <w:sz w:val="24"/>
          <w:szCs w:val="24"/>
          <w:highlight w:val="none"/>
        </w:rPr>
      </w:pPr>
    </w:p>
    <w:p w14:paraId="740616CC">
      <w:pPr>
        <w:ind w:firstLine="2650" w:firstLineChars="1100"/>
        <w:rPr>
          <w:rFonts w:hint="eastAsia" w:ascii="宋体" w:hAnsi="宋体" w:eastAsia="宋体" w:cs="宋体"/>
          <w:b/>
          <w:color w:val="auto"/>
          <w:sz w:val="24"/>
          <w:szCs w:val="24"/>
          <w:highlight w:val="none"/>
        </w:rPr>
      </w:pPr>
    </w:p>
    <w:p w14:paraId="3DC8DDB2">
      <w:pPr>
        <w:jc w:val="both"/>
        <w:rPr>
          <w:rFonts w:hint="eastAsia" w:ascii="宋体" w:hAnsi="宋体" w:eastAsia="宋体" w:cs="宋体"/>
          <w:b/>
          <w:color w:val="auto"/>
          <w:sz w:val="24"/>
          <w:szCs w:val="24"/>
          <w:highlight w:val="none"/>
        </w:rPr>
      </w:pPr>
    </w:p>
    <w:p w14:paraId="23155647">
      <w:pPr>
        <w:pStyle w:val="10"/>
        <w:rPr>
          <w:rFonts w:hint="eastAsia" w:ascii="宋体" w:hAnsi="宋体" w:eastAsia="宋体" w:cs="宋体"/>
          <w:color w:val="auto"/>
          <w:highlight w:val="none"/>
        </w:rPr>
      </w:pPr>
    </w:p>
    <w:p w14:paraId="33B302F5">
      <w:pPr>
        <w:jc w:val="center"/>
        <w:rPr>
          <w:rFonts w:hint="eastAsia" w:ascii="宋体" w:hAnsi="宋体" w:eastAsia="宋体" w:cs="宋体"/>
          <w:color w:val="auto"/>
          <w:sz w:val="24"/>
          <w:szCs w:val="24"/>
          <w:highlight w:val="none"/>
        </w:rPr>
      </w:pPr>
    </w:p>
    <w:p w14:paraId="68B10F5B">
      <w:pPr>
        <w:jc w:val="center"/>
        <w:rPr>
          <w:rFonts w:hint="eastAsia" w:ascii="宋体" w:hAnsi="宋体" w:eastAsia="宋体" w:cs="宋体"/>
          <w:b/>
          <w:color w:val="auto"/>
          <w:sz w:val="24"/>
          <w:szCs w:val="24"/>
          <w:highlight w:val="none"/>
        </w:rPr>
      </w:pPr>
    </w:p>
    <w:p w14:paraId="4DD6F723">
      <w:pPr>
        <w:jc w:val="center"/>
        <w:rPr>
          <w:rFonts w:hint="eastAsia" w:ascii="宋体" w:hAnsi="宋体" w:eastAsia="宋体" w:cs="宋体"/>
          <w:b/>
          <w:color w:val="auto"/>
          <w:sz w:val="24"/>
          <w:szCs w:val="24"/>
          <w:highlight w:val="none"/>
        </w:rPr>
      </w:pPr>
    </w:p>
    <w:p w14:paraId="1EC77063">
      <w:pPr>
        <w:spacing w:line="24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96"/>
          <w:szCs w:val="96"/>
          <w:highlight w:val="none"/>
        </w:rPr>
        <w:t>竞争性谈判文件</w:t>
      </w:r>
    </w:p>
    <w:p w14:paraId="67EFA955">
      <w:pPr>
        <w:spacing w:line="240" w:lineRule="auto"/>
        <w:jc w:val="center"/>
        <w:rPr>
          <w:rFonts w:hint="eastAsia" w:ascii="宋体" w:hAnsi="宋体" w:eastAsia="宋体" w:cs="宋体"/>
          <w:color w:val="auto"/>
          <w:sz w:val="24"/>
          <w:highlight w:val="none"/>
        </w:rPr>
      </w:pPr>
    </w:p>
    <w:p w14:paraId="2C37C743">
      <w:pPr>
        <w:spacing w:line="240" w:lineRule="auto"/>
        <w:jc w:val="center"/>
        <w:rPr>
          <w:rFonts w:hint="eastAsia" w:ascii="宋体" w:hAnsi="宋体" w:eastAsia="宋体" w:cs="宋体"/>
          <w:b/>
          <w:color w:val="auto"/>
          <w:sz w:val="72"/>
          <w:szCs w:val="72"/>
          <w:highlight w:val="none"/>
        </w:rPr>
      </w:pPr>
      <w:r>
        <w:rPr>
          <w:rFonts w:hint="eastAsia" w:ascii="宋体" w:hAnsi="宋体" w:eastAsia="宋体" w:cs="宋体"/>
          <w:color w:val="auto"/>
          <w:sz w:val="24"/>
          <w:highlight w:val="none"/>
        </w:rPr>
        <w:t>项目编号：</w:t>
      </w:r>
      <w:r>
        <w:rPr>
          <w:rFonts w:ascii="微软雅黑" w:hAnsi="微软雅黑" w:eastAsia="微软雅黑" w:cs="微软雅黑"/>
          <w:color w:val="auto"/>
          <w:sz w:val="19"/>
          <w:szCs w:val="19"/>
          <w:highlight w:val="none"/>
        </w:rPr>
        <w:t>HXJY1110001055434001</w:t>
      </w:r>
    </w:p>
    <w:p w14:paraId="40A0B629">
      <w:pPr>
        <w:spacing w:line="1200" w:lineRule="auto"/>
        <w:jc w:val="both"/>
        <w:rPr>
          <w:rFonts w:hint="eastAsia" w:ascii="宋体" w:hAnsi="宋体" w:eastAsia="宋体" w:cs="宋体"/>
          <w:b/>
          <w:color w:val="auto"/>
          <w:sz w:val="44"/>
          <w:szCs w:val="44"/>
          <w:highlight w:val="none"/>
        </w:rPr>
      </w:pPr>
    </w:p>
    <w:p w14:paraId="236F0FE3">
      <w:pPr>
        <w:rPr>
          <w:rFonts w:hint="eastAsia" w:ascii="宋体" w:hAnsi="宋体" w:eastAsia="宋体" w:cs="宋体"/>
          <w:color w:val="auto"/>
          <w:highlight w:val="none"/>
        </w:rPr>
      </w:pPr>
    </w:p>
    <w:p w14:paraId="1BDABFB7">
      <w:pPr>
        <w:widowControl w:val="0"/>
        <w:spacing w:line="900" w:lineRule="exact"/>
        <w:ind w:firstLine="643" w:firstLineChars="200"/>
        <w:jc w:val="left"/>
        <w:textAlignment w:val="auto"/>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 xml:space="preserve">采 </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 xml:space="preserve"> 购</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 xml:space="preserve">  人：</w:t>
      </w:r>
      <w:r>
        <w:rPr>
          <w:rFonts w:hint="eastAsia" w:ascii="宋体" w:hAnsi="宋体" w:eastAsia="宋体" w:cs="宋体"/>
          <w:b/>
          <w:color w:val="auto"/>
          <w:kern w:val="2"/>
          <w:sz w:val="32"/>
          <w:szCs w:val="32"/>
          <w:highlight w:val="none"/>
          <w:u w:val="single" w:color="auto"/>
          <w:lang w:val="en-US" w:eastAsia="zh-CN"/>
        </w:rPr>
        <w:t>滁州市明湖建设管理服务中心</w:t>
      </w:r>
      <w:r>
        <w:rPr>
          <w:rFonts w:hint="eastAsia" w:ascii="宋体" w:hAnsi="宋体" w:eastAsia="宋体" w:cs="宋体"/>
          <w:b/>
          <w:color w:val="auto"/>
          <w:kern w:val="2"/>
          <w:sz w:val="32"/>
          <w:szCs w:val="32"/>
          <w:highlight w:val="none"/>
        </w:rPr>
        <w:t>（盖章）</w:t>
      </w:r>
    </w:p>
    <w:p w14:paraId="772E443C">
      <w:pPr>
        <w:widowControl w:val="0"/>
        <w:spacing w:line="900" w:lineRule="exact"/>
        <w:ind w:firstLine="643" w:firstLineChars="200"/>
        <w:jc w:val="left"/>
        <w:textAlignment w:val="auto"/>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采购代理机构：</w:t>
      </w:r>
      <w:r>
        <w:rPr>
          <w:rFonts w:hint="eastAsia" w:ascii="宋体" w:hAnsi="宋体" w:eastAsia="宋体" w:cs="宋体"/>
          <w:b/>
          <w:color w:val="auto"/>
          <w:kern w:val="2"/>
          <w:sz w:val="32"/>
          <w:szCs w:val="32"/>
          <w:highlight w:val="none"/>
          <w:u w:val="single"/>
        </w:rPr>
        <w:t>滁州市城投工程咨询管理有限公司</w:t>
      </w:r>
      <w:r>
        <w:rPr>
          <w:rFonts w:hint="eastAsia" w:ascii="宋体" w:hAnsi="宋体" w:eastAsia="宋体" w:cs="宋体"/>
          <w:b/>
          <w:color w:val="auto"/>
          <w:kern w:val="2"/>
          <w:sz w:val="32"/>
          <w:szCs w:val="32"/>
          <w:highlight w:val="none"/>
        </w:rPr>
        <w:t>（盖章）</w:t>
      </w:r>
    </w:p>
    <w:p w14:paraId="43E02BED">
      <w:pPr>
        <w:widowControl w:val="0"/>
        <w:spacing w:line="900" w:lineRule="exact"/>
        <w:jc w:val="center"/>
        <w:textAlignment w:val="auto"/>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eastAsia="zh-CN"/>
        </w:rPr>
        <w:t>2026年4月</w:t>
      </w:r>
    </w:p>
    <w:p w14:paraId="439C2DDC">
      <w:pPr>
        <w:pStyle w:val="20"/>
        <w:tabs>
          <w:tab w:val="right" w:leader="dot" w:pos="9638"/>
        </w:tabs>
        <w:jc w:val="center"/>
        <w:rPr>
          <w:rFonts w:hint="eastAsia" w:ascii="宋体" w:hAnsi="宋体" w:eastAsia="宋体" w:cs="宋体"/>
          <w:b/>
          <w:color w:val="auto"/>
          <w:sz w:val="32"/>
          <w:szCs w:val="28"/>
          <w:highlight w:val="none"/>
        </w:rPr>
      </w:pPr>
    </w:p>
    <w:p w14:paraId="70D39954">
      <w:pPr>
        <w:tabs>
          <w:tab w:val="left" w:pos="2410"/>
        </w:tabs>
        <w:autoSpaceDE w:val="0"/>
        <w:autoSpaceDN w:val="0"/>
        <w:adjustRightInd w:val="0"/>
        <w:snapToGrid w:val="0"/>
        <w:spacing w:line="720" w:lineRule="auto"/>
        <w:jc w:val="center"/>
        <w:rPr>
          <w:rFonts w:hint="eastAsia" w:ascii="宋体" w:hAnsi="宋体" w:eastAsia="宋体" w:cs="宋体"/>
          <w:b/>
          <w:bCs w:val="0"/>
          <w:color w:val="auto"/>
          <w:sz w:val="28"/>
          <w:highlight w:val="none"/>
        </w:rPr>
      </w:pPr>
    </w:p>
    <w:p w14:paraId="1DA538E9">
      <w:pPr>
        <w:tabs>
          <w:tab w:val="left" w:pos="2410"/>
        </w:tabs>
        <w:autoSpaceDE w:val="0"/>
        <w:autoSpaceDN w:val="0"/>
        <w:adjustRightInd w:val="0"/>
        <w:snapToGrid w:val="0"/>
        <w:spacing w:line="720" w:lineRule="auto"/>
        <w:jc w:val="center"/>
        <w:rPr>
          <w:rFonts w:hint="eastAsia" w:ascii="宋体" w:hAnsi="宋体" w:eastAsia="宋体" w:cs="宋体"/>
          <w:b/>
          <w:bCs w:val="0"/>
          <w:color w:val="auto"/>
          <w:sz w:val="28"/>
          <w:highlight w:val="none"/>
        </w:rPr>
      </w:pPr>
      <w:r>
        <w:rPr>
          <w:rFonts w:hint="eastAsia" w:ascii="宋体" w:hAnsi="宋体" w:eastAsia="宋体" w:cs="宋体"/>
          <w:b/>
          <w:bCs w:val="0"/>
          <w:color w:val="auto"/>
          <w:sz w:val="28"/>
          <w:highlight w:val="none"/>
        </w:rPr>
        <w:t>目  录</w:t>
      </w:r>
    </w:p>
    <w:p w14:paraId="53A40926">
      <w:pPr>
        <w:pStyle w:val="20"/>
        <w:tabs>
          <w:tab w:val="right" w:leader="dot" w:pos="9639"/>
        </w:tabs>
        <w:spacing w:line="480" w:lineRule="auto"/>
        <w:rPr>
          <w:rFonts w:hint="eastAsia" w:ascii="宋体" w:hAnsi="宋体" w:eastAsia="宋体" w:cs="宋体"/>
          <w:b/>
          <w:bCs w:val="0"/>
          <w:color w:val="auto"/>
          <w:highlight w:val="none"/>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color w:val="auto"/>
          <w:sz w:val="24"/>
          <w:szCs w:val="24"/>
          <w:highlight w:val="none"/>
        </w:rPr>
        <w:instrText xml:space="preserve"> TOC \o "1-2" \h \z \u </w:instrText>
      </w:r>
      <w:r>
        <w:rPr>
          <w:rFonts w:hint="eastAsia" w:ascii="宋体" w:hAnsi="宋体" w:eastAsia="宋体" w:cs="宋体"/>
          <w:b/>
          <w:bCs w:val="0"/>
          <w:color w:val="auto"/>
          <w:sz w:val="24"/>
          <w:szCs w:val="24"/>
          <w:highlight w:val="none"/>
        </w:rPr>
        <w:fldChar w:fldCharType="separate"/>
      </w: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_Toc21426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第一章  竞争性谈判公告</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1</w:t>
      </w:r>
      <w:r>
        <w:rPr>
          <w:rFonts w:hint="eastAsia" w:ascii="宋体" w:hAnsi="宋体" w:eastAsia="宋体" w:cs="宋体"/>
          <w:b/>
          <w:bCs w:val="0"/>
          <w:color w:val="auto"/>
          <w:szCs w:val="24"/>
          <w:highlight w:val="none"/>
        </w:rPr>
        <w:fldChar w:fldCharType="end"/>
      </w:r>
    </w:p>
    <w:p w14:paraId="7541CCD3">
      <w:pPr>
        <w:pStyle w:val="20"/>
        <w:tabs>
          <w:tab w:val="right" w:leader="dot" w:pos="9639"/>
        </w:tabs>
        <w:spacing w:line="480" w:lineRule="auto"/>
        <w:rPr>
          <w:rFonts w:hint="eastAsia" w:ascii="宋体" w:hAnsi="宋体" w:eastAsia="宋体" w:cs="宋体"/>
          <w:b/>
          <w:bCs w:val="0"/>
          <w:color w:val="auto"/>
          <w:highlight w:val="none"/>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_Toc5132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第二章  供应商须知</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5</w:t>
      </w:r>
      <w:r>
        <w:rPr>
          <w:rFonts w:hint="eastAsia" w:ascii="宋体" w:hAnsi="宋体" w:eastAsia="宋体" w:cs="宋体"/>
          <w:b/>
          <w:bCs w:val="0"/>
          <w:color w:val="auto"/>
          <w:szCs w:val="24"/>
          <w:highlight w:val="none"/>
        </w:rPr>
        <w:fldChar w:fldCharType="end"/>
      </w:r>
    </w:p>
    <w:p w14:paraId="462B0B12">
      <w:pPr>
        <w:pStyle w:val="20"/>
        <w:tabs>
          <w:tab w:val="right" w:leader="dot" w:pos="9639"/>
        </w:tabs>
        <w:spacing w:line="480" w:lineRule="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_Toc14453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第三章  采购需求</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2</w:t>
      </w:r>
      <w:r>
        <w:rPr>
          <w:rFonts w:hint="eastAsia" w:ascii="宋体" w:hAnsi="宋体" w:eastAsia="宋体" w:cs="宋体"/>
          <w:b/>
          <w:bCs w:val="0"/>
          <w:color w:val="auto"/>
          <w:szCs w:val="24"/>
          <w:highlight w:val="none"/>
        </w:rPr>
        <w:fldChar w:fldCharType="end"/>
      </w:r>
      <w:r>
        <w:rPr>
          <w:rFonts w:hint="eastAsia" w:ascii="宋体" w:hAnsi="宋体" w:eastAsia="宋体" w:cs="宋体"/>
          <w:b/>
          <w:bCs w:val="0"/>
          <w:color w:val="auto"/>
          <w:szCs w:val="24"/>
          <w:highlight w:val="none"/>
          <w:lang w:val="en-US" w:eastAsia="zh-CN"/>
        </w:rPr>
        <w:t>0</w:t>
      </w:r>
    </w:p>
    <w:p w14:paraId="1F9A06AC">
      <w:pPr>
        <w:pStyle w:val="20"/>
        <w:tabs>
          <w:tab w:val="right" w:leader="dot" w:pos="9639"/>
        </w:tabs>
        <w:spacing w:line="480" w:lineRule="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_Toc17593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第四章  评审方法和标准</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2</w:t>
      </w:r>
      <w:r>
        <w:rPr>
          <w:rFonts w:hint="eastAsia" w:ascii="宋体" w:hAnsi="宋体" w:eastAsia="宋体" w:cs="宋体"/>
          <w:b/>
          <w:bCs w:val="0"/>
          <w:color w:val="auto"/>
          <w:szCs w:val="24"/>
          <w:highlight w:val="none"/>
        </w:rPr>
        <w:fldChar w:fldCharType="end"/>
      </w:r>
      <w:r>
        <w:rPr>
          <w:rFonts w:hint="eastAsia" w:ascii="宋体" w:hAnsi="宋体" w:eastAsia="宋体" w:cs="宋体"/>
          <w:b/>
          <w:bCs w:val="0"/>
          <w:color w:val="auto"/>
          <w:szCs w:val="24"/>
          <w:highlight w:val="none"/>
          <w:lang w:val="en-US" w:eastAsia="zh-CN"/>
        </w:rPr>
        <w:t>3</w:t>
      </w:r>
    </w:p>
    <w:p w14:paraId="65CF8DE1">
      <w:pPr>
        <w:pStyle w:val="20"/>
        <w:tabs>
          <w:tab w:val="right" w:leader="dot" w:pos="9639"/>
        </w:tabs>
        <w:spacing w:line="480" w:lineRule="auto"/>
        <w:rPr>
          <w:rFonts w:hint="eastAsia" w:ascii="宋体" w:hAnsi="宋体" w:eastAsia="宋体" w:cs="宋体"/>
          <w:b/>
          <w:bCs w:val="0"/>
          <w:color w:val="auto"/>
          <w:highlight w:val="none"/>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_Toc15528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第五章  政府采购合同</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_Toc15528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2</w:t>
      </w:r>
      <w:r>
        <w:rPr>
          <w:rFonts w:hint="eastAsia" w:ascii="宋体" w:hAnsi="宋体" w:eastAsia="宋体" w:cs="宋体"/>
          <w:b/>
          <w:bCs w:val="0"/>
          <w:color w:val="auto"/>
          <w:highlight w:val="none"/>
          <w:lang w:val="en-US" w:eastAsia="zh-CN"/>
        </w:rPr>
        <w:t>6</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4"/>
          <w:highlight w:val="none"/>
        </w:rPr>
        <w:fldChar w:fldCharType="end"/>
      </w:r>
    </w:p>
    <w:p w14:paraId="57F4C917">
      <w:pPr>
        <w:pStyle w:val="20"/>
        <w:tabs>
          <w:tab w:val="right" w:leader="dot" w:pos="9639"/>
        </w:tabs>
        <w:spacing w:line="480" w:lineRule="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_Toc560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第六章  响应文件格式</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3</w:t>
      </w:r>
      <w:r>
        <w:rPr>
          <w:rFonts w:hint="eastAsia" w:ascii="宋体" w:hAnsi="宋体" w:eastAsia="宋体" w:cs="宋体"/>
          <w:b/>
          <w:bCs w:val="0"/>
          <w:color w:val="auto"/>
          <w:szCs w:val="24"/>
          <w:highlight w:val="none"/>
        </w:rPr>
        <w:fldChar w:fldCharType="end"/>
      </w:r>
      <w:r>
        <w:rPr>
          <w:rFonts w:hint="eastAsia" w:ascii="宋体" w:hAnsi="宋体" w:eastAsia="宋体" w:cs="宋体"/>
          <w:b/>
          <w:bCs w:val="0"/>
          <w:color w:val="auto"/>
          <w:szCs w:val="24"/>
          <w:highlight w:val="none"/>
          <w:lang w:val="en-US" w:eastAsia="zh-CN"/>
        </w:rPr>
        <w:t>7</w:t>
      </w:r>
    </w:p>
    <w:p w14:paraId="6BFB8E97">
      <w:pPr>
        <w:pStyle w:val="20"/>
        <w:tabs>
          <w:tab w:val="right" w:leader="dot" w:pos="9639"/>
        </w:tabs>
        <w:spacing w:line="480" w:lineRule="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_Toc12198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w:t>
      </w:r>
      <w:r>
        <w:rPr>
          <w:rFonts w:hint="eastAsia" w:ascii="宋体" w:hAnsi="宋体" w:eastAsia="宋体" w:cs="宋体"/>
          <w:b/>
          <w:bCs w:val="0"/>
          <w:color w:val="auto"/>
          <w:highlight w:val="none"/>
          <w:lang w:val="en-US" w:eastAsia="zh-CN"/>
        </w:rPr>
        <w:t>七</w:t>
      </w:r>
      <w:r>
        <w:rPr>
          <w:rFonts w:hint="eastAsia" w:ascii="宋体" w:hAnsi="宋体" w:eastAsia="宋体" w:cs="宋体"/>
          <w:b/>
          <w:bCs w:val="0"/>
          <w:color w:val="auto"/>
          <w:highlight w:val="none"/>
        </w:rPr>
        <w:t>章  采购人、代理机构对本竞争性谈判文件的确认</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6</w:t>
      </w:r>
      <w:r>
        <w:rPr>
          <w:rFonts w:hint="eastAsia" w:ascii="宋体" w:hAnsi="宋体" w:eastAsia="宋体" w:cs="宋体"/>
          <w:b/>
          <w:bCs w:val="0"/>
          <w:color w:val="auto"/>
          <w:szCs w:val="24"/>
          <w:highlight w:val="none"/>
        </w:rPr>
        <w:fldChar w:fldCharType="end"/>
      </w:r>
      <w:r>
        <w:rPr>
          <w:rFonts w:hint="eastAsia" w:ascii="宋体" w:hAnsi="宋体" w:eastAsia="宋体" w:cs="宋体"/>
          <w:b/>
          <w:bCs w:val="0"/>
          <w:color w:val="auto"/>
          <w:szCs w:val="24"/>
          <w:highlight w:val="none"/>
          <w:lang w:val="en-US" w:eastAsia="zh-CN"/>
        </w:rPr>
        <w:t>1</w:t>
      </w:r>
    </w:p>
    <w:p w14:paraId="2BD706B4">
      <w:pPr>
        <w:pStyle w:val="23"/>
        <w:tabs>
          <w:tab w:val="right" w:leader="dot" w:pos="8296"/>
        </w:tabs>
        <w:spacing w:line="480" w:lineRule="auto"/>
        <w:jc w:val="center"/>
        <w:rPr>
          <w:rFonts w:hint="eastAsia" w:ascii="宋体" w:hAnsi="宋体" w:eastAsia="宋体" w:cs="宋体"/>
          <w:b/>
          <w:color w:val="auto"/>
          <w:sz w:val="32"/>
          <w:highlight w:val="none"/>
        </w:rPr>
      </w:pPr>
      <w:r>
        <w:rPr>
          <w:rFonts w:hint="eastAsia" w:ascii="宋体" w:hAnsi="宋体" w:eastAsia="宋体" w:cs="宋体"/>
          <w:b/>
          <w:bCs w:val="0"/>
          <w:color w:val="auto"/>
          <w:szCs w:val="24"/>
          <w:highlight w:val="none"/>
        </w:rPr>
        <w:fldChar w:fldCharType="end"/>
      </w:r>
    </w:p>
    <w:p w14:paraId="62B83D16">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134" w:right="1134" w:bottom="1134" w:left="1134" w:header="851" w:footer="992" w:gutter="0"/>
          <w:cols w:space="720" w:num="1"/>
          <w:docGrid w:linePitch="462" w:charSpace="0"/>
        </w:sectPr>
      </w:pPr>
    </w:p>
    <w:p w14:paraId="78BF970C">
      <w:pPr>
        <w:keepNext w:val="0"/>
        <w:keepLines w:val="0"/>
        <w:pageBreakBefore w:val="0"/>
        <w:widowControl w:val="0"/>
        <w:kinsoku/>
        <w:overflowPunct/>
        <w:topLinePunct w:val="0"/>
        <w:bidi w:val="0"/>
        <w:spacing w:line="324" w:lineRule="auto"/>
        <w:jc w:val="center"/>
        <w:textAlignment w:val="auto"/>
        <w:outlineLvl w:val="0"/>
        <w:rPr>
          <w:rFonts w:hint="eastAsia" w:ascii="宋体" w:hAnsi="宋体" w:eastAsia="宋体" w:cs="宋体"/>
          <w:b/>
          <w:color w:val="auto"/>
          <w:sz w:val="28"/>
          <w:highlight w:val="none"/>
        </w:rPr>
      </w:pPr>
      <w:bookmarkStart w:id="0" w:name="_Toc21426"/>
      <w:r>
        <w:rPr>
          <w:rFonts w:hint="eastAsia" w:ascii="宋体" w:hAnsi="宋体" w:eastAsia="宋体" w:cs="宋体"/>
          <w:b/>
          <w:color w:val="auto"/>
          <w:sz w:val="28"/>
          <w:highlight w:val="none"/>
        </w:rPr>
        <w:t xml:space="preserve">第一章  </w:t>
      </w:r>
      <w:bookmarkEnd w:id="0"/>
      <w:r>
        <w:rPr>
          <w:rFonts w:hint="eastAsia" w:ascii="宋体" w:hAnsi="宋体" w:eastAsia="宋体" w:cs="宋体"/>
          <w:b/>
          <w:color w:val="auto"/>
          <w:sz w:val="28"/>
          <w:highlight w:val="none"/>
        </w:rPr>
        <w:t>竞争性谈判公告</w:t>
      </w:r>
    </w:p>
    <w:p w14:paraId="4DA47029">
      <w:pPr>
        <w:keepNext w:val="0"/>
        <w:keepLines w:val="0"/>
        <w:pageBreakBefore w:val="0"/>
        <w:widowControl w:val="0"/>
        <w:kinsoku/>
        <w:overflowPunct/>
        <w:topLinePunct w:val="0"/>
        <w:autoSpaceDE w:val="0"/>
        <w:autoSpaceDN w:val="0"/>
        <w:bidi w:val="0"/>
        <w:adjustRightInd w:val="0"/>
        <w:spacing w:line="324" w:lineRule="auto"/>
        <w:ind w:firstLine="482" w:firstLineChars="200"/>
        <w:jc w:val="left"/>
        <w:textAlignment w:val="auto"/>
        <w:rPr>
          <w:rFonts w:hint="eastAsia" w:ascii="宋体" w:hAnsi="宋体" w:eastAsia="宋体" w:cs="宋体"/>
          <w:b/>
          <w:bCs/>
          <w:color w:val="auto"/>
          <w:sz w:val="24"/>
          <w:szCs w:val="18"/>
          <w:highlight w:val="none"/>
        </w:rPr>
      </w:pPr>
      <w:bookmarkStart w:id="1" w:name="_Toc21967"/>
      <w:bookmarkStart w:id="2" w:name="_Toc7340"/>
      <w:r>
        <w:rPr>
          <w:rFonts w:hint="eastAsia" w:ascii="宋体" w:hAnsi="宋体" w:eastAsia="宋体" w:cs="宋体"/>
          <w:b/>
          <w:bCs/>
          <w:color w:val="auto"/>
          <w:sz w:val="24"/>
          <w:szCs w:val="18"/>
          <w:highlight w:val="none"/>
        </w:rPr>
        <w:t>项目概况</w:t>
      </w:r>
    </w:p>
    <w:p w14:paraId="35A61024">
      <w:pPr>
        <w:keepNext w:val="0"/>
        <w:keepLines w:val="0"/>
        <w:pageBreakBefore w:val="0"/>
        <w:widowControl w:val="0"/>
        <w:kinsoku/>
        <w:wordWrap w:val="0"/>
        <w:overflowPunct/>
        <w:topLinePunct w:val="0"/>
        <w:autoSpaceDE/>
        <w:autoSpaceDN/>
        <w:bidi w:val="0"/>
        <w:adjustRightInd/>
        <w:snapToGrid/>
        <w:spacing w:line="324" w:lineRule="auto"/>
        <w:ind w:firstLine="480" w:firstLineChars="200"/>
        <w:textAlignment w:val="auto"/>
        <w:outlineLvl w:val="1"/>
        <w:rPr>
          <w:rFonts w:hint="eastAsia" w:ascii="宋体" w:hAnsi="宋体" w:eastAsia="宋体" w:cs="宋体"/>
          <w:b/>
          <w:bCs/>
          <w:color w:val="auto"/>
          <w:sz w:val="24"/>
          <w:szCs w:val="18"/>
          <w:highlight w:val="none"/>
        </w:rPr>
      </w:pPr>
      <w:bookmarkStart w:id="3" w:name="_Toc26847"/>
      <w:r>
        <w:rPr>
          <w:rFonts w:hint="eastAsia" w:ascii="宋体" w:hAnsi="宋体" w:eastAsia="宋体" w:cs="宋体"/>
          <w:color w:val="auto"/>
          <w:sz w:val="24"/>
          <w:szCs w:val="18"/>
          <w:highlight w:val="none"/>
          <w:u w:val="single"/>
          <w:lang w:eastAsia="zh-CN"/>
        </w:rPr>
        <w:t>明湖新区道路绿化项目</w:t>
      </w:r>
      <w:r>
        <w:rPr>
          <w:rFonts w:hint="eastAsia" w:ascii="宋体" w:hAnsi="宋体" w:eastAsia="宋体" w:cs="宋体"/>
          <w:color w:val="auto"/>
          <w:sz w:val="24"/>
          <w:szCs w:val="18"/>
          <w:highlight w:val="none"/>
        </w:rPr>
        <w:t>的潜在供应商应在</w:t>
      </w:r>
      <w:r>
        <w:rPr>
          <w:rFonts w:hint="eastAsia" w:ascii="宋体" w:hAnsi="宋体" w:eastAsia="宋体" w:cs="宋体"/>
          <w:color w:val="auto"/>
          <w:sz w:val="24"/>
          <w:szCs w:val="18"/>
          <w:highlight w:val="none"/>
          <w:lang w:eastAsia="zh-CN"/>
        </w:rPr>
        <w:t>滁州市城投工程咨询管理有限公司（</w:t>
      </w:r>
      <w:r>
        <w:rPr>
          <w:rFonts w:hint="eastAsia" w:ascii="宋体" w:hAnsi="宋体" w:eastAsia="宋体" w:cs="宋体"/>
          <w:color w:val="auto"/>
          <w:sz w:val="24"/>
          <w:szCs w:val="18"/>
          <w:highlight w:val="none"/>
          <w:lang w:val="en-US" w:eastAsia="zh-CN"/>
        </w:rPr>
        <w:t xml:space="preserve"> </w:t>
      </w:r>
      <w:r>
        <w:rPr>
          <w:rFonts w:hint="eastAsia" w:ascii="宋体" w:hAnsi="宋体" w:eastAsia="宋体" w:cs="宋体"/>
          <w:color w:val="auto"/>
          <w:sz w:val="24"/>
          <w:szCs w:val="18"/>
          <w:highlight w:val="none"/>
          <w:lang w:eastAsia="zh-CN"/>
        </w:rPr>
        <w:t>https://www.czctgczx.com/</w:t>
      </w:r>
      <w:r>
        <w:rPr>
          <w:rFonts w:hint="eastAsia" w:ascii="宋体" w:hAnsi="宋体" w:eastAsia="宋体" w:cs="宋体"/>
          <w:color w:val="auto"/>
          <w:sz w:val="24"/>
          <w:szCs w:val="18"/>
          <w:highlight w:val="none"/>
          <w:lang w:val="en-US" w:eastAsia="zh-CN"/>
        </w:rPr>
        <w:t xml:space="preserve"> </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网站获取采购文</w:t>
      </w:r>
      <w:r>
        <w:rPr>
          <w:rFonts w:hint="eastAsia" w:ascii="宋体" w:hAnsi="宋体" w:eastAsia="宋体" w:cs="宋体"/>
          <w:color w:val="auto"/>
          <w:sz w:val="24"/>
          <w:szCs w:val="24"/>
          <w:highlight w:val="none"/>
          <w:lang w:bidi="ar"/>
        </w:rPr>
        <w:t>件</w:t>
      </w:r>
      <w:r>
        <w:rPr>
          <w:rFonts w:hint="eastAsia" w:ascii="宋体" w:hAnsi="宋体" w:eastAsia="宋体" w:cs="宋体"/>
          <w:color w:val="auto"/>
          <w:sz w:val="24"/>
          <w:szCs w:val="18"/>
          <w:highlight w:val="none"/>
        </w:rPr>
        <w:t>，并于</w:t>
      </w:r>
      <w:r>
        <w:rPr>
          <w:rFonts w:hint="eastAsia" w:ascii="宋体" w:hAnsi="宋体" w:eastAsia="宋体" w:cs="宋体"/>
          <w:b/>
          <w:bCs/>
          <w:color w:val="auto"/>
          <w:sz w:val="24"/>
          <w:szCs w:val="18"/>
          <w:highlight w:val="none"/>
          <w:lang w:eastAsia="zh-CN"/>
        </w:rPr>
        <w:t>2026年</w:t>
      </w:r>
      <w:r>
        <w:rPr>
          <w:rFonts w:hint="eastAsia" w:ascii="宋体" w:hAnsi="宋体" w:eastAsia="宋体" w:cs="宋体"/>
          <w:b/>
          <w:bCs/>
          <w:color w:val="auto"/>
          <w:sz w:val="24"/>
          <w:szCs w:val="18"/>
          <w:highlight w:val="none"/>
          <w:lang w:val="en-US" w:eastAsia="zh-CN"/>
        </w:rPr>
        <w:t>5</w:t>
      </w:r>
      <w:r>
        <w:rPr>
          <w:rFonts w:hint="eastAsia" w:ascii="宋体" w:hAnsi="宋体" w:eastAsia="宋体" w:cs="宋体"/>
          <w:b/>
          <w:bCs/>
          <w:color w:val="auto"/>
          <w:sz w:val="24"/>
          <w:szCs w:val="18"/>
          <w:highlight w:val="none"/>
          <w:lang w:eastAsia="zh-CN"/>
        </w:rPr>
        <w:t>月</w:t>
      </w:r>
      <w:r>
        <w:rPr>
          <w:rFonts w:hint="eastAsia" w:ascii="宋体" w:hAnsi="宋体" w:eastAsia="宋体" w:cs="宋体"/>
          <w:b/>
          <w:bCs/>
          <w:color w:val="auto"/>
          <w:sz w:val="24"/>
          <w:szCs w:val="18"/>
          <w:highlight w:val="none"/>
          <w:lang w:val="en-US" w:eastAsia="zh-CN"/>
        </w:rPr>
        <w:t>8</w:t>
      </w:r>
      <w:r>
        <w:rPr>
          <w:rFonts w:hint="eastAsia" w:ascii="宋体" w:hAnsi="宋体" w:eastAsia="宋体" w:cs="宋体"/>
          <w:b/>
          <w:bCs/>
          <w:color w:val="auto"/>
          <w:sz w:val="24"/>
          <w:szCs w:val="18"/>
          <w:highlight w:val="none"/>
          <w:lang w:eastAsia="zh-CN"/>
        </w:rPr>
        <w:t>日15时00分</w:t>
      </w:r>
      <w:r>
        <w:rPr>
          <w:rFonts w:hint="eastAsia" w:ascii="宋体" w:hAnsi="宋体" w:eastAsia="宋体" w:cs="宋体"/>
          <w:color w:val="auto"/>
          <w:sz w:val="24"/>
          <w:szCs w:val="18"/>
          <w:highlight w:val="none"/>
        </w:rPr>
        <w:t>（北京时间）前递交响应文件。</w:t>
      </w:r>
      <w:bookmarkEnd w:id="3"/>
    </w:p>
    <w:p w14:paraId="33CEDFAD">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bookmarkStart w:id="4" w:name="_Toc2108"/>
      <w:r>
        <w:rPr>
          <w:rFonts w:hint="eastAsia" w:ascii="宋体" w:hAnsi="宋体" w:eastAsia="宋体" w:cs="宋体"/>
          <w:b/>
          <w:bCs/>
          <w:color w:val="auto"/>
          <w:sz w:val="24"/>
          <w:szCs w:val="18"/>
          <w:highlight w:val="none"/>
        </w:rPr>
        <w:t>一、项目名称及内容</w:t>
      </w:r>
      <w:bookmarkEnd w:id="1"/>
      <w:bookmarkEnd w:id="2"/>
      <w:bookmarkEnd w:id="4"/>
    </w:p>
    <w:p w14:paraId="1EA65D3E">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项目编号：HXJY1110001055434001</w:t>
      </w:r>
    </w:p>
    <w:p w14:paraId="3C31C8FB">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明湖新区道路绿化项目</w:t>
      </w:r>
    </w:p>
    <w:p w14:paraId="39087830">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采购方式：竞争性谈判</w:t>
      </w:r>
    </w:p>
    <w:p w14:paraId="2DE37F6B">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预算金额：</w:t>
      </w:r>
      <w:r>
        <w:rPr>
          <w:rFonts w:hint="eastAsia" w:ascii="宋体" w:hAnsi="宋体" w:eastAsia="宋体" w:cs="宋体"/>
          <w:color w:val="auto"/>
          <w:sz w:val="24"/>
          <w:highlight w:val="none"/>
          <w:lang w:val="en-US" w:eastAsia="zh-CN"/>
        </w:rPr>
        <w:t>约47.7万元</w:t>
      </w:r>
    </w:p>
    <w:p w14:paraId="2AD6B17C">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最高限价：476658.64元</w:t>
      </w:r>
      <w:r>
        <w:rPr>
          <w:rFonts w:hint="eastAsia" w:ascii="宋体" w:hAnsi="宋体" w:eastAsia="宋体" w:cs="宋体"/>
          <w:color w:val="auto"/>
          <w:sz w:val="24"/>
          <w:highlight w:val="none"/>
          <w:lang w:val="en-US" w:eastAsia="zh-CN"/>
        </w:rPr>
        <w:t>，响应报价不得高于最高限价，否则按无效响应处理。</w:t>
      </w:r>
    </w:p>
    <w:p w14:paraId="2E65DEC8">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采购需求：主要内容是对明湖新区龙兴路、滁州大道及金陵路等沿线及交口空地进行绿化建设。</w:t>
      </w:r>
    </w:p>
    <w:p w14:paraId="5EDF987E">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合同履行期限：</w:t>
      </w:r>
      <w:r>
        <w:rPr>
          <w:rFonts w:hint="eastAsia" w:ascii="宋体" w:hAnsi="宋体" w:eastAsia="宋体" w:cs="宋体"/>
          <w:color w:val="auto"/>
          <w:sz w:val="24"/>
          <w:highlight w:val="none"/>
          <w:lang w:val="en-US" w:eastAsia="zh-CN"/>
        </w:rPr>
        <w:t>自合同签订并接到采购人通知后50个日历天内完成绿化建设工作；养护期为验收合格之日起一年。</w:t>
      </w:r>
    </w:p>
    <w:p w14:paraId="37204915">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本项目不接受联合体。</w:t>
      </w:r>
    </w:p>
    <w:p w14:paraId="10AB0910">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bookmarkStart w:id="5" w:name="_Toc10226"/>
      <w:bookmarkStart w:id="6" w:name="_Toc9766"/>
      <w:bookmarkStart w:id="7" w:name="_Toc30951"/>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w:t>
      </w:r>
      <w:bookmarkEnd w:id="5"/>
      <w:r>
        <w:rPr>
          <w:rFonts w:hint="eastAsia" w:ascii="宋体" w:hAnsi="宋体" w:eastAsia="宋体" w:cs="宋体"/>
          <w:b/>
          <w:bCs/>
          <w:color w:val="auto"/>
          <w:sz w:val="24"/>
          <w:szCs w:val="18"/>
          <w:highlight w:val="none"/>
        </w:rPr>
        <w:t>申请人的资格要求</w:t>
      </w:r>
      <w:bookmarkEnd w:id="6"/>
      <w:bookmarkEnd w:id="7"/>
    </w:p>
    <w:p w14:paraId="67403BA6">
      <w:pPr>
        <w:keepNext w:val="0"/>
        <w:keepLines w:val="0"/>
        <w:pageBreakBefore w:val="0"/>
        <w:widowControl w:val="0"/>
        <w:kinsoku/>
        <w:overflowPunct/>
        <w:topLinePunct w:val="0"/>
        <w:bidi w:val="0"/>
        <w:spacing w:line="324" w:lineRule="auto"/>
        <w:ind w:firstLine="435"/>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0BBC68EF">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2.本项目的特定资格要求：</w:t>
      </w:r>
    </w:p>
    <w:p w14:paraId="18CA5500">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①须具有独立法人资格且具备承担绿化工程施工相应能力；②供应商拟派的项目负责人须具备园林绿化相关专业中级及以上职称；</w:t>
      </w:r>
    </w:p>
    <w:p w14:paraId="736A3F05">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highlight w:val="none"/>
        </w:rPr>
      </w:pPr>
      <w:bookmarkStart w:id="8" w:name="_Toc4607"/>
      <w:bookmarkStart w:id="9" w:name="_Toc31469"/>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.信誉要求：供应商不得存在以下情形：</w:t>
      </w:r>
    </w:p>
    <w:p w14:paraId="6CB96C51">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①被列入“信用中国”网站“失信被执行人”的；</w:t>
      </w:r>
    </w:p>
    <w:p w14:paraId="730820AA">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②被列入“信用中国”网站“重大税收违法失信主体”的；</w:t>
      </w:r>
    </w:p>
    <w:p w14:paraId="31DA6CA3">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③被列入“信用中国”网站“严重失信主体名单”的；</w:t>
      </w:r>
    </w:p>
    <w:p w14:paraId="1C22BA06">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④在“信用中国”网站上披露的仍在公示期的严重失信行为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具体行为类别及判定依据见“信用中国”查询的严重失信行为类别及判定依据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的。</w:t>
      </w:r>
    </w:p>
    <w:p w14:paraId="3FA6C333">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⑤被列入国家企业信用信息公示系统网站“经营异常名录”或者“严重违法失信名单”的。</w:t>
      </w:r>
    </w:p>
    <w:p w14:paraId="06725029">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⑥被列入中国政府采购网站“政府采购严重违法失信行为信息记录”的。</w:t>
      </w:r>
    </w:p>
    <w:p w14:paraId="2BED3B9B">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⑦前三年有行贿犯罪行为的单位和个人。</w:t>
      </w:r>
    </w:p>
    <w:p w14:paraId="46B7A291">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.供应商所属分公司、办事处等分支机构存在第4款信誉要求①-⑦项情形之一的，</w:t>
      </w:r>
      <w:r>
        <w:rPr>
          <w:rFonts w:hint="eastAsia" w:ascii="宋体" w:hAnsi="宋体" w:eastAsia="宋体" w:cs="宋体"/>
          <w:color w:val="auto"/>
          <w:sz w:val="24"/>
          <w:highlight w:val="none"/>
          <w:u w:val="single"/>
        </w:rPr>
        <w:t>接受</w:t>
      </w:r>
      <w:r>
        <w:rPr>
          <w:rFonts w:hint="eastAsia" w:ascii="宋体" w:hAnsi="宋体" w:eastAsia="宋体" w:cs="宋体"/>
          <w:color w:val="auto"/>
          <w:sz w:val="24"/>
          <w:highlight w:val="none"/>
        </w:rPr>
        <w:t>供应商参加本项目。</w:t>
      </w:r>
    </w:p>
    <w:p w14:paraId="464B9317">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color w:val="auto"/>
          <w:sz w:val="24"/>
          <w:highlight w:val="none"/>
          <w:lang w:eastAsia="zh-CN"/>
        </w:rPr>
      </w:pPr>
      <w:bookmarkStart w:id="10" w:name="_Toc14412"/>
      <w:r>
        <w:rPr>
          <w:rFonts w:hint="eastAsia" w:ascii="宋体" w:hAnsi="宋体" w:eastAsia="宋体" w:cs="宋体"/>
          <w:color w:val="auto"/>
          <w:sz w:val="24"/>
          <w:highlight w:val="none"/>
        </w:rPr>
        <w:t>备注：第</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条按照“关于联合惩戒失信行为加强信用查询管理的通知”查询或承诺</w:t>
      </w:r>
      <w:r>
        <w:rPr>
          <w:rFonts w:hint="eastAsia" w:ascii="宋体" w:hAnsi="宋体" w:eastAsia="宋体" w:cs="宋体"/>
          <w:color w:val="auto"/>
          <w:sz w:val="24"/>
          <w:highlight w:val="none"/>
          <w:lang w:eastAsia="zh-CN"/>
        </w:rPr>
        <w:t>。</w:t>
      </w:r>
      <w:bookmarkEnd w:id="10"/>
    </w:p>
    <w:p w14:paraId="0F009749">
      <w:pPr>
        <w:spacing w:line="360" w:lineRule="auto"/>
        <w:ind w:firstLine="435"/>
        <w:rPr>
          <w:rFonts w:hint="eastAsia" w:ascii="宋体" w:hAnsi="宋体" w:eastAsia="宋体" w:cs="宋体"/>
          <w:b/>
          <w:bCs/>
          <w:color w:val="FF0000"/>
          <w:sz w:val="22"/>
          <w:szCs w:val="21"/>
          <w:highlight w:val="none"/>
          <w:lang w:eastAsia="zh-CN"/>
        </w:rPr>
      </w:pPr>
      <w:r>
        <w:rPr>
          <w:rFonts w:hint="eastAsia" w:ascii="宋体" w:hAnsi="宋体" w:eastAsia="宋体" w:cs="宋体"/>
          <w:b/>
          <w:bCs/>
          <w:color w:val="FF0000"/>
          <w:sz w:val="28"/>
          <w:szCs w:val="28"/>
          <w:highlight w:val="none"/>
          <w:lang w:val="en-US" w:eastAsia="zh-CN" w:bidi="ar"/>
        </w:rPr>
        <w:t>5.本项目仅接受被推荐的供应商参与竞争性谈判，其余供应商参与将作无效响应处理。</w:t>
      </w:r>
    </w:p>
    <w:p w14:paraId="551F470A">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bookmarkStart w:id="11" w:name="_Toc3295"/>
      <w:r>
        <w:rPr>
          <w:rFonts w:hint="eastAsia" w:ascii="宋体" w:hAnsi="宋体" w:eastAsia="宋体" w:cs="宋体"/>
          <w:b/>
          <w:bCs/>
          <w:color w:val="auto"/>
          <w:sz w:val="24"/>
          <w:szCs w:val="18"/>
          <w:highlight w:val="none"/>
        </w:rPr>
        <w:t>三、</w:t>
      </w:r>
      <w:bookmarkEnd w:id="8"/>
      <w:r>
        <w:rPr>
          <w:rFonts w:hint="eastAsia" w:ascii="宋体" w:hAnsi="宋体" w:eastAsia="宋体" w:cs="宋体"/>
          <w:b/>
          <w:bCs/>
          <w:color w:val="auto"/>
          <w:sz w:val="24"/>
          <w:szCs w:val="18"/>
          <w:highlight w:val="none"/>
        </w:rPr>
        <w:t>获取采购文件</w:t>
      </w:r>
      <w:bookmarkEnd w:id="9"/>
      <w:bookmarkEnd w:id="11"/>
    </w:p>
    <w:p w14:paraId="65BB0ED9">
      <w:pPr>
        <w:keepNext w:val="0"/>
        <w:keepLines w:val="0"/>
        <w:pageBreakBefore w:val="0"/>
        <w:widowControl w:val="0"/>
        <w:kinsoku/>
        <w:wordWrap/>
        <w:overflowPunct/>
        <w:topLinePunct w:val="0"/>
        <w:bidi w:val="0"/>
        <w:adjustRightInd w:val="0"/>
        <w:snapToGrid w:val="0"/>
        <w:spacing w:line="324"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2026年4月30日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2026年5月8日</w:t>
      </w:r>
    </w:p>
    <w:p w14:paraId="3B59CE2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方式：请于公告发布之日起从</w:t>
      </w:r>
      <w:r>
        <w:rPr>
          <w:rFonts w:hint="eastAsia" w:ascii="宋体" w:hAnsi="宋体" w:eastAsia="宋体" w:cs="宋体"/>
          <w:color w:val="auto"/>
          <w:sz w:val="24"/>
          <w:szCs w:val="18"/>
          <w:highlight w:val="none"/>
          <w:lang w:eastAsia="zh-CN"/>
        </w:rPr>
        <w:t>滁州市城投工程咨询管理有限公司（https://www.czctgczx.com/）</w:t>
      </w:r>
      <w:r>
        <w:rPr>
          <w:rFonts w:hint="eastAsia" w:ascii="宋体" w:hAnsi="宋体" w:eastAsia="宋体" w:cs="宋体"/>
          <w:color w:val="auto"/>
          <w:sz w:val="24"/>
          <w:szCs w:val="24"/>
          <w:highlight w:val="none"/>
        </w:rPr>
        <w:t>网站下载。</w:t>
      </w:r>
    </w:p>
    <w:p w14:paraId="1D594B6D">
      <w:pPr>
        <w:keepNext w:val="0"/>
        <w:keepLines w:val="0"/>
        <w:pageBreakBefore w:val="0"/>
        <w:widowControl w:val="0"/>
        <w:kinsoku/>
        <w:wordWrap/>
        <w:overflowPunct/>
        <w:topLinePunct w:val="0"/>
        <w:bidi w:val="0"/>
        <w:adjustRightInd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方式：网上下载</w:t>
      </w:r>
    </w:p>
    <w:p w14:paraId="26095FD3">
      <w:pPr>
        <w:keepNext w:val="0"/>
        <w:keepLines w:val="0"/>
        <w:pageBreakBefore w:val="0"/>
        <w:widowControl w:val="0"/>
        <w:kinsoku/>
        <w:wordWrap/>
        <w:overflowPunct/>
        <w:topLinePunct w:val="0"/>
        <w:bidi w:val="0"/>
        <w:adjustRightInd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bookmarkStart w:id="112" w:name="_GoBack"/>
      <w:bookmarkEnd w:id="112"/>
    </w:p>
    <w:p w14:paraId="3BDE39B2">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bookmarkStart w:id="12" w:name="_Toc19753"/>
      <w:bookmarkStart w:id="13" w:name="_Toc16674"/>
      <w:bookmarkStart w:id="14" w:name="_Toc16915"/>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bookmarkEnd w:id="12"/>
      <w:r>
        <w:rPr>
          <w:rFonts w:hint="eastAsia" w:ascii="宋体" w:hAnsi="宋体" w:eastAsia="宋体" w:cs="宋体"/>
          <w:b/>
          <w:bCs/>
          <w:color w:val="auto"/>
          <w:sz w:val="24"/>
          <w:highlight w:val="none"/>
        </w:rPr>
        <w:t>响应文件提交</w:t>
      </w:r>
      <w:bookmarkEnd w:id="13"/>
      <w:bookmarkEnd w:id="14"/>
    </w:p>
    <w:p w14:paraId="33DC184D">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color w:val="auto"/>
          <w:sz w:val="24"/>
          <w:szCs w:val="18"/>
          <w:highlight w:val="none"/>
          <w:lang w:eastAsia="zh-CN"/>
        </w:rPr>
      </w:pPr>
      <w:r>
        <w:rPr>
          <w:rFonts w:hint="eastAsia" w:ascii="宋体" w:hAnsi="宋体" w:eastAsia="宋体" w:cs="宋体"/>
          <w:bCs/>
          <w:color w:val="auto"/>
          <w:sz w:val="24"/>
          <w:szCs w:val="24"/>
          <w:highlight w:val="none"/>
          <w:u w:val="none"/>
        </w:rPr>
        <w:t>截止时间：</w:t>
      </w:r>
      <w:r>
        <w:rPr>
          <w:rFonts w:hint="eastAsia" w:ascii="宋体" w:hAnsi="宋体" w:eastAsia="宋体" w:cs="宋体"/>
          <w:color w:val="auto"/>
          <w:sz w:val="24"/>
          <w:szCs w:val="24"/>
          <w:highlight w:val="none"/>
          <w:u w:val="single"/>
          <w:lang w:val="en-US" w:eastAsia="zh-CN"/>
        </w:rPr>
        <w:t>2026年5月8</w:t>
      </w:r>
      <w:r>
        <w:rPr>
          <w:rFonts w:hint="eastAsia" w:ascii="宋体" w:hAnsi="宋体" w:eastAsia="宋体" w:cs="宋体"/>
          <w:color w:val="auto"/>
          <w:sz w:val="24"/>
          <w:szCs w:val="24"/>
          <w:highlight w:val="none"/>
          <w:u w:val="none"/>
        </w:rPr>
        <w:t>日</w:t>
      </w:r>
      <w:r>
        <w:rPr>
          <w:rFonts w:hint="eastAsia" w:ascii="宋体" w:hAnsi="宋体" w:eastAsia="宋体" w:cs="宋体"/>
          <w:bCs/>
          <w:color w:val="auto"/>
          <w:sz w:val="24"/>
          <w:szCs w:val="24"/>
          <w:highlight w:val="none"/>
          <w:u w:val="single"/>
          <w:lang w:val="en-US" w:eastAsia="zh-CN"/>
        </w:rPr>
        <w:t>15时00分</w:t>
      </w:r>
      <w:r>
        <w:rPr>
          <w:rFonts w:hint="eastAsia" w:ascii="宋体" w:hAnsi="宋体" w:eastAsia="宋体" w:cs="宋体"/>
          <w:bCs/>
          <w:color w:val="auto"/>
          <w:sz w:val="24"/>
          <w:szCs w:val="24"/>
          <w:highlight w:val="none"/>
        </w:rPr>
        <w:t>（北京时间）</w:t>
      </w:r>
      <w:r>
        <w:rPr>
          <w:rFonts w:hint="eastAsia" w:ascii="宋体" w:hAnsi="宋体" w:eastAsia="宋体" w:cs="宋体"/>
          <w:iCs/>
          <w:color w:val="auto"/>
          <w:sz w:val="24"/>
          <w:szCs w:val="24"/>
          <w:highlight w:val="none"/>
          <w:u w:val="none"/>
        </w:rPr>
        <w:t>（</w:t>
      </w:r>
      <w:r>
        <w:rPr>
          <w:rFonts w:hint="eastAsia" w:ascii="宋体" w:hAnsi="宋体" w:eastAsia="宋体" w:cs="宋体"/>
          <w:i/>
          <w:color w:val="auto"/>
          <w:sz w:val="24"/>
          <w:szCs w:val="24"/>
          <w:highlight w:val="none"/>
          <w:u w:val="none"/>
        </w:rPr>
        <w:t>从谈判文件开始发出之日起至供应商提交首次响应文件截止之日止不得少于3个工作日</w:t>
      </w:r>
      <w:r>
        <w:rPr>
          <w:rFonts w:hint="eastAsia" w:ascii="宋体" w:hAnsi="宋体" w:eastAsia="宋体" w:cs="宋体"/>
          <w:iCs/>
          <w:color w:val="auto"/>
          <w:sz w:val="24"/>
          <w:szCs w:val="24"/>
          <w:highlight w:val="none"/>
          <w:u w:val="none"/>
        </w:rPr>
        <w:t>）</w:t>
      </w:r>
    </w:p>
    <w:p w14:paraId="3062808E">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bookmarkStart w:id="15" w:name="_Toc8953"/>
      <w:bookmarkStart w:id="16" w:name="_Toc7959"/>
      <w:bookmarkStart w:id="17" w:name="_Toc2079"/>
      <w:r>
        <w:rPr>
          <w:rFonts w:hint="eastAsia" w:ascii="宋体" w:hAnsi="宋体" w:eastAsia="宋体" w:cs="宋体"/>
          <w:b/>
          <w:bCs/>
          <w:color w:val="auto"/>
          <w:sz w:val="24"/>
          <w:szCs w:val="18"/>
          <w:highlight w:val="none"/>
        </w:rPr>
        <w:t>五</w:t>
      </w:r>
      <w:r>
        <w:rPr>
          <w:rFonts w:hint="eastAsia" w:ascii="宋体" w:hAnsi="宋体" w:eastAsia="宋体" w:cs="宋体"/>
          <w:b/>
          <w:color w:val="auto"/>
          <w:sz w:val="24"/>
          <w:highlight w:val="none"/>
        </w:rPr>
        <w:t>、</w:t>
      </w:r>
      <w:bookmarkEnd w:id="15"/>
      <w:r>
        <w:rPr>
          <w:rFonts w:hint="eastAsia" w:ascii="宋体" w:hAnsi="宋体" w:eastAsia="宋体" w:cs="宋体"/>
          <w:b/>
          <w:bCs/>
          <w:color w:val="auto"/>
          <w:sz w:val="24"/>
          <w:highlight w:val="none"/>
        </w:rPr>
        <w:t>开启</w:t>
      </w:r>
      <w:bookmarkEnd w:id="16"/>
      <w:bookmarkEnd w:id="17"/>
    </w:p>
    <w:p w14:paraId="470050EC">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val="en-US" w:eastAsia="zh-CN"/>
        </w:rPr>
        <w:t>1.开启</w:t>
      </w:r>
      <w:r>
        <w:rPr>
          <w:rFonts w:hint="eastAsia" w:ascii="宋体" w:hAnsi="宋体" w:eastAsia="宋体" w:cs="宋体"/>
          <w:bCs/>
          <w:color w:val="auto"/>
          <w:sz w:val="24"/>
          <w:szCs w:val="24"/>
          <w:highlight w:val="none"/>
          <w:u w:val="none"/>
        </w:rPr>
        <w:t>时间：</w:t>
      </w:r>
      <w:r>
        <w:rPr>
          <w:rFonts w:hint="eastAsia" w:ascii="宋体" w:hAnsi="宋体" w:eastAsia="宋体" w:cs="宋体"/>
          <w:color w:val="auto"/>
          <w:sz w:val="24"/>
          <w:szCs w:val="24"/>
          <w:highlight w:val="none"/>
          <w:u w:val="single"/>
          <w:lang w:val="en-US" w:eastAsia="zh-CN"/>
        </w:rPr>
        <w:t>2026年5月8</w:t>
      </w:r>
      <w:r>
        <w:rPr>
          <w:rFonts w:hint="eastAsia" w:ascii="宋体" w:hAnsi="宋体" w:eastAsia="宋体" w:cs="宋体"/>
          <w:color w:val="auto"/>
          <w:sz w:val="24"/>
          <w:szCs w:val="24"/>
          <w:highlight w:val="none"/>
          <w:u w:val="none"/>
        </w:rPr>
        <w:t>日</w:t>
      </w:r>
      <w:r>
        <w:rPr>
          <w:rFonts w:hint="eastAsia" w:ascii="宋体" w:hAnsi="宋体" w:eastAsia="宋体" w:cs="宋体"/>
          <w:bCs/>
          <w:color w:val="auto"/>
          <w:sz w:val="24"/>
          <w:szCs w:val="24"/>
          <w:highlight w:val="none"/>
          <w:u w:val="single"/>
          <w:lang w:val="en-US" w:eastAsia="zh-CN"/>
        </w:rPr>
        <w:t>15时00分</w:t>
      </w:r>
      <w:r>
        <w:rPr>
          <w:rFonts w:hint="eastAsia" w:ascii="宋体" w:hAnsi="宋体" w:eastAsia="宋体" w:cs="宋体"/>
          <w:bCs/>
          <w:color w:val="auto"/>
          <w:sz w:val="24"/>
          <w:szCs w:val="24"/>
          <w:highlight w:val="none"/>
        </w:rPr>
        <w:t>（北京时间）</w:t>
      </w:r>
      <w:r>
        <w:rPr>
          <w:rFonts w:hint="eastAsia" w:ascii="宋体" w:hAnsi="宋体" w:eastAsia="宋体" w:cs="宋体"/>
          <w:iCs/>
          <w:color w:val="auto"/>
          <w:sz w:val="24"/>
          <w:szCs w:val="24"/>
          <w:highlight w:val="none"/>
          <w:u w:val="none"/>
        </w:rPr>
        <w:t>（</w:t>
      </w:r>
      <w:r>
        <w:rPr>
          <w:rFonts w:hint="eastAsia" w:ascii="宋体" w:hAnsi="宋体" w:eastAsia="宋体" w:cs="宋体"/>
          <w:i/>
          <w:color w:val="auto"/>
          <w:sz w:val="24"/>
          <w:szCs w:val="24"/>
          <w:highlight w:val="none"/>
          <w:u w:val="none"/>
        </w:rPr>
        <w:t>从谈判文件开始发出之日起至供应商提交首次响应文件截止之日止不得少于3个工作日</w:t>
      </w:r>
      <w:r>
        <w:rPr>
          <w:rFonts w:hint="eastAsia" w:ascii="宋体" w:hAnsi="宋体" w:eastAsia="宋体" w:cs="宋体"/>
          <w:iCs/>
          <w:color w:val="auto"/>
          <w:sz w:val="24"/>
          <w:szCs w:val="24"/>
          <w:highlight w:val="none"/>
          <w:u w:val="none"/>
        </w:rPr>
        <w:t>）</w:t>
      </w:r>
    </w:p>
    <w:p w14:paraId="03EEBD66">
      <w:pPr>
        <w:keepNext w:val="0"/>
        <w:keepLines w:val="0"/>
        <w:pageBreakBefore w:val="0"/>
        <w:widowControl w:val="0"/>
        <w:kinsoku/>
        <w:wordWrap w:val="0"/>
        <w:overflowPunct/>
        <w:topLinePunct w:val="0"/>
        <w:autoSpaceDE/>
        <w:autoSpaceDN/>
        <w:bidi w:val="0"/>
        <w:adjustRightInd/>
        <w:snapToGrid/>
        <w:spacing w:line="324" w:lineRule="auto"/>
        <w:ind w:firstLine="437"/>
        <w:textAlignment w:val="auto"/>
        <w:rPr>
          <w:rFonts w:hint="eastAsia" w:ascii="宋体" w:hAnsi="宋体" w:eastAsia="宋体" w:cs="宋体"/>
          <w:b w:val="0"/>
          <w:bCs w:val="0"/>
          <w:color w:val="auto"/>
          <w:sz w:val="24"/>
          <w:szCs w:val="18"/>
          <w:highlight w:val="none"/>
          <w:lang w:eastAsia="zh-CN"/>
        </w:rPr>
      </w:pPr>
      <w:r>
        <w:rPr>
          <w:rFonts w:hint="eastAsia" w:ascii="宋体" w:hAnsi="宋体" w:eastAsia="宋体" w:cs="宋体"/>
          <w:b w:val="0"/>
          <w:bCs w:val="0"/>
          <w:color w:val="auto"/>
          <w:sz w:val="24"/>
          <w:szCs w:val="18"/>
          <w:highlight w:val="none"/>
          <w:lang w:eastAsia="zh-CN"/>
        </w:rPr>
        <w:t>2、网上开标，投标人登录滁州市城投工程咨询有限公司不见面开标系统参与网上开标（网址：http://js.etrading.cn/EpointBidOpening/bidopeninghallaction/hall/login）。</w:t>
      </w:r>
    </w:p>
    <w:p w14:paraId="3B687B9F">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b w:val="0"/>
          <w:bCs w:val="0"/>
          <w:color w:val="auto"/>
          <w:sz w:val="24"/>
          <w:szCs w:val="18"/>
          <w:highlight w:val="none"/>
          <w:lang w:eastAsia="zh-CN"/>
        </w:rPr>
      </w:pPr>
      <w:r>
        <w:rPr>
          <w:rFonts w:hint="eastAsia" w:ascii="宋体" w:hAnsi="宋体" w:eastAsia="宋体" w:cs="宋体"/>
          <w:b w:val="0"/>
          <w:bCs w:val="0"/>
          <w:color w:val="auto"/>
          <w:sz w:val="24"/>
          <w:szCs w:val="18"/>
          <w:highlight w:val="none"/>
          <w:lang w:eastAsia="zh-CN"/>
        </w:rPr>
        <w:t>3、</w:t>
      </w:r>
      <w:r>
        <w:rPr>
          <w:rFonts w:hint="eastAsia" w:ascii="宋体" w:hAnsi="宋体" w:eastAsia="宋体" w:cs="宋体"/>
          <w:b w:val="0"/>
          <w:bCs w:val="0"/>
          <w:color w:val="auto"/>
          <w:sz w:val="24"/>
          <w:szCs w:val="18"/>
          <w:highlight w:val="none"/>
          <w:lang w:val="en-US" w:eastAsia="zh-CN"/>
        </w:rPr>
        <w:t>供应商</w:t>
      </w:r>
      <w:r>
        <w:rPr>
          <w:rFonts w:hint="eastAsia" w:ascii="宋体" w:hAnsi="宋体" w:eastAsia="宋体" w:cs="宋体"/>
          <w:b w:val="0"/>
          <w:bCs w:val="0"/>
          <w:color w:val="auto"/>
          <w:sz w:val="24"/>
          <w:szCs w:val="18"/>
          <w:highlight w:val="none"/>
          <w:lang w:eastAsia="zh-CN"/>
        </w:rPr>
        <w:t>应在投标截止时间之前，</w:t>
      </w:r>
      <w:r>
        <w:rPr>
          <w:rFonts w:hint="eastAsia" w:ascii="宋体" w:hAnsi="宋体" w:eastAsia="宋体" w:cs="宋体"/>
          <w:b w:val="0"/>
          <w:bCs w:val="0"/>
          <w:color w:val="auto"/>
          <w:sz w:val="24"/>
          <w:szCs w:val="18"/>
          <w:highlight w:val="none"/>
          <w:lang w:val="en-US" w:eastAsia="zh-CN"/>
        </w:rPr>
        <w:t>登录</w:t>
      </w:r>
      <w:r>
        <w:rPr>
          <w:rFonts w:hint="eastAsia" w:ascii="宋体" w:hAnsi="宋体" w:eastAsia="宋体" w:cs="宋体"/>
          <w:b w:val="0"/>
          <w:bCs w:val="0"/>
          <w:color w:val="auto"/>
          <w:sz w:val="24"/>
          <w:szCs w:val="18"/>
          <w:highlight w:val="none"/>
          <w:lang w:eastAsia="zh-CN"/>
        </w:rPr>
        <w:t>新点电子交易平台【滁州专区】上传</w:t>
      </w:r>
      <w:r>
        <w:rPr>
          <w:rFonts w:hint="eastAsia" w:ascii="宋体" w:hAnsi="宋体" w:eastAsia="宋体" w:cs="宋体"/>
          <w:b w:val="0"/>
          <w:bCs w:val="0"/>
          <w:color w:val="auto"/>
          <w:sz w:val="24"/>
          <w:szCs w:val="18"/>
          <w:highlight w:val="none"/>
          <w:lang w:val="en-US" w:eastAsia="zh-CN"/>
        </w:rPr>
        <w:t>响应</w:t>
      </w:r>
      <w:r>
        <w:rPr>
          <w:rFonts w:hint="eastAsia" w:ascii="宋体" w:hAnsi="宋体" w:eastAsia="宋体" w:cs="宋体"/>
          <w:b w:val="0"/>
          <w:bCs w:val="0"/>
          <w:color w:val="auto"/>
          <w:sz w:val="24"/>
          <w:szCs w:val="18"/>
          <w:highlight w:val="none"/>
          <w:lang w:eastAsia="zh-CN"/>
        </w:rPr>
        <w:t>文件。</w:t>
      </w:r>
    </w:p>
    <w:p w14:paraId="60D9AA83">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lang w:eastAsia="zh-CN"/>
        </w:rPr>
        <w:t>4、</w:t>
      </w:r>
      <w:r>
        <w:rPr>
          <w:rFonts w:hint="eastAsia" w:ascii="宋体" w:hAnsi="宋体" w:eastAsia="宋体" w:cs="宋体"/>
          <w:b w:val="0"/>
          <w:bCs w:val="0"/>
          <w:color w:val="auto"/>
          <w:sz w:val="24"/>
          <w:szCs w:val="18"/>
          <w:highlight w:val="none"/>
          <w:lang w:val="en-US" w:eastAsia="zh-CN"/>
        </w:rPr>
        <w:t>供应商</w:t>
      </w:r>
      <w:r>
        <w:rPr>
          <w:rFonts w:hint="eastAsia" w:ascii="宋体" w:hAnsi="宋体" w:eastAsia="宋体" w:cs="宋体"/>
          <w:b w:val="0"/>
          <w:bCs w:val="0"/>
          <w:color w:val="auto"/>
          <w:sz w:val="24"/>
          <w:szCs w:val="18"/>
          <w:highlight w:val="none"/>
          <w:lang w:eastAsia="zh-CN"/>
        </w:rPr>
        <w:t>逾期上传</w:t>
      </w:r>
      <w:r>
        <w:rPr>
          <w:rFonts w:hint="eastAsia" w:ascii="宋体" w:hAnsi="宋体" w:eastAsia="宋体" w:cs="宋体"/>
          <w:b w:val="0"/>
          <w:bCs w:val="0"/>
          <w:color w:val="auto"/>
          <w:sz w:val="24"/>
          <w:szCs w:val="18"/>
          <w:highlight w:val="none"/>
          <w:lang w:val="en-US" w:eastAsia="zh-CN"/>
        </w:rPr>
        <w:t>响应</w:t>
      </w:r>
      <w:r>
        <w:rPr>
          <w:rFonts w:hint="eastAsia" w:ascii="宋体" w:hAnsi="宋体" w:eastAsia="宋体" w:cs="宋体"/>
          <w:b w:val="0"/>
          <w:bCs w:val="0"/>
          <w:color w:val="auto"/>
          <w:sz w:val="24"/>
          <w:szCs w:val="18"/>
          <w:highlight w:val="none"/>
          <w:lang w:eastAsia="zh-CN"/>
        </w:rPr>
        <w:t>文件的，电子系统不予受理。</w:t>
      </w:r>
    </w:p>
    <w:p w14:paraId="5E972291">
      <w:pPr>
        <w:keepNext w:val="0"/>
        <w:keepLines w:val="0"/>
        <w:pageBreakBefore w:val="0"/>
        <w:widowControl w:val="0"/>
        <w:kinsoku/>
        <w:wordWrap/>
        <w:overflowPunct/>
        <w:topLinePunct w:val="0"/>
        <w:autoSpaceDE/>
        <w:autoSpaceDN/>
        <w:bidi w:val="0"/>
        <w:adjustRightInd/>
        <w:snapToGrid/>
        <w:spacing w:line="324" w:lineRule="auto"/>
        <w:ind w:firstLine="437"/>
        <w:textAlignment w:val="auto"/>
        <w:outlineLvl w:val="1"/>
        <w:rPr>
          <w:rFonts w:hint="eastAsia" w:ascii="宋体" w:hAnsi="宋体" w:eastAsia="宋体" w:cs="宋体"/>
          <w:b/>
          <w:bCs/>
          <w:color w:val="auto"/>
          <w:sz w:val="24"/>
          <w:szCs w:val="18"/>
          <w:highlight w:val="none"/>
        </w:rPr>
      </w:pPr>
      <w:bookmarkStart w:id="18" w:name="_Toc14575"/>
      <w:bookmarkStart w:id="19" w:name="_Toc18864"/>
      <w:bookmarkStart w:id="20" w:name="_Toc16203"/>
      <w:r>
        <w:rPr>
          <w:rFonts w:hint="eastAsia" w:ascii="宋体" w:hAnsi="宋体" w:eastAsia="宋体" w:cs="宋体"/>
          <w:b/>
          <w:bCs/>
          <w:color w:val="auto"/>
          <w:sz w:val="24"/>
          <w:szCs w:val="18"/>
          <w:highlight w:val="none"/>
          <w:lang w:val="en-US" w:eastAsia="zh-CN"/>
        </w:rPr>
        <w:t>六</w:t>
      </w:r>
      <w:r>
        <w:rPr>
          <w:rFonts w:hint="eastAsia" w:ascii="宋体" w:hAnsi="宋体" w:eastAsia="宋体" w:cs="宋体"/>
          <w:b/>
          <w:bCs/>
          <w:color w:val="auto"/>
          <w:sz w:val="24"/>
          <w:szCs w:val="18"/>
          <w:highlight w:val="none"/>
        </w:rPr>
        <w:t>、公告期限</w:t>
      </w:r>
      <w:bookmarkEnd w:id="18"/>
      <w:bookmarkEnd w:id="19"/>
    </w:p>
    <w:p w14:paraId="7B75C629">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自本公告发布之日起3个工作日。</w:t>
      </w:r>
    </w:p>
    <w:p w14:paraId="03749FBE">
      <w:pPr>
        <w:keepNext w:val="0"/>
        <w:keepLines w:val="0"/>
        <w:pageBreakBefore w:val="0"/>
        <w:widowControl w:val="0"/>
        <w:kinsoku/>
        <w:overflowPunct/>
        <w:topLinePunct w:val="0"/>
        <w:bidi w:val="0"/>
        <w:spacing w:line="324" w:lineRule="auto"/>
        <w:ind w:firstLine="437"/>
        <w:textAlignment w:val="auto"/>
        <w:outlineLvl w:val="1"/>
        <w:rPr>
          <w:rFonts w:hint="eastAsia" w:ascii="宋体" w:hAnsi="宋体" w:eastAsia="宋体" w:cs="宋体"/>
          <w:b/>
          <w:bCs/>
          <w:color w:val="auto"/>
          <w:sz w:val="24"/>
          <w:szCs w:val="18"/>
          <w:highlight w:val="none"/>
        </w:rPr>
      </w:pPr>
      <w:bookmarkStart w:id="21" w:name="_Toc15313"/>
      <w:bookmarkStart w:id="22" w:name="_Toc35393795"/>
      <w:bookmarkStart w:id="23" w:name="_Toc35393626"/>
      <w:bookmarkStart w:id="24" w:name="_Toc10195"/>
      <w:bookmarkStart w:id="25" w:name="_Toc7755"/>
      <w:r>
        <w:rPr>
          <w:rFonts w:hint="eastAsia" w:ascii="宋体" w:hAnsi="宋体" w:eastAsia="宋体" w:cs="宋体"/>
          <w:b/>
          <w:bCs/>
          <w:color w:val="auto"/>
          <w:sz w:val="24"/>
          <w:szCs w:val="18"/>
          <w:highlight w:val="none"/>
        </w:rPr>
        <w:t>七、保证金金额及缴纳账户</w:t>
      </w:r>
      <w:bookmarkEnd w:id="21"/>
    </w:p>
    <w:p w14:paraId="43B9E2D5">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是否要求供应商提交保证金：不要求。</w:t>
      </w:r>
    </w:p>
    <w:p w14:paraId="6A3CC1D4">
      <w:pPr>
        <w:keepNext w:val="0"/>
        <w:keepLines w:val="0"/>
        <w:pageBreakBefore w:val="0"/>
        <w:widowControl w:val="0"/>
        <w:kinsoku/>
        <w:overflowPunct/>
        <w:topLinePunct w:val="0"/>
        <w:bidi w:val="0"/>
        <w:spacing w:line="324" w:lineRule="auto"/>
        <w:ind w:firstLine="437"/>
        <w:textAlignment w:val="auto"/>
        <w:outlineLvl w:val="1"/>
        <w:rPr>
          <w:rFonts w:hint="eastAsia" w:ascii="宋体" w:hAnsi="宋体" w:eastAsia="宋体" w:cs="宋体"/>
          <w:b/>
          <w:bCs/>
          <w:color w:val="auto"/>
          <w:sz w:val="24"/>
          <w:szCs w:val="18"/>
          <w:highlight w:val="none"/>
        </w:rPr>
      </w:pPr>
      <w:bookmarkStart w:id="26" w:name="_Toc11039"/>
      <w:r>
        <w:rPr>
          <w:rFonts w:hint="eastAsia" w:ascii="宋体" w:hAnsi="宋体" w:eastAsia="宋体" w:cs="宋体"/>
          <w:b/>
          <w:bCs/>
          <w:color w:val="auto"/>
          <w:sz w:val="24"/>
          <w:szCs w:val="18"/>
          <w:highlight w:val="none"/>
        </w:rPr>
        <w:t>八、其他补充事宜</w:t>
      </w:r>
      <w:bookmarkEnd w:id="22"/>
      <w:bookmarkEnd w:id="23"/>
      <w:bookmarkEnd w:id="24"/>
      <w:bookmarkEnd w:id="26"/>
    </w:p>
    <w:p w14:paraId="313095A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bookmarkStart w:id="27" w:name="_Toc4316"/>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6ED0C1A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2.请于公告发布之日起从滁州市城投工程咨询管理有限公司官网（https://www.czctgczx.com/）下载</w:t>
      </w:r>
      <w:r>
        <w:rPr>
          <w:rFonts w:hint="eastAsia" w:ascii="宋体" w:hAnsi="宋体" w:eastAsia="宋体" w:cs="宋体"/>
          <w:color w:val="auto"/>
          <w:sz w:val="24"/>
          <w:szCs w:val="24"/>
          <w:highlight w:val="none"/>
          <w:lang w:val="en-US" w:eastAsia="zh-CN"/>
        </w:rPr>
        <w:t>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6910E6A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w:t>
      </w:r>
      <w:r>
        <w:rPr>
          <w:rFonts w:hint="eastAsia" w:ascii="宋体" w:hAnsi="宋体" w:eastAsia="宋体" w:cs="宋体"/>
          <w:color w:val="auto"/>
          <w:sz w:val="24"/>
          <w:szCs w:val="24"/>
          <w:highlight w:val="none"/>
          <w:lang w:val="en-US" w:eastAsia="zh-CN"/>
        </w:rPr>
        <w:t>参与投标的，</w:t>
      </w:r>
      <w:r>
        <w:rPr>
          <w:rFonts w:hint="eastAsia" w:ascii="宋体" w:hAnsi="宋体" w:eastAsia="宋体" w:cs="宋体"/>
          <w:color w:val="auto"/>
          <w:sz w:val="24"/>
          <w:szCs w:val="24"/>
          <w:highlight w:val="none"/>
        </w:rPr>
        <w:t>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eastAsia="宋体" w:cs="宋体"/>
          <w:color w:val="auto"/>
          <w:sz w:val="24"/>
          <w:szCs w:val="24"/>
          <w:highlight w:val="none"/>
          <w:lang w:eastAsia="zh-CN"/>
        </w:rPr>
        <w:t>0512-58151515</w:t>
      </w:r>
      <w:r>
        <w:rPr>
          <w:rFonts w:hint="eastAsia" w:ascii="宋体" w:hAnsi="宋体" w:eastAsia="宋体" w:cs="宋体"/>
          <w:color w:val="auto"/>
          <w:sz w:val="24"/>
          <w:szCs w:val="24"/>
          <w:highlight w:val="none"/>
        </w:rPr>
        <w:t>（工作日）。</w:t>
      </w:r>
    </w:p>
    <w:p w14:paraId="16BA34A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4.投标人登录新点电子交易平台【滁州专区】获取招标文件及其它资料（含澄清和补充说明等）。如在招标文件获取过程中遇到系统问题，请拨打技术支持服务热线</w:t>
      </w:r>
      <w:r>
        <w:rPr>
          <w:rFonts w:hint="eastAsia" w:ascii="宋体" w:hAnsi="宋体" w:eastAsia="宋体" w:cs="宋体"/>
          <w:color w:val="auto"/>
          <w:sz w:val="24"/>
          <w:szCs w:val="24"/>
          <w:highlight w:val="none"/>
          <w:lang w:eastAsia="zh-CN"/>
        </w:rPr>
        <w:t>0512-58151515</w:t>
      </w:r>
      <w:r>
        <w:rPr>
          <w:rFonts w:hint="eastAsia" w:ascii="宋体" w:hAnsi="宋体" w:eastAsia="宋体" w:cs="宋体"/>
          <w:color w:val="auto"/>
          <w:sz w:val="24"/>
          <w:szCs w:val="24"/>
          <w:highlight w:val="none"/>
        </w:rPr>
        <w:t>或者网站首页在线客服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投标人自行承担因未按要求获取招标文件导致无法上传电子投标文件的风险</w:t>
      </w:r>
      <w:r>
        <w:rPr>
          <w:rFonts w:hint="eastAsia" w:ascii="宋体" w:hAnsi="宋体" w:eastAsia="宋体" w:cs="宋体"/>
          <w:color w:val="auto"/>
          <w:sz w:val="24"/>
          <w:szCs w:val="24"/>
          <w:highlight w:val="none"/>
        </w:rPr>
        <w:t>。</w:t>
      </w:r>
    </w:p>
    <w:p w14:paraId="1785BED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5.本项目采用不见面开标，投标人登录滁州市城投工程咨询有限公司不见面开标系统参与网上开标（网址：http://js.etrading.cn/EpointBidOpening/bidopeninghallaction/hall/login）</w:t>
      </w:r>
      <w:r>
        <w:rPr>
          <w:rFonts w:hint="eastAsia" w:ascii="宋体" w:hAnsi="宋体" w:eastAsia="宋体" w:cs="宋体"/>
          <w:color w:val="auto"/>
          <w:sz w:val="24"/>
          <w:szCs w:val="24"/>
          <w:highlight w:val="none"/>
        </w:rPr>
        <w:t>。</w:t>
      </w:r>
    </w:p>
    <w:p w14:paraId="335B4B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6.投标人应在投标截止时间之前，登录新点电子交易平台【滁州专区】上传投标文件。投标人逾期上传投标文件的，电子系统不予受理</w:t>
      </w:r>
      <w:r>
        <w:rPr>
          <w:rFonts w:hint="eastAsia" w:ascii="宋体" w:hAnsi="宋体" w:eastAsia="宋体" w:cs="宋体"/>
          <w:color w:val="auto"/>
          <w:sz w:val="24"/>
          <w:szCs w:val="24"/>
          <w:highlight w:val="none"/>
          <w:lang w:eastAsia="zh-CN"/>
        </w:rPr>
        <w:t>。</w:t>
      </w:r>
    </w:p>
    <w:p w14:paraId="542A48A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038898F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8.投标人的联系人电话(手机)、电子邮箱等通讯方式在开标过程中必须保持畅通，否则因上述原因造成的后果，责任自负</w:t>
      </w:r>
      <w:r>
        <w:rPr>
          <w:rFonts w:hint="eastAsia" w:ascii="宋体" w:hAnsi="宋体" w:eastAsia="宋体" w:cs="宋体"/>
          <w:color w:val="auto"/>
          <w:sz w:val="24"/>
          <w:szCs w:val="24"/>
          <w:highlight w:val="none"/>
        </w:rPr>
        <w:t>。</w:t>
      </w:r>
    </w:p>
    <w:p w14:paraId="7F0F6DFF">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九、</w:t>
      </w:r>
      <w:bookmarkEnd w:id="20"/>
      <w:r>
        <w:rPr>
          <w:rFonts w:hint="eastAsia" w:ascii="宋体" w:hAnsi="宋体" w:eastAsia="宋体" w:cs="宋体"/>
          <w:b/>
          <w:bCs/>
          <w:color w:val="auto"/>
          <w:sz w:val="24"/>
          <w:szCs w:val="18"/>
          <w:highlight w:val="none"/>
          <w:lang w:val="en-US" w:eastAsia="zh-CN"/>
        </w:rPr>
        <w:t>凡对本次采购提出询问，请按以下方式联系</w:t>
      </w:r>
      <w:bookmarkEnd w:id="25"/>
      <w:bookmarkEnd w:id="27"/>
    </w:p>
    <w:p w14:paraId="24B295BC">
      <w:pPr>
        <w:keepNext w:val="0"/>
        <w:keepLines w:val="0"/>
        <w:pageBreakBefore w:val="0"/>
        <w:widowControl w:val="0"/>
        <w:kinsoku/>
        <w:overflowPunct/>
        <w:topLinePunct w:val="0"/>
        <w:bidi w:val="0"/>
        <w:spacing w:line="324" w:lineRule="auto"/>
        <w:ind w:firstLine="435"/>
        <w:textAlignment w:val="auto"/>
        <w:outlineLvl w:val="2"/>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7D1F8213">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滁州市明湖建设管理服务中心</w:t>
      </w:r>
    </w:p>
    <w:p w14:paraId="55336586">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rPr>
        <w:t>地址：滁州市明湖公园内</w:t>
      </w:r>
    </w:p>
    <w:p w14:paraId="4B39E4F3">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u w:val="none"/>
          <w:lang w:val="en-US" w:eastAsia="zh-CN"/>
        </w:rPr>
        <w:t>联系人：钟兰翔</w:t>
      </w:r>
    </w:p>
    <w:p w14:paraId="6E7444DC">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联系方式：15155005346</w:t>
      </w:r>
    </w:p>
    <w:p w14:paraId="1DC58682">
      <w:pPr>
        <w:keepNext w:val="0"/>
        <w:keepLines w:val="0"/>
        <w:pageBreakBefore w:val="0"/>
        <w:widowControl w:val="0"/>
        <w:kinsoku/>
        <w:overflowPunct/>
        <w:topLinePunct w:val="0"/>
        <w:bidi w:val="0"/>
        <w:spacing w:line="324" w:lineRule="auto"/>
        <w:ind w:firstLine="437"/>
        <w:textAlignment w:val="auto"/>
        <w:outlineLvl w:val="9"/>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001D1F7C">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滁州市城投工程咨询管理有限公司</w:t>
      </w:r>
    </w:p>
    <w:p w14:paraId="7BD98F0B">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u w:val="single"/>
          <w:lang w:eastAsia="zh-CN"/>
        </w:rPr>
      </w:pPr>
      <w:r>
        <w:rPr>
          <w:rFonts w:hint="eastAsia" w:ascii="宋体" w:hAnsi="宋体" w:eastAsia="宋体" w:cs="宋体"/>
          <w:color w:val="auto"/>
          <w:sz w:val="24"/>
          <w:szCs w:val="18"/>
          <w:highlight w:val="none"/>
        </w:rPr>
        <w:t>地址：</w:t>
      </w:r>
      <w:r>
        <w:rPr>
          <w:rFonts w:hint="eastAsia" w:ascii="宋体" w:hAnsi="宋体" w:eastAsia="宋体" w:cs="宋体"/>
          <w:color w:val="auto"/>
          <w:sz w:val="24"/>
          <w:szCs w:val="18"/>
          <w:highlight w:val="none"/>
          <w:u w:val="none"/>
          <w:lang w:eastAsia="zh-CN"/>
        </w:rPr>
        <w:t>滁州市龙蟠大道房产商务大厦6楼605室</w:t>
      </w:r>
    </w:p>
    <w:p w14:paraId="4C3A3344">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color w:val="auto"/>
          <w:sz w:val="24"/>
          <w:szCs w:val="18"/>
          <w:highlight w:val="none"/>
          <w:u w:val="none"/>
          <w:lang w:val="en-US" w:eastAsia="zh-CN"/>
        </w:rPr>
        <w:t>周晓培</w:t>
      </w:r>
    </w:p>
    <w:p w14:paraId="4E814982">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rPr>
        <w:t>联系</w:t>
      </w:r>
      <w:r>
        <w:rPr>
          <w:rFonts w:hint="eastAsia" w:ascii="宋体" w:hAnsi="宋体" w:eastAsia="宋体" w:cs="宋体"/>
          <w:color w:val="auto"/>
          <w:sz w:val="24"/>
          <w:szCs w:val="18"/>
          <w:highlight w:val="none"/>
          <w:u w:val="none"/>
          <w:lang w:val="en-US" w:eastAsia="zh-CN"/>
        </w:rPr>
        <w:t>方式</w:t>
      </w:r>
      <w:r>
        <w:rPr>
          <w:rFonts w:hint="eastAsia" w:ascii="宋体" w:hAnsi="宋体" w:eastAsia="宋体" w:cs="宋体"/>
          <w:color w:val="auto"/>
          <w:sz w:val="24"/>
          <w:szCs w:val="18"/>
          <w:highlight w:val="none"/>
          <w:u w:val="none"/>
        </w:rPr>
        <w:t>：</w:t>
      </w:r>
      <w:r>
        <w:rPr>
          <w:rFonts w:hint="eastAsia" w:ascii="宋体" w:hAnsi="宋体" w:eastAsia="宋体" w:cs="宋体"/>
          <w:color w:val="auto"/>
          <w:sz w:val="24"/>
          <w:szCs w:val="18"/>
          <w:highlight w:val="none"/>
          <w:u w:val="none"/>
          <w:lang w:val="en-US" w:eastAsia="zh-CN"/>
        </w:rPr>
        <w:t>0550-3519512、18255055896</w:t>
      </w:r>
    </w:p>
    <w:p w14:paraId="311C3B5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4A32344E">
      <w:pPr>
        <w:spacing w:line="360" w:lineRule="auto"/>
        <w:jc w:val="center"/>
        <w:outlineLvl w:val="0"/>
        <w:rPr>
          <w:rFonts w:hint="eastAsia" w:ascii="宋体" w:hAnsi="宋体" w:eastAsia="宋体" w:cs="宋体"/>
          <w:b/>
          <w:color w:val="auto"/>
          <w:sz w:val="28"/>
          <w:highlight w:val="none"/>
        </w:rPr>
      </w:pPr>
      <w:bookmarkStart w:id="28" w:name="_Toc5132"/>
      <w:r>
        <w:rPr>
          <w:rFonts w:hint="eastAsia" w:ascii="宋体" w:hAnsi="宋体" w:eastAsia="宋体" w:cs="宋体"/>
          <w:b/>
          <w:color w:val="auto"/>
          <w:sz w:val="28"/>
          <w:highlight w:val="none"/>
        </w:rPr>
        <w:t>第二章  供应商须知</w:t>
      </w:r>
      <w:bookmarkEnd w:id="28"/>
    </w:p>
    <w:p w14:paraId="11DD15B5">
      <w:pPr>
        <w:spacing w:line="360" w:lineRule="auto"/>
        <w:jc w:val="center"/>
        <w:outlineLvl w:val="1"/>
        <w:rPr>
          <w:rFonts w:hint="eastAsia" w:ascii="宋体" w:hAnsi="宋体" w:eastAsia="宋体" w:cs="宋体"/>
          <w:b/>
          <w:color w:val="auto"/>
          <w:sz w:val="24"/>
          <w:highlight w:val="none"/>
        </w:rPr>
      </w:pPr>
      <w:bookmarkStart w:id="29" w:name="_Toc27956"/>
      <w:bookmarkStart w:id="30" w:name="_Toc31855"/>
      <w:bookmarkStart w:id="31" w:name="_Toc16645"/>
      <w:r>
        <w:rPr>
          <w:rFonts w:hint="eastAsia" w:ascii="宋体" w:hAnsi="宋体" w:eastAsia="宋体" w:cs="宋体"/>
          <w:b/>
          <w:color w:val="auto"/>
          <w:sz w:val="24"/>
          <w:highlight w:val="none"/>
        </w:rPr>
        <w:t>一、供应商须知前附表</w:t>
      </w:r>
      <w:bookmarkEnd w:id="29"/>
      <w:bookmarkEnd w:id="30"/>
      <w:bookmarkEnd w:id="31"/>
    </w:p>
    <w:p w14:paraId="06E623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本表是本项目的具体要求，是对供应商须知的具体补充和修改，如有不一致，以本表为准。</w:t>
      </w:r>
    </w:p>
    <w:tbl>
      <w:tblPr>
        <w:tblStyle w:val="29"/>
        <w:tblW w:w="52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853"/>
        <w:gridCol w:w="6489"/>
      </w:tblGrid>
      <w:tr w14:paraId="7E60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24D4F2AD">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textAlignment w:val="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029" w:type="pct"/>
            <w:vAlign w:val="center"/>
          </w:tcPr>
          <w:p w14:paraId="7CFE8F7C">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textAlignment w:val="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605" w:type="pct"/>
            <w:vAlign w:val="center"/>
          </w:tcPr>
          <w:p w14:paraId="2F9B67AB">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textAlignment w:val="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225C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43571D08">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w:t>
            </w:r>
          </w:p>
        </w:tc>
        <w:tc>
          <w:tcPr>
            <w:tcW w:w="1029" w:type="pct"/>
            <w:vAlign w:val="center"/>
          </w:tcPr>
          <w:p w14:paraId="1A6242A7">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left"/>
              <w:textAlignment w:val="auto"/>
              <w:rPr>
                <w:rFonts w:hint="eastAsia" w:ascii="宋体" w:hAnsi="宋体" w:eastAsia="宋体" w:cs="宋体"/>
                <w:b w:val="0"/>
                <w:color w:val="auto"/>
                <w:sz w:val="24"/>
                <w:highlight w:val="none"/>
              </w:rPr>
            </w:pPr>
            <w:r>
              <w:rPr>
                <w:rFonts w:hint="eastAsia" w:ascii="宋体" w:hAnsi="宋体" w:eastAsia="宋体" w:cs="宋体"/>
                <w:b w:val="0"/>
                <w:bCs/>
                <w:color w:val="auto"/>
                <w:kern w:val="2"/>
                <w:sz w:val="24"/>
                <w:szCs w:val="22"/>
                <w:highlight w:val="none"/>
                <w:lang w:val="en-US" w:eastAsia="zh-CN" w:bidi="ar-SA"/>
              </w:rPr>
              <w:t>现场考察或标前答疑会</w:t>
            </w:r>
          </w:p>
        </w:tc>
        <w:tc>
          <w:tcPr>
            <w:tcW w:w="3605" w:type="pct"/>
            <w:vAlign w:val="center"/>
          </w:tcPr>
          <w:p w14:paraId="065BDEE9">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35292C12">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p>
          <w:p w14:paraId="381D0767">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分</w:t>
            </w:r>
          </w:p>
          <w:p w14:paraId="5EB117C7">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highlight w:val="none"/>
                <w:u w:val="single"/>
                <w:lang w:eastAsia="zh-CN"/>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lang w:val="en-US" w:eastAsia="zh-CN"/>
              </w:rPr>
              <w:t>/</w:t>
            </w:r>
          </w:p>
          <w:p w14:paraId="773C0C29">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highlight w:val="none"/>
                <w:u w:val="single"/>
                <w:lang w:eastAsia="zh-CN"/>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lang w:val="en-US" w:eastAsia="zh-CN"/>
              </w:rPr>
              <w:t>/</w:t>
            </w:r>
          </w:p>
          <w:p w14:paraId="65DD78E7">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如供应商未参加采购人统一组织的现场考察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，由此引起的一切责任由供应商自行承担。</w:t>
            </w:r>
          </w:p>
        </w:tc>
      </w:tr>
      <w:tr w14:paraId="113C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0B0F661B">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2</w:t>
            </w:r>
          </w:p>
        </w:tc>
        <w:tc>
          <w:tcPr>
            <w:tcW w:w="1029" w:type="pct"/>
            <w:vAlign w:val="center"/>
          </w:tcPr>
          <w:p w14:paraId="2E44F299">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询问截止时间</w:t>
            </w:r>
          </w:p>
        </w:tc>
        <w:tc>
          <w:tcPr>
            <w:tcW w:w="3605" w:type="pct"/>
            <w:vAlign w:val="center"/>
          </w:tcPr>
          <w:p w14:paraId="2AD70EAE">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2026年5月7日</w:t>
            </w:r>
            <w:r>
              <w:rPr>
                <w:rFonts w:hint="eastAsia" w:ascii="宋体" w:hAnsi="宋体" w:eastAsia="宋体" w:cs="宋体"/>
                <w:b w:val="0"/>
                <w:color w:val="auto"/>
                <w:sz w:val="24"/>
                <w:highlight w:val="none"/>
                <w:u w:val="single"/>
              </w:rPr>
              <w:t xml:space="preserve"> 17 </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 xml:space="preserve"> 30 </w:t>
            </w:r>
            <w:r>
              <w:rPr>
                <w:rFonts w:hint="eastAsia" w:ascii="宋体" w:hAnsi="宋体" w:eastAsia="宋体" w:cs="宋体"/>
                <w:b w:val="0"/>
                <w:color w:val="auto"/>
                <w:sz w:val="24"/>
                <w:highlight w:val="none"/>
              </w:rPr>
              <w:t>分</w:t>
            </w:r>
          </w:p>
        </w:tc>
      </w:tr>
      <w:tr w14:paraId="0356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6E2BC835">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3</w:t>
            </w:r>
          </w:p>
        </w:tc>
        <w:tc>
          <w:tcPr>
            <w:tcW w:w="1029" w:type="pct"/>
            <w:vAlign w:val="center"/>
          </w:tcPr>
          <w:p w14:paraId="769F075D">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605" w:type="pct"/>
            <w:vAlign w:val="center"/>
          </w:tcPr>
          <w:p w14:paraId="40CA7EBA">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 xml:space="preserve">☑不分包 </w:t>
            </w:r>
            <w:r>
              <w:rPr>
                <w:rFonts w:hint="eastAsia" w:ascii="宋体" w:hAnsi="宋体" w:eastAsia="宋体" w:cs="宋体"/>
                <w:b w:val="0"/>
                <w:color w:val="auto"/>
                <w:sz w:val="24"/>
                <w:highlight w:val="none"/>
              </w:rPr>
              <w:t xml:space="preserve">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u w:val="single"/>
                <w:lang w:val="en-US" w:eastAsia="zh-CN"/>
              </w:rPr>
              <w:t xml:space="preserve">  /   </w:t>
            </w:r>
          </w:p>
          <w:p w14:paraId="3DD99DAE">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供应商</w:t>
            </w:r>
            <w:r>
              <w:rPr>
                <w:rFonts w:hint="eastAsia" w:ascii="宋体" w:hAnsi="宋体" w:eastAsia="宋体" w:cs="宋体"/>
                <w:b w:val="0"/>
                <w:bCs w:val="0"/>
                <w:color w:val="auto"/>
                <w:sz w:val="24"/>
                <w:szCs w:val="24"/>
                <w:highlight w:val="none"/>
              </w:rPr>
              <w:t>参加</w:t>
            </w:r>
            <w:r>
              <w:rPr>
                <w:rFonts w:hint="eastAsia" w:ascii="宋体" w:hAnsi="宋体" w:eastAsia="宋体" w:cs="宋体"/>
                <w:b w:val="0"/>
                <w:color w:val="auto"/>
                <w:sz w:val="24"/>
                <w:highlight w:val="none"/>
              </w:rPr>
              <w:t>多个包谈判的成交包数规定：</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bCs w:val="0"/>
                <w:color w:val="auto"/>
                <w:sz w:val="24"/>
                <w:highlight w:val="none"/>
                <w:u w:val="single"/>
                <w:lang w:val="en-US" w:eastAsia="zh-CN"/>
              </w:rPr>
              <w:t>/。</w:t>
            </w:r>
          </w:p>
        </w:tc>
      </w:tr>
      <w:tr w14:paraId="1DF1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5600C52D">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4</w:t>
            </w:r>
          </w:p>
        </w:tc>
        <w:tc>
          <w:tcPr>
            <w:tcW w:w="1029" w:type="pct"/>
            <w:shd w:val="clear" w:color="auto" w:fill="auto"/>
            <w:vAlign w:val="center"/>
          </w:tcPr>
          <w:p w14:paraId="0B4A7D02">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eastAsia="zh-CN"/>
              </w:rPr>
              <w:t>响应文件</w:t>
            </w:r>
            <w:r>
              <w:rPr>
                <w:rFonts w:hint="eastAsia" w:ascii="宋体" w:hAnsi="宋体" w:eastAsia="宋体" w:cs="宋体"/>
                <w:b w:val="0"/>
                <w:color w:val="auto"/>
                <w:sz w:val="24"/>
                <w:highlight w:val="none"/>
              </w:rPr>
              <w:t>数量</w:t>
            </w:r>
          </w:p>
        </w:tc>
        <w:tc>
          <w:tcPr>
            <w:tcW w:w="3605" w:type="pct"/>
            <w:shd w:val="clear" w:color="auto" w:fill="auto"/>
            <w:vAlign w:val="center"/>
          </w:tcPr>
          <w:p w14:paraId="6E60695F">
            <w:pPr>
              <w:keepNext w:val="0"/>
              <w:keepLines w:val="0"/>
              <w:pageBreakBefore w:val="0"/>
              <w:widowControl/>
              <w:kinsoku/>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加密电子投标文件应在投标截止时间前通过新点电子交易平台后在【滁州专区】</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https://www.etrading.cn/BREpointSSO/login/oauth2login?regioncode=DQ_ChuZhou</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交易系统递交电子投标文件。</w:t>
            </w:r>
          </w:p>
          <w:p w14:paraId="6CE5DC29">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Cs/>
                <w:color w:val="auto"/>
                <w:kern w:val="0"/>
                <w:sz w:val="24"/>
                <w:szCs w:val="24"/>
                <w:highlight w:val="none"/>
              </w:rPr>
              <w:t>（投标单位中标后须递交与网上电子投标文件完全一致的纸质版投标文件，并按要求加盖公章；份数：正本1份，副本2份；中标单位领取中标通知书时，一并递交给代理机构）</w:t>
            </w:r>
          </w:p>
        </w:tc>
      </w:tr>
      <w:tr w14:paraId="1B1B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3771F530">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p>
        </w:tc>
        <w:tc>
          <w:tcPr>
            <w:tcW w:w="1029" w:type="pct"/>
            <w:shd w:val="clear" w:color="auto" w:fill="auto"/>
            <w:vAlign w:val="center"/>
          </w:tcPr>
          <w:p w14:paraId="0604B6CE">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rPr>
              <w:t>签字或盖章要求</w:t>
            </w:r>
          </w:p>
        </w:tc>
        <w:tc>
          <w:tcPr>
            <w:tcW w:w="3605" w:type="pct"/>
            <w:shd w:val="clear" w:color="auto" w:fill="auto"/>
            <w:vAlign w:val="center"/>
          </w:tcPr>
          <w:p w14:paraId="725EC806">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电子投标文件须按格式文件要求签字或盖章（电子签章），招标文件格式中要求“签章”部位，指电子签章或盖章后扫描上传均可。</w:t>
            </w:r>
          </w:p>
          <w:p w14:paraId="3A6AE7C7">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否则经评委会一致认定后，按照无效投标处理。</w:t>
            </w:r>
          </w:p>
        </w:tc>
      </w:tr>
      <w:tr w14:paraId="745F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27492277">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6</w:t>
            </w:r>
          </w:p>
        </w:tc>
        <w:tc>
          <w:tcPr>
            <w:tcW w:w="1029" w:type="pct"/>
            <w:shd w:val="clear" w:color="auto" w:fill="auto"/>
            <w:vAlign w:val="center"/>
          </w:tcPr>
          <w:p w14:paraId="5FAC0CDA">
            <w:pPr>
              <w:spacing w:line="440" w:lineRule="exact"/>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rPr>
              <w:t>投标文件提交截止时间</w:t>
            </w:r>
          </w:p>
        </w:tc>
        <w:tc>
          <w:tcPr>
            <w:tcW w:w="3605" w:type="pct"/>
            <w:shd w:val="clear" w:color="auto" w:fill="auto"/>
            <w:vAlign w:val="center"/>
          </w:tcPr>
          <w:p w14:paraId="536D1CC7">
            <w:pPr>
              <w:keepNext w:val="0"/>
              <w:keepLines w:val="0"/>
              <w:pageBreakBefore w:val="0"/>
              <w:kinsoku/>
              <w:overflowPunct/>
              <w:topLinePunct w:val="0"/>
              <w:autoSpaceDE/>
              <w:autoSpaceDN/>
              <w:bidi w:val="0"/>
              <w:adjustRightInd/>
              <w:snapToGrid/>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网上递交投标文件截止时间：</w:t>
            </w:r>
            <w:r>
              <w:rPr>
                <w:rFonts w:hint="eastAsia" w:ascii="宋体" w:hAnsi="宋体" w:eastAsia="宋体" w:cs="宋体"/>
                <w:b/>
                <w:bCs/>
                <w:color w:val="auto"/>
                <w:sz w:val="24"/>
                <w:szCs w:val="24"/>
                <w:highlight w:val="none"/>
                <w:lang w:eastAsia="zh-CN"/>
              </w:rPr>
              <w:t>2026年</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月</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日</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点</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0分（北京时间）</w:t>
            </w:r>
            <w:r>
              <w:rPr>
                <w:rFonts w:hint="eastAsia" w:ascii="宋体" w:hAnsi="宋体" w:eastAsia="宋体" w:cs="宋体"/>
                <w:b/>
                <w:color w:val="auto"/>
                <w:sz w:val="24"/>
                <w:szCs w:val="24"/>
                <w:highlight w:val="none"/>
              </w:rPr>
              <w:t>注：以投标人在投标截止时间前网上递交的电子投标文件为准，逾期提交的，投标文件将被拒绝。</w:t>
            </w:r>
          </w:p>
          <w:p w14:paraId="7BA6AB1B">
            <w:pPr>
              <w:keepNext w:val="0"/>
              <w:keepLines w:val="0"/>
              <w:pageBreakBefore w:val="0"/>
              <w:kinsoku/>
              <w:wordWrap w:val="0"/>
              <w:overflowPunct/>
              <w:topLinePunct w:val="0"/>
              <w:autoSpaceDE/>
              <w:autoSpaceDN/>
              <w:bidi w:val="0"/>
              <w:adjustRightInd/>
              <w:snapToGrid/>
              <w:spacing w:line="440" w:lineRule="exac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rPr>
              <w:t>1.解密程序开始后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0分钟内（以本项目网上招投标系统解密倒计时为准）。</w:t>
            </w:r>
          </w:p>
        </w:tc>
      </w:tr>
      <w:tr w14:paraId="2682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0C5E17E8">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7</w:t>
            </w:r>
          </w:p>
        </w:tc>
        <w:tc>
          <w:tcPr>
            <w:tcW w:w="1029" w:type="pct"/>
            <w:shd w:val="clear" w:color="auto" w:fill="auto"/>
            <w:vAlign w:val="center"/>
          </w:tcPr>
          <w:p w14:paraId="062BD36C">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eastAsia="zh-CN"/>
              </w:rPr>
              <w:t>是否退还响应文件</w:t>
            </w:r>
          </w:p>
        </w:tc>
        <w:tc>
          <w:tcPr>
            <w:tcW w:w="3605" w:type="pct"/>
            <w:shd w:val="clear" w:color="auto" w:fill="auto"/>
            <w:vAlign w:val="center"/>
          </w:tcPr>
          <w:p w14:paraId="3568AF7B">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eastAsia="zh-CN"/>
              </w:rPr>
              <w:t>否</w:t>
            </w:r>
          </w:p>
        </w:tc>
      </w:tr>
      <w:tr w14:paraId="43AB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598ED81A">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8</w:t>
            </w:r>
          </w:p>
        </w:tc>
        <w:tc>
          <w:tcPr>
            <w:tcW w:w="1029" w:type="pct"/>
            <w:vAlign w:val="center"/>
          </w:tcPr>
          <w:p w14:paraId="71CD4336">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谈判保证金</w:t>
            </w:r>
          </w:p>
        </w:tc>
        <w:tc>
          <w:tcPr>
            <w:tcW w:w="3605" w:type="pct"/>
            <w:vAlign w:val="center"/>
          </w:tcPr>
          <w:p w14:paraId="65074E04">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不收取</w:t>
            </w:r>
          </w:p>
        </w:tc>
      </w:tr>
      <w:tr w14:paraId="6DE3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146D747D">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9</w:t>
            </w:r>
          </w:p>
        </w:tc>
        <w:tc>
          <w:tcPr>
            <w:tcW w:w="1029" w:type="pct"/>
            <w:vAlign w:val="center"/>
          </w:tcPr>
          <w:p w14:paraId="4D7A7E41">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谈判有效期</w:t>
            </w:r>
          </w:p>
        </w:tc>
        <w:tc>
          <w:tcPr>
            <w:tcW w:w="3605" w:type="pct"/>
            <w:vAlign w:val="center"/>
          </w:tcPr>
          <w:p w14:paraId="12D0BFE1">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90</w:t>
            </w:r>
            <w:r>
              <w:rPr>
                <w:rFonts w:hint="eastAsia" w:ascii="宋体" w:hAnsi="宋体" w:eastAsia="宋体" w:cs="宋体"/>
                <w:b w:val="0"/>
                <w:color w:val="auto"/>
                <w:sz w:val="24"/>
                <w:highlight w:val="none"/>
              </w:rPr>
              <w:t>日历日</w:t>
            </w:r>
          </w:p>
        </w:tc>
      </w:tr>
      <w:tr w14:paraId="1FD7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6B198A2C">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color w:val="auto"/>
                <w:sz w:val="24"/>
                <w:highlight w:val="none"/>
                <w:lang w:val="en-US" w:eastAsia="zh-CN"/>
              </w:rPr>
              <w:t>10</w:t>
            </w:r>
          </w:p>
        </w:tc>
        <w:tc>
          <w:tcPr>
            <w:tcW w:w="1029" w:type="pct"/>
            <w:vAlign w:val="center"/>
          </w:tcPr>
          <w:p w14:paraId="47C241FD">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响应文件</w:t>
            </w:r>
            <w:r>
              <w:rPr>
                <w:rFonts w:hint="eastAsia" w:ascii="宋体" w:hAnsi="宋体" w:eastAsia="宋体" w:cs="宋体"/>
                <w:b w:val="0"/>
                <w:color w:val="auto"/>
                <w:sz w:val="24"/>
                <w:highlight w:val="none"/>
                <w:lang w:eastAsia="zh-CN"/>
              </w:rPr>
              <w:t>递交</w:t>
            </w:r>
            <w:r>
              <w:rPr>
                <w:rFonts w:hint="eastAsia" w:ascii="宋体" w:hAnsi="宋体" w:eastAsia="宋体" w:cs="宋体"/>
                <w:b w:val="0"/>
                <w:color w:val="auto"/>
                <w:sz w:val="24"/>
                <w:highlight w:val="none"/>
              </w:rPr>
              <w:t>时间</w:t>
            </w:r>
          </w:p>
        </w:tc>
        <w:tc>
          <w:tcPr>
            <w:tcW w:w="3605" w:type="pct"/>
            <w:vAlign w:val="center"/>
          </w:tcPr>
          <w:p w14:paraId="29B7BCB4">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lang w:eastAsia="zh-CN"/>
              </w:rPr>
              <w:t>详见谈判</w:t>
            </w:r>
            <w:r>
              <w:rPr>
                <w:rFonts w:hint="eastAsia" w:ascii="宋体" w:hAnsi="宋体" w:eastAsia="宋体" w:cs="宋体"/>
                <w:b w:val="0"/>
                <w:color w:val="auto"/>
                <w:sz w:val="24"/>
                <w:highlight w:val="none"/>
                <w:lang w:val="en-US" w:eastAsia="zh-CN"/>
              </w:rPr>
              <w:t>公告</w:t>
            </w:r>
          </w:p>
        </w:tc>
      </w:tr>
      <w:tr w14:paraId="7E73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36ED70F3">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11</w:t>
            </w:r>
          </w:p>
        </w:tc>
        <w:tc>
          <w:tcPr>
            <w:tcW w:w="1029" w:type="pct"/>
            <w:vAlign w:val="center"/>
          </w:tcPr>
          <w:p w14:paraId="530FA6CD">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评审方法</w:t>
            </w:r>
          </w:p>
        </w:tc>
        <w:tc>
          <w:tcPr>
            <w:tcW w:w="3605" w:type="pct"/>
            <w:vAlign w:val="center"/>
          </w:tcPr>
          <w:p w14:paraId="32726157">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bCs w:val="0"/>
                <w:color w:val="auto"/>
                <w:sz w:val="24"/>
                <w:highlight w:val="none"/>
                <w:u w:val="none"/>
              </w:rPr>
              <w:t>最低评标价法</w:t>
            </w:r>
          </w:p>
        </w:tc>
      </w:tr>
      <w:tr w14:paraId="100D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Merge w:val="restart"/>
            <w:vAlign w:val="center"/>
          </w:tcPr>
          <w:p w14:paraId="6A3132CE">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highlight w:val="none"/>
                <w:lang w:val="en-US"/>
              </w:rPr>
            </w:pPr>
            <w:r>
              <w:rPr>
                <w:rFonts w:hint="eastAsia" w:ascii="宋体" w:hAnsi="宋体" w:eastAsia="宋体" w:cs="宋体"/>
                <w:bCs/>
                <w:color w:val="auto"/>
                <w:kern w:val="2"/>
                <w:highlight w:val="none"/>
                <w:lang w:val="en-US" w:eastAsia="zh-CN"/>
              </w:rPr>
              <w:t>12</w:t>
            </w:r>
          </w:p>
        </w:tc>
        <w:tc>
          <w:tcPr>
            <w:tcW w:w="1029" w:type="pct"/>
            <w:vMerge w:val="restart"/>
            <w:vAlign w:val="center"/>
          </w:tcPr>
          <w:p w14:paraId="7882D0F9">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确定成交候选人和成交供应商</w:t>
            </w:r>
          </w:p>
        </w:tc>
        <w:tc>
          <w:tcPr>
            <w:tcW w:w="3605" w:type="pct"/>
            <w:vAlign w:val="center"/>
          </w:tcPr>
          <w:p w14:paraId="0EFAF1FE">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rPr>
              <w:t>谈判小组推荐成交候选人的数量：3家</w:t>
            </w:r>
          </w:p>
          <w:p w14:paraId="13D41902">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lang w:val="en-US" w:eastAsia="zh-CN"/>
              </w:rPr>
              <w:t>注：法律、法规另有规定的，从其规定。</w:t>
            </w:r>
          </w:p>
        </w:tc>
      </w:tr>
      <w:tr w14:paraId="0892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Merge w:val="continue"/>
            <w:vAlign w:val="center"/>
          </w:tcPr>
          <w:p w14:paraId="29726A84">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highlight w:val="none"/>
              </w:rPr>
            </w:pPr>
          </w:p>
        </w:tc>
        <w:tc>
          <w:tcPr>
            <w:tcW w:w="1029" w:type="pct"/>
            <w:vMerge w:val="continue"/>
            <w:vAlign w:val="center"/>
          </w:tcPr>
          <w:p w14:paraId="6E06244F">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p>
        </w:tc>
        <w:tc>
          <w:tcPr>
            <w:tcW w:w="3605" w:type="pct"/>
            <w:vAlign w:val="center"/>
          </w:tcPr>
          <w:p w14:paraId="7915C89F">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确定成交供应商：</w:t>
            </w:r>
          </w:p>
          <w:p w14:paraId="7CDD0E22">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 xml:space="preserve">采购人委托谈判小组确定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采购人确定</w:t>
            </w:r>
          </w:p>
        </w:tc>
      </w:tr>
      <w:tr w14:paraId="5F96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4C04D2B5">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13</w:t>
            </w:r>
          </w:p>
        </w:tc>
        <w:tc>
          <w:tcPr>
            <w:tcW w:w="1029" w:type="pct"/>
            <w:vAlign w:val="center"/>
          </w:tcPr>
          <w:p w14:paraId="4DFA21CC">
            <w:pPr>
              <w:pStyle w:val="14"/>
              <w:spacing w:line="440" w:lineRule="exact"/>
              <w:ind w:firstLine="0" w:firstLineChars="0"/>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成交结果公告媒介</w:t>
            </w:r>
          </w:p>
        </w:tc>
        <w:tc>
          <w:tcPr>
            <w:tcW w:w="3605" w:type="pct"/>
            <w:vAlign w:val="center"/>
          </w:tcPr>
          <w:p w14:paraId="7ABF717A">
            <w:pPr>
              <w:pStyle w:val="14"/>
              <w:wordWrap w:val="0"/>
              <w:spacing w:line="440" w:lineRule="exact"/>
              <w:ind w:firstLine="0" w:firstLineChars="0"/>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滁州市城投工程咨询管理有限公司（https://www.czctgczx.com/）网站</w:t>
            </w:r>
          </w:p>
        </w:tc>
      </w:tr>
      <w:tr w14:paraId="3449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75C0980B">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14</w:t>
            </w:r>
          </w:p>
        </w:tc>
        <w:tc>
          <w:tcPr>
            <w:tcW w:w="1029" w:type="pct"/>
            <w:vAlign w:val="center"/>
          </w:tcPr>
          <w:p w14:paraId="4BC18719">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成交通知书发出的形式</w:t>
            </w:r>
          </w:p>
        </w:tc>
        <w:tc>
          <w:tcPr>
            <w:tcW w:w="3605" w:type="pct"/>
            <w:vAlign w:val="center"/>
          </w:tcPr>
          <w:p w14:paraId="3C3170B3">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 xml:space="preserve">书面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数据电文</w:t>
            </w:r>
          </w:p>
          <w:p w14:paraId="7A5E2404">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特别提醒：本项目发布成交结果公告的同时，通过</w:t>
            </w:r>
            <w:r>
              <w:rPr>
                <w:rFonts w:hint="eastAsia" w:ascii="宋体" w:hAnsi="宋体" w:eastAsia="宋体" w:cs="宋体"/>
                <w:b w:val="0"/>
                <w:color w:val="auto"/>
                <w:sz w:val="24"/>
                <w:highlight w:val="none"/>
                <w:lang w:eastAsia="zh-CN"/>
              </w:rPr>
              <w:t>招标代理机构</w:t>
            </w:r>
            <w:r>
              <w:rPr>
                <w:rFonts w:hint="eastAsia" w:ascii="宋体" w:hAnsi="宋体" w:eastAsia="宋体" w:cs="宋体"/>
                <w:b w:val="0"/>
                <w:color w:val="auto"/>
                <w:sz w:val="24"/>
                <w:highlight w:val="none"/>
              </w:rPr>
              <w:t>向成交供应商发出成交通知书。成交通知书发出视为已送达，采购人和采购代理机构不承担供应商未及时关注相关信息引发的相关责任。</w:t>
            </w:r>
          </w:p>
        </w:tc>
      </w:tr>
      <w:tr w14:paraId="2A89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72F7D0B8">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 w:val="0"/>
                <w:bCs/>
                <w:color w:val="auto"/>
                <w:sz w:val="24"/>
                <w:szCs w:val="24"/>
                <w:highlight w:val="none"/>
                <w:lang w:val="en-US" w:eastAsia="zh-CN"/>
              </w:rPr>
              <w:t>15</w:t>
            </w:r>
          </w:p>
        </w:tc>
        <w:tc>
          <w:tcPr>
            <w:tcW w:w="1029" w:type="pct"/>
            <w:vAlign w:val="center"/>
          </w:tcPr>
          <w:p w14:paraId="0D5533CC">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告知谈判结果的形式</w:t>
            </w:r>
          </w:p>
        </w:tc>
        <w:tc>
          <w:tcPr>
            <w:tcW w:w="3605" w:type="pct"/>
            <w:vAlign w:val="center"/>
          </w:tcPr>
          <w:p w14:paraId="14297F25">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highlight w:val="none"/>
                <w:lang w:val="en-US" w:eastAsia="zh-CN"/>
              </w:rPr>
              <w:t>系统查看  □</w:t>
            </w:r>
            <w:r>
              <w:rPr>
                <w:rFonts w:hint="eastAsia" w:ascii="宋体" w:hAnsi="宋体" w:eastAsia="宋体" w:cs="宋体"/>
                <w:b w:val="0"/>
                <w:color w:val="auto"/>
                <w:sz w:val="24"/>
                <w:highlight w:val="none"/>
                <w:lang w:val="en-US" w:eastAsia="zh-CN"/>
              </w:rPr>
              <w:t>谈判现场告知</w:t>
            </w:r>
          </w:p>
        </w:tc>
      </w:tr>
      <w:tr w14:paraId="18DC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4CE8752C">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16</w:t>
            </w:r>
          </w:p>
        </w:tc>
        <w:tc>
          <w:tcPr>
            <w:tcW w:w="1029" w:type="pct"/>
            <w:vAlign w:val="center"/>
          </w:tcPr>
          <w:p w14:paraId="65C50368">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605" w:type="pct"/>
          </w:tcPr>
          <w:p w14:paraId="35AE17FF">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25D240D1">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28AB16DE">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7149D72D">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lang w:val="en-US" w:eastAsia="zh-CN"/>
              </w:rPr>
              <w:t>/</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724CEEED">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09828D49">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 w:val="0"/>
                <w:color w:val="auto"/>
                <w:sz w:val="24"/>
                <w:highlight w:val="none"/>
                <w:lang w:eastAsia="zh-CN"/>
              </w:rPr>
              <w:t>□</w:t>
            </w:r>
            <w:r>
              <w:rPr>
                <w:rFonts w:hint="eastAsia" w:ascii="宋体" w:hAnsi="宋体" w:eastAsia="宋体" w:cs="宋体"/>
                <w:bCs/>
                <w:color w:val="auto"/>
                <w:kern w:val="0"/>
                <w:sz w:val="24"/>
                <w:szCs w:val="28"/>
                <w:highlight w:val="none"/>
              </w:rPr>
              <w:t>转账</w:t>
            </w:r>
            <w:r>
              <w:rPr>
                <w:rFonts w:hint="eastAsia" w:ascii="宋体" w:hAnsi="宋体" w:eastAsia="宋体" w:cs="宋体"/>
                <w:b w:val="0"/>
                <w:color w:val="auto"/>
                <w:sz w:val="24"/>
                <w:highlight w:val="none"/>
                <w:lang w:eastAsia="zh-CN"/>
              </w:rPr>
              <w:t>□</w:t>
            </w:r>
            <w:r>
              <w:rPr>
                <w:rFonts w:hint="eastAsia" w:ascii="宋体" w:hAnsi="宋体" w:eastAsia="宋体" w:cs="宋体"/>
                <w:bCs/>
                <w:color w:val="auto"/>
                <w:kern w:val="0"/>
                <w:sz w:val="24"/>
                <w:szCs w:val="28"/>
                <w:highlight w:val="none"/>
              </w:rPr>
              <w:t xml:space="preserve">电汇 </w:t>
            </w:r>
            <w:r>
              <w:rPr>
                <w:rFonts w:hint="eastAsia" w:ascii="宋体" w:hAnsi="宋体" w:eastAsia="宋体" w:cs="宋体"/>
                <w:b w:val="0"/>
                <w:color w:val="auto"/>
                <w:sz w:val="24"/>
                <w:highlight w:val="none"/>
                <w:lang w:eastAsia="zh-CN"/>
              </w:rPr>
              <w:t>□</w:t>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 w:val="0"/>
                <w:color w:val="auto"/>
                <w:sz w:val="24"/>
                <w:highlight w:val="none"/>
                <w:lang w:eastAsia="zh-CN"/>
              </w:rPr>
              <w:t>□</w:t>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 w:val="0"/>
                <w:color w:val="auto"/>
                <w:sz w:val="24"/>
                <w:highlight w:val="none"/>
                <w:lang w:eastAsia="zh-CN"/>
              </w:rPr>
              <w:t>□</w:t>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 w:val="0"/>
                <w:color w:val="auto"/>
                <w:sz w:val="24"/>
                <w:highlight w:val="none"/>
                <w:lang w:eastAsia="zh-CN"/>
              </w:rPr>
              <w:t>□</w:t>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 w:val="0"/>
                <w:color w:val="auto"/>
                <w:sz w:val="24"/>
                <w:highlight w:val="none"/>
                <w:lang w:eastAsia="zh-CN"/>
              </w:rPr>
              <w:t>□</w:t>
            </w:r>
            <w:r>
              <w:rPr>
                <w:rFonts w:hint="eastAsia" w:ascii="宋体" w:hAnsi="宋体" w:eastAsia="宋体" w:cs="宋体"/>
                <w:bCs/>
                <w:color w:val="auto"/>
                <w:kern w:val="0"/>
                <w:sz w:val="24"/>
                <w:szCs w:val="28"/>
                <w:highlight w:val="none"/>
              </w:rPr>
              <w:t>保函</w:t>
            </w:r>
          </w:p>
          <w:p w14:paraId="2A226819">
            <w:pPr>
              <w:keepNext w:val="0"/>
              <w:keepLines w:val="0"/>
              <w:pageBreakBefore w:val="0"/>
              <w:numPr>
                <w:ilvl w:val="0"/>
                <w:numId w:val="0"/>
              </w:numPr>
              <w:kinsoku/>
              <w:wordWrap/>
              <w:overflowPunct/>
              <w:autoSpaceDE/>
              <w:autoSpaceDN/>
              <w:bidi w:val="0"/>
              <w:adjustRightInd/>
              <w:snapToGrid/>
              <w:spacing w:line="324"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lang w:val="en-US" w:eastAsia="zh-CN"/>
              </w:rPr>
              <w:t>/</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28A63341">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lang w:val="en-US" w:eastAsia="zh-CN"/>
              </w:rPr>
              <w:t>/</w:t>
            </w:r>
            <w:r>
              <w:rPr>
                <w:rFonts w:hint="eastAsia" w:ascii="宋体" w:hAnsi="宋体" w:eastAsia="宋体" w:cs="宋体"/>
                <w:bCs/>
                <w:color w:val="auto"/>
                <w:kern w:val="0"/>
                <w:sz w:val="24"/>
                <w:szCs w:val="28"/>
                <w:highlight w:val="none"/>
                <w:u w:val="single"/>
              </w:rPr>
              <w:t xml:space="preserve">        </w:t>
            </w:r>
          </w:p>
          <w:p w14:paraId="0D2C6299">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lang w:val="en-US" w:eastAsia="zh-CN"/>
              </w:rPr>
              <w:t>/</w:t>
            </w:r>
            <w:r>
              <w:rPr>
                <w:rFonts w:hint="eastAsia" w:ascii="宋体" w:hAnsi="宋体" w:eastAsia="宋体" w:cs="宋体"/>
                <w:bCs/>
                <w:color w:val="auto"/>
                <w:kern w:val="0"/>
                <w:sz w:val="24"/>
                <w:szCs w:val="28"/>
                <w:highlight w:val="none"/>
                <w:u w:val="single"/>
              </w:rPr>
              <w:t xml:space="preserve">        </w:t>
            </w:r>
          </w:p>
          <w:p w14:paraId="3178129B">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CEAE3B4">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714F2DE9">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szCs w:val="24"/>
                <w:highlight w:val="none"/>
              </w:rPr>
              <w:t>（2）以担保函、保证保险形式缴纳履约保证金的，受益人和收取单位须为采购人。</w:t>
            </w:r>
          </w:p>
        </w:tc>
      </w:tr>
      <w:tr w14:paraId="341A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3AFD40F8">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17</w:t>
            </w:r>
          </w:p>
        </w:tc>
        <w:tc>
          <w:tcPr>
            <w:tcW w:w="1029" w:type="pct"/>
            <w:vAlign w:val="center"/>
          </w:tcPr>
          <w:p w14:paraId="11484AF8">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lang w:val="en-US" w:eastAsia="zh-CN"/>
              </w:rPr>
              <w:t>代理费用及专家评审费</w:t>
            </w:r>
          </w:p>
        </w:tc>
        <w:tc>
          <w:tcPr>
            <w:tcW w:w="3605" w:type="pct"/>
            <w:vAlign w:val="center"/>
          </w:tcPr>
          <w:p w14:paraId="6E147D55">
            <w:pPr>
              <w:keepNext w:val="0"/>
              <w:keepLines w:val="0"/>
              <w:pageBreakBefore w:val="0"/>
              <w:widowControl w:val="0"/>
              <w:kinsoku/>
              <w:wordWrap/>
              <w:overflowPunct/>
              <w:topLinePunct w:val="0"/>
              <w:autoSpaceDE/>
              <w:autoSpaceDN/>
              <w:bidi w:val="0"/>
              <w:adjustRightInd/>
              <w:snapToGrid/>
              <w:spacing w:before="39" w:line="324"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lang w:val="en-US" w:eastAsia="zh-CN"/>
              </w:rPr>
              <w:t>成交</w:t>
            </w:r>
            <w:r>
              <w:rPr>
                <w:rFonts w:hint="eastAsia" w:ascii="宋体" w:hAnsi="宋体" w:eastAsia="宋体" w:cs="宋体"/>
                <w:color w:val="auto"/>
                <w:spacing w:val="14"/>
                <w:sz w:val="24"/>
                <w:szCs w:val="24"/>
                <w:highlight w:val="none"/>
                <w:lang w:val="en-US" w:eastAsia="zh-CN"/>
              </w:rPr>
              <w:t>供应商</w:t>
            </w:r>
          </w:p>
          <w:p w14:paraId="71096C44">
            <w:pPr>
              <w:keepNext w:val="0"/>
              <w:keepLines w:val="0"/>
              <w:pageBreakBefore w:val="0"/>
              <w:widowControl w:val="0"/>
              <w:kinsoku/>
              <w:wordWrap/>
              <w:overflowPunct/>
              <w:topLinePunct w:val="0"/>
              <w:autoSpaceDE/>
              <w:autoSpaceDN/>
              <w:bidi w:val="0"/>
              <w:adjustRightInd/>
              <w:snapToGrid/>
              <w:spacing w:before="24" w:line="324" w:lineRule="auto"/>
              <w:textAlignment w:val="auto"/>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成交供应商</w:t>
            </w:r>
            <w:r>
              <w:rPr>
                <w:rFonts w:hint="eastAsia" w:ascii="宋体" w:hAnsi="宋体" w:eastAsia="宋体" w:cs="宋体"/>
                <w:color w:val="auto"/>
                <w:sz w:val="24"/>
                <w:szCs w:val="24"/>
                <w:highlight w:val="none"/>
                <w:u w:val="single"/>
              </w:rPr>
              <w:t>在获取成交通知书时一次性支付给代理机构</w:t>
            </w:r>
            <w:r>
              <w:rPr>
                <w:rFonts w:hint="eastAsia" w:ascii="宋体" w:hAnsi="宋体" w:eastAsia="宋体" w:cs="宋体"/>
                <w:color w:val="auto"/>
                <w:sz w:val="24"/>
                <w:szCs w:val="24"/>
                <w:highlight w:val="none"/>
                <w:u w:val="single"/>
                <w:lang w:eastAsia="zh-CN"/>
              </w:rPr>
              <w:t>。</w:t>
            </w:r>
          </w:p>
          <w:p w14:paraId="07314A81">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b w:val="0"/>
                <w:bCs w:val="0"/>
                <w:color w:val="auto"/>
                <w:kern w:val="2"/>
                <w:sz w:val="24"/>
                <w:szCs w:val="24"/>
                <w:highlight w:val="none"/>
                <w:u w:val="single"/>
                <w:lang w:val="en-US" w:eastAsia="zh-CN"/>
              </w:rPr>
              <w:t>本项目代理费为3570元。评委费按实际支出支付。</w:t>
            </w:r>
          </w:p>
        </w:tc>
      </w:tr>
      <w:tr w14:paraId="791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689C59C4">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18</w:t>
            </w:r>
          </w:p>
        </w:tc>
        <w:tc>
          <w:tcPr>
            <w:tcW w:w="1029" w:type="pct"/>
            <w:vAlign w:val="center"/>
          </w:tcPr>
          <w:p w14:paraId="02905B4B">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lang w:val="en-US" w:eastAsia="zh-CN"/>
              </w:rPr>
              <w:t>签订合同和合同公告时间</w:t>
            </w:r>
          </w:p>
        </w:tc>
        <w:tc>
          <w:tcPr>
            <w:tcW w:w="3605" w:type="pct"/>
            <w:vAlign w:val="center"/>
          </w:tcPr>
          <w:p w14:paraId="4850BDDA">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根据采购人要求</w:t>
            </w:r>
          </w:p>
        </w:tc>
      </w:tr>
      <w:tr w14:paraId="302C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50B20C72">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19</w:t>
            </w:r>
          </w:p>
        </w:tc>
        <w:tc>
          <w:tcPr>
            <w:tcW w:w="1029" w:type="pct"/>
            <w:vAlign w:val="center"/>
          </w:tcPr>
          <w:p w14:paraId="523AA2BD">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质疑函递交方式、接收部门、联系电话和通讯地址</w:t>
            </w:r>
          </w:p>
        </w:tc>
        <w:tc>
          <w:tcPr>
            <w:tcW w:w="3605" w:type="pct"/>
            <w:vAlign w:val="center"/>
          </w:tcPr>
          <w:p w14:paraId="627F78AF">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递交方式：</w:t>
            </w:r>
            <w:r>
              <w:rPr>
                <w:rFonts w:hint="eastAsia" w:ascii="宋体" w:hAnsi="宋体" w:eastAsia="宋体" w:cs="宋体"/>
                <w:b w:val="0"/>
                <w:color w:val="auto"/>
                <w:sz w:val="24"/>
                <w:szCs w:val="24"/>
                <w:highlight w:val="none"/>
                <w:u w:val="single"/>
                <w:lang w:val="en-US" w:eastAsia="zh-CN"/>
              </w:rPr>
              <w:t>如供应商对谈判文件有质疑，依据中华人民共和国财政部令第94号《政府采购质疑和投诉办法》规定提出质疑；</w:t>
            </w:r>
            <w:r>
              <w:rPr>
                <w:rFonts w:hint="eastAsia" w:ascii="宋体" w:hAnsi="宋体" w:eastAsia="宋体" w:cs="宋体"/>
                <w:b w:val="0"/>
                <w:bCs w:val="0"/>
                <w:color w:val="auto"/>
                <w:sz w:val="24"/>
                <w:szCs w:val="24"/>
                <w:highlight w:val="none"/>
                <w:u w:val="single"/>
                <w:lang w:val="en-US" w:eastAsia="zh-CN"/>
              </w:rPr>
              <w:t xml:space="preserve">以通过书面形式提出。一份质疑函只能针对一个项目提出质疑，且针对同一采购程序环节的质疑应当一次性提出。 </w:t>
            </w:r>
          </w:p>
          <w:p w14:paraId="66035E77">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u w:val="single"/>
                <w:lang w:val="en-US" w:eastAsia="zh-CN"/>
              </w:rPr>
              <w:t>滁州市明湖建设管理服务中心</w:t>
            </w:r>
            <w:r>
              <w:rPr>
                <w:rFonts w:hint="eastAsia" w:ascii="宋体" w:hAnsi="宋体" w:eastAsia="宋体" w:cs="宋体"/>
                <w:b w:val="0"/>
                <w:bCs w:val="0"/>
                <w:color w:val="auto"/>
                <w:sz w:val="24"/>
                <w:szCs w:val="24"/>
                <w:highlight w:val="none"/>
                <w:u w:val="single"/>
                <w:lang w:val="en-US" w:eastAsia="zh-CN"/>
              </w:rPr>
              <w:t>、滁州市城投工程咨询管理有限公司</w:t>
            </w:r>
          </w:p>
          <w:p w14:paraId="469CD112">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bCs/>
                <w:color w:val="auto"/>
                <w:sz w:val="24"/>
                <w:szCs w:val="24"/>
                <w:highlight w:val="none"/>
              </w:rPr>
              <w:t>：</w:t>
            </w:r>
            <w:r>
              <w:rPr>
                <w:rFonts w:hint="eastAsia" w:ascii="宋体" w:hAnsi="宋体" w:eastAsia="宋体" w:cs="宋体"/>
                <w:b w:val="0"/>
                <w:bCs w:val="0"/>
                <w:color w:val="auto"/>
                <w:kern w:val="2"/>
                <w:sz w:val="24"/>
                <w:szCs w:val="24"/>
                <w:highlight w:val="none"/>
                <w:u w:val="single"/>
                <w:lang w:val="en-US" w:eastAsia="zh-CN" w:bidi="ar"/>
              </w:rPr>
              <w:t>15155005346</w:t>
            </w:r>
            <w:r>
              <w:rPr>
                <w:rFonts w:hint="eastAsia" w:ascii="宋体" w:hAnsi="宋体" w:eastAsia="宋体" w:cs="宋体"/>
                <w:b w:val="0"/>
                <w:bCs/>
                <w:color w:val="auto"/>
                <w:kern w:val="0"/>
                <w:sz w:val="24"/>
                <w:szCs w:val="24"/>
                <w:highlight w:val="none"/>
                <w:u w:val="single"/>
                <w:lang w:val="en-US" w:eastAsia="zh-CN"/>
              </w:rPr>
              <w:t>、0550-3519512、18255055896</w:t>
            </w:r>
            <w:r>
              <w:rPr>
                <w:rFonts w:hint="eastAsia" w:ascii="宋体" w:hAnsi="宋体" w:eastAsia="宋体" w:cs="宋体"/>
                <w:b w:val="0"/>
                <w:bCs/>
                <w:color w:val="auto"/>
                <w:kern w:val="0"/>
                <w:sz w:val="24"/>
                <w:szCs w:val="24"/>
                <w:highlight w:val="none"/>
                <w:u w:val="single"/>
              </w:rPr>
              <w:t xml:space="preserve"> </w:t>
            </w:r>
          </w:p>
          <w:p w14:paraId="09ED8327">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rPr>
              <w:t>通讯地址：</w:t>
            </w:r>
            <w:r>
              <w:rPr>
                <w:rFonts w:hint="eastAsia" w:ascii="宋体" w:hAnsi="宋体" w:eastAsia="宋体" w:cs="宋体"/>
                <w:b w:val="0"/>
                <w:bCs/>
                <w:color w:val="auto"/>
                <w:kern w:val="0"/>
                <w:sz w:val="24"/>
                <w:szCs w:val="24"/>
                <w:highlight w:val="none"/>
                <w:u w:val="single"/>
                <w:lang w:val="en-US" w:eastAsia="zh-CN"/>
              </w:rPr>
              <w:t>滁州市明湖公园内</w:t>
            </w:r>
            <w:r>
              <w:rPr>
                <w:rFonts w:hint="eastAsia" w:ascii="宋体" w:hAnsi="宋体" w:eastAsia="宋体" w:cs="宋体"/>
                <w:b w:val="0"/>
                <w:bCs/>
                <w:color w:val="auto"/>
                <w:kern w:val="0"/>
                <w:sz w:val="24"/>
                <w:szCs w:val="24"/>
                <w:highlight w:val="none"/>
                <w:u w:val="single"/>
                <w:lang w:eastAsia="zh-CN"/>
              </w:rPr>
              <w:t>、滁州市龙蟠大道109号房产大厦6楼</w:t>
            </w:r>
          </w:p>
        </w:tc>
      </w:tr>
      <w:tr w14:paraId="3212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25FC02EB">
            <w:pPr>
              <w:pStyle w:val="49"/>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20</w:t>
            </w:r>
          </w:p>
        </w:tc>
        <w:tc>
          <w:tcPr>
            <w:tcW w:w="1029" w:type="pct"/>
            <w:vAlign w:val="center"/>
          </w:tcPr>
          <w:p w14:paraId="08394BD7">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lang w:val="en-US" w:eastAsia="zh-CN"/>
              </w:rPr>
              <w:t>其他内容</w:t>
            </w:r>
          </w:p>
        </w:tc>
        <w:tc>
          <w:tcPr>
            <w:tcW w:w="3605" w:type="pct"/>
            <w:vAlign w:val="center"/>
          </w:tcPr>
          <w:p w14:paraId="0CCFBD36">
            <w:pPr>
              <w:pStyle w:val="48"/>
              <w:keepNext w:val="0"/>
              <w:keepLines w:val="0"/>
              <w:pageBreakBefore w:val="0"/>
              <w:widowControl w:val="0"/>
              <w:numPr>
                <w:ilvl w:val="0"/>
                <w:numId w:val="0"/>
              </w:numPr>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0E92143B">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w:t>
            </w:r>
            <w:r>
              <w:rPr>
                <w:rFonts w:hint="eastAsia" w:ascii="宋体" w:hAnsi="宋体" w:eastAsia="宋体" w:cs="宋体"/>
                <w:bCs/>
                <w:color w:val="auto"/>
                <w:sz w:val="24"/>
                <w:szCs w:val="24"/>
                <w:highlight w:val="none"/>
                <w:lang w:val="en-US" w:eastAsia="zh-CN"/>
              </w:rPr>
              <w:t>谈判</w:t>
            </w:r>
            <w:r>
              <w:rPr>
                <w:rFonts w:hint="eastAsia" w:ascii="宋体" w:hAnsi="宋体" w:eastAsia="宋体" w:cs="宋体"/>
                <w:bCs/>
                <w:color w:val="auto"/>
                <w:sz w:val="24"/>
                <w:szCs w:val="24"/>
                <w:highlight w:val="none"/>
              </w:rPr>
              <w:t>文件的各个组成文件应互为解释，互为说明；</w:t>
            </w:r>
          </w:p>
          <w:p w14:paraId="7F5A2B33">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F28B022">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9D2CEAF">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（4）除谈判文件中有特别规定外，仅适用于谈判及响应文件提交阶段的规定，按竞争性谈判公告、谈判邀请、供应商须知、评审方法和标准、响应文件格式的先后顺序解释；</w:t>
            </w:r>
          </w:p>
          <w:p w14:paraId="53D08F11">
            <w:pPr>
              <w:pStyle w:val="48"/>
              <w:keepNext w:val="0"/>
              <w:keepLines w:val="0"/>
              <w:pageBreakBefore w:val="0"/>
              <w:widowControl w:val="0"/>
              <w:numPr>
                <w:ilvl w:val="0"/>
                <w:numId w:val="0"/>
              </w:numPr>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22C7D214">
            <w:pPr>
              <w:pStyle w:val="24"/>
              <w:keepNext w:val="0"/>
              <w:keepLines w:val="0"/>
              <w:pageBreakBefore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val="en-US" w:eastAsia="zh-CN"/>
              </w:rPr>
              <w:t>2</w:t>
            </w:r>
            <w:r>
              <w:rPr>
                <w:rFonts w:hint="eastAsia" w:ascii="宋体" w:hAnsi="宋体" w:eastAsia="宋体" w:cs="宋体"/>
                <w:bCs/>
                <w:color w:val="auto"/>
                <w:kern w:val="2"/>
                <w:szCs w:val="24"/>
                <w:highlight w:val="none"/>
              </w:rPr>
              <w:t>、特别提示：</w:t>
            </w:r>
          </w:p>
          <w:p w14:paraId="65FFB52E">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lang w:val="en-US" w:eastAsia="zh-CN"/>
              </w:rPr>
              <w:t>1</w:t>
            </w:r>
            <w:r>
              <w:rPr>
                <w:rFonts w:hint="eastAsia" w:ascii="宋体" w:hAnsi="宋体" w:eastAsia="宋体" w:cs="宋体"/>
                <w:b w:val="0"/>
                <w:color w:val="auto"/>
                <w:kern w:val="2"/>
                <w:sz w:val="24"/>
                <w:szCs w:val="24"/>
                <w:highlight w:val="none"/>
              </w:rPr>
              <w:t>）供应商联系人或联系电话相同的，由谈判小组否决其资格，并报告监管部门作不良行为处理和进一步调查。</w:t>
            </w:r>
          </w:p>
          <w:p w14:paraId="1084B26F">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lang w:val="en-US" w:eastAsia="zh-CN"/>
              </w:rPr>
              <w:t>2</w:t>
            </w:r>
            <w:r>
              <w:rPr>
                <w:rFonts w:hint="eastAsia" w:ascii="宋体" w:hAnsi="宋体" w:eastAsia="宋体" w:cs="宋体"/>
                <w:b w:val="0"/>
                <w:color w:val="auto"/>
                <w:kern w:val="2"/>
                <w:sz w:val="24"/>
                <w:szCs w:val="24"/>
                <w:highlight w:val="none"/>
              </w:rPr>
              <w:t>）供应商单方面出现其他供应商材料的，由谈判小组否决其响应。</w:t>
            </w:r>
          </w:p>
          <w:p w14:paraId="7DFFF4E8">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3、</w:t>
            </w:r>
            <w:r>
              <w:rPr>
                <w:rFonts w:hint="eastAsia" w:ascii="宋体" w:hAnsi="宋体" w:eastAsia="宋体" w:cs="宋体"/>
                <w:b w:val="0"/>
                <w:color w:val="auto"/>
                <w:kern w:val="2"/>
                <w:sz w:val="24"/>
                <w:szCs w:val="24"/>
                <w:highlight w:val="none"/>
              </w:rPr>
              <w:t>评审过程中的澄清、说明或补正：</w:t>
            </w:r>
          </w:p>
          <w:p w14:paraId="5AC1A840">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（1）谈判小组通过</w:t>
            </w:r>
            <w:r>
              <w:rPr>
                <w:rFonts w:hint="eastAsia" w:ascii="宋体" w:hAnsi="宋体" w:eastAsia="宋体" w:cs="宋体"/>
                <w:b w:val="0"/>
                <w:color w:val="auto"/>
                <w:kern w:val="2"/>
                <w:sz w:val="24"/>
                <w:szCs w:val="24"/>
                <w:highlight w:val="none"/>
                <w:lang w:eastAsia="zh-CN"/>
              </w:rPr>
              <w:t>书面形式</w:t>
            </w:r>
            <w:r>
              <w:rPr>
                <w:rFonts w:hint="eastAsia" w:ascii="宋体" w:hAnsi="宋体" w:eastAsia="宋体" w:cs="宋体"/>
                <w:b w:val="0"/>
                <w:color w:val="auto"/>
                <w:kern w:val="2"/>
                <w:sz w:val="24"/>
                <w:szCs w:val="24"/>
                <w:highlight w:val="none"/>
              </w:rPr>
              <w:t>将需要澄清、说明或补正的内容以询标函的形式给供应商，供应商应安排专人</w:t>
            </w:r>
            <w:r>
              <w:rPr>
                <w:rFonts w:hint="eastAsia" w:ascii="宋体" w:hAnsi="宋体" w:eastAsia="宋体" w:cs="宋体"/>
                <w:b w:val="0"/>
                <w:color w:val="auto"/>
                <w:kern w:val="2"/>
                <w:sz w:val="24"/>
                <w:szCs w:val="24"/>
                <w:highlight w:val="none"/>
                <w:lang w:eastAsia="zh-CN"/>
              </w:rPr>
              <w:t>在场</w:t>
            </w:r>
            <w:r>
              <w:rPr>
                <w:rFonts w:hint="eastAsia" w:ascii="宋体" w:hAnsi="宋体" w:eastAsia="宋体" w:cs="宋体"/>
                <w:b w:val="0"/>
                <w:color w:val="auto"/>
                <w:kern w:val="2"/>
                <w:sz w:val="24"/>
                <w:szCs w:val="24"/>
                <w:highlight w:val="none"/>
              </w:rPr>
              <w:t>，并确保联系方式有效，以便及时接收谈判小组可能发出的询标函。</w:t>
            </w:r>
          </w:p>
          <w:p w14:paraId="37FA9FDC">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（2）因供应商</w:t>
            </w:r>
            <w:r>
              <w:rPr>
                <w:rFonts w:hint="eastAsia" w:ascii="宋体" w:hAnsi="宋体" w:eastAsia="宋体" w:cs="宋体"/>
                <w:b w:val="0"/>
                <w:color w:val="auto"/>
                <w:kern w:val="2"/>
                <w:sz w:val="24"/>
                <w:szCs w:val="24"/>
                <w:highlight w:val="none"/>
                <w:lang w:eastAsia="zh-CN"/>
              </w:rPr>
              <w:t>原因</w:t>
            </w:r>
            <w:r>
              <w:rPr>
                <w:rFonts w:hint="eastAsia" w:ascii="宋体" w:hAnsi="宋体" w:eastAsia="宋体" w:cs="宋体"/>
                <w:b w:val="0"/>
                <w:color w:val="auto"/>
                <w:kern w:val="2"/>
                <w:sz w:val="24"/>
                <w:szCs w:val="24"/>
                <w:highlight w:val="none"/>
              </w:rPr>
              <w:t>导致无法及时接收询标函或未在规定时间内按谈判小组要求进行澄清、说明或补正内容的视同供应商放弃澄清、说明或补正内容的权利，谈判小组可按对供应商不利的解释进行判定。</w:t>
            </w:r>
          </w:p>
          <w:p w14:paraId="71C44D98">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4</w:t>
            </w:r>
            <w:r>
              <w:rPr>
                <w:rFonts w:hint="eastAsia" w:ascii="宋体" w:hAnsi="宋体" w:eastAsia="宋体" w:cs="宋体"/>
                <w:b w:val="0"/>
                <w:color w:val="auto"/>
                <w:kern w:val="2"/>
                <w:sz w:val="24"/>
                <w:szCs w:val="24"/>
                <w:highlight w:val="none"/>
              </w:rPr>
              <w:t>.同义词语：</w:t>
            </w:r>
          </w:p>
          <w:p w14:paraId="21CB5C83">
            <w:pPr>
              <w:pStyle w:val="48"/>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rPr>
              <w:t>谈判文件第六章  响应文件格式、附件1“关于联合惩戒失信行为 加强信用查询管理的通知”等章节中 “招标人”、“投标人”，等同于“采购人”、“供应商”。</w:t>
            </w:r>
          </w:p>
        </w:tc>
      </w:tr>
      <w:tr w14:paraId="5204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71B4C44E">
            <w:pPr>
              <w:pStyle w:val="49"/>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1</w:t>
            </w:r>
          </w:p>
        </w:tc>
        <w:tc>
          <w:tcPr>
            <w:tcW w:w="1029" w:type="pct"/>
            <w:shd w:val="clear" w:color="auto" w:fill="auto"/>
            <w:vAlign w:val="center"/>
          </w:tcPr>
          <w:p w14:paraId="2D61D37E">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承包方式</w:t>
            </w:r>
          </w:p>
        </w:tc>
        <w:tc>
          <w:tcPr>
            <w:tcW w:w="3605" w:type="pct"/>
            <w:shd w:val="clear" w:color="auto" w:fill="auto"/>
            <w:vAlign w:val="center"/>
          </w:tcPr>
          <w:p w14:paraId="2D3B6024">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 xml:space="preserve">施工总承包  </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专业承包</w:t>
            </w:r>
          </w:p>
        </w:tc>
      </w:tr>
      <w:tr w14:paraId="4600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4FD6AC99">
            <w:pPr>
              <w:pStyle w:val="49"/>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2</w:t>
            </w:r>
          </w:p>
        </w:tc>
        <w:tc>
          <w:tcPr>
            <w:tcW w:w="1029" w:type="pct"/>
            <w:shd w:val="clear" w:color="auto" w:fill="auto"/>
            <w:vAlign w:val="center"/>
          </w:tcPr>
          <w:p w14:paraId="3BE91342">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计价方式</w:t>
            </w:r>
          </w:p>
        </w:tc>
        <w:tc>
          <w:tcPr>
            <w:tcW w:w="3605" w:type="pct"/>
            <w:shd w:val="clear" w:color="auto" w:fill="auto"/>
            <w:vAlign w:val="center"/>
          </w:tcPr>
          <w:p w14:paraId="31A0DE23">
            <w:pPr>
              <w:pStyle w:val="48"/>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工程量清单综合单价报价法</w:t>
            </w:r>
          </w:p>
          <w:p w14:paraId="794860AE">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□全费用综合单价报价法</w:t>
            </w:r>
          </w:p>
        </w:tc>
      </w:tr>
      <w:tr w14:paraId="38D5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4F380FC6">
            <w:pPr>
              <w:pStyle w:val="49"/>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3</w:t>
            </w:r>
          </w:p>
        </w:tc>
        <w:tc>
          <w:tcPr>
            <w:tcW w:w="1029" w:type="pct"/>
            <w:shd w:val="clear" w:color="auto" w:fill="auto"/>
            <w:vAlign w:val="center"/>
          </w:tcPr>
          <w:p w14:paraId="26F18176">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工期</w:t>
            </w:r>
          </w:p>
        </w:tc>
        <w:tc>
          <w:tcPr>
            <w:tcW w:w="3605" w:type="pct"/>
            <w:shd w:val="clear" w:color="auto" w:fill="auto"/>
            <w:vAlign w:val="center"/>
          </w:tcPr>
          <w:p w14:paraId="287557BF">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color w:val="auto"/>
                <w:sz w:val="24"/>
                <w:highlight w:val="none"/>
                <w:lang w:val="en-US" w:eastAsia="zh-CN"/>
              </w:rPr>
              <w:t>自合同签订并接到采购人通知后50个日历天内完成绿化建设工作；养护期为验收合格之日起一年。</w:t>
            </w:r>
          </w:p>
        </w:tc>
      </w:tr>
      <w:tr w14:paraId="12E9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19D0AE28">
            <w:pPr>
              <w:pStyle w:val="49"/>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4</w:t>
            </w:r>
          </w:p>
        </w:tc>
        <w:tc>
          <w:tcPr>
            <w:tcW w:w="1029" w:type="pct"/>
            <w:shd w:val="clear" w:color="auto" w:fill="auto"/>
            <w:vAlign w:val="center"/>
          </w:tcPr>
          <w:p w14:paraId="5509A39E">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质量标准要求</w:t>
            </w:r>
          </w:p>
        </w:tc>
        <w:tc>
          <w:tcPr>
            <w:tcW w:w="3605" w:type="pct"/>
            <w:shd w:val="clear" w:color="auto" w:fill="auto"/>
            <w:vAlign w:val="center"/>
          </w:tcPr>
          <w:p w14:paraId="08A8C7CF">
            <w:pPr>
              <w:pageBreakBefore w:val="0"/>
              <w:kinsoku/>
              <w:wordWrap/>
              <w:overflowPunct/>
              <w:autoSpaceDE/>
              <w:autoSpaceDN/>
              <w:bidi w:val="0"/>
              <w:adjustRightInd w:val="0"/>
              <w:snapToGrid w:val="0"/>
              <w:spacing w:line="500" w:lineRule="exac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工程质量必须达到国家工程施工质量验收合格标准；</w:t>
            </w:r>
          </w:p>
          <w:p w14:paraId="03612E30">
            <w:pPr>
              <w:pageBreakBefore w:val="0"/>
              <w:kinsoku/>
              <w:wordWrap/>
              <w:overflowPunct/>
              <w:autoSpaceDE/>
              <w:autoSpaceDN/>
              <w:bidi w:val="0"/>
              <w:adjustRightInd w:val="0"/>
              <w:snapToGrid w:val="0"/>
              <w:spacing w:line="50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 xml:space="preserve">园林绿化养护质量符合《园林绿化养护标准》(CJJ/T287)中二级标准。 </w:t>
            </w:r>
          </w:p>
        </w:tc>
      </w:tr>
      <w:tr w14:paraId="48BF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3B8A7710">
            <w:pPr>
              <w:pStyle w:val="49"/>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25</w:t>
            </w:r>
          </w:p>
        </w:tc>
        <w:tc>
          <w:tcPr>
            <w:tcW w:w="1029" w:type="pct"/>
            <w:shd w:val="clear" w:color="auto" w:fill="auto"/>
            <w:vAlign w:val="center"/>
          </w:tcPr>
          <w:p w14:paraId="5FBDA50D">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安全文明要求</w:t>
            </w:r>
          </w:p>
        </w:tc>
        <w:tc>
          <w:tcPr>
            <w:tcW w:w="3605" w:type="pct"/>
            <w:shd w:val="clear" w:color="auto" w:fill="auto"/>
            <w:vAlign w:val="center"/>
          </w:tcPr>
          <w:p w14:paraId="32B01201">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必须确保安全文明施工，符合国家和项目所在地现行相关规定</w:t>
            </w:r>
          </w:p>
        </w:tc>
      </w:tr>
      <w:tr w14:paraId="66DB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50272DD4">
            <w:pPr>
              <w:pStyle w:val="49"/>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26</w:t>
            </w:r>
          </w:p>
        </w:tc>
        <w:tc>
          <w:tcPr>
            <w:tcW w:w="1029" w:type="pct"/>
            <w:shd w:val="clear" w:color="auto" w:fill="auto"/>
            <w:vAlign w:val="center"/>
          </w:tcPr>
          <w:p w14:paraId="7B555F5F">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总包及分包规定</w:t>
            </w:r>
          </w:p>
        </w:tc>
        <w:tc>
          <w:tcPr>
            <w:tcW w:w="3605" w:type="pct"/>
            <w:shd w:val="clear" w:color="auto" w:fill="auto"/>
            <w:vAlign w:val="center"/>
          </w:tcPr>
          <w:p w14:paraId="16BD0819">
            <w:pPr>
              <w:spacing w:line="360" w:lineRule="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供应商不得在成交后将工程转包给其它施工单位。</w:t>
            </w:r>
          </w:p>
          <w:p w14:paraId="1C53BA78">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kern w:val="2"/>
                <w:sz w:val="24"/>
                <w:szCs w:val="24"/>
                <w:highlight w:val="none"/>
              </w:rPr>
              <w:t>分包情况</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允许专业分包，分包项目、内容及分包商须经采购人及监理单位同意和认可</w:t>
            </w:r>
          </w:p>
          <w:p w14:paraId="38A41621">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不允许</w:t>
            </w:r>
          </w:p>
        </w:tc>
      </w:tr>
      <w:tr w14:paraId="44AC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588E76E5">
            <w:pPr>
              <w:pStyle w:val="49"/>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27</w:t>
            </w:r>
          </w:p>
        </w:tc>
        <w:tc>
          <w:tcPr>
            <w:tcW w:w="1029" w:type="pct"/>
            <w:shd w:val="clear" w:color="auto" w:fill="auto"/>
            <w:vAlign w:val="center"/>
          </w:tcPr>
          <w:p w14:paraId="0D99FD72">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现场条件</w:t>
            </w:r>
          </w:p>
        </w:tc>
        <w:tc>
          <w:tcPr>
            <w:tcW w:w="3605" w:type="pct"/>
            <w:shd w:val="clear" w:color="auto" w:fill="auto"/>
            <w:vAlign w:val="center"/>
          </w:tcPr>
          <w:p w14:paraId="4D6D6C36">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具备开工条件</w:t>
            </w:r>
          </w:p>
        </w:tc>
      </w:tr>
      <w:tr w14:paraId="6BFC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2499EF4D">
            <w:pPr>
              <w:pStyle w:val="49"/>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28</w:t>
            </w:r>
          </w:p>
        </w:tc>
        <w:tc>
          <w:tcPr>
            <w:tcW w:w="1029" w:type="pct"/>
            <w:shd w:val="clear" w:color="auto" w:fill="auto"/>
            <w:vAlign w:val="center"/>
          </w:tcPr>
          <w:p w14:paraId="40FA8927">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采购人提供的资料</w:t>
            </w:r>
          </w:p>
        </w:tc>
        <w:tc>
          <w:tcPr>
            <w:tcW w:w="3605" w:type="pct"/>
            <w:shd w:val="clear" w:color="auto" w:fill="auto"/>
            <w:vAlign w:val="center"/>
          </w:tcPr>
          <w:p w14:paraId="4254ECA5">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竞争性</w:t>
            </w:r>
            <w:r>
              <w:rPr>
                <w:rFonts w:hint="eastAsia" w:ascii="宋体" w:hAnsi="宋体" w:eastAsia="宋体" w:cs="宋体"/>
                <w:bCs/>
                <w:color w:val="auto"/>
                <w:sz w:val="24"/>
                <w:szCs w:val="24"/>
                <w:highlight w:val="none"/>
              </w:rPr>
              <w:t>谈判文件</w:t>
            </w:r>
          </w:p>
          <w:p w14:paraId="3CB199BA">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工程量清单</w:t>
            </w:r>
          </w:p>
          <w:p w14:paraId="2B20AD87">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最高投标限价</w:t>
            </w:r>
          </w:p>
          <w:p w14:paraId="6888328A">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获得方式：网上下载</w:t>
            </w:r>
          </w:p>
          <w:p w14:paraId="595D9F10">
            <w:pPr>
              <w:adjustRightInd w:val="0"/>
              <w:snapToGrid w:val="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sz w:val="24"/>
                <w:szCs w:val="24"/>
                <w:highlight w:val="none"/>
              </w:rPr>
              <w:t>上述资料请供应商在获取谈判文件后，自行登录电子交易系统下载本项目附件。</w:t>
            </w:r>
          </w:p>
        </w:tc>
      </w:tr>
      <w:tr w14:paraId="735D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3318B642">
            <w:pPr>
              <w:pStyle w:val="4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29</w:t>
            </w:r>
          </w:p>
        </w:tc>
        <w:tc>
          <w:tcPr>
            <w:tcW w:w="1029" w:type="pct"/>
            <w:shd w:val="clear" w:color="auto" w:fill="auto"/>
            <w:vAlign w:val="center"/>
          </w:tcPr>
          <w:p w14:paraId="0036D810">
            <w:pPr>
              <w:pStyle w:val="48"/>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特别提示</w:t>
            </w:r>
          </w:p>
        </w:tc>
        <w:tc>
          <w:tcPr>
            <w:tcW w:w="3605" w:type="pct"/>
            <w:shd w:val="clear" w:color="auto" w:fill="auto"/>
            <w:vAlign w:val="center"/>
          </w:tcPr>
          <w:p w14:paraId="71911E8D">
            <w:pPr>
              <w:kinsoku/>
              <w:overflowPunct/>
              <w:bidi w:val="0"/>
              <w:adjustRightInd w:val="0"/>
              <w:snapToGrid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709AF941">
            <w:pPr>
              <w:kinsoku/>
              <w:overflowPunct/>
              <w:bidi w:val="0"/>
              <w:adjustRightInd w:val="0"/>
              <w:snapToGrid w:val="0"/>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2.投标文件制作软件下载：</w:t>
            </w:r>
          </w:p>
          <w:p w14:paraId="045BF0D5">
            <w:pPr>
              <w:pStyle w:val="4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0" w:leftChars="0" w:firstLine="0" w:firstLineChars="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color w:val="auto"/>
                <w:sz w:val="24"/>
                <w:szCs w:val="24"/>
                <w:highlight w:val="none"/>
              </w:rPr>
              <w:t>https://download.bqpoint.com/download/downloaddetail.html?SourceFrom=Ztb&amp;ZtbSoftXiaQuCode=0128&amp;ZtbSoftType=tballinclusive</w:t>
            </w:r>
          </w:p>
        </w:tc>
      </w:tr>
    </w:tbl>
    <w:p w14:paraId="492CE85C">
      <w:pPr>
        <w:keepNext w:val="0"/>
        <w:keepLines w:val="0"/>
        <w:pageBreakBefore w:val="0"/>
        <w:widowControl w:val="0"/>
        <w:kinsoku/>
        <w:overflowPunct/>
        <w:topLinePunct w:val="0"/>
        <w:autoSpaceDE/>
        <w:autoSpaceDN/>
        <w:bidi w:val="0"/>
        <w:adjustRightInd/>
        <w:snapToGrid/>
        <w:spacing w:line="348" w:lineRule="auto"/>
        <w:jc w:val="center"/>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32" w:name="_Toc6109"/>
      <w:bookmarkStart w:id="33" w:name="_Toc577"/>
      <w:bookmarkStart w:id="34" w:name="_Toc25055"/>
      <w:r>
        <w:rPr>
          <w:rFonts w:hint="eastAsia" w:ascii="宋体" w:hAnsi="宋体" w:eastAsia="宋体" w:cs="宋体"/>
          <w:b/>
          <w:color w:val="auto"/>
          <w:sz w:val="24"/>
          <w:highlight w:val="none"/>
        </w:rPr>
        <w:t>二、供应商须知正文</w:t>
      </w:r>
      <w:bookmarkEnd w:id="32"/>
      <w:bookmarkEnd w:id="33"/>
      <w:bookmarkEnd w:id="34"/>
    </w:p>
    <w:p w14:paraId="3B8D8215">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.采购人、采购代理机构及供应商</w:t>
      </w:r>
    </w:p>
    <w:p w14:paraId="574C589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49B4469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66323B9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4737F104">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.4供应商：是指向采购人提供货物、工程或者服务的法人、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w:t>
      </w:r>
      <w:bookmarkStart w:id="35" w:name="_Hlk60610946"/>
      <w:r>
        <w:rPr>
          <w:rFonts w:hint="eastAsia" w:ascii="宋体" w:hAnsi="宋体" w:eastAsia="宋体" w:cs="宋体"/>
          <w:color w:val="auto"/>
          <w:sz w:val="24"/>
          <w:highlight w:val="none"/>
        </w:rPr>
        <w:t>本项目的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须满足以下条件：</w:t>
      </w:r>
    </w:p>
    <w:p w14:paraId="240A096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9637E1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w:t>
      </w:r>
    </w:p>
    <w:p w14:paraId="486776A7">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应保证所投产品可履行合法报通关手续进入中国关境内。</w:t>
      </w:r>
    </w:p>
    <w:p w14:paraId="78823C2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所投产品为进口产品，其响应文件将被认定为</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无效</w:t>
      </w:r>
      <w:r>
        <w:rPr>
          <w:rFonts w:hint="eastAsia" w:ascii="宋体" w:hAnsi="宋体" w:eastAsia="宋体" w:cs="宋体"/>
          <w:color w:val="auto"/>
          <w:sz w:val="24"/>
          <w:highlight w:val="none"/>
        </w:rPr>
        <w:t>。</w:t>
      </w:r>
    </w:p>
    <w:bookmarkEnd w:id="35"/>
    <w:p w14:paraId="63901C7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rPr>
        <w:t>.5若竞争性谈判公告中允许联合体参加谈判，对联合体规定如下：</w:t>
      </w:r>
      <w:r>
        <w:rPr>
          <w:rFonts w:hint="eastAsia" w:ascii="宋体" w:hAnsi="宋体" w:eastAsia="宋体" w:cs="宋体"/>
          <w:bCs/>
          <w:color w:val="auto"/>
          <w:kern w:val="0"/>
          <w:sz w:val="24"/>
          <w:szCs w:val="28"/>
          <w:highlight w:val="none"/>
          <w:lang w:eastAsia="zh-CN"/>
        </w:rPr>
        <w:t>（本项目不接受联合体投标）</w:t>
      </w:r>
    </w:p>
    <w:p w14:paraId="5A0C3F2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.5.1两个以上供应商可以组成一个谈判联合体，以一个供应商的身份谈判。联合体</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文件获取手续由联合体中任一成员单位办理均可。</w:t>
      </w:r>
    </w:p>
    <w:p w14:paraId="6C9A718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16BA4743">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.5.3采购人根据采购项目对供应商的特殊要求，联合体中至少应当有一方符合相关规定。</w:t>
      </w:r>
    </w:p>
    <w:p w14:paraId="7EB04F8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.5.4联合体各方应签订联合协议，明确约定联合体各方承担的工作和相应的责任，并将联合协议作为响应文件的一部分提交。</w:t>
      </w:r>
    </w:p>
    <w:p w14:paraId="330B07B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.5.5大中型企业、其他自然人、法人或者非法人组织与小型、微型企业组成联合体共同参加谈判，联合协议中应写明小型、微型企业的协议合同金额占到联合协议合同总金额的比例。</w:t>
      </w:r>
    </w:p>
    <w:p w14:paraId="1D38ED6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1772A1B5">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.5.7以联合体形式参加政府采购活动的，联合体各方不得再单独参加或者与其他供应商另外组成联合体参加本项目谈判，否则相关响应文件将被认定为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1D71274">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.5.8对联合体参加谈判的其他资格要求见申请人的资格要求。</w:t>
      </w:r>
    </w:p>
    <w:p w14:paraId="3F050487">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.资金</w:t>
      </w:r>
      <w:r>
        <w:rPr>
          <w:rFonts w:hint="eastAsia" w:ascii="宋体" w:hAnsi="宋体" w:eastAsia="宋体" w:cs="宋体"/>
          <w:b/>
          <w:color w:val="auto"/>
          <w:sz w:val="24"/>
          <w:highlight w:val="none"/>
          <w:lang w:val="en-US" w:eastAsia="zh-CN"/>
        </w:rPr>
        <w:t>落实情况</w:t>
      </w:r>
    </w:p>
    <w:p w14:paraId="42B9D3F4">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本项目的采购人已获得足以支付本次谈判后所签订的合同项下的资金。</w:t>
      </w:r>
    </w:p>
    <w:p w14:paraId="3768DFCC">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.谈判费用</w:t>
      </w:r>
    </w:p>
    <w:p w14:paraId="6DA6A37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不论谈判的结果如何，供应商应承担其所有与准备和参加谈判有关的费用。</w:t>
      </w:r>
    </w:p>
    <w:p w14:paraId="0FA52E33">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.适用法律</w:t>
      </w:r>
    </w:p>
    <w:p w14:paraId="671FC36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41A8599">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.谈判文件构成</w:t>
      </w:r>
    </w:p>
    <w:p w14:paraId="1739D8D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.1谈判文件包括下列内容：</w:t>
      </w:r>
    </w:p>
    <w:p w14:paraId="31B35B52">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谈判邀请</w:t>
      </w:r>
    </w:p>
    <w:p w14:paraId="5089CBD0">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187F8DF3">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F160423">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19B2898A">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1EF7F854">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519C6E28">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采购人、代理机构对本竞争性谈判文件的确认</w:t>
      </w:r>
    </w:p>
    <w:p w14:paraId="5E60403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现场踏勘</w:t>
      </w:r>
      <w:r>
        <w:rPr>
          <w:rFonts w:hint="eastAsia" w:ascii="宋体" w:hAnsi="宋体" w:eastAsia="宋体" w:cs="宋体"/>
          <w:color w:val="auto"/>
          <w:sz w:val="24"/>
          <w:highlight w:val="none"/>
          <w:lang w:eastAsia="zh-CN"/>
        </w:rPr>
        <w:t>（</w:t>
      </w:r>
      <w:r>
        <w:rPr>
          <w:rFonts w:hint="eastAsia" w:ascii="宋体" w:hAnsi="宋体" w:eastAsia="宋体" w:cs="宋体"/>
          <w:b w:val="0"/>
          <w:bCs/>
          <w:color w:val="auto"/>
          <w:kern w:val="2"/>
          <w:sz w:val="24"/>
          <w:szCs w:val="22"/>
          <w:highlight w:val="none"/>
          <w:lang w:val="en-US" w:eastAsia="zh-CN" w:bidi="ar-SA"/>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12F1E86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供应商应认真阅读谈判文件所有的事项、格式、条款和技术规范等。</w:t>
      </w:r>
    </w:p>
    <w:p w14:paraId="2AABEFCD">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.谈判文件的澄清与修改</w:t>
      </w:r>
    </w:p>
    <w:p w14:paraId="6E9D6F7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.1供应商如对谈判文件内容有疑问，必须在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规定的询问截止时间前提交给采购代理机构。</w:t>
      </w:r>
    </w:p>
    <w:p w14:paraId="4F71AAB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答复供应商</w:t>
      </w:r>
      <w:r>
        <w:rPr>
          <w:rFonts w:hint="eastAsia" w:ascii="宋体" w:hAnsi="宋体" w:eastAsia="宋体" w:cs="宋体"/>
          <w:color w:val="auto"/>
          <w:sz w:val="24"/>
          <w:highlight w:val="none"/>
        </w:rPr>
        <w:t>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文件进行澄清与修改。采购代理机构将在</w:t>
      </w:r>
      <w:r>
        <w:rPr>
          <w:rFonts w:hint="eastAsia" w:ascii="宋体" w:hAnsi="宋体" w:eastAsia="宋体" w:cs="宋体"/>
          <w:color w:val="auto"/>
          <w:sz w:val="24"/>
          <w:szCs w:val="18"/>
          <w:highlight w:val="none"/>
          <w:lang w:eastAsia="zh-CN"/>
        </w:rPr>
        <w:t>滁州市明湖建设管理服务中心网</w:t>
      </w:r>
      <w:r>
        <w:rPr>
          <w:rFonts w:hint="eastAsia" w:ascii="宋体" w:hAnsi="宋体" w:eastAsia="宋体" w:cs="宋体"/>
          <w:color w:val="auto"/>
          <w:sz w:val="24"/>
          <w:highlight w:val="none"/>
        </w:rPr>
        <w:t>以发布更正公告的方式澄清或者修改谈判文件，更正公告的内容作为谈判文件的组成部分，对供应商起约束作用。供应商应主动上网查询。采购代理机构不承担供应商未及时关注相关信息引发的相关责任。</w:t>
      </w:r>
    </w:p>
    <w:p w14:paraId="128FD76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07147A07">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.4对于没有提出询问又参与了本项目谈判的供应商将被视为完全认同本谈判文件（含更正公告的内容）</w:t>
      </w:r>
      <w:r>
        <w:rPr>
          <w:rFonts w:hint="eastAsia" w:ascii="宋体" w:hAnsi="宋体" w:eastAsia="宋体" w:cs="宋体"/>
          <w:i w:val="0"/>
          <w:iCs/>
          <w:color w:val="auto"/>
          <w:sz w:val="24"/>
          <w:highlight w:val="none"/>
        </w:rPr>
        <w:t>。</w:t>
      </w:r>
    </w:p>
    <w:p w14:paraId="1B2008CF">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.谈判范围及响应文件中标准和计量单位的使用</w:t>
      </w:r>
    </w:p>
    <w:p w14:paraId="3A9379A7">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.1项目有分包的，供应商可参与其中某一个或多个分包的谈判，成交包数详见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w:t>
      </w:r>
    </w:p>
    <w:p w14:paraId="187A0E8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7.2供应商</w:t>
      </w:r>
      <w:r>
        <w:rPr>
          <w:rFonts w:hint="eastAsia" w:ascii="宋体" w:hAnsi="宋体" w:eastAsia="宋体" w:cs="宋体"/>
          <w:color w:val="auto"/>
          <w:sz w:val="24"/>
          <w:highlight w:val="none"/>
        </w:rPr>
        <w:t>应当对所投分包</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文件中“采购需求”所列的所有内容进行</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，如仅响应所投包别中的部分内容，其所投包别的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将被认定为</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无效</w:t>
      </w:r>
      <w:r>
        <w:rPr>
          <w:rFonts w:hint="eastAsia" w:ascii="宋体" w:hAnsi="宋体" w:eastAsia="宋体" w:cs="宋体"/>
          <w:color w:val="auto"/>
          <w:sz w:val="24"/>
          <w:highlight w:val="none"/>
        </w:rPr>
        <w:t>。</w:t>
      </w:r>
    </w:p>
    <w:p w14:paraId="1B9E809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无论谈判文件中是否要求，供应商所投服务及伴随的货物和工程均应符合国家强制性标准。</w:t>
      </w:r>
    </w:p>
    <w:p w14:paraId="217F8B3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20F7162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除谈判文件中有特殊要求外，响应文件中所使用的计量单位，应采用中华人民共和国法定计量单位。</w:t>
      </w:r>
    </w:p>
    <w:p w14:paraId="53DD4C2C">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.响应文件构成</w:t>
      </w:r>
    </w:p>
    <w:p w14:paraId="795F75E3">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.1供应商应完整地按谈判文件提供的响应文件格式及要求编写响应文件，具体内容详见</w:t>
      </w:r>
      <w:r>
        <w:rPr>
          <w:rFonts w:hint="eastAsia" w:ascii="宋体" w:hAnsi="宋体" w:eastAsia="宋体" w:cs="宋体"/>
          <w:color w:val="auto"/>
          <w:sz w:val="24"/>
          <w:highlight w:val="none"/>
          <w:lang w:val="en-US" w:eastAsia="zh-CN"/>
        </w:rPr>
        <w:t>本项目</w:t>
      </w:r>
      <w:r>
        <w:rPr>
          <w:rFonts w:hint="eastAsia" w:ascii="宋体" w:hAnsi="宋体" w:eastAsia="宋体" w:cs="宋体"/>
          <w:color w:val="auto"/>
          <w:sz w:val="24"/>
          <w:highlight w:val="none"/>
        </w:rPr>
        <w:t>响应文件格式的相关内容。</w:t>
      </w:r>
    </w:p>
    <w:p w14:paraId="7DC3B967">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供应商应提交谈判文件要求的证明文件，证明其响应内容符合谈判文件规定。该证明文件是响应文件的一部分。证明文件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36" w:name="_Hlk11703583"/>
      <w:r>
        <w:rPr>
          <w:rFonts w:hint="eastAsia" w:ascii="宋体" w:hAnsi="宋体" w:eastAsia="宋体" w:cs="宋体"/>
          <w:color w:val="auto"/>
          <w:sz w:val="24"/>
          <w:highlight w:val="none"/>
        </w:rPr>
        <w:t>。</w:t>
      </w:r>
    </w:p>
    <w:bookmarkEnd w:id="36"/>
    <w:p w14:paraId="376837B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为保证公平公正，除非谈判文件另有规定或说明，供应商对同一项目谈判时，不得同时提供备选谈判方案。</w:t>
      </w:r>
    </w:p>
    <w:p w14:paraId="545065FA">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.报价</w:t>
      </w:r>
    </w:p>
    <w:p w14:paraId="190BB0E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.1供应商的报价应当包括满足本次谈判全部采购需求所应提供的服务，以及伴随的货物和工程。</w:t>
      </w:r>
      <w:r>
        <w:rPr>
          <w:rFonts w:hint="eastAsia" w:ascii="宋体" w:hAnsi="宋体" w:eastAsia="宋体" w:cs="宋体"/>
          <w:color w:val="auto"/>
          <w:sz w:val="24"/>
          <w:highlight w:val="none"/>
          <w:lang w:val="en-US" w:eastAsia="zh-CN"/>
        </w:rPr>
        <w:t>除谈判文件另有规定外，</w:t>
      </w:r>
      <w:r>
        <w:rPr>
          <w:rFonts w:hint="eastAsia" w:ascii="宋体" w:hAnsi="宋体" w:eastAsia="宋体" w:cs="宋体"/>
          <w:color w:val="auto"/>
          <w:sz w:val="24"/>
          <w:highlight w:val="none"/>
        </w:rPr>
        <w:t>所有内容均应以人民币报价，供应商的谈判报价应遵守《中华人民共和国价格法》。</w:t>
      </w:r>
    </w:p>
    <w:p w14:paraId="281FB9D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.2供应商应在分项报价表上标明分项服务、伴随的货物和工程的价格（如适用）和总价，未标明的视同包含在谈判报价中。</w:t>
      </w:r>
    </w:p>
    <w:p w14:paraId="6ADBC0A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.3除非谈判文件另有规定或经采购人同意支付的，最后报价均不得高于谈判文件（公告）列明的项目预算，否则其响应文件将被认定为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0A7455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.4报价在合同履行过程中是固定不变的，不得以任何理由予以变更。任何包含价格调整要求的谈判，其响应文件将被认定为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6C073F3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.5采购人不接受具有附加条件的报价。</w:t>
      </w:r>
    </w:p>
    <w:p w14:paraId="7E154744">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rPr>
        <w:t>.谈判保证金</w:t>
      </w:r>
    </w:p>
    <w:p w14:paraId="3745CD24">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.1本项目不收取谈判保证金。</w:t>
      </w:r>
    </w:p>
    <w:p w14:paraId="3596244F">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.谈判有效期</w:t>
      </w:r>
    </w:p>
    <w:p w14:paraId="63C6AB9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.1谈判有效期为从响应文件提交截止之日算起的日历天数，谈判有效期详见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2DE5398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.2在谈判有效期内，供应商的谈判保持有效，供应商不得要求撤销或修改其响应文件。谈判有效期不满足要求的响应，其响应文件将被认定为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4E5D47B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230A8BB7">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12</w:t>
      </w:r>
      <w:r>
        <w:rPr>
          <w:rFonts w:hint="eastAsia" w:ascii="宋体" w:hAnsi="宋体" w:eastAsia="宋体" w:cs="宋体"/>
          <w:b/>
          <w:color w:val="auto"/>
          <w:sz w:val="24"/>
          <w:highlight w:val="none"/>
        </w:rPr>
        <w:t>.响应文件的提交、修改与撤回</w:t>
      </w:r>
    </w:p>
    <w:p w14:paraId="26778F85">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.1供应商应当在</w:t>
      </w:r>
      <w:r>
        <w:rPr>
          <w:rFonts w:hint="eastAsia" w:ascii="宋体" w:hAnsi="宋体" w:eastAsia="宋体" w:cs="宋体"/>
          <w:color w:val="auto"/>
          <w:sz w:val="24"/>
          <w:highlight w:val="none"/>
          <w:u w:val="none"/>
          <w:lang w:val="en-US" w:eastAsia="zh-CN"/>
        </w:rPr>
        <w:t>竞争性谈判公告</w:t>
      </w:r>
      <w:r>
        <w:rPr>
          <w:rFonts w:hint="eastAsia" w:ascii="宋体" w:hAnsi="宋体" w:eastAsia="宋体" w:cs="宋体"/>
          <w:color w:val="auto"/>
          <w:sz w:val="24"/>
          <w:highlight w:val="none"/>
        </w:rPr>
        <w:t>规定的响应文件提交截止时间前，将</w:t>
      </w:r>
      <w:r>
        <w:rPr>
          <w:rFonts w:hint="eastAsia" w:ascii="宋体" w:hAnsi="宋体" w:eastAsia="宋体" w:cs="宋体"/>
          <w:color w:val="auto"/>
          <w:sz w:val="24"/>
          <w:highlight w:val="none"/>
          <w:lang w:eastAsia="zh-CN"/>
        </w:rPr>
        <w:t>密封</w:t>
      </w:r>
      <w:r>
        <w:rPr>
          <w:rFonts w:hint="eastAsia" w:ascii="宋体" w:hAnsi="宋体" w:eastAsia="宋体" w:cs="宋体"/>
          <w:color w:val="auto"/>
          <w:sz w:val="24"/>
          <w:highlight w:val="none"/>
        </w:rPr>
        <w:t>的响应文件在</w:t>
      </w:r>
      <w:r>
        <w:rPr>
          <w:rFonts w:hint="eastAsia" w:ascii="宋体" w:hAnsi="宋体" w:eastAsia="宋体" w:cs="宋体"/>
          <w:color w:val="auto"/>
          <w:sz w:val="24"/>
          <w:highlight w:val="none"/>
          <w:lang w:eastAsia="zh-CN"/>
        </w:rPr>
        <w:t>规定的时间递交至代理机构，</w:t>
      </w:r>
      <w:r>
        <w:rPr>
          <w:rFonts w:hint="eastAsia" w:ascii="宋体" w:hAnsi="宋体" w:eastAsia="宋体" w:cs="宋体"/>
          <w:color w:val="auto"/>
          <w:sz w:val="24"/>
          <w:highlight w:val="none"/>
          <w:lang w:val="en-US" w:eastAsia="zh-CN"/>
        </w:rPr>
        <w:t>未在规定时间内递交的，</w:t>
      </w:r>
      <w:r>
        <w:rPr>
          <w:rFonts w:hint="eastAsia" w:ascii="宋体" w:hAnsi="宋体" w:eastAsia="宋体" w:cs="宋体"/>
          <w:b/>
          <w:bCs/>
          <w:color w:val="auto"/>
          <w:sz w:val="24"/>
          <w:highlight w:val="none"/>
          <w:lang w:val="en-US" w:eastAsia="zh-CN"/>
        </w:rPr>
        <w:t>响应无效</w:t>
      </w:r>
      <w:r>
        <w:rPr>
          <w:rFonts w:hint="eastAsia" w:ascii="宋体" w:hAnsi="宋体" w:eastAsia="宋体" w:cs="宋体"/>
          <w:color w:val="auto"/>
          <w:sz w:val="24"/>
          <w:highlight w:val="none"/>
          <w:lang w:val="en-US" w:eastAsia="zh-CN"/>
        </w:rPr>
        <w:t>。</w:t>
      </w:r>
    </w:p>
    <w:p w14:paraId="59A3AAE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62FDFB5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.谈判小组</w:t>
      </w:r>
    </w:p>
    <w:p w14:paraId="1BBB0FA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.1本项目将依法组建谈判小组，谈判小组成员由3人以上单数组成，谈判小组及其成员应当依照政府采购的有关规定履行相关职责和义务。</w:t>
      </w:r>
    </w:p>
    <w:p w14:paraId="46832BA5">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.2谈判小组依法对响应文件进行评审，并根据谈判文件规定的程序、评定成交的标准等事项与实质性响应谈判文件要求的供应商进行谈判。</w:t>
      </w:r>
    </w:p>
    <w:p w14:paraId="6A633EA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.3谈判小组应当从质量和服务均能满足谈判文件实质性响应要求的供应商中，按照评审方法和标准推荐成交候选人，并编写评审报告。</w:t>
      </w:r>
    </w:p>
    <w:p w14:paraId="45BE5787">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.响应文件的评审与谈判</w:t>
      </w:r>
    </w:p>
    <w:p w14:paraId="66423E2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.1采购人和采购代理机构将在</w:t>
      </w:r>
      <w:r>
        <w:rPr>
          <w:rFonts w:hint="eastAsia" w:ascii="宋体" w:hAnsi="宋体" w:eastAsia="宋体" w:cs="宋体"/>
          <w:color w:val="auto"/>
          <w:sz w:val="24"/>
          <w:highlight w:val="none"/>
          <w:u w:val="none"/>
          <w:lang w:val="en-US" w:eastAsia="zh-CN"/>
        </w:rPr>
        <w:t>竞争性谈判公告</w:t>
      </w:r>
      <w:r>
        <w:rPr>
          <w:rFonts w:hint="eastAsia" w:ascii="宋体" w:hAnsi="宋体" w:eastAsia="宋体" w:cs="宋体"/>
          <w:color w:val="auto"/>
          <w:sz w:val="24"/>
          <w:highlight w:val="none"/>
        </w:rPr>
        <w:t>规定的时间和地点组织谈判。</w:t>
      </w:r>
    </w:p>
    <w:p w14:paraId="56FB8C1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竞争性谈判采用最低评标价法评审。</w:t>
      </w:r>
    </w:p>
    <w:p w14:paraId="7776C97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最低评标价法，是指响应文件满足谈判文件全部实质性要求且最后报价最低的供应商为成交候选人的评标方法。</w:t>
      </w:r>
    </w:p>
    <w:p w14:paraId="56C5A42D">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.3谈判小组将按照谈判文件规定的评审方法和标准对供应商独立进行评审。评审程序如下：</w:t>
      </w:r>
    </w:p>
    <w:p w14:paraId="61B8B60D">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.3.1初审。谈判小组对供应商必须满足和实质性响应的内容进行评审，供应商未实质性响应谈判文件要求导致响应无效的，谈判小组将以书面询标的方式告知有关供应商。</w:t>
      </w:r>
    </w:p>
    <w:p w14:paraId="2A9A6E6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失信被执行人名单、重大税收违法案件当事人名单、中国政府采购网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371299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8B08C5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6E00D3D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.3.2谈判。初审合格后，谈判小组将按响应文件提交顺序集中与单一供应商分别进行谈判，并给予所有参加谈判的供应商平等的谈判机会。</w:t>
      </w:r>
    </w:p>
    <w:p w14:paraId="0CC550E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.3.3报价。谈判结束后，谈判小组应当要求所有继续参加谈判的供应商在规定时间内提交最后报价。</w:t>
      </w:r>
    </w:p>
    <w:p w14:paraId="30D6B07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.4相关说明。</w:t>
      </w:r>
    </w:p>
    <w:p w14:paraId="68E4EE0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.4.1为保证谈判活动顺利进行，供应商可派相关技术人员进行答疑；</w:t>
      </w:r>
    </w:p>
    <w:p w14:paraId="37AB19C3">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1B4B86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F5DD38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.4.4无论何种原因，即使供应商谈判时携带了证书材料的原件，但响应文件中未提供与之内容完全一致的扫描件的，谈判小组可以视同其未提供。</w:t>
      </w:r>
    </w:p>
    <w:p w14:paraId="7D37149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.4.5谈判小组决定响应文件的响应性及符合性只根据响应文件本身的内容，而不寻求其他外部证据。</w:t>
      </w:r>
    </w:p>
    <w:p w14:paraId="6495047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.5供应商授权代表对谈判过程有疑义，以及认为采购人、采购代理机构相关工作人员有需要回避的情形的，应当场提出询问或者回避申请，并说明理由。 </w:t>
      </w:r>
    </w:p>
    <w:p w14:paraId="2C6704D4">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.终止竞争性谈判</w:t>
      </w:r>
    </w:p>
    <w:p w14:paraId="40FB8EFD">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.1出现下列情况之一时，采购人和采购代理机构有权宣布终止竞争性谈判采购，并将理由通知所有供应商：</w:t>
      </w:r>
    </w:p>
    <w:p w14:paraId="1144404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（1）有效供应商数量不足，导致本次谈判缺乏竞争的；</w:t>
      </w:r>
    </w:p>
    <w:p w14:paraId="2000F954">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28788A1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（3）因重大变故，采购任务取消的；</w:t>
      </w:r>
    </w:p>
    <w:p w14:paraId="7AAE3A0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（4）政府采购法律法规规定的其他情形。</w:t>
      </w:r>
    </w:p>
    <w:p w14:paraId="3BBE4E93">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rPr>
        <w:t>.响应文件的澄清、说明或更正</w:t>
      </w:r>
    </w:p>
    <w:p w14:paraId="6E8522F6">
      <w:pPr>
        <w:keepNext w:val="0"/>
        <w:keepLines w:val="0"/>
        <w:pageBreakBefore w:val="0"/>
        <w:widowControl w:val="0"/>
        <w:kinsoku/>
        <w:overflowPunct/>
        <w:topLinePunct w:val="0"/>
        <w:autoSpaceDE/>
        <w:autoSpaceDN/>
        <w:bidi w:val="0"/>
        <w:adjustRightInd/>
        <w:snapToGrid/>
        <w:spacing w:line="348"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06ECB6C">
      <w:pPr>
        <w:keepNext w:val="0"/>
        <w:keepLines w:val="0"/>
        <w:pageBreakBefore w:val="0"/>
        <w:widowControl w:val="0"/>
        <w:kinsoku/>
        <w:overflowPunct/>
        <w:topLinePunct w:val="0"/>
        <w:autoSpaceDE/>
        <w:autoSpaceDN/>
        <w:bidi w:val="0"/>
        <w:adjustRightInd/>
        <w:snapToGrid/>
        <w:spacing w:line="348"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.2谈判小组要求供应商澄清、说明或者更正响应文件应当以书面形式（询标）作出。供应商的澄清、说明或者更正应当由法定代表人或其授权代表签字或者加盖公章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557CDA02">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cs="宋体"/>
          <w:b/>
          <w:bCs/>
          <w:color w:val="auto"/>
          <w:sz w:val="24"/>
          <w:highlight w:val="none"/>
        </w:rPr>
        <w:t>、没有及时登录系统等情形</w:t>
      </w:r>
      <w:r>
        <w:rPr>
          <w:rFonts w:hint="eastAsia" w:ascii="宋体" w:hAnsi="宋体" w:eastAsia="宋体" w:cs="宋体"/>
          <w:b/>
          <w:color w:val="auto"/>
          <w:sz w:val="24"/>
          <w:highlight w:val="none"/>
        </w:rPr>
        <w:t>而无法接受磋商小组询标的，供应商自行承担相关风险。</w:t>
      </w:r>
    </w:p>
    <w:p w14:paraId="7C51C089">
      <w:pPr>
        <w:spacing w:line="360" w:lineRule="auto"/>
        <w:ind w:firstLine="435"/>
        <w:rPr>
          <w:rFonts w:hint="eastAsia" w:ascii="宋体" w:hAnsi="宋体" w:eastAsia="宋体" w:cs="宋体"/>
          <w:color w:val="auto"/>
          <w:sz w:val="24"/>
          <w:highlight w:val="none"/>
        </w:rPr>
      </w:pPr>
      <w:r>
        <w:rPr>
          <w:rFonts w:hint="eastAsia" w:ascii="宋体" w:hAnsi="宋体" w:eastAsia="宋体" w:cs="宋体"/>
          <w:b/>
          <w:color w:val="auto"/>
          <w:sz w:val="24"/>
          <w:highlight w:val="none"/>
        </w:rPr>
        <w:t>本项目采用远程开标，具体操作方法详见服务指南&gt;交易须知&gt;开标大厅远程解密、质疑(异议)及回复以及评标过程中询标流程操作手册。</w:t>
      </w:r>
    </w:p>
    <w:p w14:paraId="02BB087B">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17</w:t>
      </w:r>
      <w:r>
        <w:rPr>
          <w:rFonts w:hint="eastAsia" w:ascii="宋体" w:hAnsi="宋体" w:eastAsia="宋体" w:cs="宋体"/>
          <w:b/>
          <w:color w:val="auto"/>
          <w:sz w:val="24"/>
          <w:highlight w:val="none"/>
        </w:rPr>
        <w:t>.最后报价</w:t>
      </w:r>
    </w:p>
    <w:p w14:paraId="4693759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.1谈判并不限定只进行二轮报价，如果谈判小组认为有必要，可以要求供应商进行多轮报价。</w:t>
      </w:r>
      <w:r>
        <w:rPr>
          <w:rFonts w:hint="eastAsia" w:ascii="宋体" w:hAnsi="宋体" w:eastAsia="宋体" w:cs="宋体"/>
          <w:b/>
          <w:bCs/>
          <w:color w:val="auto"/>
          <w:sz w:val="24"/>
          <w:highlight w:val="none"/>
        </w:rPr>
        <w:t>（本项目约定为二轮报价）</w:t>
      </w:r>
    </w:p>
    <w:p w14:paraId="217C22B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次谈判实行二轮报价。第一轮报价为供应商在响应文件中填报的报价，第二轮报价在响应文件通过评审后，由谈判小组通过书面形式以询标方式，向响应文件评审有效的各供应商进行询标，各供应商应在询标规定的时间内，进行第二轮报价。各供应商应及时进行第二轮报价，第二轮报价即为最后报价，若供应商未在规定的时间内进行第二轮报价（最后报价）或第二轮报价被谈判小组认为不符合要求的，谈判小组默认其响应文件中填报的价格为供应商的最后报价，谈判价格以供应商的最后报价为准。望各供应商务必及时进行回复，否则，因此给其造成相关后果，自行承担。采用分项报价的项目，最后报价的各分项结合第一轮报价中的各项单价按总价同比例下浮，价款结算时按成交下浮比率进行调整。</w:t>
      </w:r>
    </w:p>
    <w:p w14:paraId="146D69E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.2在谈判内容不做实质性变更或重大调整的前提下，供应商下轮报价不得高于上一轮报价。</w:t>
      </w:r>
    </w:p>
    <w:p w14:paraId="107F8FD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.3最后报价是供应商响应文件的有效组成部分，最后报价也是签订合同的依据。</w:t>
      </w:r>
    </w:p>
    <w:p w14:paraId="0D269448">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.成交候选人的推荐原则及标准</w:t>
      </w:r>
    </w:p>
    <w:p w14:paraId="6C3F67C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.1谈判小组依据本项目谈判文件所约定的评审方法和标准，按照最后报价由低到高的顺序依次推荐成交候选人。最后报价相同的，则由谈判小组采取随机抽取方式确定。</w:t>
      </w:r>
    </w:p>
    <w:p w14:paraId="10AB78BE">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.确定成交候选人和成交供应商</w:t>
      </w:r>
    </w:p>
    <w:p w14:paraId="678AFFC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 谈判小组按照最后报价由低到高的顺序和</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中规定确定成交候选人，并标明排列顺序。按</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中规定，由</w:t>
      </w:r>
      <w:r>
        <w:rPr>
          <w:rFonts w:hint="eastAsia" w:ascii="宋体" w:hAnsi="宋体" w:eastAsia="宋体" w:cs="宋体"/>
          <w:color w:val="auto"/>
          <w:sz w:val="24"/>
          <w:highlight w:val="none"/>
          <w:lang w:val="en-US" w:eastAsia="zh-CN"/>
        </w:rPr>
        <w:t>谈判小组</w:t>
      </w:r>
      <w:r>
        <w:rPr>
          <w:rFonts w:hint="eastAsia" w:ascii="宋体" w:hAnsi="宋体" w:eastAsia="宋体" w:cs="宋体"/>
          <w:color w:val="auto"/>
          <w:sz w:val="24"/>
          <w:highlight w:val="none"/>
        </w:rPr>
        <w:t>或采购人确定</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w:t>
      </w:r>
    </w:p>
    <w:p w14:paraId="6DD4CC7A">
      <w:pPr>
        <w:keepNext w:val="0"/>
        <w:keepLines w:val="0"/>
        <w:pageBreakBefore w:val="0"/>
        <w:widowControl w:val="0"/>
        <w:kinsoku/>
        <w:overflowPunct/>
        <w:topLinePunct w:val="0"/>
        <w:autoSpaceDE/>
        <w:autoSpaceDN/>
        <w:bidi w:val="0"/>
        <w:adjustRightInd/>
        <w:snapToGrid/>
        <w:spacing w:line="348" w:lineRule="auto"/>
        <w:ind w:firstLine="435"/>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.编写评审报告</w:t>
      </w:r>
    </w:p>
    <w:p w14:paraId="60D346A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1F6643E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.保密要求</w:t>
      </w:r>
    </w:p>
    <w:p w14:paraId="6F80D53E">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.1评审将在严格保密的情况下进行。</w:t>
      </w:r>
    </w:p>
    <w:p w14:paraId="5C95AE9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.2有关人员应当遵守评审工作纪律，不得泄露评审文件、评审情况和评审中获悉的国家秘密、商业秘密。</w:t>
      </w:r>
    </w:p>
    <w:p w14:paraId="4F22A2E5">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27.成交结果公告</w:t>
      </w:r>
    </w:p>
    <w:p w14:paraId="21BCBBF2">
      <w:pPr>
        <w:keepNext w:val="0"/>
        <w:keepLines w:val="0"/>
        <w:pageBreakBefore w:val="0"/>
        <w:widowControl w:val="0"/>
        <w:kinsoku/>
        <w:wordWrap w:val="0"/>
        <w:overflowPunct/>
        <w:topLinePunct w:val="0"/>
        <w:autoSpaceDE/>
        <w:autoSpaceDN/>
        <w:bidi w:val="0"/>
        <w:adjustRightInd/>
        <w:snapToGrid/>
        <w:spacing w:line="348"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.1为体现“公开、公平、公正”的原则，谈判结束后，采购代理机构将</w:t>
      </w:r>
      <w:r>
        <w:rPr>
          <w:rFonts w:hint="eastAsia" w:ascii="宋体" w:hAnsi="宋体" w:eastAsia="宋体" w:cs="宋体"/>
          <w:color w:val="auto"/>
          <w:sz w:val="24"/>
          <w:szCs w:val="18"/>
          <w:highlight w:val="none"/>
        </w:rPr>
        <w:t>在</w:t>
      </w:r>
      <w:r>
        <w:rPr>
          <w:rFonts w:hint="eastAsia" w:ascii="宋体" w:hAnsi="宋体" w:eastAsia="宋体" w:cs="宋体"/>
          <w:color w:val="auto"/>
          <w:sz w:val="24"/>
          <w:szCs w:val="24"/>
          <w:highlight w:val="none"/>
        </w:rPr>
        <w:t>滁州市城投工程咨询管理有限公司（https://www.czctgczx.com/）</w:t>
      </w:r>
      <w:r>
        <w:rPr>
          <w:rFonts w:hint="eastAsia" w:ascii="宋体" w:hAnsi="宋体" w:eastAsia="宋体" w:cs="宋体"/>
          <w:color w:val="auto"/>
          <w:sz w:val="24"/>
          <w:szCs w:val="18"/>
          <w:highlight w:val="none"/>
        </w:rPr>
        <w:t>网站</w:t>
      </w:r>
      <w:r>
        <w:rPr>
          <w:rFonts w:hint="eastAsia" w:ascii="宋体" w:hAnsi="宋体" w:eastAsia="宋体" w:cs="宋体"/>
          <w:color w:val="auto"/>
          <w:sz w:val="24"/>
          <w:highlight w:val="none"/>
        </w:rPr>
        <w:t>发布成交结果公告。</w:t>
      </w:r>
    </w:p>
    <w:p w14:paraId="64BBAFC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中约定进行公告的内容。</w:t>
      </w:r>
    </w:p>
    <w:p w14:paraId="44D49A2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.成交通知书</w:t>
      </w:r>
    </w:p>
    <w:p w14:paraId="716DCF9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23.1采购代理机构发布成交结果公告的同时以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规定的形式向成交供应商发出成交通知书。成交通知书须加盖采购人、采购代理机构公章后，方可发出。</w:t>
      </w:r>
    </w:p>
    <w:p w14:paraId="627D173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23.2成交通知书对采购人和成交供应商具有同等法律效力。成交通知书发出以后，采购人改变成交结果或者成交供应商放弃成交资格，应当承担相应的法律责任。</w:t>
      </w:r>
    </w:p>
    <w:p w14:paraId="5262B67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23.3成交通知书是合同的组成部分。</w:t>
      </w:r>
    </w:p>
    <w:p w14:paraId="2DAB3F60">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.告知谈判结果</w:t>
      </w:r>
    </w:p>
    <w:p w14:paraId="67EA52F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6DEACD8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p>
    <w:p w14:paraId="4354F1E2">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（本项目不采用）</w:t>
      </w:r>
    </w:p>
    <w:p w14:paraId="6A601FDD">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.1成交供应商应按照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规定缴纳履约保证金。</w:t>
      </w:r>
    </w:p>
    <w:p w14:paraId="158A974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19D69AB0">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2664CDF5">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的规定执行。</w:t>
      </w:r>
    </w:p>
    <w:p w14:paraId="6C560AF5">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2C1D040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bookmarkStart w:id="37" w:name="_Hlk60264926"/>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32D97B6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27.2谈判文件、成交供应商的响应文件及其澄清文件等，均为签订合同的依据。</w:t>
      </w:r>
    </w:p>
    <w:p w14:paraId="7619D32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571EE82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bookmarkEnd w:id="37"/>
    </w:p>
    <w:p w14:paraId="27EB49B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.廉洁自律规定</w:t>
      </w:r>
    </w:p>
    <w:p w14:paraId="1BEB9E4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4F0BCA57">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3B23E614">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29</w:t>
      </w:r>
      <w:r>
        <w:rPr>
          <w:rFonts w:hint="eastAsia" w:ascii="宋体" w:hAnsi="宋体" w:eastAsia="宋体" w:cs="宋体"/>
          <w:b/>
          <w:color w:val="auto"/>
          <w:sz w:val="24"/>
          <w:highlight w:val="none"/>
        </w:rPr>
        <w:t>.质疑的提出与接收</w:t>
      </w:r>
    </w:p>
    <w:p w14:paraId="5035530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29.1供应商认为谈判文件、采购过程和成交结果使自己的权益受到损害的，可以在知道或者应知其权益受到损害之日起七个工作日内，以书面形式向采购人或其委托的采购代理机构提出质疑。</w:t>
      </w:r>
    </w:p>
    <w:p w14:paraId="4B382FBD">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7FBBFFD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14B3D18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谈判小组协助答复质疑。处理质疑的时间，从实际接受供应商质疑函的时间开始计算。</w:t>
      </w:r>
    </w:p>
    <w:p w14:paraId="1AD68B0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r>
        <w:rPr>
          <w:rFonts w:hint="eastAsia" w:ascii="宋体" w:hAnsi="宋体" w:eastAsia="宋体" w:cs="宋体"/>
          <w:color w:val="auto"/>
          <w:sz w:val="24"/>
          <w:highlight w:val="none"/>
          <w:lang w:val="en-US" w:eastAsia="zh-CN"/>
        </w:rPr>
        <w:t>。</w:t>
      </w:r>
    </w:p>
    <w:p w14:paraId="35535D63">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30.投诉</w:t>
      </w:r>
    </w:p>
    <w:p w14:paraId="2E21DD4C">
      <w:pPr>
        <w:keepNext w:val="0"/>
        <w:keepLines w:val="0"/>
        <w:pageBreakBefore w:val="0"/>
        <w:widowControl w:val="0"/>
        <w:kinsoku/>
        <w:wordWrap w:val="0"/>
        <w:overflowPunct/>
        <w:topLinePunct w:val="0"/>
        <w:autoSpaceDE/>
        <w:autoSpaceDN/>
        <w:bidi w:val="0"/>
        <w:adjustRightInd/>
        <w:snapToGrid/>
        <w:spacing w:line="348" w:lineRule="auto"/>
        <w:ind w:firstLine="437"/>
        <w:textAlignment w:val="auto"/>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30.1质疑投标人对采购人、采购代理机构的答复不满意，或者采购人、采购代理机构未在规定的时间内答复的，可以在答复期满后十五个工作日内按有关规定，以书面形式向同级政府采购监督管理部门提出投诉或者线上提交投诉材料。</w:t>
      </w:r>
    </w:p>
    <w:p w14:paraId="08259C4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30.2政府采购监督管理部门应当在收到投诉后30个工作日内，对投诉事项作出处理决定，并以书面形式通知投诉人和与投诉事项有关的当事人，并在</w:t>
      </w:r>
      <w:r>
        <w:rPr>
          <w:rFonts w:hint="eastAsia" w:ascii="宋体" w:hAnsi="宋体" w:eastAsia="宋体" w:cs="宋体"/>
          <w:bCs/>
          <w:color w:val="auto"/>
          <w:sz w:val="24"/>
          <w:highlight w:val="none"/>
          <w:lang w:eastAsia="zh-CN"/>
        </w:rPr>
        <w:t>滁州市明湖建设管理服务中心网</w:t>
      </w:r>
      <w:r>
        <w:rPr>
          <w:rFonts w:hint="eastAsia" w:ascii="宋体" w:hAnsi="宋体" w:eastAsia="宋体" w:cs="宋体"/>
          <w:bCs/>
          <w:color w:val="auto"/>
          <w:sz w:val="24"/>
          <w:highlight w:val="none"/>
        </w:rPr>
        <w:t>公告。政府采购监督管理部门处理投诉事项，需要检验、检测、鉴定、专家评审以及需要投诉人补正材料的，所需时间不计算在投诉处理期限内。</w:t>
      </w:r>
    </w:p>
    <w:p w14:paraId="2229B12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30.3政府采购监督管理部门在处理投诉事项期间，可以视具体情况书面通知采购人暂停采购活动，但暂停时间最长不得超过30日。</w:t>
      </w:r>
    </w:p>
    <w:p w14:paraId="3637604F">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31.需要补充的其他内容</w:t>
      </w:r>
    </w:p>
    <w:p w14:paraId="6F1573E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340FA7FA">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5F0C5A6B">
      <w:pPr>
        <w:keepNext w:val="0"/>
        <w:keepLines w:val="0"/>
        <w:pageBreakBefore w:val="0"/>
        <w:widowControl w:val="0"/>
        <w:kinsoku/>
        <w:wordWrap/>
        <w:overflowPunct/>
        <w:topLinePunct w:val="0"/>
        <w:autoSpaceDE/>
        <w:autoSpaceDN/>
        <w:bidi w:val="0"/>
        <w:adjustRightInd/>
        <w:snapToGrid/>
        <w:spacing w:line="324" w:lineRule="auto"/>
        <w:jc w:val="center"/>
        <w:textAlignment w:val="auto"/>
        <w:outlineLvl w:val="0"/>
        <w:rPr>
          <w:rFonts w:hint="eastAsia" w:ascii="宋体" w:hAnsi="宋体" w:eastAsia="宋体" w:cs="宋体"/>
          <w:b/>
          <w:color w:val="auto"/>
          <w:sz w:val="28"/>
          <w:highlight w:val="none"/>
        </w:rPr>
      </w:pPr>
      <w:bookmarkStart w:id="38" w:name="_Toc14453"/>
      <w:r>
        <w:rPr>
          <w:rFonts w:hint="eastAsia" w:ascii="宋体" w:hAnsi="宋体" w:eastAsia="宋体" w:cs="宋体"/>
          <w:b/>
          <w:color w:val="auto"/>
          <w:sz w:val="28"/>
          <w:highlight w:val="none"/>
        </w:rPr>
        <w:t>第三章  采购需求</w:t>
      </w:r>
      <w:bookmarkEnd w:id="38"/>
    </w:p>
    <w:tbl>
      <w:tblPr>
        <w:tblStyle w:val="9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570"/>
        <w:gridCol w:w="6294"/>
      </w:tblGrid>
      <w:tr w14:paraId="7166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0024358F">
            <w:pPr>
              <w:spacing w:line="360" w:lineRule="auto"/>
              <w:jc w:val="center"/>
              <w:rPr>
                <w:rFonts w:cs="@仿宋_GB2312" w:asciiTheme="minorEastAsia" w:hAnsiTheme="minorEastAsia" w:eastAsiaTheme="minorEastAsia"/>
                <w:b/>
                <w:color w:val="auto"/>
                <w:kern w:val="2"/>
                <w:sz w:val="24"/>
                <w:szCs w:val="22"/>
                <w:highlight w:val="none"/>
              </w:rPr>
            </w:pPr>
            <w:bookmarkStart w:id="39" w:name="_Toc17593"/>
            <w:r>
              <w:rPr>
                <w:rFonts w:hint="eastAsia" w:cs="@仿宋_GB2312" w:asciiTheme="minorEastAsia" w:hAnsiTheme="minorEastAsia" w:eastAsiaTheme="minorEastAsia"/>
                <w:b/>
                <w:color w:val="auto"/>
                <w:kern w:val="2"/>
                <w:sz w:val="24"/>
                <w:szCs w:val="22"/>
                <w:highlight w:val="none"/>
              </w:rPr>
              <w:t>序号</w:t>
            </w:r>
          </w:p>
        </w:tc>
        <w:tc>
          <w:tcPr>
            <w:tcW w:w="921" w:type="pct"/>
            <w:vAlign w:val="center"/>
          </w:tcPr>
          <w:p w14:paraId="55E1E8F4">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91" w:type="pct"/>
            <w:vAlign w:val="center"/>
          </w:tcPr>
          <w:p w14:paraId="51E65B88">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5ABB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3E6C6BF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921" w:type="pct"/>
            <w:vAlign w:val="center"/>
          </w:tcPr>
          <w:p w14:paraId="1586944E">
            <w:pPr>
              <w:keepNext w:val="0"/>
              <w:keepLines w:val="0"/>
              <w:pageBreakBefore w:val="0"/>
              <w:widowControl w:val="0"/>
              <w:kinsoku/>
              <w:wordWrap/>
              <w:overflowPunct/>
              <w:topLinePunct w:val="0"/>
              <w:autoSpaceDE/>
              <w:autoSpaceDN/>
              <w:bidi w:val="0"/>
              <w:adjustRightInd/>
              <w:snapToGrid/>
              <w:spacing w:line="52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91" w:type="pct"/>
            <w:vAlign w:val="center"/>
          </w:tcPr>
          <w:p w14:paraId="43749930">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谈判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6B5B62BB">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谈判时所报项目经理及项目部主要管理人员。确需更换时，须报采购人同意，更换后人员不得低于成交供应商谈判时所报人员资质和技术水平。采购人如认为有必要，可要求对上述人员中的部分人员作出更好的调整。</w:t>
            </w:r>
          </w:p>
          <w:p w14:paraId="15AF58B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r>
              <w:rPr>
                <w:rFonts w:hint="eastAsia" w:cs="@仿宋_GB2312" w:asciiTheme="minorEastAsia" w:hAnsiTheme="minorEastAsia" w:eastAsiaTheme="minorEastAsia"/>
                <w:color w:val="auto"/>
                <w:kern w:val="2"/>
                <w:sz w:val="24"/>
                <w:szCs w:val="22"/>
                <w:highlight w:val="none"/>
                <w:lang w:eastAsia="zh-CN"/>
              </w:rPr>
              <w:t>。</w:t>
            </w:r>
          </w:p>
          <w:p w14:paraId="16A0A81E">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其他要求：</w:t>
            </w:r>
          </w:p>
          <w:p w14:paraId="6B5268E2">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1、施工过程中，项目管理及施工人员以外的无关人员一律不得留宿施工现场，项目负责人负责管理及清理出场；</w:t>
            </w:r>
          </w:p>
          <w:p w14:paraId="2F2CBC74">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2、施工过程中，严格执行国家及地方针对环保、禁噪、防尘、防护等措施，必须满足当地行政主管部门相关规定及要求。</w:t>
            </w:r>
          </w:p>
          <w:p w14:paraId="3D1B8815">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、施工场地及周边场地、道路、绿化、管线、围墙等，若被施工方损坏，施工方必须无偿按照原貌恢复。</w:t>
            </w:r>
          </w:p>
          <w:p w14:paraId="6BCBF303">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rPr>
              <w:t>、供应商自行勘察施工现场情况，因供应商未踏勘现场而造成的损失由供应商承担。</w:t>
            </w:r>
          </w:p>
          <w:p w14:paraId="2809CEDC">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5</w:t>
            </w:r>
            <w:r>
              <w:rPr>
                <w:rFonts w:hint="eastAsia" w:cs="@仿宋_GB2312" w:asciiTheme="minorEastAsia" w:hAnsiTheme="minorEastAsia" w:eastAsiaTheme="minorEastAsia"/>
                <w:color w:val="auto"/>
                <w:kern w:val="2"/>
                <w:sz w:val="24"/>
                <w:szCs w:val="22"/>
                <w:highlight w:val="none"/>
              </w:rPr>
              <w:t>、在工程建设过程中，出现质量、安全、进度、文明施工、扬尘污染、人员不在岗履职等违约行为的，发包人将给予违约处罚。</w:t>
            </w:r>
          </w:p>
          <w:p w14:paraId="591F96EB">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6</w:t>
            </w:r>
            <w:r>
              <w:rPr>
                <w:rFonts w:hint="eastAsia" w:cs="@仿宋_GB2312" w:asciiTheme="minorEastAsia" w:hAnsiTheme="minorEastAsia" w:eastAsiaTheme="minorEastAsia"/>
                <w:color w:val="auto"/>
                <w:kern w:val="2"/>
                <w:sz w:val="24"/>
                <w:szCs w:val="22"/>
                <w:highlight w:val="none"/>
              </w:rPr>
              <w:t>、施工现场和取、弃土场内的施工便道、机械整平以及协调渣土、环保等相关部门办理相关手续由供应商自行承担。施工渣土、淤泥、建筑垃圾等弃置点需经相关部门批准，并报发包人备案后，方可施工，严禁违规倾倒堆存。否则，责任自负。</w:t>
            </w:r>
          </w:p>
        </w:tc>
      </w:tr>
      <w:tr w14:paraId="1E0F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3506F336">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921" w:type="pct"/>
            <w:vAlign w:val="center"/>
          </w:tcPr>
          <w:p w14:paraId="79606B7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91" w:type="pct"/>
            <w:vAlign w:val="center"/>
          </w:tcPr>
          <w:p w14:paraId="7D05EA5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所有进场材料必须符合国家质量标准、环保标准；所有货物（包括零部件）须为全新的、未使用过的原装正品，并完全符合国家质量标准，提供厂家出具的合格证书、有国家强制性认证要求的产品须提供相应证书。承包人采购的所有设备及主要材料进场报监理单位审核，经发包人认可后方可进场；</w:t>
            </w:r>
          </w:p>
        </w:tc>
      </w:tr>
      <w:tr w14:paraId="6DD8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3802E8B6">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921" w:type="pct"/>
            <w:vAlign w:val="center"/>
          </w:tcPr>
          <w:p w14:paraId="37D9FC42">
            <w:pPr>
              <w:keepNext w:val="0"/>
              <w:keepLines w:val="0"/>
              <w:pageBreakBefore w:val="0"/>
              <w:widowControl w:val="0"/>
              <w:kinsoku/>
              <w:wordWrap/>
              <w:overflowPunct/>
              <w:topLinePunct w:val="0"/>
              <w:autoSpaceDE/>
              <w:autoSpaceDN/>
              <w:bidi w:val="0"/>
              <w:adjustRightInd/>
              <w:snapToGrid/>
              <w:spacing w:line="40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91" w:type="pct"/>
            <w:vAlign w:val="center"/>
          </w:tcPr>
          <w:p w14:paraId="1E653629">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供应商结合图纸和现场情况自行考虑</w:t>
            </w:r>
          </w:p>
        </w:tc>
      </w:tr>
      <w:tr w14:paraId="6C42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1CF560B1">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921" w:type="pct"/>
            <w:vAlign w:val="center"/>
          </w:tcPr>
          <w:p w14:paraId="0D2A3355">
            <w:pPr>
              <w:keepNext w:val="0"/>
              <w:keepLines w:val="0"/>
              <w:pageBreakBefore w:val="0"/>
              <w:widowControl w:val="0"/>
              <w:kinsoku/>
              <w:wordWrap/>
              <w:overflowPunct/>
              <w:topLinePunct w:val="0"/>
              <w:autoSpaceDE/>
              <w:autoSpaceDN/>
              <w:bidi w:val="0"/>
              <w:adjustRightInd/>
              <w:snapToGrid/>
              <w:spacing w:line="40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91" w:type="pct"/>
            <w:vAlign w:val="center"/>
          </w:tcPr>
          <w:p w14:paraId="160DE6C8">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供应商最后报价均不得高于谈判文件（公告）列明的项目预算、最高投标限价，否则其响应文件将被认定为响应无效。</w:t>
            </w:r>
          </w:p>
        </w:tc>
      </w:tr>
      <w:tr w14:paraId="009D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0DADDD11">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921" w:type="pct"/>
            <w:vAlign w:val="center"/>
          </w:tcPr>
          <w:p w14:paraId="4784CE18">
            <w:pPr>
              <w:keepNext w:val="0"/>
              <w:keepLines w:val="0"/>
              <w:pageBreakBefore w:val="0"/>
              <w:widowControl w:val="0"/>
              <w:kinsoku/>
              <w:wordWrap/>
              <w:overflowPunct/>
              <w:topLinePunct w:val="0"/>
              <w:autoSpaceDE/>
              <w:autoSpaceDN/>
              <w:bidi w:val="0"/>
              <w:adjustRightInd/>
              <w:snapToGrid/>
              <w:spacing w:line="40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91" w:type="pct"/>
            <w:vAlign w:val="center"/>
          </w:tcPr>
          <w:p w14:paraId="6A866BEA">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1、政府采购政策（包括但不限于下列具体政策要求）：</w:t>
            </w:r>
          </w:p>
          <w:p w14:paraId="40CFAD29">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0754B6F">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1A85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shd w:val="clear" w:color="auto" w:fill="auto"/>
            <w:vAlign w:val="center"/>
          </w:tcPr>
          <w:p w14:paraId="3CC7E0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仿宋_GB2312" w:asciiTheme="minorEastAsia" w:hAnsiTheme="minorEastAsia" w:eastAsiaTheme="minorEastAsia"/>
                <w:color w:val="auto"/>
                <w:kern w:val="2"/>
                <w:sz w:val="24"/>
                <w:szCs w:val="22"/>
                <w:highlight w:val="none"/>
                <w:lang w:val="en-US" w:eastAsia="zh-CN" w:bidi="ar-SA"/>
              </w:rPr>
            </w:pPr>
            <w:r>
              <w:rPr>
                <w:rFonts w:cs="@仿宋_GB2312" w:asciiTheme="minorEastAsia" w:hAnsiTheme="minorEastAsia" w:eastAsiaTheme="minorEastAsia"/>
                <w:color w:val="auto"/>
                <w:kern w:val="2"/>
                <w:sz w:val="24"/>
                <w:szCs w:val="22"/>
                <w:highlight w:val="none"/>
              </w:rPr>
              <w:t>6</w:t>
            </w:r>
          </w:p>
        </w:tc>
        <w:tc>
          <w:tcPr>
            <w:tcW w:w="921" w:type="pct"/>
            <w:shd w:val="clear" w:color="auto" w:fill="auto"/>
            <w:vAlign w:val="center"/>
          </w:tcPr>
          <w:p w14:paraId="614A5A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仿宋_GB2312" w:asciiTheme="minorEastAsia" w:hAnsiTheme="minorEastAsia" w:eastAsiaTheme="minorEastAsia"/>
                <w:color w:val="auto"/>
                <w:kern w:val="2"/>
                <w:sz w:val="24"/>
                <w:szCs w:val="22"/>
                <w:highlight w:val="none"/>
                <w:lang w:val="en-US" w:eastAsia="zh-CN" w:bidi="ar-SA"/>
              </w:rPr>
            </w:pPr>
            <w:r>
              <w:rPr>
                <w:rFonts w:hint="eastAsia" w:cs="@仿宋_GB2312" w:asciiTheme="minorEastAsia" w:hAnsiTheme="minorEastAsia" w:eastAsiaTheme="minorEastAsia"/>
                <w:color w:val="auto"/>
                <w:kern w:val="2"/>
                <w:sz w:val="24"/>
                <w:szCs w:val="22"/>
                <w:highlight w:val="none"/>
              </w:rPr>
              <w:t>项目经理</w:t>
            </w:r>
          </w:p>
        </w:tc>
        <w:tc>
          <w:tcPr>
            <w:tcW w:w="3691" w:type="pct"/>
            <w:shd w:val="clear" w:color="auto" w:fill="auto"/>
            <w:vAlign w:val="center"/>
          </w:tcPr>
          <w:p w14:paraId="586C94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仿宋_GB2312" w:asciiTheme="minorEastAsia" w:hAnsiTheme="minorEastAsia" w:eastAsiaTheme="minorEastAsia"/>
                <w:color w:val="auto"/>
                <w:kern w:val="2"/>
                <w:sz w:val="24"/>
                <w:szCs w:val="22"/>
                <w:highlight w:val="none"/>
                <w:lang w:val="en-US" w:eastAsia="zh-CN" w:bidi="ar-SA"/>
              </w:rPr>
            </w:pPr>
            <w:r>
              <w:rPr>
                <w:rFonts w:hint="eastAsia" w:cs="@仿宋_GB2312" w:asciiTheme="minorEastAsia" w:hAnsiTheme="minorEastAsia" w:eastAsiaTheme="minorEastAsia"/>
                <w:color w:val="auto"/>
                <w:kern w:val="2"/>
                <w:sz w:val="24"/>
                <w:szCs w:val="22"/>
                <w:highlight w:val="none"/>
                <w:lang w:val="en-US" w:eastAsia="zh-CN"/>
              </w:rPr>
              <w:t>见第一章《谈判邀请》</w:t>
            </w:r>
          </w:p>
        </w:tc>
      </w:tr>
    </w:tbl>
    <w:p w14:paraId="69DBA688">
      <w:pPr>
        <w:spacing w:line="360" w:lineRule="auto"/>
        <w:jc w:val="center"/>
        <w:outlineLvl w:val="0"/>
        <w:rPr>
          <w:rFonts w:hint="eastAsia" w:ascii="宋体" w:hAnsi="宋体" w:eastAsia="宋体" w:cs="宋体"/>
          <w:b/>
          <w:color w:val="auto"/>
          <w:sz w:val="24"/>
          <w:szCs w:val="24"/>
          <w:highlight w:val="none"/>
        </w:rPr>
      </w:pPr>
    </w:p>
    <w:p w14:paraId="1482EF0A">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highlight w:val="none"/>
        </w:rPr>
      </w:pPr>
      <w:r>
        <w:rPr>
          <w:rFonts w:hint="eastAsia" w:ascii="宋体" w:hAnsi="宋体" w:eastAsia="宋体" w:cs="宋体"/>
          <w:b/>
          <w:color w:val="auto"/>
          <w:sz w:val="28"/>
          <w:highlight w:val="none"/>
        </w:rPr>
        <w:t>第四章  评审方法和标准</w:t>
      </w:r>
      <w:bookmarkEnd w:id="39"/>
    </w:p>
    <w:p w14:paraId="7340748B">
      <w:pPr>
        <w:spacing w:line="360" w:lineRule="auto"/>
        <w:ind w:firstLine="437"/>
        <w:outlineLvl w:val="1"/>
        <w:rPr>
          <w:rFonts w:hint="eastAsia" w:ascii="宋体" w:hAnsi="宋体" w:eastAsia="宋体" w:cs="宋体"/>
          <w:b/>
          <w:color w:val="auto"/>
          <w:sz w:val="24"/>
          <w:highlight w:val="none"/>
        </w:rPr>
      </w:pPr>
      <w:bookmarkStart w:id="40" w:name="_Toc16905"/>
      <w:bookmarkStart w:id="41" w:name="_Toc30232"/>
      <w:bookmarkStart w:id="42" w:name="_Toc20577"/>
      <w:r>
        <w:rPr>
          <w:rFonts w:hint="eastAsia" w:ascii="宋体" w:hAnsi="宋体" w:eastAsia="宋体" w:cs="宋体"/>
          <w:b/>
          <w:color w:val="auto"/>
          <w:sz w:val="24"/>
          <w:highlight w:val="none"/>
        </w:rPr>
        <w:t>一、总则</w:t>
      </w:r>
      <w:bookmarkEnd w:id="40"/>
      <w:bookmarkEnd w:id="41"/>
      <w:bookmarkEnd w:id="42"/>
    </w:p>
    <w:p w14:paraId="592342E8">
      <w:pPr>
        <w:spacing w:line="360" w:lineRule="auto"/>
        <w:ind w:firstLine="435"/>
        <w:rPr>
          <w:rFonts w:asciiTheme="minorEastAsia" w:hAnsiTheme="minorEastAsia" w:eastAsiaTheme="minorEastAsia"/>
          <w:color w:val="auto"/>
          <w:sz w:val="24"/>
          <w:highlight w:val="none"/>
        </w:rPr>
      </w:pPr>
      <w:bookmarkStart w:id="43" w:name="_Toc829"/>
      <w:bookmarkStart w:id="44" w:name="_Toc35526206"/>
      <w:r>
        <w:rPr>
          <w:rFonts w:hint="eastAsia" w:asciiTheme="minorEastAsia" w:hAnsiTheme="minorEastAsia" w:eastAsiaTheme="minorEastAsia"/>
          <w:color w:val="auto"/>
          <w:sz w:val="24"/>
          <w:highlight w:val="none"/>
        </w:rPr>
        <w:t>本项目将按照谈判文件第二章供应商须知的相关要求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6FC6BC70">
      <w:pPr>
        <w:spacing w:line="360" w:lineRule="auto"/>
        <w:ind w:firstLine="437"/>
        <w:outlineLvl w:val="1"/>
        <w:rPr>
          <w:rFonts w:asciiTheme="minorEastAsia" w:hAnsiTheme="minorEastAsia" w:eastAsiaTheme="minorEastAsia"/>
          <w:b/>
          <w:color w:val="auto"/>
          <w:sz w:val="24"/>
          <w:highlight w:val="none"/>
        </w:rPr>
      </w:pPr>
      <w:bookmarkStart w:id="45" w:name="_Toc31007"/>
      <w:bookmarkStart w:id="46" w:name="_Toc7563"/>
      <w:bookmarkStart w:id="47" w:name="_Toc31558"/>
      <w:r>
        <w:rPr>
          <w:rFonts w:hint="eastAsia" w:asciiTheme="minorEastAsia" w:hAnsiTheme="minorEastAsia" w:eastAsiaTheme="minorEastAsia"/>
          <w:b/>
          <w:color w:val="auto"/>
          <w:sz w:val="24"/>
          <w:highlight w:val="none"/>
        </w:rPr>
        <w:t>二、评审方法</w:t>
      </w:r>
      <w:bookmarkEnd w:id="45"/>
      <w:bookmarkEnd w:id="46"/>
      <w:bookmarkEnd w:id="47"/>
    </w:p>
    <w:tbl>
      <w:tblPr>
        <w:tblStyle w:val="29"/>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553"/>
        <w:gridCol w:w="3776"/>
        <w:gridCol w:w="2442"/>
      </w:tblGrid>
      <w:tr w14:paraId="5BE2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4"/>
            <w:tcBorders>
              <w:bottom w:val="single" w:color="auto" w:sz="4" w:space="0"/>
            </w:tcBorders>
            <w:vAlign w:val="center"/>
          </w:tcPr>
          <w:p w14:paraId="07DACDAB">
            <w:pPr>
              <w:adjustRightInd w:val="0"/>
              <w:snapToGrid w:val="0"/>
              <w:ind w:right="-1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初审表</w:t>
            </w:r>
          </w:p>
        </w:tc>
      </w:tr>
      <w:tr w14:paraId="15CD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91" w:type="pct"/>
            <w:tcBorders>
              <w:bottom w:val="single" w:color="auto" w:sz="4" w:space="0"/>
            </w:tcBorders>
            <w:vAlign w:val="center"/>
          </w:tcPr>
          <w:p w14:paraId="3C24088E">
            <w:pPr>
              <w:adjustRightInd w:val="0"/>
              <w:snapToGrid w:val="0"/>
              <w:spacing w:line="36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序号</w:t>
            </w:r>
          </w:p>
        </w:tc>
        <w:tc>
          <w:tcPr>
            <w:tcW w:w="901" w:type="pct"/>
            <w:tcBorders>
              <w:bottom w:val="single" w:color="auto" w:sz="4" w:space="0"/>
            </w:tcBorders>
            <w:vAlign w:val="center"/>
          </w:tcPr>
          <w:p w14:paraId="05E2F09E">
            <w:pPr>
              <w:pStyle w:val="49"/>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审查因素</w:t>
            </w:r>
          </w:p>
        </w:tc>
        <w:tc>
          <w:tcPr>
            <w:tcW w:w="2191" w:type="pct"/>
            <w:tcBorders>
              <w:bottom w:val="single" w:color="auto" w:sz="4" w:space="0"/>
            </w:tcBorders>
            <w:vAlign w:val="center"/>
          </w:tcPr>
          <w:p w14:paraId="0F2A3D4E">
            <w:pPr>
              <w:adjustRightInd w:val="0"/>
              <w:snapToGrid w:val="0"/>
              <w:spacing w:line="36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审查内容</w:t>
            </w:r>
          </w:p>
        </w:tc>
        <w:tc>
          <w:tcPr>
            <w:tcW w:w="1415" w:type="pct"/>
            <w:tcBorders>
              <w:bottom w:val="single" w:color="auto" w:sz="4" w:space="0"/>
            </w:tcBorders>
            <w:vAlign w:val="center"/>
          </w:tcPr>
          <w:p w14:paraId="3E809B79">
            <w:pPr>
              <w:adjustRightInd w:val="0"/>
              <w:snapToGrid w:val="0"/>
              <w:spacing w:line="36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格式要求</w:t>
            </w:r>
          </w:p>
        </w:tc>
      </w:tr>
      <w:tr w14:paraId="7C40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tcBorders>
              <w:bottom w:val="single" w:color="auto" w:sz="4" w:space="0"/>
            </w:tcBorders>
            <w:vAlign w:val="center"/>
          </w:tcPr>
          <w:p w14:paraId="61E9E274">
            <w:pPr>
              <w:adjustRightInd w:val="0"/>
              <w:snapToGrid w:val="0"/>
              <w:spacing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1</w:t>
            </w:r>
          </w:p>
        </w:tc>
        <w:tc>
          <w:tcPr>
            <w:tcW w:w="901" w:type="pct"/>
            <w:tcBorders>
              <w:bottom w:val="single" w:color="auto" w:sz="4" w:space="0"/>
            </w:tcBorders>
            <w:vAlign w:val="center"/>
          </w:tcPr>
          <w:p w14:paraId="13068616">
            <w:pPr>
              <w:spacing w:after="50"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191" w:type="pct"/>
            <w:tcBorders>
              <w:bottom w:val="single" w:color="auto" w:sz="4" w:space="0"/>
            </w:tcBorders>
            <w:vAlign w:val="center"/>
          </w:tcPr>
          <w:p w14:paraId="285D4CE2">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6CFF045C">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333482B5">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217AB3DB">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4575783E">
            <w:pPr>
              <w:spacing w:after="50" w:line="36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p>
        </w:tc>
        <w:tc>
          <w:tcPr>
            <w:tcW w:w="1415" w:type="pct"/>
            <w:tcBorders>
              <w:bottom w:val="single" w:color="auto" w:sz="4" w:space="0"/>
            </w:tcBorders>
            <w:vAlign w:val="center"/>
          </w:tcPr>
          <w:p w14:paraId="11895C02">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2773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19FEFCD4">
            <w:pPr>
              <w:adjustRightInd w:val="0"/>
              <w:snapToGrid w:val="0"/>
              <w:spacing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2</w:t>
            </w:r>
          </w:p>
        </w:tc>
        <w:tc>
          <w:tcPr>
            <w:tcW w:w="901" w:type="pct"/>
            <w:vAlign w:val="center"/>
          </w:tcPr>
          <w:p w14:paraId="2EA858A1">
            <w:pPr>
              <w:spacing w:after="50"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供应商资格声明书</w:t>
            </w:r>
          </w:p>
        </w:tc>
        <w:tc>
          <w:tcPr>
            <w:tcW w:w="2191" w:type="pct"/>
            <w:vAlign w:val="center"/>
          </w:tcPr>
          <w:p w14:paraId="7FC6FC87">
            <w:pPr>
              <w:spacing w:after="50" w:line="36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415" w:type="pct"/>
            <w:vAlign w:val="center"/>
          </w:tcPr>
          <w:p w14:paraId="3AC3433E">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0523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0852961">
            <w:pPr>
              <w:adjustRightInd w:val="0"/>
              <w:snapToGrid w:val="0"/>
              <w:spacing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3</w:t>
            </w:r>
          </w:p>
        </w:tc>
        <w:tc>
          <w:tcPr>
            <w:tcW w:w="901" w:type="pct"/>
            <w:vAlign w:val="center"/>
          </w:tcPr>
          <w:p w14:paraId="02229B39">
            <w:pPr>
              <w:spacing w:after="50"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191" w:type="pct"/>
            <w:vAlign w:val="center"/>
          </w:tcPr>
          <w:p w14:paraId="1E9A03E3">
            <w:pPr>
              <w:spacing w:after="50" w:line="36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14.3.1条中</w:t>
            </w:r>
            <w:r>
              <w:rPr>
                <w:rFonts w:hint="eastAsia" w:ascii="宋体" w:hAnsi="宋体" w:eastAsia="宋体" w:cs="宋体"/>
                <w:color w:val="auto"/>
                <w:sz w:val="24"/>
                <w:szCs w:val="24"/>
                <w:highlight w:val="none"/>
              </w:rPr>
              <w:t>的不良信用记录情形</w:t>
            </w:r>
          </w:p>
        </w:tc>
        <w:tc>
          <w:tcPr>
            <w:tcW w:w="1415" w:type="pct"/>
            <w:vAlign w:val="center"/>
          </w:tcPr>
          <w:p w14:paraId="5577F23C">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1831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59E3499">
            <w:pPr>
              <w:adjustRightInd w:val="0"/>
              <w:snapToGrid w:val="0"/>
              <w:spacing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4</w:t>
            </w:r>
          </w:p>
        </w:tc>
        <w:tc>
          <w:tcPr>
            <w:tcW w:w="1553" w:type="dxa"/>
            <w:vAlign w:val="center"/>
          </w:tcPr>
          <w:p w14:paraId="21D2883D">
            <w:pPr>
              <w:keepNext w:val="0"/>
              <w:keepLines w:val="0"/>
              <w:pageBreakBefore w:val="0"/>
              <w:kinsoku/>
              <w:wordWrap/>
              <w:overflowPunct/>
              <w:topLinePunct w:val="0"/>
              <w:autoSpaceDE/>
              <w:autoSpaceDN/>
              <w:bidi w:val="0"/>
              <w:spacing w:after="50"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诚信响应承诺书</w:t>
            </w:r>
          </w:p>
        </w:tc>
        <w:tc>
          <w:tcPr>
            <w:tcW w:w="3776" w:type="dxa"/>
            <w:vAlign w:val="top"/>
          </w:tcPr>
          <w:p w14:paraId="31EF6D6A">
            <w:pPr>
              <w:keepNext w:val="0"/>
              <w:keepLines w:val="0"/>
              <w:pageBreakBefore w:val="0"/>
              <w:kinsoku/>
              <w:wordWrap/>
              <w:overflowPunct/>
              <w:topLinePunct w:val="0"/>
              <w:autoSpaceDE/>
              <w:autoSpaceDN/>
              <w:bidi w:val="0"/>
              <w:spacing w:after="50" w:line="520" w:lineRule="exact"/>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格式、填写要求符合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文件规定并加盖供应商电子签章</w:t>
            </w:r>
          </w:p>
        </w:tc>
        <w:tc>
          <w:tcPr>
            <w:tcW w:w="2442" w:type="dxa"/>
            <w:vAlign w:val="center"/>
          </w:tcPr>
          <w:p w14:paraId="314CCFDA">
            <w:pPr>
              <w:keepNext w:val="0"/>
              <w:keepLines w:val="0"/>
              <w:pageBreakBefore w:val="0"/>
              <w:kinsoku/>
              <w:wordWrap/>
              <w:overflowPunct/>
              <w:topLinePunct w:val="0"/>
              <w:autoSpaceDE/>
              <w:autoSpaceDN/>
              <w:bidi w:val="0"/>
              <w:spacing w:after="50"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6CED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102C01CF">
            <w:pPr>
              <w:adjustRightInd w:val="0"/>
              <w:snapToGrid w:val="0"/>
              <w:spacing w:line="360" w:lineRule="auto"/>
              <w:ind w:right="-1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901" w:type="pct"/>
            <w:vAlign w:val="center"/>
          </w:tcPr>
          <w:p w14:paraId="53DC3F17">
            <w:pPr>
              <w:spacing w:after="50" w:line="36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rPr>
              <w:t>其他特定资格要求</w:t>
            </w:r>
          </w:p>
        </w:tc>
        <w:tc>
          <w:tcPr>
            <w:tcW w:w="2191" w:type="pct"/>
            <w:vAlign w:val="center"/>
          </w:tcPr>
          <w:p w14:paraId="58DC358B">
            <w:pPr>
              <w:spacing w:after="50" w:line="36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谈判</w:t>
            </w:r>
            <w:r>
              <w:rPr>
                <w:rFonts w:hint="eastAsia" w:ascii="宋体" w:hAnsi="宋体" w:eastAsia="宋体" w:cs="宋体"/>
                <w:color w:val="auto"/>
                <w:spacing w:val="10"/>
                <w:sz w:val="24"/>
                <w:szCs w:val="24"/>
                <w:highlight w:val="none"/>
              </w:rPr>
              <w:t>邀请》</w:t>
            </w:r>
          </w:p>
        </w:tc>
        <w:tc>
          <w:tcPr>
            <w:tcW w:w="1415" w:type="pct"/>
            <w:vAlign w:val="center"/>
          </w:tcPr>
          <w:p w14:paraId="2E80EF88">
            <w:pPr>
              <w:spacing w:after="50" w:line="36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5C9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3B1F1F5">
            <w:pPr>
              <w:adjustRightInd w:val="0"/>
              <w:snapToGrid w:val="0"/>
              <w:spacing w:line="360" w:lineRule="auto"/>
              <w:ind w:right="-1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6</w:t>
            </w:r>
          </w:p>
        </w:tc>
        <w:tc>
          <w:tcPr>
            <w:tcW w:w="901" w:type="pct"/>
            <w:vAlign w:val="center"/>
          </w:tcPr>
          <w:p w14:paraId="3D37606F">
            <w:pPr>
              <w:adjustRightInd w:val="0"/>
              <w:snapToGrid w:val="0"/>
              <w:spacing w:line="360" w:lineRule="auto"/>
              <w:ind w:right="-1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授权书</w:t>
            </w:r>
          </w:p>
        </w:tc>
        <w:tc>
          <w:tcPr>
            <w:tcW w:w="2191" w:type="pct"/>
            <w:vAlign w:val="center"/>
          </w:tcPr>
          <w:p w14:paraId="3863D034">
            <w:pPr>
              <w:adjustRightInd w:val="0"/>
              <w:snapToGrid w:val="0"/>
              <w:spacing w:line="360" w:lineRule="auto"/>
              <w:ind w:right="-1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符合谈判文件要求。</w:t>
            </w:r>
          </w:p>
        </w:tc>
        <w:tc>
          <w:tcPr>
            <w:tcW w:w="1415" w:type="pct"/>
            <w:vAlign w:val="center"/>
          </w:tcPr>
          <w:p w14:paraId="5EBAFE9A">
            <w:pPr>
              <w:spacing w:after="50"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详见第六章响应文件 </w:t>
            </w:r>
          </w:p>
          <w:p w14:paraId="36D30848">
            <w:pPr>
              <w:spacing w:after="50"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格式</w:t>
            </w:r>
          </w:p>
        </w:tc>
      </w:tr>
      <w:tr w14:paraId="0958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0D5893CE">
            <w:pPr>
              <w:adjustRightInd w:val="0"/>
              <w:snapToGrid w:val="0"/>
              <w:spacing w:line="360" w:lineRule="auto"/>
              <w:ind w:right="-1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w:t>
            </w:r>
          </w:p>
        </w:tc>
        <w:tc>
          <w:tcPr>
            <w:tcW w:w="901" w:type="pct"/>
            <w:vAlign w:val="center"/>
          </w:tcPr>
          <w:p w14:paraId="37DA9A66">
            <w:pPr>
              <w:adjustRightInd w:val="0"/>
              <w:snapToGrid w:val="0"/>
              <w:spacing w:line="360" w:lineRule="auto"/>
              <w:ind w:right="-1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谈判响应函</w:t>
            </w:r>
          </w:p>
        </w:tc>
        <w:tc>
          <w:tcPr>
            <w:tcW w:w="2191" w:type="pct"/>
            <w:vAlign w:val="center"/>
          </w:tcPr>
          <w:p w14:paraId="3800443D">
            <w:pPr>
              <w:adjustRightInd w:val="0"/>
              <w:snapToGrid w:val="0"/>
              <w:spacing w:line="360" w:lineRule="auto"/>
              <w:ind w:right="-1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符合谈判文件要求。</w:t>
            </w:r>
          </w:p>
        </w:tc>
        <w:tc>
          <w:tcPr>
            <w:tcW w:w="1415" w:type="pct"/>
            <w:vAlign w:val="center"/>
          </w:tcPr>
          <w:p w14:paraId="51525A3E">
            <w:pPr>
              <w:spacing w:after="50"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详见第六章响应文件 </w:t>
            </w:r>
          </w:p>
          <w:p w14:paraId="2E474D29">
            <w:pPr>
              <w:spacing w:after="50"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格式</w:t>
            </w:r>
          </w:p>
        </w:tc>
      </w:tr>
      <w:tr w14:paraId="41BD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18A5A387">
            <w:pPr>
              <w:adjustRightInd w:val="0"/>
              <w:snapToGrid w:val="0"/>
              <w:spacing w:line="360" w:lineRule="auto"/>
              <w:ind w:right="-1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01" w:type="pct"/>
            <w:vAlign w:val="center"/>
          </w:tcPr>
          <w:p w14:paraId="2DC4410D">
            <w:pPr>
              <w:spacing w:after="50"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报价</w:t>
            </w:r>
          </w:p>
        </w:tc>
        <w:tc>
          <w:tcPr>
            <w:tcW w:w="2191" w:type="pct"/>
            <w:vAlign w:val="center"/>
          </w:tcPr>
          <w:p w14:paraId="53B6E6FF">
            <w:pPr>
              <w:spacing w:after="50" w:line="360" w:lineRule="auto"/>
              <w:ind w:right="-10" w:right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1415" w:type="pct"/>
            <w:vAlign w:val="center"/>
          </w:tcPr>
          <w:p w14:paraId="1A53EB13">
            <w:pPr>
              <w:spacing w:after="50" w:line="360" w:lineRule="auto"/>
              <w:ind w:right="-10" w:right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详见第六章响应文件 </w:t>
            </w:r>
          </w:p>
          <w:p w14:paraId="4C504E46">
            <w:pPr>
              <w:adjustRightInd w:val="0"/>
              <w:snapToGrid w:val="0"/>
              <w:spacing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格式</w:t>
            </w:r>
          </w:p>
        </w:tc>
      </w:tr>
      <w:tr w14:paraId="6D98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4541130">
            <w:pPr>
              <w:adjustRightInd w:val="0"/>
              <w:snapToGrid w:val="0"/>
              <w:spacing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901" w:type="pct"/>
            <w:vAlign w:val="center"/>
          </w:tcPr>
          <w:p w14:paraId="2FD090F1">
            <w:pPr>
              <w:spacing w:after="50" w:line="360" w:lineRule="auto"/>
              <w:ind w:right="-1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诚信履约承诺函</w:t>
            </w:r>
          </w:p>
        </w:tc>
        <w:tc>
          <w:tcPr>
            <w:tcW w:w="2191" w:type="pct"/>
            <w:vAlign w:val="center"/>
          </w:tcPr>
          <w:p w14:paraId="2E4BD46D">
            <w:pPr>
              <w:spacing w:after="50" w:line="360" w:lineRule="auto"/>
              <w:ind w:right="-1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电子签章</w:t>
            </w:r>
          </w:p>
        </w:tc>
        <w:tc>
          <w:tcPr>
            <w:tcW w:w="1415" w:type="pct"/>
            <w:vAlign w:val="center"/>
          </w:tcPr>
          <w:p w14:paraId="523FA284">
            <w:pPr>
              <w:spacing w:after="50" w:line="360" w:lineRule="auto"/>
              <w:ind w:right="-1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5D9D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00" w:type="pct"/>
            <w:gridSpan w:val="4"/>
            <w:tcBorders>
              <w:bottom w:val="single" w:color="auto" w:sz="4" w:space="0"/>
            </w:tcBorders>
            <w:vAlign w:val="center"/>
          </w:tcPr>
          <w:p w14:paraId="400C06C7">
            <w:pPr>
              <w:adjustRightInd w:val="0"/>
              <w:snapToGrid w:val="0"/>
              <w:ind w:right="-1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评审指标通过标准：供应商必须通过上述全部指标。</w:t>
            </w:r>
          </w:p>
        </w:tc>
      </w:tr>
    </w:tbl>
    <w:p w14:paraId="5E843AE5">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初审指标通过标准：</w:t>
      </w:r>
      <w:r>
        <w:rPr>
          <w:rFonts w:hint="eastAsia" w:ascii="宋体" w:hAnsi="宋体" w:eastAsia="宋体" w:cs="宋体"/>
          <w:color w:val="auto"/>
          <w:sz w:val="24"/>
          <w:szCs w:val="24"/>
          <w:highlight w:val="none"/>
        </w:rPr>
        <w:t>供应商必须通过初审表中的全部评审指标。</w:t>
      </w:r>
    </w:p>
    <w:p w14:paraId="7BF1FCEA">
      <w:pPr>
        <w:spacing w:line="360" w:lineRule="auto"/>
        <w:ind w:firstLine="437"/>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三、无效响应条款</w:t>
      </w:r>
      <w:bookmarkEnd w:id="43"/>
    </w:p>
    <w:p w14:paraId="18622253">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3.1响应文件有下列情形之一的,其响应文件拒收</w:t>
      </w:r>
      <w:r>
        <w:rPr>
          <w:rFonts w:hint="eastAsia" w:ascii="宋体" w:hAnsi="宋体" w:eastAsia="宋体" w:cs="宋体"/>
          <w:color w:val="auto"/>
          <w:sz w:val="24"/>
          <w:highlight w:val="none"/>
          <w:lang w:eastAsia="zh-CN"/>
        </w:rPr>
        <w:t>：</w:t>
      </w:r>
    </w:p>
    <w:p w14:paraId="62F056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未在响应文件递交截止时间前递交有效响应文件的，不予接收，其将被拒绝。</w:t>
      </w:r>
    </w:p>
    <w:p w14:paraId="743315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3.2供应商有下列情形之一的,资格审查后其作无效响应处理：</w:t>
      </w:r>
    </w:p>
    <w:p w14:paraId="62786A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（1）供应商为本项目提供采购代理服务的；</w:t>
      </w:r>
    </w:p>
    <w:p w14:paraId="3479F9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（2）供应商与在本项目代理机构存在相互任职或工作的；</w:t>
      </w:r>
    </w:p>
    <w:p w14:paraId="0A9018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（3）与采购人存在利害关系可能影响采购公正性的法人、其他组织或者个人；</w:t>
      </w:r>
    </w:p>
    <w:p w14:paraId="34FE0C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（4）竞争性谈判公告写明专门面向中小企业采购，供应商提供的货物非中小企业制造的；</w:t>
      </w:r>
    </w:p>
    <w:p w14:paraId="216910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（5）要求供应商以联合体形式参加采购活动，供应商非联合体或者联合协议中中小企业合同金额未达到应当达到的比例；</w:t>
      </w:r>
    </w:p>
    <w:p w14:paraId="522F81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（6）要求获得采购合同的供应商向中小企业分包，供应商未提供分包意向协议或者分包意向协议中中小企业合同金额未达到应当达到的比例；</w:t>
      </w:r>
    </w:p>
    <w:p w14:paraId="66BC8B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（7）无法查看并检验响应文件中相关资料的；</w:t>
      </w:r>
    </w:p>
    <w:p w14:paraId="57A0A0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（8）联合体参与未提交联合体协议的；</w:t>
      </w:r>
    </w:p>
    <w:p w14:paraId="7F09B8B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（9）责令停产停业的；</w:t>
      </w:r>
    </w:p>
    <w:p w14:paraId="11DBE3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（10）暂停或者取消参与政府采购项目资格的；</w:t>
      </w:r>
    </w:p>
    <w:p w14:paraId="28CEFF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（11）单位负责人为同一人或者存在直接控股、管理关系的不同单位的；</w:t>
      </w:r>
    </w:p>
    <w:p w14:paraId="430E18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（12）供应商基本资格条件和特定资格条件中有一项及以上不符合要求的；</w:t>
      </w:r>
    </w:p>
    <w:p w14:paraId="613B5C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（13）其它情形按无效响应处理，并经公共资源交易监督部门核准的；</w:t>
      </w:r>
    </w:p>
    <w:p w14:paraId="04E225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）供应商单方面出现其他供应商材料的；</w:t>
      </w:r>
    </w:p>
    <w:p w14:paraId="7BFD76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）竞争性谈判公告未写明允许采购进口产品，供应商所投产品为进口产品的；</w:t>
      </w:r>
    </w:p>
    <w:p w14:paraId="05B34C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）谈判文件规定的其它无效情形。</w:t>
      </w:r>
    </w:p>
    <w:p w14:paraId="341806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 供应商有下列情形之一的,符合性审查后其按无效响应处理：</w:t>
      </w:r>
    </w:p>
    <w:p w14:paraId="60D7DB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w:t>
      </w:r>
      <w:r>
        <w:rPr>
          <w:rFonts w:hint="eastAsia" w:ascii="宋体" w:hAnsi="宋体" w:eastAsia="宋体" w:cs="宋体"/>
          <w:color w:val="auto"/>
          <w:sz w:val="24"/>
          <w:highlight w:val="none"/>
          <w:lang w:eastAsia="zh-CN"/>
        </w:rPr>
        <w:t>盖章</w:t>
      </w:r>
      <w:r>
        <w:rPr>
          <w:rFonts w:hint="eastAsia" w:ascii="宋体" w:hAnsi="宋体" w:eastAsia="宋体" w:cs="宋体"/>
          <w:color w:val="auto"/>
          <w:sz w:val="24"/>
          <w:highlight w:val="none"/>
        </w:rPr>
        <w:t>不全，经谈判小组一致认定对响应内容有实质性影响的；</w:t>
      </w:r>
    </w:p>
    <w:p w14:paraId="48B1606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w:t>
      </w:r>
    </w:p>
    <w:p w14:paraId="40CC29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（3）同一供应商提交两个或以上不同的响应文件或者报价，但谈判文件规定提交备选方案的除外；</w:t>
      </w:r>
    </w:p>
    <w:p w14:paraId="658371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（4）响应文件没有对谈判文件的实质性要求和条件作出响应；</w:t>
      </w:r>
    </w:p>
    <w:p w14:paraId="5A7469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（5）报价超出规定的最高限价或公布的采购预算的或供应商的报价各项单价高于谈判文件给定的单价最高限价；</w:t>
      </w:r>
    </w:p>
    <w:p w14:paraId="18E009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（6）不按谈判小组要求澄清、说明或补正的，或者谈判小组根据谈判文件的规定对谈判文件的计算错误进行修正后，供应商不接受修正的报价的。</w:t>
      </w:r>
    </w:p>
    <w:p w14:paraId="486FE0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（7）其它情形，经谈判小组提出按无效响应处理；</w:t>
      </w:r>
    </w:p>
    <w:p w14:paraId="488F8B8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（8）响应文件含有采购人不能接受的附加条件的；</w:t>
      </w:r>
    </w:p>
    <w:p w14:paraId="13FD142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（9）谈判文件规定的其它无效响应情形。</w:t>
      </w:r>
    </w:p>
    <w:p w14:paraId="7B65B1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 供应商有下列情形之一的, 详细评审后其按无效响应处理：</w:t>
      </w:r>
    </w:p>
    <w:p w14:paraId="01544A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（1）产品不符合必须强制执行的国家标准的；</w:t>
      </w:r>
    </w:p>
    <w:p w14:paraId="1D586D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（2）供应商有串通、弄虚作假、行贿等违法行为；</w:t>
      </w:r>
    </w:p>
    <w:p w14:paraId="71A0A4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（3）响应文件含有违反国家法律、法规的内容，或附有采购人不能接受的条件的；</w:t>
      </w:r>
    </w:p>
    <w:p w14:paraId="29E1C36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（4）报价明显低于其他供应商，且不能证明报价合理性的响应无效；</w:t>
      </w:r>
    </w:p>
    <w:p w14:paraId="6C1E17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（5）拒不确认谈判小组评审修正的响应无效；</w:t>
      </w:r>
    </w:p>
    <w:p w14:paraId="3CF08C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（6）其它情形，经谈判小组提出按无效响应处理的；</w:t>
      </w:r>
    </w:p>
    <w:p w14:paraId="03E7876F">
      <w:pPr>
        <w:spacing w:line="360" w:lineRule="auto"/>
        <w:ind w:firstLine="480" w:firstLineChars="200"/>
        <w:jc w:val="left"/>
        <w:outlineLvl w:val="0"/>
        <w:rPr>
          <w:rFonts w:hint="eastAsia" w:ascii="宋体" w:hAnsi="宋体" w:eastAsia="宋体" w:cs="宋体"/>
          <w:b/>
          <w:color w:val="auto"/>
          <w:sz w:val="28"/>
          <w:highlight w:val="none"/>
        </w:rPr>
      </w:pPr>
      <w:bookmarkStart w:id="48" w:name="_Toc1973"/>
      <w:r>
        <w:rPr>
          <w:rFonts w:hint="eastAsia" w:ascii="宋体" w:hAnsi="宋体" w:eastAsia="宋体" w:cs="宋体"/>
          <w:color w:val="auto"/>
          <w:sz w:val="24"/>
          <w:highlight w:val="none"/>
        </w:rPr>
        <w:t>（7）谈判文件规定的其它无效响应情形</w:t>
      </w:r>
      <w:r>
        <w:rPr>
          <w:rFonts w:hint="eastAsia" w:ascii="宋体" w:hAnsi="宋体" w:eastAsia="宋体" w:cs="宋体"/>
          <w:color w:val="auto"/>
          <w:sz w:val="24"/>
          <w:highlight w:val="none"/>
          <w:lang w:eastAsia="zh-CN"/>
        </w:rPr>
        <w:t>。</w:t>
      </w:r>
      <w:bookmarkEnd w:id="48"/>
    </w:p>
    <w:p w14:paraId="12D4A185">
      <w:pPr>
        <w:spacing w:line="360" w:lineRule="auto"/>
        <w:jc w:val="center"/>
        <w:outlineLvl w:val="0"/>
        <w:rPr>
          <w:rFonts w:hint="eastAsia" w:ascii="宋体" w:hAnsi="宋体" w:eastAsia="宋体" w:cs="宋体"/>
          <w:b/>
          <w:color w:val="auto"/>
          <w:sz w:val="24"/>
          <w:szCs w:val="24"/>
          <w:highlight w:val="none"/>
        </w:rPr>
      </w:pPr>
      <w:bookmarkStart w:id="49" w:name="_Toc15528"/>
      <w:r>
        <w:rPr>
          <w:rFonts w:hint="eastAsia" w:ascii="宋体" w:hAnsi="宋体" w:eastAsia="宋体" w:cs="宋体"/>
          <w:b/>
          <w:color w:val="auto"/>
          <w:sz w:val="28"/>
          <w:highlight w:val="none"/>
        </w:rPr>
        <w:t xml:space="preserve">第五章  </w:t>
      </w:r>
      <w:bookmarkEnd w:id="44"/>
      <w:bookmarkEnd w:id="49"/>
      <w:r>
        <w:rPr>
          <w:rFonts w:hint="eastAsia" w:ascii="宋体" w:hAnsi="宋体" w:eastAsia="宋体" w:cs="宋体"/>
          <w:b/>
          <w:bCs/>
          <w:color w:val="auto"/>
          <w:sz w:val="32"/>
          <w:szCs w:val="32"/>
          <w:highlight w:val="none"/>
          <w:lang w:val="en-US" w:eastAsia="zh-CN"/>
        </w:rPr>
        <w:t>政府采购合同</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合同格式仅供参考</w:t>
      </w:r>
      <w:r>
        <w:rPr>
          <w:rFonts w:hint="eastAsia" w:ascii="宋体" w:hAnsi="宋体" w:eastAsia="宋体" w:cs="宋体"/>
          <w:b/>
          <w:color w:val="auto"/>
          <w:sz w:val="21"/>
          <w:szCs w:val="21"/>
          <w:highlight w:val="none"/>
          <w:lang w:eastAsia="zh-CN"/>
        </w:rPr>
        <w:t>）</w:t>
      </w:r>
    </w:p>
    <w:p w14:paraId="49F3A8B4">
      <w:pPr>
        <w:keepNext/>
        <w:keepLines/>
        <w:snapToGrid w:val="0"/>
        <w:spacing w:before="312" w:beforeLines="100" w:after="312" w:afterLines="100" w:line="360" w:lineRule="auto"/>
        <w:jc w:val="center"/>
        <w:outlineLvl w:val="1"/>
        <w:rPr>
          <w:rFonts w:hint="eastAsia" w:ascii="宋体" w:hAnsi="宋体" w:eastAsia="宋体" w:cs="宋体"/>
          <w:b/>
          <w:bCs/>
          <w:color w:val="auto"/>
          <w:sz w:val="24"/>
          <w:szCs w:val="24"/>
          <w:highlight w:val="none"/>
        </w:rPr>
      </w:pPr>
      <w:bookmarkStart w:id="50" w:name="_Toc130919120"/>
      <w:bookmarkStart w:id="51" w:name="_Toc9907"/>
      <w:bookmarkStart w:id="52" w:name="_Toc28799376"/>
      <w:bookmarkStart w:id="53" w:name="_Toc560"/>
      <w:r>
        <w:rPr>
          <w:rFonts w:hint="eastAsia" w:ascii="宋体" w:hAnsi="宋体" w:eastAsia="宋体" w:cs="宋体"/>
          <w:b/>
          <w:bCs/>
          <w:color w:val="auto"/>
          <w:sz w:val="24"/>
          <w:szCs w:val="24"/>
          <w:highlight w:val="none"/>
        </w:rPr>
        <w:t>第一节  合同协议书</w:t>
      </w:r>
      <w:bookmarkEnd w:id="50"/>
      <w:bookmarkEnd w:id="51"/>
      <w:bookmarkEnd w:id="52"/>
    </w:p>
    <w:p w14:paraId="627A94B6">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xml:space="preserve">        </w:t>
      </w:r>
    </w:p>
    <w:p w14:paraId="2BDB5258">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xml:space="preserve">        </w:t>
      </w:r>
    </w:p>
    <w:p w14:paraId="773E1BBA">
      <w:pPr>
        <w:spacing w:line="360" w:lineRule="auto"/>
        <w:rPr>
          <w:rFonts w:hint="eastAsia" w:ascii="宋体" w:hAnsi="宋体" w:eastAsia="宋体" w:cs="宋体"/>
          <w:b/>
          <w:color w:val="auto"/>
          <w:kern w:val="2"/>
          <w:sz w:val="24"/>
          <w:szCs w:val="24"/>
          <w:highlight w:val="none"/>
          <w:u w:val="single"/>
        </w:rPr>
      </w:pPr>
    </w:p>
    <w:p w14:paraId="5149405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highlight w:val="none"/>
          <w:u w:val="single"/>
        </w:rPr>
        <w:t>明湖新区道路绿化项目</w:t>
      </w:r>
      <w:r>
        <w:rPr>
          <w:rFonts w:hint="eastAsia" w:ascii="宋体" w:hAnsi="宋体" w:eastAsia="宋体" w:cs="宋体"/>
          <w:color w:val="auto"/>
          <w:sz w:val="24"/>
          <w:szCs w:val="24"/>
          <w:highlight w:val="none"/>
        </w:rPr>
        <w:t>施工及有关事项协商一致，共同达成如下协议：</w:t>
      </w:r>
    </w:p>
    <w:p w14:paraId="1770302E">
      <w:pPr>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一、工程概况</w:t>
      </w:r>
    </w:p>
    <w:p w14:paraId="091FD5E7">
      <w:pPr>
        <w:snapToGrid w:val="0"/>
        <w:spacing w:line="360" w:lineRule="auto"/>
        <w:ind w:firstLine="470" w:firstLineChars="196"/>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 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明湖新区道路绿化项目</w:t>
      </w:r>
      <w:r>
        <w:rPr>
          <w:rFonts w:hint="eastAsia" w:ascii="宋体" w:hAnsi="宋体" w:eastAsia="宋体" w:cs="宋体"/>
          <w:color w:val="auto"/>
          <w:sz w:val="24"/>
          <w:szCs w:val="24"/>
          <w:highlight w:val="none"/>
        </w:rPr>
        <w:t>。</w:t>
      </w:r>
    </w:p>
    <w:p w14:paraId="2421B9FB">
      <w:pPr>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工程地点：</w:t>
      </w:r>
      <w:r>
        <w:rPr>
          <w:rFonts w:hint="eastAsia" w:ascii="宋体" w:hAnsi="宋体" w:eastAsia="宋体" w:cs="宋体"/>
          <w:color w:val="auto"/>
          <w:sz w:val="24"/>
          <w:szCs w:val="24"/>
          <w:highlight w:val="none"/>
          <w:u w:val="single"/>
          <w:lang w:val="en-US" w:eastAsia="zh-CN"/>
        </w:rPr>
        <w:t>滁州市内，采购人指定地点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981073">
      <w:pPr>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工程立项批准文号：</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81FEF58">
      <w:pPr>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资金来源：</w:t>
      </w:r>
      <w:r>
        <w:rPr>
          <w:rFonts w:hint="eastAsia" w:ascii="宋体" w:hAnsi="宋体" w:eastAsia="宋体" w:cs="宋体"/>
          <w:color w:val="auto"/>
          <w:sz w:val="24"/>
          <w:szCs w:val="24"/>
          <w:highlight w:val="none"/>
          <w:u w:val="single"/>
          <w:lang w:val="en-US" w:eastAsia="zh-CN"/>
        </w:rPr>
        <w:t>财政资金</w:t>
      </w:r>
      <w:r>
        <w:rPr>
          <w:rFonts w:hint="eastAsia" w:ascii="宋体" w:hAnsi="宋体" w:eastAsia="宋体" w:cs="宋体"/>
          <w:bCs/>
          <w:color w:val="auto"/>
          <w:sz w:val="24"/>
          <w:szCs w:val="24"/>
          <w:highlight w:val="none"/>
        </w:rPr>
        <w:t>。</w:t>
      </w:r>
    </w:p>
    <w:p w14:paraId="4337CF56">
      <w:pPr>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 工程内容：</w:t>
      </w:r>
      <w:r>
        <w:rPr>
          <w:rFonts w:hint="eastAsia" w:ascii="宋体" w:hAnsi="宋体" w:eastAsia="宋体" w:cs="宋体"/>
          <w:color w:val="auto"/>
          <w:sz w:val="24"/>
          <w:szCs w:val="24"/>
          <w:highlight w:val="none"/>
          <w:u w:val="single"/>
        </w:rPr>
        <w:t xml:space="preserve">以工程量清单内容为准 </w:t>
      </w:r>
      <w:r>
        <w:rPr>
          <w:rFonts w:hint="eastAsia" w:ascii="宋体" w:hAnsi="宋体" w:eastAsia="宋体" w:cs="宋体"/>
          <w:bCs/>
          <w:color w:val="auto"/>
          <w:sz w:val="24"/>
          <w:szCs w:val="24"/>
          <w:highlight w:val="none"/>
        </w:rPr>
        <w:t>。</w:t>
      </w:r>
    </w:p>
    <w:p w14:paraId="2BA699E4">
      <w:pPr>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0068FF65">
      <w:pPr>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 工程承包范围：</w:t>
      </w:r>
    </w:p>
    <w:p w14:paraId="32C3B2CC">
      <w:pPr>
        <w:snapToGrid w:val="0"/>
        <w:spacing w:line="360" w:lineRule="auto"/>
        <w:ind w:firstLine="465" w:firstLineChars="19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lang w:eastAsia="zh-CN"/>
        </w:rPr>
        <w:t>工程量清单载明的施工内容及施工过程中的变更调整内容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3E3F618">
      <w:pPr>
        <w:snapToGrid w:val="0"/>
        <w:spacing w:line="360" w:lineRule="auto"/>
        <w:ind w:firstLine="482" w:firstLineChars="200"/>
        <w:rPr>
          <w:rFonts w:hint="eastAsia" w:ascii="宋体" w:hAnsi="宋体" w:eastAsia="宋体" w:cs="宋体"/>
          <w:b/>
          <w:color w:val="auto"/>
          <w:sz w:val="24"/>
          <w:szCs w:val="24"/>
          <w:highlight w:val="none"/>
        </w:rPr>
      </w:pPr>
      <w:bookmarkStart w:id="54" w:name="_Toc351203482"/>
      <w:r>
        <w:rPr>
          <w:rFonts w:hint="eastAsia" w:ascii="宋体" w:hAnsi="宋体" w:eastAsia="宋体" w:cs="宋体"/>
          <w:b/>
          <w:color w:val="auto"/>
          <w:sz w:val="24"/>
          <w:szCs w:val="24"/>
          <w:highlight w:val="none"/>
        </w:rPr>
        <w:t>二、合同工期</w:t>
      </w:r>
      <w:bookmarkEnd w:id="54"/>
    </w:p>
    <w:p w14:paraId="1920A1E3">
      <w:pPr>
        <w:snapToGrid w:val="0"/>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23F3B845">
      <w:pPr>
        <w:snapToGrid w:val="0"/>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29EB4F48">
      <w:pPr>
        <w:snapToGrid w:val="0"/>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574ED17B">
      <w:pPr>
        <w:snapToGrid w:val="0"/>
        <w:spacing w:line="360" w:lineRule="auto"/>
        <w:ind w:firstLine="482" w:firstLineChars="200"/>
        <w:rPr>
          <w:rFonts w:hint="eastAsia" w:ascii="宋体" w:hAnsi="宋体" w:eastAsia="宋体" w:cs="宋体"/>
          <w:b/>
          <w:color w:val="auto"/>
          <w:sz w:val="24"/>
          <w:szCs w:val="24"/>
          <w:highlight w:val="none"/>
        </w:rPr>
      </w:pPr>
      <w:bookmarkStart w:id="55" w:name="_Toc351203483"/>
      <w:r>
        <w:rPr>
          <w:rFonts w:hint="eastAsia" w:ascii="宋体" w:hAnsi="宋体" w:eastAsia="宋体" w:cs="宋体"/>
          <w:b/>
          <w:color w:val="auto"/>
          <w:sz w:val="24"/>
          <w:szCs w:val="24"/>
          <w:highlight w:val="none"/>
        </w:rPr>
        <w:t>三、质量标准</w:t>
      </w:r>
      <w:bookmarkEnd w:id="55"/>
    </w:p>
    <w:p w14:paraId="56A74A7F">
      <w:pPr>
        <w:snapToGrid w:val="0"/>
        <w:spacing w:line="360" w:lineRule="auto"/>
        <w:ind w:firstLine="459"/>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工程质量必须达到国家工程施工质量验收合格标准；</w:t>
      </w:r>
    </w:p>
    <w:p w14:paraId="4FEA0B68">
      <w:pPr>
        <w:snapToGrid w:val="0"/>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bidi="ar-SA"/>
        </w:rPr>
        <w:t>园林绿化养护质量符合《园林绿化养护标准》(CJJ/T287)中二级标准。</w:t>
      </w:r>
    </w:p>
    <w:p w14:paraId="0C75C531">
      <w:pPr>
        <w:snapToGrid w:val="0"/>
        <w:spacing w:line="360" w:lineRule="auto"/>
        <w:ind w:firstLine="482" w:firstLineChars="200"/>
        <w:rPr>
          <w:rFonts w:hint="eastAsia" w:ascii="宋体" w:hAnsi="宋体" w:eastAsia="宋体" w:cs="宋体"/>
          <w:b/>
          <w:color w:val="auto"/>
          <w:sz w:val="24"/>
          <w:szCs w:val="24"/>
          <w:highlight w:val="none"/>
        </w:rPr>
      </w:pPr>
      <w:bookmarkStart w:id="56" w:name="_Toc351203484"/>
      <w:r>
        <w:rPr>
          <w:rFonts w:hint="eastAsia" w:ascii="宋体" w:hAnsi="宋体" w:eastAsia="宋体" w:cs="宋体"/>
          <w:b/>
          <w:color w:val="auto"/>
          <w:sz w:val="24"/>
          <w:szCs w:val="24"/>
          <w:highlight w:val="none"/>
        </w:rPr>
        <w:t>四、签约合同价与合同价格形式</w:t>
      </w:r>
      <w:bookmarkEnd w:id="56"/>
    </w:p>
    <w:p w14:paraId="211D55B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签约合同价为：</w:t>
      </w:r>
    </w:p>
    <w:p w14:paraId="6FB828E6">
      <w:pPr>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5E0595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6A1C6D5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097C8F65">
      <w:pPr>
        <w:snapToGrid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10434C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274819E3">
      <w:pPr>
        <w:snapToGrid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157C4F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4BCBC090">
      <w:pPr>
        <w:snapToGrid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330170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5E4F4070">
      <w:pPr>
        <w:snapToGrid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884B5E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合同价格形式：</w:t>
      </w:r>
      <w:r>
        <w:rPr>
          <w:rFonts w:hint="eastAsia" w:ascii="宋体" w:hAnsi="宋体" w:eastAsia="宋体" w:cs="宋体"/>
          <w:color w:val="auto"/>
          <w:sz w:val="24"/>
          <w:szCs w:val="24"/>
          <w:highlight w:val="none"/>
          <w:u w:val="single"/>
          <w:lang w:val="en-US" w:eastAsia="zh-CN"/>
        </w:rPr>
        <w:t>单价合同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D108F88">
      <w:pPr>
        <w:snapToGrid w:val="0"/>
        <w:spacing w:line="360" w:lineRule="auto"/>
        <w:ind w:firstLine="482" w:firstLineChars="200"/>
        <w:rPr>
          <w:rFonts w:hint="eastAsia" w:ascii="宋体" w:hAnsi="宋体" w:eastAsia="宋体" w:cs="宋体"/>
          <w:b/>
          <w:color w:val="auto"/>
          <w:sz w:val="24"/>
          <w:szCs w:val="24"/>
          <w:highlight w:val="none"/>
          <w:lang w:val="en-US" w:eastAsia="zh-CN"/>
        </w:rPr>
      </w:pPr>
      <w:bookmarkStart w:id="57" w:name="_Toc351203485"/>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en-US" w:eastAsia="zh-CN"/>
        </w:rPr>
        <w:t>付款方式</w:t>
      </w:r>
    </w:p>
    <w:p w14:paraId="054A05D8">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工程完工初验合格后付至已完成合格工程量的90%；一年养护期满，竣工验收合格且移交后支付结算审计后余款。</w:t>
      </w:r>
    </w:p>
    <w:p w14:paraId="77D9B6F7">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bookmarkEnd w:id="57"/>
      <w:r>
        <w:rPr>
          <w:rFonts w:hint="eastAsia" w:ascii="宋体" w:hAnsi="宋体" w:eastAsia="宋体" w:cs="宋体"/>
          <w:b/>
          <w:color w:val="auto"/>
          <w:sz w:val="24"/>
          <w:szCs w:val="24"/>
          <w:highlight w:val="none"/>
        </w:rPr>
        <w:t>项目经理</w:t>
      </w:r>
    </w:p>
    <w:p w14:paraId="2A709A0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B30C429">
      <w:pPr>
        <w:snapToGrid w:val="0"/>
        <w:spacing w:line="360" w:lineRule="auto"/>
        <w:ind w:firstLine="482" w:firstLineChars="200"/>
        <w:rPr>
          <w:rFonts w:hint="eastAsia" w:ascii="宋体" w:hAnsi="宋体" w:eastAsia="宋体" w:cs="宋体"/>
          <w:b/>
          <w:color w:val="auto"/>
          <w:sz w:val="24"/>
          <w:szCs w:val="24"/>
          <w:highlight w:val="none"/>
        </w:rPr>
      </w:pPr>
      <w:bookmarkStart w:id="58" w:name="_Toc351203486"/>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、合同文件构成</w:t>
      </w:r>
      <w:bookmarkEnd w:id="58"/>
    </w:p>
    <w:p w14:paraId="38F8F550">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6893480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14:paraId="63599AB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14:paraId="68DB866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1C29D6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1D2C80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3286428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06A70FB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5CA2903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3F3604C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82" w:firstLineChars="200"/>
        <w:rPr>
          <w:rFonts w:hint="eastAsia" w:ascii="宋体" w:hAnsi="宋体" w:eastAsia="宋体" w:cs="宋体"/>
          <w:b/>
          <w:color w:val="auto"/>
          <w:sz w:val="24"/>
          <w:szCs w:val="24"/>
          <w:highlight w:val="none"/>
        </w:rPr>
      </w:pPr>
      <w:bookmarkStart w:id="59" w:name="_Toc351203487"/>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、承诺</w:t>
      </w:r>
      <w:bookmarkEnd w:id="59"/>
    </w:p>
    <w:p w14:paraId="3C0684C2">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发包人承诺按照法律规定履行项目审批手续、筹集工程建设资金并按照合同约定的期限和方式支付合同价款。</w:t>
      </w:r>
    </w:p>
    <w:p w14:paraId="32D79DC6">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发包人和承包人通过招投标形式签订合同的，双方理解并承诺不再就同一工程另行签订与合同实质性内容相背离的协议。</w:t>
      </w:r>
    </w:p>
    <w:p w14:paraId="36089B8A">
      <w:pPr>
        <w:snapToGrid w:val="0"/>
        <w:spacing w:line="360" w:lineRule="auto"/>
        <w:ind w:firstLine="482" w:firstLineChars="200"/>
        <w:rPr>
          <w:rFonts w:hint="eastAsia" w:ascii="宋体" w:hAnsi="宋体" w:eastAsia="宋体" w:cs="宋体"/>
          <w:b/>
          <w:color w:val="auto"/>
          <w:sz w:val="24"/>
          <w:szCs w:val="24"/>
          <w:highlight w:val="none"/>
        </w:rPr>
      </w:pPr>
      <w:bookmarkStart w:id="60" w:name="_Toc351203488"/>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、词语含义</w:t>
      </w:r>
      <w:bookmarkEnd w:id="60"/>
    </w:p>
    <w:p w14:paraId="078D4EE0">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4BA85040">
      <w:pPr>
        <w:snapToGrid w:val="0"/>
        <w:spacing w:line="360" w:lineRule="auto"/>
        <w:ind w:firstLine="482" w:firstLineChars="200"/>
        <w:rPr>
          <w:rFonts w:hint="eastAsia" w:ascii="宋体" w:hAnsi="宋体" w:eastAsia="宋体" w:cs="宋体"/>
          <w:b/>
          <w:color w:val="auto"/>
          <w:sz w:val="24"/>
          <w:szCs w:val="24"/>
          <w:highlight w:val="none"/>
        </w:rPr>
      </w:pPr>
      <w:bookmarkStart w:id="61" w:name="_Toc351203489"/>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、签订时间</w:t>
      </w:r>
      <w:bookmarkEnd w:id="61"/>
    </w:p>
    <w:p w14:paraId="1BBA3B29">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1FA9ECD4">
      <w:pPr>
        <w:snapToGrid w:val="0"/>
        <w:spacing w:line="360" w:lineRule="auto"/>
        <w:ind w:firstLine="482" w:firstLineChars="200"/>
        <w:rPr>
          <w:rFonts w:hint="eastAsia" w:ascii="宋体" w:hAnsi="宋体" w:eastAsia="宋体" w:cs="宋体"/>
          <w:b/>
          <w:color w:val="auto"/>
          <w:sz w:val="24"/>
          <w:szCs w:val="24"/>
          <w:highlight w:val="none"/>
        </w:rPr>
      </w:pPr>
      <w:bookmarkStart w:id="62" w:name="_Toc351203490"/>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、签订地点</w:t>
      </w:r>
      <w:bookmarkEnd w:id="62"/>
    </w:p>
    <w:p w14:paraId="78484F9C">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滁州市明湖建设管理服务中心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080D867E">
      <w:pPr>
        <w:snapToGrid w:val="0"/>
        <w:spacing w:line="360" w:lineRule="auto"/>
        <w:ind w:firstLine="482" w:firstLineChars="200"/>
        <w:rPr>
          <w:rFonts w:hint="eastAsia" w:ascii="宋体" w:hAnsi="宋体" w:eastAsia="宋体" w:cs="宋体"/>
          <w:b/>
          <w:color w:val="auto"/>
          <w:sz w:val="24"/>
          <w:szCs w:val="24"/>
          <w:highlight w:val="none"/>
        </w:rPr>
      </w:pPr>
      <w:bookmarkStart w:id="63" w:name="_Toc351203491"/>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、补充协议</w:t>
      </w:r>
      <w:bookmarkEnd w:id="63"/>
    </w:p>
    <w:p w14:paraId="369C62EE">
      <w:pPr>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1D1D0E9C">
      <w:pPr>
        <w:snapToGrid w:val="0"/>
        <w:spacing w:line="360" w:lineRule="auto"/>
        <w:ind w:firstLine="482" w:firstLineChars="200"/>
        <w:rPr>
          <w:rFonts w:hint="eastAsia" w:ascii="宋体" w:hAnsi="宋体" w:eastAsia="宋体" w:cs="宋体"/>
          <w:b/>
          <w:color w:val="auto"/>
          <w:sz w:val="24"/>
          <w:szCs w:val="24"/>
          <w:highlight w:val="none"/>
        </w:rPr>
      </w:pPr>
      <w:bookmarkStart w:id="64" w:name="_Toc351203492"/>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、合同生效</w:t>
      </w:r>
      <w:bookmarkEnd w:id="64"/>
    </w:p>
    <w:p w14:paraId="703C1B82">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双方签字盖章后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6AE152EB">
      <w:pPr>
        <w:snapToGrid w:val="0"/>
        <w:spacing w:line="360" w:lineRule="auto"/>
        <w:ind w:firstLine="482" w:firstLineChars="200"/>
        <w:rPr>
          <w:rFonts w:hint="eastAsia" w:ascii="宋体" w:hAnsi="宋体" w:eastAsia="宋体" w:cs="宋体"/>
          <w:b/>
          <w:color w:val="auto"/>
          <w:sz w:val="24"/>
          <w:szCs w:val="24"/>
          <w:highlight w:val="none"/>
        </w:rPr>
      </w:pPr>
      <w:bookmarkStart w:id="65" w:name="_Toc351203493"/>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、合同份数</w:t>
      </w:r>
      <w:bookmarkEnd w:id="65"/>
    </w:p>
    <w:p w14:paraId="15ACB664">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lang w:val="en-US" w:eastAsia="zh-CN"/>
        </w:rPr>
        <w:t>捌</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lang w:val="en-US" w:eastAsia="zh-CN"/>
        </w:rPr>
        <w:t>肆</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lang w:val="en-US" w:eastAsia="zh-CN"/>
        </w:rPr>
        <w:t>肆</w:t>
      </w:r>
      <w:r>
        <w:rPr>
          <w:rFonts w:hint="eastAsia" w:ascii="宋体" w:hAnsi="宋体" w:eastAsia="宋体" w:cs="宋体"/>
          <w:bCs/>
          <w:color w:val="auto"/>
          <w:sz w:val="24"/>
          <w:szCs w:val="24"/>
          <w:highlight w:val="none"/>
        </w:rPr>
        <w:t>份。</w:t>
      </w:r>
    </w:p>
    <w:p w14:paraId="04D1839C">
      <w:pPr>
        <w:snapToGrid w:val="0"/>
        <w:spacing w:line="360" w:lineRule="auto"/>
        <w:rPr>
          <w:rFonts w:hint="eastAsia" w:ascii="宋体" w:hAnsi="宋体" w:eastAsia="宋体" w:cs="宋体"/>
          <w:bCs/>
          <w:color w:val="auto"/>
          <w:sz w:val="24"/>
          <w:szCs w:val="24"/>
          <w:highlight w:val="none"/>
        </w:rPr>
      </w:pPr>
    </w:p>
    <w:p w14:paraId="54BD6FD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公章）                 承包人：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公章）</w:t>
      </w:r>
    </w:p>
    <w:p w14:paraId="2738047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4592CDD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w:t>
      </w:r>
      <w:r>
        <w:rPr>
          <w:rFonts w:hint="eastAsia" w:ascii="宋体" w:hAnsi="宋体" w:eastAsia="宋体" w:cs="宋体"/>
          <w:color w:val="auto"/>
          <w:sz w:val="24"/>
          <w:szCs w:val="24"/>
          <w:highlight w:val="none"/>
          <w:u w:val="single"/>
        </w:rPr>
        <w:t xml:space="preserve">                   </w:t>
      </w:r>
    </w:p>
    <w:p w14:paraId="292FBE54">
      <w:pPr>
        <w:tabs>
          <w:tab w:val="left" w:pos="441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rPr>
        <w:t xml:space="preserve">        </w:t>
      </w:r>
    </w:p>
    <w:p w14:paraId="1A62067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    </w:t>
      </w:r>
    </w:p>
    <w:p w14:paraId="26192EF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645639F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    </w:t>
      </w:r>
    </w:p>
    <w:p w14:paraId="44F50E9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57183DE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6213C51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w:t>
      </w:r>
    </w:p>
    <w:p w14:paraId="5E7DE15C">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w:t>
      </w:r>
    </w:p>
    <w:p w14:paraId="455CFD0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w:t>
      </w:r>
    </w:p>
    <w:p w14:paraId="2D646DB5">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565EE2B6">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签订日期：                                 签订日期：</w:t>
      </w:r>
      <w:bookmarkStart w:id="66" w:name="_Toc130919121"/>
      <w:bookmarkStart w:id="67" w:name="_Toc28799377"/>
      <w:bookmarkStart w:id="68" w:name="_Toc30550"/>
    </w:p>
    <w:p w14:paraId="36809F65">
      <w:pPr>
        <w:snapToGrid w:val="0"/>
        <w:spacing w:line="360" w:lineRule="auto"/>
        <w:jc w:val="center"/>
        <w:rPr>
          <w:rFonts w:hint="eastAsia" w:ascii="宋体" w:hAnsi="宋体" w:eastAsia="宋体" w:cs="宋体"/>
          <w:color w:val="auto"/>
          <w:sz w:val="24"/>
          <w:szCs w:val="24"/>
          <w:highlight w:val="none"/>
          <w:lang w:val="en-US" w:eastAsia="zh-CN"/>
        </w:rPr>
      </w:pPr>
    </w:p>
    <w:p w14:paraId="0AD2DA25">
      <w:pPr>
        <w:snapToGrid w:val="0"/>
        <w:spacing w:line="360" w:lineRule="auto"/>
        <w:jc w:val="center"/>
        <w:rPr>
          <w:rFonts w:hint="eastAsia" w:ascii="宋体" w:hAnsi="宋体" w:eastAsia="宋体" w:cs="宋体"/>
          <w:color w:val="auto"/>
          <w:sz w:val="24"/>
          <w:szCs w:val="24"/>
          <w:highlight w:val="none"/>
          <w:lang w:val="en-US" w:eastAsia="zh-CN"/>
        </w:rPr>
      </w:pPr>
    </w:p>
    <w:p w14:paraId="6DB01962">
      <w:pPr>
        <w:snapToGrid w:val="0"/>
        <w:spacing w:line="360" w:lineRule="auto"/>
        <w:jc w:val="center"/>
        <w:rPr>
          <w:rFonts w:hint="eastAsia" w:ascii="宋体" w:hAnsi="宋体" w:eastAsia="宋体" w:cs="宋体"/>
          <w:color w:val="auto"/>
          <w:sz w:val="24"/>
          <w:szCs w:val="24"/>
          <w:highlight w:val="none"/>
          <w:lang w:val="en-US" w:eastAsia="zh-CN"/>
        </w:rPr>
      </w:pPr>
    </w:p>
    <w:p w14:paraId="0000C692">
      <w:pPr>
        <w:snapToGrid w:val="0"/>
        <w:spacing w:line="360" w:lineRule="auto"/>
        <w:jc w:val="center"/>
        <w:rPr>
          <w:rFonts w:hint="eastAsia" w:ascii="宋体" w:hAnsi="宋体" w:eastAsia="宋体" w:cs="宋体"/>
          <w:color w:val="auto"/>
          <w:sz w:val="24"/>
          <w:szCs w:val="24"/>
          <w:highlight w:val="none"/>
          <w:lang w:val="en-US" w:eastAsia="zh-CN"/>
        </w:rPr>
      </w:pPr>
    </w:p>
    <w:p w14:paraId="14447156">
      <w:pPr>
        <w:snapToGrid w:val="0"/>
        <w:spacing w:line="360" w:lineRule="auto"/>
        <w:jc w:val="center"/>
        <w:rPr>
          <w:rFonts w:hint="eastAsia" w:ascii="宋体" w:hAnsi="宋体" w:eastAsia="宋体" w:cs="宋体"/>
          <w:color w:val="auto"/>
          <w:sz w:val="24"/>
          <w:szCs w:val="24"/>
          <w:highlight w:val="none"/>
          <w:lang w:val="en-US" w:eastAsia="zh-CN"/>
        </w:rPr>
      </w:pPr>
    </w:p>
    <w:p w14:paraId="47B31FA7">
      <w:pPr>
        <w:snapToGrid w:val="0"/>
        <w:spacing w:line="360" w:lineRule="auto"/>
        <w:jc w:val="center"/>
        <w:rPr>
          <w:rFonts w:hint="eastAsia" w:ascii="宋体" w:hAnsi="宋体" w:eastAsia="宋体" w:cs="宋体"/>
          <w:color w:val="auto"/>
          <w:sz w:val="24"/>
          <w:szCs w:val="24"/>
          <w:highlight w:val="none"/>
          <w:lang w:val="en-US" w:eastAsia="zh-CN"/>
        </w:rPr>
      </w:pPr>
    </w:p>
    <w:p w14:paraId="6DE037CB">
      <w:pPr>
        <w:snapToGrid w:val="0"/>
        <w:spacing w:line="360" w:lineRule="auto"/>
        <w:jc w:val="center"/>
        <w:rPr>
          <w:rFonts w:hint="eastAsia" w:ascii="宋体" w:hAnsi="宋体" w:eastAsia="宋体" w:cs="宋体"/>
          <w:color w:val="auto"/>
          <w:sz w:val="24"/>
          <w:szCs w:val="24"/>
          <w:highlight w:val="none"/>
          <w:lang w:val="en-US" w:eastAsia="zh-CN"/>
        </w:rPr>
      </w:pPr>
    </w:p>
    <w:p w14:paraId="483A1723">
      <w:pPr>
        <w:snapToGrid w:val="0"/>
        <w:spacing w:line="360" w:lineRule="auto"/>
        <w:jc w:val="center"/>
        <w:rPr>
          <w:rFonts w:hint="eastAsia" w:ascii="宋体" w:hAnsi="宋体" w:eastAsia="宋体" w:cs="宋体"/>
          <w:color w:val="auto"/>
          <w:sz w:val="24"/>
          <w:szCs w:val="24"/>
          <w:highlight w:val="none"/>
          <w:lang w:val="en-US" w:eastAsia="zh-CN"/>
        </w:rPr>
      </w:pPr>
    </w:p>
    <w:p w14:paraId="505F4A1C">
      <w:pPr>
        <w:snapToGrid w:val="0"/>
        <w:spacing w:line="360" w:lineRule="auto"/>
        <w:jc w:val="center"/>
        <w:rPr>
          <w:rFonts w:hint="eastAsia" w:ascii="宋体" w:hAnsi="宋体" w:eastAsia="宋体" w:cs="宋体"/>
          <w:color w:val="auto"/>
          <w:sz w:val="24"/>
          <w:szCs w:val="24"/>
          <w:highlight w:val="none"/>
          <w:lang w:val="en-US" w:eastAsia="zh-CN"/>
        </w:rPr>
      </w:pPr>
    </w:p>
    <w:p w14:paraId="4864DFE5">
      <w:pPr>
        <w:snapToGrid w:val="0"/>
        <w:spacing w:line="360" w:lineRule="auto"/>
        <w:jc w:val="center"/>
        <w:rPr>
          <w:rFonts w:hint="eastAsia" w:ascii="宋体" w:hAnsi="宋体" w:eastAsia="宋体" w:cs="宋体"/>
          <w:color w:val="auto"/>
          <w:sz w:val="24"/>
          <w:szCs w:val="24"/>
          <w:highlight w:val="none"/>
          <w:lang w:val="en-US" w:eastAsia="zh-CN"/>
        </w:rPr>
      </w:pPr>
    </w:p>
    <w:p w14:paraId="32BFBD0F">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kern w:val="2"/>
          <w:sz w:val="24"/>
          <w:szCs w:val="24"/>
          <w:highlight w:val="none"/>
        </w:rPr>
        <w:t>第二节  通用合同条款</w:t>
      </w:r>
      <w:bookmarkEnd w:id="66"/>
      <w:bookmarkEnd w:id="67"/>
      <w:bookmarkEnd w:id="68"/>
    </w:p>
    <w:p w14:paraId="16E02626">
      <w:pPr>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br w:type="page"/>
      </w:r>
      <w:bookmarkStart w:id="69" w:name="_Toc28799378"/>
      <w:bookmarkStart w:id="70" w:name="_Toc130919122"/>
      <w:bookmarkStart w:id="71" w:name="_Toc31931"/>
      <w:r>
        <w:rPr>
          <w:rFonts w:hint="eastAsia" w:ascii="宋体" w:hAnsi="宋体" w:eastAsia="宋体" w:cs="宋体"/>
          <w:b/>
          <w:color w:val="auto"/>
          <w:kern w:val="2"/>
          <w:sz w:val="24"/>
          <w:szCs w:val="24"/>
          <w:highlight w:val="none"/>
        </w:rPr>
        <w:t>第三节  专用合同条款</w:t>
      </w:r>
      <w:bookmarkEnd w:id="69"/>
      <w:bookmarkEnd w:id="70"/>
      <w:bookmarkEnd w:id="71"/>
    </w:p>
    <w:p w14:paraId="0971EF87">
      <w:pPr>
        <w:snapToGrid w:val="0"/>
        <w:spacing w:before="312" w:beforeLines="100" w:after="312" w:afterLines="100" w:line="360" w:lineRule="auto"/>
        <w:jc w:val="center"/>
        <w:outlineLvl w:val="2"/>
        <w:rPr>
          <w:rFonts w:hint="eastAsia" w:ascii="宋体" w:hAnsi="宋体" w:eastAsia="宋体" w:cs="宋体"/>
          <w:color w:val="auto"/>
          <w:sz w:val="24"/>
          <w:szCs w:val="24"/>
          <w:highlight w:val="none"/>
        </w:rPr>
      </w:pPr>
      <w:bookmarkStart w:id="72" w:name="_Toc351203633"/>
      <w:r>
        <w:rPr>
          <w:rFonts w:hint="eastAsia" w:ascii="宋体" w:hAnsi="宋体" w:eastAsia="宋体" w:cs="宋体"/>
          <w:color w:val="auto"/>
          <w:sz w:val="24"/>
          <w:szCs w:val="24"/>
          <w:highlight w:val="none"/>
        </w:rPr>
        <w:t>专用合同条款数据表</w:t>
      </w:r>
    </w:p>
    <w:p w14:paraId="7A3B92A1">
      <w:pPr>
        <w:pStyle w:val="11"/>
        <w:snapToGrid w:val="0"/>
        <w:spacing w:line="360" w:lineRule="auto"/>
        <w:ind w:left="40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说明：本数据表是项目专用合同条款中适用于本招标项目的信息和数据的归纳与提示，是项目专用合同条款的组成部分。</w:t>
      </w:r>
    </w:p>
    <w:tbl>
      <w:tblPr>
        <w:tblStyle w:val="29"/>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B896912">
            <w:pPr>
              <w:snapToGrid w:val="0"/>
              <w:spacing w:before="100" w:beforeAutospacing="1" w:line="360" w:lineRule="auto"/>
              <w:ind w:left="-105" w:leftChars="-50" w:right="-105" w:rightChars="-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111" w:type="dxa"/>
            <w:vAlign w:val="center"/>
          </w:tcPr>
          <w:p w14:paraId="06E05C8A">
            <w:pPr>
              <w:snapToGrid w:val="0"/>
              <w:spacing w:line="360" w:lineRule="auto"/>
              <w:ind w:left="-105" w:leftChars="-50" w:right="-105" w:rightChars="-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条目号</w:t>
            </w:r>
          </w:p>
        </w:tc>
        <w:tc>
          <w:tcPr>
            <w:tcW w:w="7304" w:type="dxa"/>
            <w:vAlign w:val="center"/>
          </w:tcPr>
          <w:p w14:paraId="15E9E63D">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信息或数据</w:t>
            </w:r>
          </w:p>
        </w:tc>
      </w:tr>
      <w:tr w14:paraId="5633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635C3075">
            <w:pPr>
              <w:snapToGrid w:val="0"/>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1.13</w:t>
            </w:r>
          </w:p>
        </w:tc>
        <w:tc>
          <w:tcPr>
            <w:tcW w:w="7304" w:type="dxa"/>
            <w:vAlign w:val="center"/>
          </w:tcPr>
          <w:p w14:paraId="404AD1B4">
            <w:pPr>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工程量清单错误的修正</w:t>
            </w:r>
            <w:r>
              <w:rPr>
                <w:rFonts w:hint="eastAsia" w:ascii="宋体" w:hAnsi="宋体" w:eastAsia="宋体" w:cs="宋体"/>
                <w:bCs/>
                <w:color w:val="auto"/>
                <w:sz w:val="24"/>
                <w:szCs w:val="24"/>
                <w:highlight w:val="none"/>
                <w:lang w:eastAsia="zh-CN"/>
              </w:rPr>
              <w:t>：</w:t>
            </w:r>
          </w:p>
          <w:p w14:paraId="3F220213">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出现工程量清单错误时，是否调整合同价格：按国家、省、市相关文件规定  </w:t>
            </w:r>
          </w:p>
          <w:p w14:paraId="54CCEF54">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允许调整合同价格的工程量偏差范围：工程量按实计量，结算工程量减少0-100%或增加15%以内部分，执行中标单价；超出15％以外部分的，若中标综合单价高于（最高投标限价中综合单价×投标让利幅度）时，按（最高投标限价中综合单价×投标让利幅度）计算；若中标综合单价低于（最高投标限价中综合单价×投标让利幅度）时，执行中标单价(组价明显错误的予以纠正) 。新增项目单价按照最高投标限价的编制原则重新组价乘以中标价/最高投标限价，重新组价价格最终以审计部门审核结算价为准。</w:t>
            </w:r>
          </w:p>
          <w:p w14:paraId="542D9EFA">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注：投标让利幅度为中标价/最高投标限价，其中中标价和最高投标限价均扣除暂定金额、暂估价。</w:t>
            </w:r>
          </w:p>
          <w:p w14:paraId="1CB1226C">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措施费调整：由于承包人改变施工技术措施，造成的价格变动，措施费不予调整。因发包人要求或工程量的增减必须改变原来施工技术措施，造成价格变动的，应扣减相应的原施工技术措施费后，按新增项目组价方式，进行措施费调整。由于分部分项清单工程量增减导致措施费用变化的，按实调整。</w:t>
            </w:r>
          </w:p>
          <w:p w14:paraId="0D4ABFE1">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组织措施费调整：由于分部分项清单工程量增减导致措施费用变化的，按实调整。</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1D4EBCE">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1F9112B4">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w:t>
            </w:r>
          </w:p>
        </w:tc>
        <w:tc>
          <w:tcPr>
            <w:tcW w:w="7304" w:type="dxa"/>
            <w:vAlign w:val="center"/>
          </w:tcPr>
          <w:p w14:paraId="1012FD7F">
            <w:pPr>
              <w:keepNext w:val="0"/>
              <w:keepLines w:val="0"/>
              <w:suppressLineNumbers w:val="0"/>
              <w:snapToGrid w:val="0"/>
              <w:spacing w:before="0" w:beforeAutospacing="0" w:after="0" w:afterAutospacing="0" w:line="360" w:lineRule="auto"/>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发包人提供资金来源证明的期限要求：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财政资金，不需提供</w:t>
            </w:r>
            <w:r>
              <w:rPr>
                <w:rFonts w:hint="eastAsia" w:ascii="宋体" w:hAnsi="宋体" w:eastAsia="宋体" w:cs="宋体"/>
                <w:bCs/>
                <w:color w:val="auto"/>
                <w:sz w:val="24"/>
                <w:szCs w:val="24"/>
                <w:highlight w:val="none"/>
                <w:u w:val="single"/>
              </w:rPr>
              <w:t xml:space="preserve">  </w:t>
            </w:r>
          </w:p>
          <w:p w14:paraId="77C60AF3">
            <w:pPr>
              <w:keepNext w:val="0"/>
              <w:keepLines w:val="0"/>
              <w:suppressLineNumbers w:val="0"/>
              <w:snapToGrid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发包人是否提供支付担保：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财政资金，不需提供</w:t>
            </w:r>
            <w:r>
              <w:rPr>
                <w:rFonts w:hint="eastAsia" w:ascii="宋体" w:hAnsi="宋体" w:eastAsia="宋体" w:cs="宋体"/>
                <w:bCs/>
                <w:color w:val="auto"/>
                <w:sz w:val="24"/>
                <w:szCs w:val="24"/>
                <w:highlight w:val="none"/>
                <w:u w:val="single"/>
              </w:rPr>
              <w:t xml:space="preserve"> </w:t>
            </w:r>
          </w:p>
          <w:p w14:paraId="03B7943F">
            <w:pPr>
              <w:snapToGrid w:val="0"/>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发包人提供支付担保的形式：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财政资金，不需提供</w:t>
            </w:r>
            <w:r>
              <w:rPr>
                <w:rFonts w:hint="eastAsia" w:ascii="宋体" w:hAnsi="宋体" w:eastAsia="宋体" w:cs="宋体"/>
                <w:bCs/>
                <w:color w:val="auto"/>
                <w:sz w:val="24"/>
                <w:szCs w:val="24"/>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12B9E805">
            <w:pPr>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3.2.1</w:t>
            </w:r>
          </w:p>
        </w:tc>
        <w:tc>
          <w:tcPr>
            <w:tcW w:w="7304" w:type="dxa"/>
            <w:vAlign w:val="center"/>
          </w:tcPr>
          <w:p w14:paraId="475D6D37">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项目经理</w:t>
            </w:r>
          </w:p>
          <w:p w14:paraId="44A2022C">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r>
              <w:rPr>
                <w:rFonts w:hint="eastAsia" w:ascii="宋体" w:hAnsi="宋体" w:eastAsia="宋体" w:cs="宋体"/>
                <w:bCs/>
                <w:color w:val="auto"/>
                <w:sz w:val="24"/>
                <w:szCs w:val="24"/>
                <w:highlight w:val="none"/>
                <w:u w:val="single"/>
              </w:rPr>
              <w:t xml:space="preserve">          </w:t>
            </w:r>
          </w:p>
          <w:p w14:paraId="36EFB139">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身份证号：</w:t>
            </w:r>
            <w:r>
              <w:rPr>
                <w:rFonts w:hint="eastAsia" w:ascii="宋体" w:hAnsi="宋体" w:eastAsia="宋体" w:cs="宋体"/>
                <w:bCs/>
                <w:color w:val="auto"/>
                <w:sz w:val="24"/>
                <w:szCs w:val="24"/>
                <w:highlight w:val="none"/>
                <w:u w:val="single"/>
              </w:rPr>
              <w:t xml:space="preserve">          </w:t>
            </w:r>
          </w:p>
          <w:p w14:paraId="4F991DB0">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建造师执业资格等级：</w:t>
            </w:r>
            <w:r>
              <w:rPr>
                <w:rFonts w:hint="eastAsia" w:ascii="宋体" w:hAnsi="宋体" w:eastAsia="宋体" w:cs="宋体"/>
                <w:bCs/>
                <w:color w:val="auto"/>
                <w:sz w:val="24"/>
                <w:szCs w:val="24"/>
                <w:highlight w:val="none"/>
                <w:u w:val="single"/>
              </w:rPr>
              <w:t xml:space="preserve">          </w:t>
            </w:r>
          </w:p>
          <w:p w14:paraId="77CE71F5">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建造师注册证书号：</w:t>
            </w:r>
            <w:r>
              <w:rPr>
                <w:rFonts w:hint="eastAsia" w:ascii="宋体" w:hAnsi="宋体" w:eastAsia="宋体" w:cs="宋体"/>
                <w:bCs/>
                <w:color w:val="auto"/>
                <w:sz w:val="24"/>
                <w:szCs w:val="24"/>
                <w:highlight w:val="none"/>
                <w:u w:val="single"/>
              </w:rPr>
              <w:t xml:space="preserve">            </w:t>
            </w:r>
          </w:p>
          <w:p w14:paraId="29766E2E">
            <w:pPr>
              <w:snapToGrid w:val="0"/>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承包人对项目经理的授权范围如下：</w:t>
            </w:r>
            <w:r>
              <w:rPr>
                <w:rFonts w:hint="eastAsia" w:ascii="宋体" w:hAnsi="宋体" w:eastAsia="宋体" w:cs="宋体"/>
                <w:bCs/>
                <w:color w:val="auto"/>
                <w:sz w:val="24"/>
                <w:szCs w:val="24"/>
                <w:highlight w:val="none"/>
                <w:u w:val="single"/>
              </w:rPr>
              <w:t xml:space="preserve">            </w:t>
            </w:r>
          </w:p>
          <w:p w14:paraId="04541F85">
            <w:pPr>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承包人项目经理每月在施工现场的时间：驻场时间每月不少于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天，每天在岗工作时间不得少于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5FE07B15">
            <w:pPr>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3.7</w:t>
            </w:r>
          </w:p>
        </w:tc>
        <w:tc>
          <w:tcPr>
            <w:tcW w:w="7304" w:type="dxa"/>
            <w:vAlign w:val="center"/>
          </w:tcPr>
          <w:p w14:paraId="0DE36AE4">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承包人是否提供履约保证金：</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否</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670FF49">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承包人提供履约保证金的形式：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7E6BD334">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履约保证金的金额：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7541A5D">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履约保证金提交期限的要求：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497622F6">
            <w:pPr>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履约保证金退还时限：</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4"/>
              </w:numPr>
              <w:snapToGrid w:val="0"/>
              <w:spacing w:line="360" w:lineRule="auto"/>
              <w:jc w:val="center"/>
              <w:rPr>
                <w:rFonts w:hint="eastAsia" w:ascii="宋体" w:hAnsi="宋体" w:eastAsia="宋体" w:cs="宋体"/>
                <w:bCs/>
                <w:color w:val="auto"/>
                <w:sz w:val="24"/>
                <w:szCs w:val="24"/>
                <w:highlight w:val="none"/>
              </w:rPr>
            </w:pPr>
          </w:p>
        </w:tc>
        <w:tc>
          <w:tcPr>
            <w:tcW w:w="1111" w:type="dxa"/>
            <w:vAlign w:val="center"/>
          </w:tcPr>
          <w:p w14:paraId="1BCF6EDF">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5.1.1</w:t>
            </w:r>
          </w:p>
        </w:tc>
        <w:tc>
          <w:tcPr>
            <w:tcW w:w="7304" w:type="dxa"/>
            <w:vAlign w:val="center"/>
          </w:tcPr>
          <w:p w14:paraId="5C0F339D">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5.1.1 特殊质量标准和要求：</w:t>
            </w:r>
            <w:r>
              <w:rPr>
                <w:rFonts w:hint="eastAsia" w:ascii="宋体" w:hAnsi="宋体" w:eastAsia="宋体" w:cs="宋体"/>
                <w:b w:val="0"/>
                <w:bCs/>
                <w:color w:val="auto"/>
                <w:sz w:val="24"/>
                <w:szCs w:val="24"/>
                <w:highlight w:val="none"/>
                <w:lang w:val="en-US" w:eastAsia="zh-CN" w:bidi="ar-SA"/>
              </w:rPr>
              <w:t>工程质量必须达到国家工程施工质量验收合格标准；园林绿化养护质量符合《园林绿化养护标准》(CJJ/T287)中二级标准。</w:t>
            </w:r>
          </w:p>
          <w:p w14:paraId="1D29CB07">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关于工程奖项的约定：</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0227072B">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关于建造要求：</w:t>
            </w:r>
          </w:p>
          <w:p w14:paraId="42F846BA">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（1）绿色建筑等级要求：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57D0AF9">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（2）智慧工地管理要求：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6D37B22E">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（3）建筑垃圾减量化目标：</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090B6EA0">
            <w:pPr>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（4）装配式建筑装配率要求：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eastAsia="zh-CN"/>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0049A585">
            <w:pPr>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7.5.2</w:t>
            </w:r>
          </w:p>
        </w:tc>
        <w:tc>
          <w:tcPr>
            <w:tcW w:w="7304" w:type="dxa"/>
            <w:tcBorders>
              <w:bottom w:val="single" w:color="auto" w:sz="4" w:space="0"/>
            </w:tcBorders>
            <w:vAlign w:val="center"/>
          </w:tcPr>
          <w:p w14:paraId="6A47EE31">
            <w:pPr>
              <w:keepNext w:val="0"/>
              <w:keepLines w:val="0"/>
              <w:suppressLineNumbers w:val="0"/>
              <w:snapToGrid w:val="0"/>
              <w:spacing w:before="0" w:beforeAutospacing="0" w:after="0" w:afterAutospacing="0" w:line="360" w:lineRule="auto"/>
              <w:ind w:left="0" w:right="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因承包人原因造成工期延误，逾期竣工违约金的计算方法为：</w:t>
            </w:r>
            <w:r>
              <w:rPr>
                <w:rFonts w:hint="eastAsia" w:ascii="宋体" w:hAnsi="宋体" w:eastAsia="宋体" w:cs="宋体"/>
                <w:color w:val="auto"/>
                <w:sz w:val="24"/>
                <w:szCs w:val="24"/>
                <w:highlight w:val="none"/>
                <w:u w:val="single"/>
                <w:shd w:val="clear" w:color="auto" w:fill="auto"/>
                <w:lang w:val="en-US" w:eastAsia="zh-CN"/>
              </w:rPr>
              <w:t>每推迟一天，按合同价款（扣除暂估价和暂列金）万分之二处以违约金；</w:t>
            </w:r>
          </w:p>
          <w:p w14:paraId="12E39C25">
            <w:pPr>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因承包人原因造成工期延误，逾期竣工违约金的上限：</w:t>
            </w:r>
            <w:r>
              <w:rPr>
                <w:rFonts w:hint="eastAsia" w:ascii="宋体" w:hAnsi="宋体" w:eastAsia="宋体" w:cs="宋体"/>
                <w:bCs/>
                <w:color w:val="auto"/>
                <w:kern w:val="2"/>
                <w:sz w:val="24"/>
                <w:szCs w:val="24"/>
                <w:highlight w:val="none"/>
                <w:u w:val="single"/>
                <w:lang w:val="en-US" w:eastAsia="zh-CN"/>
              </w:rPr>
              <w:t>合同价的2%</w:t>
            </w:r>
            <w:r>
              <w:rPr>
                <w:rFonts w:hint="eastAsia" w:ascii="宋体" w:hAnsi="宋体" w:eastAsia="宋体" w:cs="宋体"/>
                <w:bCs/>
                <w:color w:val="auto"/>
                <w:kern w:val="2"/>
                <w:sz w:val="24"/>
                <w:szCs w:val="24"/>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2E6D1CF5">
            <w:pPr>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7.9.2</w:t>
            </w:r>
          </w:p>
        </w:tc>
        <w:tc>
          <w:tcPr>
            <w:tcW w:w="7304" w:type="dxa"/>
            <w:tcBorders>
              <w:bottom w:val="single" w:color="auto" w:sz="4" w:space="0"/>
            </w:tcBorders>
            <w:vAlign w:val="center"/>
          </w:tcPr>
          <w:p w14:paraId="21553DC4">
            <w:pPr>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color w:val="auto"/>
                <w:sz w:val="24"/>
                <w:szCs w:val="24"/>
                <w:highlight w:val="none"/>
              </w:rPr>
              <w:t>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4D7B3E14">
            <w:pPr>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11.1</w:t>
            </w:r>
          </w:p>
        </w:tc>
        <w:tc>
          <w:tcPr>
            <w:tcW w:w="7304" w:type="dxa"/>
            <w:tcBorders>
              <w:bottom w:val="single" w:color="auto" w:sz="4" w:space="0"/>
            </w:tcBorders>
            <w:vAlign w:val="center"/>
          </w:tcPr>
          <w:p w14:paraId="1B3A1E9E">
            <w:pPr>
              <w:pStyle w:val="18"/>
              <w:tabs>
                <w:tab w:val="clear" w:pos="4153"/>
                <w:tab w:val="clear" w:pos="8306"/>
              </w:tabs>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市场价格波动是否调整合同价格的约定：</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不调整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4"/>
              </w:numPr>
              <w:snapToGrid w:val="0"/>
              <w:spacing w:line="360" w:lineRule="auto"/>
              <w:jc w:val="center"/>
              <w:rPr>
                <w:rFonts w:hint="eastAsia" w:ascii="宋体" w:hAnsi="宋体" w:eastAsia="宋体" w:cs="宋体"/>
                <w:bCs/>
                <w:color w:val="auto"/>
                <w:sz w:val="24"/>
                <w:szCs w:val="24"/>
                <w:highlight w:val="none"/>
              </w:rPr>
            </w:pPr>
          </w:p>
        </w:tc>
        <w:tc>
          <w:tcPr>
            <w:tcW w:w="1111" w:type="dxa"/>
            <w:vAlign w:val="center"/>
          </w:tcPr>
          <w:p w14:paraId="06DF4587">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w:t>
            </w:r>
          </w:p>
        </w:tc>
        <w:tc>
          <w:tcPr>
            <w:tcW w:w="7304" w:type="dxa"/>
            <w:tcBorders>
              <w:bottom w:val="single" w:color="auto" w:sz="4" w:space="0"/>
            </w:tcBorders>
            <w:vAlign w:val="center"/>
          </w:tcPr>
          <w:p w14:paraId="392C4112">
            <w:pPr>
              <w:pStyle w:val="18"/>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合同价格形式</w:t>
            </w:r>
          </w:p>
          <w:p w14:paraId="4AF89F39">
            <w:pPr>
              <w:pStyle w:val="18"/>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(1)单价合同。</w:t>
            </w:r>
          </w:p>
          <w:p w14:paraId="3DC9B560">
            <w:pPr>
              <w:pStyle w:val="18"/>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综合单价包含的风险范围：</w:t>
            </w:r>
            <w:r>
              <w:rPr>
                <w:rFonts w:hint="eastAsia" w:ascii="宋体" w:hAnsi="宋体" w:eastAsia="宋体" w:cs="宋体"/>
                <w:color w:val="auto"/>
                <w:sz w:val="24"/>
                <w:szCs w:val="24"/>
                <w:highlight w:val="none"/>
                <w:u w:val="single"/>
                <w:lang w:val="en-US" w:eastAsia="zh-CN"/>
              </w:rPr>
              <w:t>各种因素引起的不属于本合同调价范围的市场材料价格、人工、机械使用费以及管理费、利润的变化等</w:t>
            </w:r>
            <w:r>
              <w:rPr>
                <w:rFonts w:hint="eastAsia" w:ascii="宋体" w:hAnsi="宋体" w:eastAsia="宋体" w:cs="宋体"/>
                <w:bCs/>
                <w:color w:val="auto"/>
                <w:sz w:val="24"/>
                <w:szCs w:val="24"/>
                <w:highlight w:val="none"/>
                <w:u w:val="single"/>
              </w:rPr>
              <w:t>。</w:t>
            </w:r>
          </w:p>
          <w:p w14:paraId="31619DC3">
            <w:pPr>
              <w:pStyle w:val="18"/>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风险费用的计算方法：</w:t>
            </w:r>
            <w:r>
              <w:rPr>
                <w:rFonts w:hint="eastAsia" w:ascii="宋体" w:hAnsi="宋体" w:eastAsia="宋体" w:cs="宋体"/>
                <w:bCs/>
                <w:color w:val="auto"/>
                <w:sz w:val="24"/>
                <w:szCs w:val="24"/>
                <w:highlight w:val="none"/>
                <w:u w:val="single"/>
              </w:rPr>
              <w:t>不考虑</w:t>
            </w:r>
            <w:r>
              <w:rPr>
                <w:rFonts w:hint="eastAsia" w:ascii="宋体" w:hAnsi="宋体" w:eastAsia="宋体" w:cs="宋体"/>
                <w:bCs/>
                <w:color w:val="auto"/>
                <w:sz w:val="24"/>
                <w:szCs w:val="24"/>
                <w:highlight w:val="none"/>
              </w:rPr>
              <w:t>。</w:t>
            </w:r>
          </w:p>
          <w:p w14:paraId="6A1F3097">
            <w:pPr>
              <w:pStyle w:val="18"/>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风险范围以外合同价格的调整方法：</w:t>
            </w:r>
            <w:r>
              <w:rPr>
                <w:rFonts w:hint="eastAsia" w:ascii="宋体" w:hAnsi="宋体" w:eastAsia="宋体" w:cs="宋体"/>
                <w:bCs/>
                <w:color w:val="auto"/>
                <w:sz w:val="24"/>
                <w:szCs w:val="24"/>
                <w:highlight w:val="none"/>
                <w:u w:val="single"/>
              </w:rPr>
              <w:t>结算价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合同价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工程变更造价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分部分项工程量清单工程量误差造价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政策性调整造价±措施项目调整造价－暂列金额</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1.09</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合理工程索赔 </w:t>
            </w:r>
            <w:r>
              <w:rPr>
                <w:rFonts w:hint="eastAsia" w:ascii="宋体" w:hAnsi="宋体" w:eastAsia="宋体" w:cs="宋体"/>
                <w:bCs/>
                <w:color w:val="auto"/>
                <w:sz w:val="24"/>
                <w:szCs w:val="24"/>
                <w:highlight w:val="none"/>
              </w:rPr>
              <w:t>。</w:t>
            </w:r>
          </w:p>
          <w:p w14:paraId="7F1092AF">
            <w:pPr>
              <w:pStyle w:val="18"/>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国家法律、法规、规章和政策发生变化及由政府定价或政府指导价管理的原材料等价格风险由发包人承担。</w:t>
            </w:r>
          </w:p>
          <w:p w14:paraId="11F87078">
            <w:pPr>
              <w:pStyle w:val="18"/>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(2)总价合同。</w:t>
            </w:r>
          </w:p>
          <w:p w14:paraId="1F0CFE83">
            <w:pPr>
              <w:pStyle w:val="18"/>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总价包含的风险范围：</w:t>
            </w:r>
            <w:r>
              <w:rPr>
                <w:rFonts w:hint="eastAsia" w:ascii="宋体" w:hAnsi="宋体" w:eastAsia="宋体" w:cs="宋体"/>
                <w:bCs/>
                <w:color w:val="auto"/>
                <w:sz w:val="24"/>
                <w:szCs w:val="24"/>
                <w:highlight w:val="none"/>
                <w:u w:val="single"/>
                <w:lang w:val="en-US" w:eastAsia="zh-CN"/>
              </w:rPr>
              <w:t>/。</w:t>
            </w:r>
          </w:p>
          <w:p w14:paraId="4C07C789">
            <w:pPr>
              <w:pStyle w:val="18"/>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风险费用的计算方法：</w:t>
            </w:r>
            <w:r>
              <w:rPr>
                <w:rFonts w:hint="eastAsia" w:ascii="宋体" w:hAnsi="宋体" w:eastAsia="宋体" w:cs="宋体"/>
                <w:bCs/>
                <w:color w:val="auto"/>
                <w:sz w:val="24"/>
                <w:szCs w:val="24"/>
                <w:highlight w:val="none"/>
                <w:u w:val="single"/>
              </w:rPr>
              <w:t xml:space="preserve">不考虑 </w:t>
            </w:r>
            <w:r>
              <w:rPr>
                <w:rFonts w:hint="eastAsia" w:ascii="宋体" w:hAnsi="宋体" w:eastAsia="宋体" w:cs="宋体"/>
                <w:bCs/>
                <w:color w:val="auto"/>
                <w:sz w:val="24"/>
                <w:szCs w:val="24"/>
                <w:highlight w:val="none"/>
              </w:rPr>
              <w:t>。</w:t>
            </w:r>
          </w:p>
          <w:p w14:paraId="1B7E0379">
            <w:pPr>
              <w:pStyle w:val="18"/>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风险范围以外合同价格的调整方法：</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2F6AFF3D">
            <w:pPr>
              <w:pStyle w:val="18"/>
              <w:tabs>
                <w:tab w:val="clear" w:pos="4153"/>
                <w:tab w:val="clear" w:pos="8306"/>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（3）其他价格方式：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79585596">
            <w:pPr>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 xml:space="preserve">12.2.1 </w:t>
            </w:r>
          </w:p>
        </w:tc>
        <w:tc>
          <w:tcPr>
            <w:tcW w:w="7304" w:type="dxa"/>
            <w:tcBorders>
              <w:bottom w:val="single" w:color="auto" w:sz="4" w:space="0"/>
            </w:tcBorders>
            <w:vAlign w:val="center"/>
          </w:tcPr>
          <w:p w14:paraId="596FF81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预付款的支付</w:t>
            </w:r>
          </w:p>
          <w:p w14:paraId="7C547DF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预付款支付比例或金额：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74C9B04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预付款支付期限：</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50C85867">
            <w:pPr>
              <w:adjustRightInd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预付款扣回的方式：</w:t>
            </w:r>
            <w:r>
              <w:rPr>
                <w:rFonts w:hint="eastAsia" w:ascii="宋体" w:hAnsi="宋体" w:eastAsia="宋体" w:cs="宋体"/>
                <w:bCs/>
                <w:color w:val="auto"/>
                <w:sz w:val="24"/>
                <w:szCs w:val="24"/>
                <w:highlight w:val="none"/>
                <w:u w:val="single"/>
                <w:lang w:val="en-US" w:eastAsia="zh-CN"/>
              </w:rPr>
              <w:t>/</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1C27AF3A">
            <w:pPr>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12.2.2</w:t>
            </w:r>
          </w:p>
        </w:tc>
        <w:tc>
          <w:tcPr>
            <w:tcW w:w="7304" w:type="dxa"/>
            <w:tcBorders>
              <w:bottom w:val="single" w:color="auto" w:sz="4" w:space="0"/>
            </w:tcBorders>
            <w:vAlign w:val="center"/>
          </w:tcPr>
          <w:p w14:paraId="31625DD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预付款担保</w:t>
            </w:r>
          </w:p>
          <w:p w14:paraId="32DF92E5">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承包人提交预付款担保的期限：</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1DF866BA">
            <w:pPr>
              <w:adjustRightInd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预付款担保的形式为：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42BB10B7">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12.4.1</w:t>
            </w:r>
          </w:p>
        </w:tc>
        <w:tc>
          <w:tcPr>
            <w:tcW w:w="7304" w:type="dxa"/>
            <w:tcBorders>
              <w:bottom w:val="single" w:color="auto" w:sz="4" w:space="0"/>
            </w:tcBorders>
            <w:vAlign w:val="center"/>
          </w:tcPr>
          <w:p w14:paraId="4FA26CCC">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付款周期</w:t>
            </w:r>
          </w:p>
          <w:p w14:paraId="45C9B61D">
            <w:pPr>
              <w:adjustRightInd w:val="0"/>
              <w:snapToGrid w:val="0"/>
              <w:spacing w:line="360" w:lineRule="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关于付款周期的约定：</w:t>
            </w:r>
            <w:r>
              <w:rPr>
                <w:rFonts w:hint="eastAsia" w:ascii="宋体" w:hAnsi="宋体" w:eastAsia="宋体" w:cs="宋体"/>
                <w:bCs/>
                <w:color w:val="auto"/>
                <w:sz w:val="24"/>
                <w:szCs w:val="24"/>
                <w:highlight w:val="none"/>
                <w:u w:val="single"/>
                <w:lang w:eastAsia="zh-CN"/>
              </w:rPr>
              <w:t>工程完工初验合格后付至已完成合格工程量的90%；一年养护期满，竣工验收合格且移交后支付结算审计后余款。</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6A9BDD6D">
            <w:pPr>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15.2.1</w:t>
            </w:r>
          </w:p>
        </w:tc>
        <w:tc>
          <w:tcPr>
            <w:tcW w:w="7304" w:type="dxa"/>
            <w:vAlign w:val="center"/>
          </w:tcPr>
          <w:p w14:paraId="60DAD093">
            <w:pPr>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缺陷责任期（养护期）的具体期限： </w:t>
            </w:r>
            <w:r>
              <w:rPr>
                <w:rFonts w:hint="eastAsia" w:ascii="宋体" w:hAnsi="宋体" w:eastAsia="宋体" w:cs="宋体"/>
                <w:bCs/>
                <w:color w:val="auto"/>
                <w:kern w:val="2"/>
                <w:sz w:val="24"/>
                <w:szCs w:val="24"/>
                <w:highlight w:val="none"/>
                <w:u w:val="single"/>
              </w:rPr>
              <w:t xml:space="preserve">12个月 </w:t>
            </w:r>
            <w:r>
              <w:rPr>
                <w:rFonts w:hint="eastAsia" w:ascii="宋体" w:hAnsi="宋体" w:eastAsia="宋体" w:cs="宋体"/>
                <w:bCs/>
                <w:color w:val="auto"/>
                <w:kern w:val="2"/>
                <w:sz w:val="24"/>
                <w:szCs w:val="24"/>
                <w:highlight w:val="none"/>
              </w:rPr>
              <w:t xml:space="preserve"> ，从工程竣工验收合格后进入养护期，如承包人原因导致养护期超期由承包人负责；养护期内绿植死亡应及时补种，成活率和保存率应达到100%，如经发包人同意后不补种应扣除相关费用。</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0"/>
                <w:numId w:val="4"/>
              </w:numPr>
              <w:snapToGrid w:val="0"/>
              <w:spacing w:line="360" w:lineRule="auto"/>
              <w:jc w:val="center"/>
              <w:rPr>
                <w:rFonts w:hint="eastAsia" w:ascii="宋体" w:hAnsi="宋体" w:eastAsia="宋体" w:cs="宋体"/>
                <w:bCs/>
                <w:color w:val="auto"/>
                <w:kern w:val="2"/>
                <w:sz w:val="24"/>
                <w:szCs w:val="24"/>
                <w:highlight w:val="none"/>
              </w:rPr>
            </w:pPr>
          </w:p>
        </w:tc>
        <w:tc>
          <w:tcPr>
            <w:tcW w:w="1111" w:type="dxa"/>
            <w:vAlign w:val="center"/>
          </w:tcPr>
          <w:p w14:paraId="43399004">
            <w:pPr>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15.3.1</w:t>
            </w:r>
          </w:p>
        </w:tc>
        <w:tc>
          <w:tcPr>
            <w:tcW w:w="7304" w:type="dxa"/>
            <w:vAlign w:val="center"/>
          </w:tcPr>
          <w:p w14:paraId="550CAAA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质量保证金可采用以下任意一种方式：</w:t>
            </w:r>
          </w:p>
          <w:p w14:paraId="06CD5EB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（1）由银行业金融机构、工程担保公司、保险机构出具银行保函、工程质量保险等担保方式，担保/保证金额为：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5F81EFF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5A880F90">
            <w:pPr>
              <w:adjustRightInd w:val="0"/>
              <w:snapToGrid w:val="0"/>
              <w:spacing w:line="360" w:lineRule="auto"/>
              <w:rPr>
                <w:rFonts w:hint="eastAsia" w:ascii="宋体" w:hAnsi="宋体" w:eastAsia="宋体" w:cs="宋体"/>
                <w:bCs w:val="0"/>
                <w:color w:val="auto"/>
                <w:kern w:val="2"/>
                <w:sz w:val="24"/>
                <w:szCs w:val="24"/>
                <w:highlight w:val="none"/>
              </w:rPr>
            </w:pPr>
            <w:r>
              <w:rPr>
                <w:rFonts w:hint="eastAsia" w:ascii="宋体" w:hAnsi="宋体" w:eastAsia="宋体" w:cs="宋体"/>
                <w:color w:val="auto"/>
                <w:sz w:val="24"/>
                <w:szCs w:val="24"/>
                <w:highlight w:val="none"/>
              </w:rPr>
              <w:t>（3）其他方式：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shd w:val="clear" w:color="auto" w:fill="auto"/>
                <w:lang w:val="en-US" w:eastAsia="zh-CN"/>
              </w:rPr>
              <w:t>详见工程款</w:t>
            </w:r>
            <w:r>
              <w:rPr>
                <w:rFonts w:hint="eastAsia" w:ascii="宋体" w:hAnsi="宋体" w:eastAsia="宋体" w:cs="宋体"/>
                <w:color w:val="auto"/>
                <w:kern w:val="0"/>
                <w:sz w:val="24"/>
                <w:szCs w:val="24"/>
                <w:highlight w:val="none"/>
                <w:u w:val="single"/>
                <w:shd w:val="clear" w:color="auto" w:fill="auto"/>
              </w:rPr>
              <w:t>支付方式</w:t>
            </w:r>
            <w:r>
              <w:rPr>
                <w:rFonts w:hint="eastAsia" w:ascii="宋体" w:hAnsi="宋体" w:eastAsia="宋体" w:cs="宋体"/>
                <w:color w:val="auto"/>
                <w:sz w:val="24"/>
                <w:szCs w:val="24"/>
                <w:highlight w:val="none"/>
                <w:u w:val="single"/>
              </w:rPr>
              <w:t>。</w:t>
            </w:r>
          </w:p>
        </w:tc>
      </w:tr>
    </w:tbl>
    <w:p w14:paraId="0DB02267">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72"/>
    </w:p>
    <w:p w14:paraId="67C1D520">
      <w:pPr>
        <w:jc w:val="center"/>
        <w:rPr>
          <w:b/>
          <w:color w:val="auto"/>
          <w:sz w:val="30"/>
          <w:szCs w:val="30"/>
          <w:highlight w:val="none"/>
        </w:rPr>
      </w:pPr>
      <w:r>
        <w:rPr>
          <w:rFonts w:hint="eastAsia" w:ascii="等线" w:hAnsi="等线" w:eastAsia="等线" w:cs="@仿宋_GB2312"/>
          <w:b/>
          <w:color w:val="auto"/>
          <w:kern w:val="2"/>
          <w:sz w:val="24"/>
          <w:highlight w:val="none"/>
        </w:rPr>
        <w:t>第</w:t>
      </w:r>
      <w:r>
        <w:rPr>
          <w:rFonts w:hint="eastAsia" w:ascii="等线" w:hAnsi="等线" w:eastAsia="等线" w:cs="@仿宋_GB2312"/>
          <w:b/>
          <w:color w:val="auto"/>
          <w:kern w:val="2"/>
          <w:sz w:val="24"/>
          <w:highlight w:val="none"/>
          <w:lang w:val="en-US" w:eastAsia="zh-CN"/>
        </w:rPr>
        <w:t>四</w:t>
      </w:r>
      <w:r>
        <w:rPr>
          <w:rFonts w:hint="eastAsia" w:ascii="等线" w:hAnsi="等线" w:eastAsia="等线" w:cs="@仿宋_GB2312"/>
          <w:b/>
          <w:color w:val="auto"/>
          <w:kern w:val="2"/>
          <w:sz w:val="24"/>
          <w:highlight w:val="none"/>
        </w:rPr>
        <w:t>节</w:t>
      </w:r>
      <w:r>
        <w:rPr>
          <w:rFonts w:hint="eastAsia" w:ascii="等线" w:hAnsi="等线" w:eastAsia="等线" w:cs="@仿宋_GB2312"/>
          <w:b/>
          <w:color w:val="auto"/>
          <w:kern w:val="2"/>
          <w:sz w:val="24"/>
          <w:highlight w:val="none"/>
          <w:lang w:val="en-US" w:eastAsia="zh-CN"/>
        </w:rPr>
        <w:t xml:space="preserve">  </w:t>
      </w:r>
      <w:r>
        <w:rPr>
          <w:rFonts w:hint="eastAsia" w:ascii="等线" w:hAnsi="等线" w:eastAsia="等线" w:cs="@仿宋_GB2312"/>
          <w:b/>
          <w:color w:val="auto"/>
          <w:kern w:val="2"/>
          <w:sz w:val="24"/>
          <w:highlight w:val="none"/>
        </w:rPr>
        <w:t>绿化项目技术标准和要求</w:t>
      </w:r>
    </w:p>
    <w:p w14:paraId="2D573F3B">
      <w:pPr>
        <w:adjustRightInd w:val="0"/>
        <w:snapToGrid w:val="0"/>
        <w:spacing w:beforeAutospacing="0" w:afterAutospacing="0" w:line="42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一、适用的主要技术规范（不限于此）</w:t>
      </w:r>
    </w:p>
    <w:p w14:paraId="1AD35347">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1、《安徽省城市园林绿化植物种植技术规定》（试行）。</w:t>
      </w:r>
    </w:p>
    <w:p w14:paraId="6A2CD1E1">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2、《安徽省园林绿化植物养护技术规定（试行）》。</w:t>
      </w:r>
    </w:p>
    <w:p w14:paraId="5D16E969">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3、《园林绿工程项目规范》（GB55014-2021）、《园林绿化工程施工及验收规范》(CJJ/T82-2012)、《园林绿化养护标准》(CJJ/T287-2018)。</w:t>
      </w:r>
    </w:p>
    <w:p w14:paraId="0AF99FE9">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4、其他现行的有关规范、行业标准。</w:t>
      </w:r>
    </w:p>
    <w:p w14:paraId="347858B9">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5、如国家对上述标准规范有调整，按最新标准和规范为准。</w:t>
      </w:r>
    </w:p>
    <w:p w14:paraId="7C1C9C7B">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6、其它补充条款</w:t>
      </w:r>
    </w:p>
    <w:p w14:paraId="265D82A2">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严格执行《安徽省城镇园林绿化导则》试行2014版、《</w:t>
      </w:r>
      <w:r>
        <w:rPr>
          <w:rFonts w:hint="eastAsia" w:ascii="宋体" w:hAnsi="宋体" w:eastAsia="宋体" w:cs="宋体"/>
          <w:vanish w:val="0"/>
          <w:color w:val="auto"/>
          <w:sz w:val="24"/>
          <w:szCs w:val="24"/>
          <w:highlight w:val="none"/>
        </w:rPr>
        <w:t>滁州市绿化施工导则（修订）</w:t>
      </w:r>
      <w:r>
        <w:rPr>
          <w:rFonts w:hint="eastAsia" w:ascii="宋体" w:hAnsi="宋体" w:eastAsia="宋体" w:cs="宋体"/>
          <w:bCs/>
          <w:color w:val="auto"/>
          <w:sz w:val="24"/>
          <w:szCs w:val="24"/>
          <w:highlight w:val="none"/>
        </w:rPr>
        <w:t>》（滁重〔2023〕14号）。</w:t>
      </w:r>
    </w:p>
    <w:p w14:paraId="0D0BE229">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其他现行的相关规程、规范及工程设计文件、工程师确认的施工资料等。</w:t>
      </w:r>
    </w:p>
    <w:p w14:paraId="065F97EA">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当使用的几种标准与规范出现意义不明或不一致时，在引用标准或规范发生分歧时应按以下顺序优先考虑：</w:t>
      </w:r>
    </w:p>
    <w:p w14:paraId="68BAF4E1">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（1）中华人民共和国国家标准；</w:t>
      </w:r>
    </w:p>
    <w:p w14:paraId="02CBDC4C">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（2）相关行业的标准或规范。</w:t>
      </w:r>
    </w:p>
    <w:p w14:paraId="211DD136">
      <w:pPr>
        <w:adjustRightInd w:val="0"/>
        <w:snapToGrid w:val="0"/>
        <w:spacing w:beforeAutospacing="0" w:afterAutospacing="0" w:line="42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二、主要技术标准和要求</w:t>
      </w:r>
    </w:p>
    <w:p w14:paraId="7765B6AB">
      <w:pPr>
        <w:adjustRightInd w:val="0"/>
        <w:snapToGrid w:val="0"/>
        <w:spacing w:beforeAutospacing="0" w:afterAutospacing="0" w:line="42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Cs/>
          <w:color w:val="auto"/>
          <w:sz w:val="24"/>
          <w:szCs w:val="24"/>
          <w:highlight w:val="none"/>
        </w:rPr>
        <w:t>对苗木计量的规定(按2018版《安徽省园林绿化工程计价定额》规定)</w:t>
      </w:r>
    </w:p>
    <w:p w14:paraId="3BA1593A">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（1）胸径：指苗木主干距地面高1.2米处的直径。</w:t>
      </w:r>
    </w:p>
    <w:p w14:paraId="0A0CE1DE">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（2）高度：指苗木顶部距地面的高度。</w:t>
      </w:r>
    </w:p>
    <w:p w14:paraId="0C854C03">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（3）地径：指苗木树干距地面30cm处的直径。</w:t>
      </w:r>
    </w:p>
    <w:p w14:paraId="5397E175">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（4）所有灌木及地被植物的冠幅和高度是指修剪后的大小。</w:t>
      </w:r>
    </w:p>
    <w:p w14:paraId="79B6B215">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（5）篱高：指绿篱苗木顶部距地平的高度。</w:t>
      </w:r>
    </w:p>
    <w:p w14:paraId="06253797">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（6）冠径（冠丛）：指展出枝条幅度的水平直径。</w:t>
      </w:r>
    </w:p>
    <w:p w14:paraId="29B51A79">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（7）条长：指攀缘植物，从地面起至顶梢的长度。</w:t>
      </w:r>
    </w:p>
    <w:p w14:paraId="735DE5B5">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（8）年生：指从繁殖时起至起苗时止的树龄。</w:t>
      </w:r>
    </w:p>
    <w:p w14:paraId="46C8A6F7">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（9）定干高度：指乔木从地面至树冠分枝处即第一个分枝点的高度。</w:t>
      </w:r>
    </w:p>
    <w:p w14:paraId="6B19779C">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（10）树木分枝点高度：指树木最底分枝点的高度。</w:t>
      </w:r>
    </w:p>
    <w:p w14:paraId="5F484012">
      <w:pPr>
        <w:adjustRightInd w:val="0"/>
        <w:snapToGrid w:val="0"/>
        <w:spacing w:beforeAutospacing="0" w:afterAutospacing="0"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color w:val="auto"/>
          <w:sz w:val="24"/>
          <w:szCs w:val="24"/>
          <w:highlight w:val="none"/>
        </w:rPr>
        <w:t>对苗木土球（色带种植密度）的要求：有设计规定的执行设计，无设计规定的按2018版《安徽省园林绿化工程计价定额》和清单编制套用种植土球（色带种植密度）定额要求执行。做到质价相一致，也是确保工程质量和苗木成活、长势的重要因素。</w:t>
      </w:r>
    </w:p>
    <w:p w14:paraId="21D3A89E">
      <w:pPr>
        <w:adjustRightInd w:val="0"/>
        <w:snapToGrid w:val="0"/>
        <w:spacing w:beforeAutospacing="0" w:afterAutospacing="0" w:line="42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Cs/>
          <w:color w:val="auto"/>
          <w:sz w:val="24"/>
          <w:szCs w:val="24"/>
          <w:highlight w:val="none"/>
        </w:rPr>
        <w:t>对苗木规格、技术的一般要求</w:t>
      </w:r>
    </w:p>
    <w:p w14:paraId="4A67EF7A">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（1）所有苗木要求树杆通直无疤痕、无病虫害、无药害、无机械损伤、无枯萎等现象，保持根系完整和根系湿润，起挖苗木根系切口要平滑，根系无劈裂、无拉断、无干枯现象，叶色鲜艳的健康苗。</w:t>
      </w:r>
    </w:p>
    <w:p w14:paraId="249009F0">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（2）小灌木要求冠形饱满、枝条粗壮、密实。</w:t>
      </w:r>
    </w:p>
    <w:p w14:paraId="0F14FC35">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（3）所有苗木要求根系完整，土球符合相关规定，所带土球不得破损，裸根苗木保留主根、根幅必须达到规定标准且必须保留侧根和须根，并进行有效包装。</w:t>
      </w:r>
    </w:p>
    <w:p w14:paraId="28170920">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（4）苗木运输要求有效迅速、不得间隔时间过长，做到随挖随运，及时到达指定地点，需做好遮荫、覆盖、洒水保湿等工作。</w:t>
      </w:r>
    </w:p>
    <w:p w14:paraId="013BE78F">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（5）苗木规格必须以图纸和清单要求为主，所有苗木必须经监理单位验收符合要求后，方可进行下道工序施工。</w:t>
      </w:r>
    </w:p>
    <w:p w14:paraId="20A01ED4">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（6）树木支撑必须按要求执行。如清单中未单列支撑、刷白</w:t>
      </w:r>
      <w:r>
        <w:rPr>
          <w:rFonts w:hint="eastAsia" w:ascii="宋体" w:hAnsi="宋体" w:eastAsia="宋体" w:cs="宋体"/>
          <w:bCs/>
          <w:color w:val="auto"/>
          <w:sz w:val="24"/>
          <w:szCs w:val="24"/>
          <w:highlight w:val="none"/>
          <w:lang w:val="en-US" w:eastAsia="zh-CN"/>
        </w:rPr>
        <w:t>等措施项目，其费用均包</w:t>
      </w:r>
      <w:r>
        <w:rPr>
          <w:rFonts w:hint="eastAsia" w:ascii="宋体" w:hAnsi="宋体" w:eastAsia="宋体" w:cs="宋体"/>
          <w:bCs/>
          <w:color w:val="auto"/>
          <w:sz w:val="24"/>
          <w:szCs w:val="24"/>
          <w:highlight w:val="none"/>
        </w:rPr>
        <w:t>含在投标报价内，建设单位不再另行支付费用，施工单位在施工过程中必须按规范要求实施，不得以未列项目理由拒绝实施，否则，按合同价的2%进行违约金处理。</w:t>
      </w:r>
    </w:p>
    <w:p w14:paraId="47D699AD">
      <w:pPr>
        <w:adjustRightInd w:val="0"/>
        <w:snapToGrid w:val="0"/>
        <w:spacing w:beforeAutospacing="0" w:afterAutospacing="0"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（7）乔灌木修剪时不得短截，不得破坏树木骨架，应以疏枝为主。</w:t>
      </w:r>
    </w:p>
    <w:p w14:paraId="1C625031">
      <w:pPr>
        <w:adjustRightInd w:val="0"/>
        <w:snapToGrid w:val="0"/>
        <w:spacing w:beforeAutospacing="0" w:afterAutospacing="0" w:line="42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Cs/>
          <w:color w:val="auto"/>
          <w:sz w:val="24"/>
          <w:szCs w:val="24"/>
          <w:highlight w:val="none"/>
        </w:rPr>
        <w:t>验收不合格的苗木一律退场，若擅自栽植不合格苗木，发现一次，则处以人民币10000元违约金；发现两次，则处以人民币50000元违约金；发现三次，即有权取消该合同履行资格，没收履约保证金。</w:t>
      </w:r>
    </w:p>
    <w:p w14:paraId="24C8DEC3">
      <w:pPr>
        <w:adjustRightInd w:val="0"/>
        <w:snapToGrid w:val="0"/>
        <w:spacing w:beforeAutospacing="0" w:afterAutospacing="0" w:line="42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Cs/>
          <w:color w:val="auto"/>
          <w:sz w:val="24"/>
          <w:szCs w:val="24"/>
          <w:highlight w:val="none"/>
        </w:rPr>
        <w:t>图纸、工程量等变更，应经建设、设计、监理等单位同意后方可实施，否则不予计量。为了达到更好地绿化效果，业主有权根据绿化场地地形地貌等实际情况，对绿化方案进行优化，中标人必须服从、配合。</w:t>
      </w:r>
    </w:p>
    <w:p w14:paraId="4E76C05B">
      <w:pPr>
        <w:adjustRightInd w:val="0"/>
        <w:snapToGrid w:val="0"/>
        <w:spacing w:beforeAutospacing="0" w:afterAutospacing="0" w:line="42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Cs/>
          <w:color w:val="auto"/>
          <w:sz w:val="24"/>
          <w:szCs w:val="24"/>
          <w:highlight w:val="none"/>
        </w:rPr>
        <w:t>经确认死亡木或不符合设计要求的苗木承包人需在一周内更换完毕，如未及时更换，将按照清单造价（更换部分）2倍予以违约处理；若两周内未更换完成，由建设单位指定专业园林公司直接更换，产生费用按照清单价格2倍收取，其费用由施工单位支付。</w:t>
      </w:r>
    </w:p>
    <w:p w14:paraId="0A18F92C">
      <w:pPr>
        <w:adjustRightInd w:val="0"/>
        <w:snapToGrid w:val="0"/>
        <w:spacing w:beforeAutospacing="0" w:afterAutospacing="0" w:line="42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Cs/>
          <w:color w:val="auto"/>
          <w:sz w:val="24"/>
          <w:szCs w:val="24"/>
          <w:highlight w:val="none"/>
        </w:rPr>
        <w:t>所有乔灌木种植回填土（围堰）不得高于绿地平面，行道树种植回填土（围堰）应低于树池边缘石上口面约5公分；种植时土球</w:t>
      </w:r>
      <w:r>
        <w:rPr>
          <w:rFonts w:hint="eastAsia" w:ascii="宋体" w:hAnsi="宋体" w:eastAsia="宋体" w:cs="宋体"/>
          <w:bCs/>
          <w:color w:val="auto"/>
          <w:sz w:val="24"/>
          <w:szCs w:val="24"/>
          <w:highlight w:val="none"/>
          <w:lang w:val="en-US" w:eastAsia="zh-CN"/>
        </w:rPr>
        <w:t>塑料袋</w:t>
      </w:r>
      <w:r>
        <w:rPr>
          <w:rFonts w:hint="eastAsia" w:ascii="宋体" w:hAnsi="宋体" w:eastAsia="宋体" w:cs="宋体"/>
          <w:bCs/>
          <w:color w:val="auto"/>
          <w:sz w:val="24"/>
          <w:szCs w:val="24"/>
          <w:highlight w:val="none"/>
        </w:rPr>
        <w:t>等包裹物（营养体）必须全部清除，不得直接埋入种植穴中；乔木树杆加固绑杆物种植后应及时去除，否则，一经发现未及时整改到位每次处理违约金2000元人民币。</w:t>
      </w:r>
    </w:p>
    <w:p w14:paraId="1AB8B79D">
      <w:pPr>
        <w:adjustRightInd w:val="0"/>
        <w:snapToGrid w:val="0"/>
        <w:spacing w:beforeAutospacing="0" w:afterAutospacing="0" w:line="42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Cs/>
          <w:color w:val="auto"/>
          <w:sz w:val="24"/>
          <w:szCs w:val="24"/>
          <w:highlight w:val="none"/>
        </w:rPr>
        <w:t>为保证苗木等材料质量符合设计要求的准确性，建设单位在施工单位苗木等材料进场前有权组织设计、监理、审核等单位赴材料产地</w:t>
      </w:r>
      <w:r>
        <w:rPr>
          <w:rFonts w:hint="eastAsia" w:ascii="宋体" w:hAnsi="宋体" w:eastAsia="宋体" w:cs="宋体"/>
          <w:bCs/>
          <w:color w:val="auto"/>
          <w:sz w:val="24"/>
          <w:szCs w:val="24"/>
          <w:highlight w:val="none"/>
          <w:lang w:val="en-US" w:eastAsia="zh-CN"/>
        </w:rPr>
        <w:t>查看</w:t>
      </w:r>
      <w:r>
        <w:rPr>
          <w:rFonts w:hint="eastAsia" w:ascii="宋体" w:hAnsi="宋体" w:eastAsia="宋体" w:cs="宋体"/>
          <w:bCs/>
          <w:color w:val="auto"/>
          <w:sz w:val="24"/>
          <w:szCs w:val="24"/>
          <w:highlight w:val="none"/>
        </w:rPr>
        <w:t>质量情况，施工单位应积极配合。</w:t>
      </w:r>
    </w:p>
    <w:p w14:paraId="019D45E4">
      <w:pPr>
        <w:adjustRightInd w:val="0"/>
        <w:snapToGrid w:val="0"/>
        <w:spacing w:beforeAutospacing="0" w:afterAutospacing="0" w:line="42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Cs/>
          <w:color w:val="auto"/>
          <w:sz w:val="24"/>
          <w:szCs w:val="24"/>
          <w:highlight w:val="none"/>
        </w:rPr>
        <w:t>项目所涉及路缘石边、树池内栽植书带草，书带草路缘石镶边必须达到覆盖路牙石要求。此部分费用含在投标报价内，建设单位不再另行支付费用。</w:t>
      </w:r>
    </w:p>
    <w:p w14:paraId="09C32424">
      <w:pPr>
        <w:adjustRightInd w:val="0"/>
        <w:snapToGrid w:val="0"/>
        <w:spacing w:beforeAutospacing="0" w:afterAutospacing="0" w:line="42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10、</w:t>
      </w:r>
      <w:r>
        <w:rPr>
          <w:rFonts w:hint="eastAsia" w:ascii="宋体" w:hAnsi="宋体" w:eastAsia="宋体" w:cs="宋体"/>
          <w:bCs/>
          <w:color w:val="auto"/>
          <w:sz w:val="24"/>
          <w:szCs w:val="24"/>
          <w:highlight w:val="none"/>
        </w:rPr>
        <w:t>施工、养护期间的用水用电等由施工单位自行解决，建设单位不另行支付。</w:t>
      </w:r>
    </w:p>
    <w:p w14:paraId="3CA748CE">
      <w:pPr>
        <w:adjustRightInd w:val="0"/>
        <w:snapToGrid w:val="0"/>
        <w:spacing w:beforeAutospacing="0" w:afterAutospacing="0" w:line="42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Cs/>
          <w:color w:val="auto"/>
          <w:sz w:val="24"/>
          <w:szCs w:val="24"/>
          <w:highlight w:val="none"/>
        </w:rPr>
        <w:t>成活期养护是从工程初验（完工）合格后进入，保存期养护是从成活期养护结束后进入，因施工单位养护质量或移交不及时等原因造成养护期延期产生养护费用建设单位不另行支付。施工单位在苗木栽植后应及时按规范养护，确保成活率100%。养护期内，为保证绿化景观效果，施工单位应按国家园林绿化养护技术规范派专人进行养护，负责绿地季节性养护、绿地保洁、巡查看管、恶劣天气等应急处置、枯死苗木应及时补栽等，养护期内建设单位将定期或不定期进行检查养护效果。</w:t>
      </w:r>
    </w:p>
    <w:p w14:paraId="256BB65F">
      <w:pPr>
        <w:spacing w:beforeAutospacing="0" w:afterAutospacing="0" w:line="42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12、</w:t>
      </w:r>
      <w:r>
        <w:rPr>
          <w:rFonts w:hint="eastAsia" w:ascii="宋体" w:hAnsi="宋体" w:eastAsia="宋体" w:cs="宋体"/>
          <w:bCs/>
          <w:color w:val="auto"/>
          <w:sz w:val="24"/>
          <w:szCs w:val="24"/>
          <w:highlight w:val="none"/>
        </w:rPr>
        <w:t>施工、养护期内，施工单位对建设、设计、监理、审核等单位下发交办单事项</w:t>
      </w:r>
      <w:r>
        <w:rPr>
          <w:rFonts w:hint="eastAsia" w:ascii="宋体" w:hAnsi="宋体" w:eastAsia="宋体" w:cs="宋体"/>
          <w:bCs/>
          <w:color w:val="auto"/>
          <w:sz w:val="24"/>
          <w:szCs w:val="24"/>
          <w:highlight w:val="none"/>
          <w:lang w:val="en-US" w:eastAsia="zh-CN"/>
        </w:rPr>
        <w:t>整改</w:t>
      </w:r>
      <w:r>
        <w:rPr>
          <w:rFonts w:hint="eastAsia" w:ascii="宋体" w:hAnsi="宋体" w:eastAsia="宋体" w:cs="宋体"/>
          <w:bCs/>
          <w:color w:val="auto"/>
          <w:sz w:val="24"/>
          <w:szCs w:val="24"/>
          <w:highlight w:val="none"/>
        </w:rPr>
        <w:t>不到位每次处理违约金2000元人民币，如造成损失等将由施工单位承担一切后果。</w:t>
      </w:r>
    </w:p>
    <w:p w14:paraId="68BA71CD">
      <w:pPr>
        <w:spacing w:beforeAutospacing="0" w:afterAutospacing="0" w:line="420" w:lineRule="exact"/>
        <w:ind w:left="0"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13、</w:t>
      </w:r>
      <w:r>
        <w:rPr>
          <w:rFonts w:hint="eastAsia" w:ascii="宋体" w:hAnsi="宋体" w:eastAsia="宋体" w:cs="宋体"/>
          <w:bCs/>
          <w:color w:val="auto"/>
          <w:sz w:val="24"/>
          <w:szCs w:val="24"/>
          <w:highlight w:val="none"/>
          <w:lang w:val="en-US" w:eastAsia="zh-CN"/>
        </w:rPr>
        <w:t>根据绿化工程特点，</w:t>
      </w:r>
      <w:r>
        <w:rPr>
          <w:rFonts w:hint="eastAsia" w:ascii="宋体" w:hAnsi="宋体" w:eastAsia="宋体" w:cs="宋体"/>
          <w:bCs/>
          <w:color w:val="auto"/>
          <w:sz w:val="24"/>
          <w:szCs w:val="24"/>
          <w:highlight w:val="none"/>
        </w:rPr>
        <w:t>竣工图在工程竣工验收时同步提供，现场验收的必要依据；也是后期移交、管养工程量核对及绿植死亡现场查验的依据。竣工图中项目的名称、规格、工程量等标注应全面清晰，如地被色块根据种植地块、范围逐一标注名称、面积等，乔灌木根据区间、界线等也要标注规格、数量等；变更地块应用云线框选，标注变更内容描述并附相关纪要。</w:t>
      </w:r>
    </w:p>
    <w:p w14:paraId="3792E4CF">
      <w:pPr>
        <w:spacing w:line="360" w:lineRule="auto"/>
        <w:jc w:val="center"/>
        <w:outlineLvl w:val="0"/>
        <w:rPr>
          <w:rFonts w:hint="eastAsia" w:ascii="宋体" w:hAnsi="宋体" w:eastAsia="宋体" w:cs="宋体"/>
          <w:b/>
          <w:bCs/>
          <w:color w:val="auto"/>
          <w:sz w:val="24"/>
          <w:szCs w:val="24"/>
          <w:highlight w:val="none"/>
        </w:rPr>
      </w:pPr>
    </w:p>
    <w:p w14:paraId="6C0189AA">
      <w:pPr>
        <w:spacing w:line="360" w:lineRule="auto"/>
        <w:jc w:val="center"/>
        <w:outlineLvl w:val="0"/>
        <w:rPr>
          <w:rFonts w:hint="eastAsia" w:ascii="宋体" w:hAnsi="宋体" w:eastAsia="宋体" w:cs="宋体"/>
          <w:b/>
          <w:color w:val="auto"/>
          <w:sz w:val="28"/>
          <w:highlight w:val="none"/>
        </w:rPr>
      </w:pPr>
    </w:p>
    <w:p w14:paraId="4413E5E1">
      <w:pPr>
        <w:spacing w:line="360" w:lineRule="auto"/>
        <w:jc w:val="center"/>
        <w:outlineLvl w:val="0"/>
        <w:rPr>
          <w:rFonts w:hint="eastAsia" w:ascii="宋体" w:hAnsi="宋体" w:eastAsia="宋体" w:cs="宋体"/>
          <w:b/>
          <w:color w:val="auto"/>
          <w:sz w:val="28"/>
          <w:highlight w:val="none"/>
        </w:rPr>
      </w:pPr>
    </w:p>
    <w:p w14:paraId="7B36302B">
      <w:pPr>
        <w:spacing w:line="360" w:lineRule="auto"/>
        <w:jc w:val="center"/>
        <w:outlineLvl w:val="0"/>
        <w:rPr>
          <w:rFonts w:hint="eastAsia" w:ascii="宋体" w:hAnsi="宋体" w:eastAsia="宋体" w:cs="宋体"/>
          <w:b/>
          <w:color w:val="auto"/>
          <w:sz w:val="28"/>
          <w:highlight w:val="none"/>
        </w:rPr>
      </w:pPr>
    </w:p>
    <w:p w14:paraId="357474DF">
      <w:pPr>
        <w:spacing w:line="360" w:lineRule="auto"/>
        <w:jc w:val="center"/>
        <w:outlineLvl w:val="0"/>
        <w:rPr>
          <w:rFonts w:hint="eastAsia" w:ascii="宋体" w:hAnsi="宋体" w:eastAsia="宋体" w:cs="宋体"/>
          <w:b/>
          <w:color w:val="auto"/>
          <w:sz w:val="28"/>
          <w:highlight w:val="none"/>
        </w:rPr>
      </w:pPr>
    </w:p>
    <w:p w14:paraId="390B24F9">
      <w:pPr>
        <w:spacing w:line="360" w:lineRule="auto"/>
        <w:jc w:val="center"/>
        <w:outlineLvl w:val="0"/>
        <w:rPr>
          <w:rFonts w:hint="eastAsia" w:ascii="宋体" w:hAnsi="宋体" w:eastAsia="宋体" w:cs="宋体"/>
          <w:b/>
          <w:color w:val="auto"/>
          <w:sz w:val="28"/>
          <w:highlight w:val="none"/>
        </w:rPr>
      </w:pPr>
    </w:p>
    <w:p w14:paraId="0813008E">
      <w:pPr>
        <w:spacing w:line="360" w:lineRule="auto"/>
        <w:jc w:val="center"/>
        <w:outlineLvl w:val="0"/>
        <w:rPr>
          <w:rFonts w:hint="eastAsia" w:ascii="宋体" w:hAnsi="宋体" w:eastAsia="宋体" w:cs="宋体"/>
          <w:b/>
          <w:color w:val="auto"/>
          <w:sz w:val="28"/>
          <w:highlight w:val="none"/>
        </w:rPr>
      </w:pPr>
    </w:p>
    <w:p w14:paraId="5EA202CA">
      <w:pPr>
        <w:spacing w:line="360" w:lineRule="auto"/>
        <w:jc w:val="center"/>
        <w:outlineLvl w:val="0"/>
        <w:rPr>
          <w:rFonts w:hint="eastAsia" w:ascii="宋体" w:hAnsi="宋体" w:eastAsia="宋体" w:cs="宋体"/>
          <w:b/>
          <w:color w:val="auto"/>
          <w:sz w:val="28"/>
          <w:highlight w:val="none"/>
        </w:rPr>
      </w:pPr>
    </w:p>
    <w:p w14:paraId="699C5E22">
      <w:pPr>
        <w:spacing w:line="360" w:lineRule="auto"/>
        <w:jc w:val="both"/>
        <w:outlineLvl w:val="0"/>
        <w:rPr>
          <w:rFonts w:hint="eastAsia" w:ascii="宋体" w:hAnsi="宋体" w:eastAsia="宋体" w:cs="宋体"/>
          <w:b/>
          <w:color w:val="auto"/>
          <w:sz w:val="28"/>
          <w:highlight w:val="none"/>
        </w:rPr>
      </w:pPr>
    </w:p>
    <w:p w14:paraId="2E741362">
      <w:pPr>
        <w:spacing w:line="360" w:lineRule="auto"/>
        <w:jc w:val="center"/>
        <w:outlineLvl w:val="0"/>
        <w:rPr>
          <w:rFonts w:hint="eastAsia" w:ascii="宋体" w:hAnsi="宋体" w:eastAsia="宋体" w:cs="宋体"/>
          <w:b/>
          <w:color w:val="auto"/>
          <w:sz w:val="28"/>
          <w:highlight w:val="none"/>
        </w:rPr>
      </w:pPr>
    </w:p>
    <w:p w14:paraId="4F1C669B">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响应文件格式</w:t>
      </w:r>
      <w:bookmarkEnd w:id="53"/>
    </w:p>
    <w:p w14:paraId="4DD8492A">
      <w:pPr>
        <w:spacing w:line="500" w:lineRule="exact"/>
        <w:jc w:val="center"/>
        <w:outlineLvl w:val="1"/>
        <w:rPr>
          <w:rFonts w:hint="eastAsia" w:ascii="宋体" w:hAnsi="宋体" w:eastAsia="宋体" w:cs="宋体"/>
          <w:b/>
          <w:color w:val="auto"/>
          <w:sz w:val="32"/>
          <w:highlight w:val="none"/>
        </w:rPr>
      </w:pPr>
    </w:p>
    <w:p w14:paraId="15E9FA63">
      <w:pPr>
        <w:spacing w:line="900" w:lineRule="exact"/>
        <w:jc w:val="center"/>
        <w:rPr>
          <w:rFonts w:hint="eastAsia" w:ascii="宋体" w:hAnsi="宋体" w:eastAsia="宋体" w:cs="宋体"/>
          <w:b/>
          <w:color w:val="auto"/>
          <w:sz w:val="72"/>
          <w:highlight w:val="none"/>
        </w:rPr>
      </w:pPr>
    </w:p>
    <w:p w14:paraId="7F422F4B">
      <w:pPr>
        <w:spacing w:line="900" w:lineRule="exact"/>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3D80E148">
      <w:pPr>
        <w:spacing w:line="900" w:lineRule="exact"/>
        <w:jc w:val="center"/>
        <w:rPr>
          <w:rFonts w:hint="eastAsia" w:ascii="宋体" w:hAnsi="宋体" w:eastAsia="宋体" w:cs="宋体"/>
          <w:b/>
          <w:color w:val="auto"/>
          <w:sz w:val="72"/>
          <w:highlight w:val="none"/>
        </w:rPr>
      </w:pPr>
    </w:p>
    <w:p w14:paraId="59822D75">
      <w:pPr>
        <w:spacing w:line="900" w:lineRule="exact"/>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74618BE6">
      <w:pPr>
        <w:spacing w:line="900" w:lineRule="exact"/>
        <w:jc w:val="center"/>
        <w:rPr>
          <w:rFonts w:hint="eastAsia" w:ascii="宋体" w:hAnsi="宋体" w:eastAsia="宋体" w:cs="宋体"/>
          <w:b/>
          <w:color w:val="auto"/>
          <w:sz w:val="72"/>
          <w:highlight w:val="none"/>
        </w:rPr>
      </w:pPr>
    </w:p>
    <w:p w14:paraId="11CD3D13">
      <w:pPr>
        <w:spacing w:line="900" w:lineRule="exact"/>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2DEE44D2">
      <w:pPr>
        <w:spacing w:line="900" w:lineRule="exact"/>
        <w:jc w:val="center"/>
        <w:rPr>
          <w:rFonts w:hint="eastAsia" w:ascii="宋体" w:hAnsi="宋体" w:eastAsia="宋体" w:cs="宋体"/>
          <w:b/>
          <w:color w:val="auto"/>
          <w:sz w:val="72"/>
          <w:highlight w:val="none"/>
        </w:rPr>
      </w:pPr>
    </w:p>
    <w:p w14:paraId="386A2716">
      <w:pPr>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752F7FF6">
      <w:pPr>
        <w:spacing w:after="156" w:afterLines="50"/>
        <w:jc w:val="center"/>
        <w:rPr>
          <w:rFonts w:hint="eastAsia" w:ascii="宋体" w:hAnsi="宋体" w:eastAsia="宋体" w:cs="宋体"/>
          <w:b/>
          <w:color w:val="auto"/>
          <w:sz w:val="72"/>
          <w:highlight w:val="none"/>
        </w:rPr>
      </w:pPr>
    </w:p>
    <w:p w14:paraId="69E40D58">
      <w:pPr>
        <w:jc w:val="cente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投标人：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（盖单位章）</w:t>
      </w:r>
    </w:p>
    <w:p w14:paraId="2397693E">
      <w:pPr>
        <w:jc w:val="center"/>
        <w:rPr>
          <w:rFonts w:hint="eastAsia" w:ascii="宋体" w:hAnsi="宋体" w:eastAsia="宋体" w:cs="宋体"/>
          <w:color w:val="auto"/>
          <w:sz w:val="32"/>
          <w:szCs w:val="32"/>
          <w:highlight w:val="none"/>
        </w:rPr>
      </w:pPr>
    </w:p>
    <w:p w14:paraId="3A96860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法定代表人或授权委托人：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（签字或盖章）</w:t>
      </w:r>
    </w:p>
    <w:p w14:paraId="58F4E9CC">
      <w:pPr>
        <w:jc w:val="center"/>
        <w:rPr>
          <w:rFonts w:hint="eastAsia" w:ascii="宋体" w:hAnsi="宋体" w:eastAsia="宋体" w:cs="宋体"/>
          <w:color w:val="auto"/>
          <w:sz w:val="32"/>
          <w:szCs w:val="32"/>
          <w:highlight w:val="none"/>
          <w:u w:val="single"/>
        </w:rPr>
      </w:pPr>
    </w:p>
    <w:p w14:paraId="4A0EAC3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p>
    <w:p w14:paraId="7C01E914">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04D4F59">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一、报价表格式</w:t>
      </w:r>
    </w:p>
    <w:p w14:paraId="60002640">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5EAD724A">
      <w:pPr>
        <w:snapToGrid w:val="0"/>
        <w:spacing w:line="360" w:lineRule="auto"/>
        <w:jc w:val="left"/>
        <w:rPr>
          <w:rFonts w:hint="default" w:cs="宋体" w:asciiTheme="minorEastAsia" w:hAnsiTheme="minorEastAsia" w:eastAsiaTheme="minorEastAsia"/>
          <w:b/>
          <w:color w:val="auto"/>
          <w:kern w:val="2"/>
          <w:sz w:val="24"/>
          <w:szCs w:val="24"/>
          <w:highlight w:val="none"/>
          <w:lang w:val="en-US"/>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5D38220C">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6D5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66A4DA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9D3F650">
            <w:pPr>
              <w:rPr>
                <w:rFonts w:cs="宋体" w:asciiTheme="minorEastAsia" w:hAnsiTheme="minorEastAsia" w:eastAsiaTheme="minorEastAsia"/>
                <w:b/>
                <w:color w:val="auto"/>
                <w:kern w:val="2"/>
                <w:sz w:val="24"/>
                <w:szCs w:val="24"/>
                <w:highlight w:val="none"/>
              </w:rPr>
            </w:pPr>
          </w:p>
        </w:tc>
      </w:tr>
      <w:tr w14:paraId="139B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F56659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7D2D3778">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rPr>
              <w:t>全部</w:t>
            </w:r>
            <w:r>
              <w:rPr>
                <w:rFonts w:hint="eastAsia" w:cs="@仿宋_GB2312" w:asciiTheme="minorEastAsia" w:hAnsiTheme="minorEastAsia" w:eastAsiaTheme="minorEastAsia"/>
                <w:color w:val="auto"/>
                <w:kern w:val="2"/>
                <w:sz w:val="24"/>
                <w:szCs w:val="28"/>
                <w:highlight w:val="none"/>
                <w:lang w:val="en-US" w:eastAsia="zh-CN"/>
              </w:rPr>
              <w:t xml:space="preserve"> </w:t>
            </w:r>
          </w:p>
        </w:tc>
      </w:tr>
      <w:tr w14:paraId="4686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56A187">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1663ED69">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E3DF47F">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5E596D19">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3E99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65E6DB14">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610495C9">
            <w:pPr>
              <w:snapToGrid w:val="0"/>
              <w:rPr>
                <w:rFonts w:cs="宋体" w:asciiTheme="minorEastAsia" w:hAnsiTheme="minorEastAsia" w:eastAsiaTheme="minorEastAsia"/>
                <w:b/>
                <w:color w:val="auto"/>
                <w:kern w:val="2"/>
                <w:sz w:val="24"/>
                <w:szCs w:val="24"/>
                <w:highlight w:val="none"/>
              </w:rPr>
            </w:pPr>
          </w:p>
        </w:tc>
      </w:tr>
      <w:tr w14:paraId="0374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FF8C37F">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4F1CCBE6">
            <w:pPr>
              <w:snapToGrid w:val="0"/>
              <w:rPr>
                <w:rFonts w:hint="eastAsia" w:cs="宋体" w:asciiTheme="minorEastAsia" w:hAnsiTheme="minorEastAsia" w:eastAsiaTheme="minorEastAsia"/>
                <w:b/>
                <w:color w:val="auto"/>
                <w:kern w:val="2"/>
                <w:sz w:val="24"/>
                <w:szCs w:val="24"/>
                <w:highlight w:val="none"/>
                <w:lang w:eastAsia="zh-CN"/>
              </w:rPr>
            </w:pPr>
            <w:r>
              <w:rPr>
                <w:rFonts w:hint="eastAsia" w:ascii="宋体" w:hAnsi="宋体" w:eastAsia="宋体" w:cs="宋体"/>
                <w:color w:val="auto"/>
                <w:sz w:val="24"/>
                <w:highlight w:val="none"/>
                <w:lang w:val="en-US" w:eastAsia="zh-CN"/>
              </w:rPr>
              <w:t>自合同签订并接到采购人通知后50个日历天内完成绿化建设工作；养护期为验收合格之日起一年。</w:t>
            </w:r>
          </w:p>
        </w:tc>
      </w:tr>
      <w:tr w14:paraId="3E79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7DDCEB2F">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57FFEF46">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37B5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5D4B7F4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85EC1EC">
            <w:pPr>
              <w:rPr>
                <w:rFonts w:cs="宋体" w:asciiTheme="minorEastAsia" w:hAnsiTheme="minorEastAsia" w:eastAsiaTheme="minorEastAsia"/>
                <w:b/>
                <w:color w:val="auto"/>
                <w:kern w:val="2"/>
                <w:sz w:val="24"/>
                <w:szCs w:val="24"/>
                <w:highlight w:val="none"/>
              </w:rPr>
            </w:pPr>
          </w:p>
        </w:tc>
      </w:tr>
    </w:tbl>
    <w:p w14:paraId="58150BF2">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6EBC4A5">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205DAE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519FDF2A">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1.本表内容根据谈判文件要求包括了谈判文件要求提供的全部内容的所有费用。</w:t>
      </w:r>
    </w:p>
    <w:p w14:paraId="2067C888">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0BFDABE">
      <w:pPr>
        <w:adjustRightInd w:val="0"/>
        <w:snapToGrid w:val="0"/>
        <w:spacing w:line="360" w:lineRule="auto"/>
        <w:ind w:firstLine="482" w:firstLineChars="200"/>
        <w:rPr>
          <w:rFonts w:hint="eastAsia"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3</w:t>
      </w:r>
      <w:r>
        <w:rPr>
          <w:rFonts w:hint="eastAsia" w:cs="@仿宋_GB2312" w:asciiTheme="minorEastAsia" w:hAnsiTheme="minorEastAsia" w:eastAsiaTheme="minorEastAsia"/>
          <w:b/>
          <w:bCs/>
          <w:color w:val="auto"/>
          <w:kern w:val="2"/>
          <w:sz w:val="24"/>
          <w:szCs w:val="24"/>
          <w:highlight w:val="none"/>
        </w:rPr>
        <w:t>.表中大写金额与小写金额不一致的，以大写金额为准。</w:t>
      </w:r>
    </w:p>
    <w:p w14:paraId="0ACA4F21">
      <w:pPr>
        <w:adjustRightInd w:val="0"/>
        <w:snapToGrid w:val="0"/>
        <w:spacing w:line="360" w:lineRule="auto"/>
        <w:ind w:firstLine="482" w:firstLineChars="200"/>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rPr>
        <w:t>4.表中投标报价须精确到小数点后第二位，如填报多位小数的，按小数点后第3位四舍五入修正投标报价。</w:t>
      </w:r>
    </w:p>
    <w:p w14:paraId="2239892D">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03A113E6">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737AE301">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2DB3EF68">
      <w:pPr>
        <w:autoSpaceDE w:val="0"/>
        <w:autoSpaceDN w:val="0"/>
        <w:adjustRightInd w:val="0"/>
        <w:spacing w:before="20" w:after="20" w:line="360" w:lineRule="auto"/>
        <w:jc w:val="center"/>
        <w:outlineLvl w:val="2"/>
        <w:rPr>
          <w:rFonts w:cs="宋体" w:asciiTheme="minorEastAsia" w:hAnsiTheme="minorEastAsia" w:eastAsiaTheme="minorEastAsia"/>
          <w:b/>
          <w:color w:val="auto"/>
          <w:sz w:val="24"/>
          <w:szCs w:val="24"/>
          <w:highlight w:val="none"/>
        </w:rPr>
      </w:pPr>
      <w:bookmarkStart w:id="73" w:name="_Toc30688"/>
      <w:r>
        <w:rPr>
          <w:rFonts w:hint="eastAsia" w:cs="宋体" w:asciiTheme="minorEastAsia" w:hAnsiTheme="minorEastAsia" w:eastAsiaTheme="minorEastAsia"/>
          <w:b/>
          <w:color w:val="auto"/>
          <w:sz w:val="24"/>
          <w:szCs w:val="24"/>
          <w:highlight w:val="none"/>
        </w:rPr>
        <w:t>工程量清单报价书</w:t>
      </w:r>
      <w:bookmarkEnd w:id="73"/>
    </w:p>
    <w:p w14:paraId="242676E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6B816996">
      <w:pPr>
        <w:widowControl/>
        <w:jc w:val="left"/>
        <w:rPr>
          <w:b/>
          <w:bCs/>
          <w:color w:val="auto"/>
          <w:sz w:val="24"/>
          <w:szCs w:val="28"/>
          <w:highlight w:val="none"/>
        </w:rPr>
      </w:pPr>
      <w:r>
        <w:rPr>
          <w:b/>
          <w:bCs/>
          <w:color w:val="auto"/>
          <w:sz w:val="24"/>
          <w:szCs w:val="28"/>
          <w:highlight w:val="none"/>
        </w:rPr>
        <w:br w:type="page"/>
      </w:r>
    </w:p>
    <w:p w14:paraId="15FC90A4">
      <w:pPr>
        <w:jc w:val="center"/>
        <w:rPr>
          <w:rFonts w:hint="eastAsia" w:ascii="宋体" w:hAnsi="宋体" w:eastAsia="宋体" w:cs="宋体"/>
          <w:b/>
          <w:color w:val="auto"/>
          <w:sz w:val="24"/>
          <w:szCs w:val="24"/>
          <w:highlight w:val="none"/>
        </w:rPr>
      </w:pPr>
      <w:bookmarkStart w:id="74" w:name="_Toc461053087"/>
      <w:bookmarkStart w:id="75" w:name="_Toc461056632"/>
      <w:bookmarkStart w:id="76" w:name="_Toc28658"/>
      <w:bookmarkStart w:id="77" w:name="_Toc520983588"/>
      <w:bookmarkStart w:id="78" w:name="_Toc19576"/>
      <w:r>
        <w:rPr>
          <w:rFonts w:hint="eastAsia" w:ascii="宋体" w:hAnsi="宋体" w:eastAsia="宋体" w:cs="宋体"/>
          <w:b/>
          <w:color w:val="auto"/>
          <w:sz w:val="24"/>
          <w:szCs w:val="24"/>
          <w:highlight w:val="none"/>
        </w:rPr>
        <w:t>①工程量清单报价书（封面）</w:t>
      </w:r>
    </w:p>
    <w:p w14:paraId="169695BD">
      <w:pPr>
        <w:ind w:firstLine="482" w:firstLineChars="200"/>
        <w:jc w:val="center"/>
        <w:rPr>
          <w:rFonts w:hint="eastAsia" w:ascii="宋体" w:hAnsi="宋体" w:eastAsia="宋体" w:cs="宋体"/>
          <w:b/>
          <w:color w:val="auto"/>
          <w:sz w:val="24"/>
          <w:szCs w:val="24"/>
          <w:highlight w:val="none"/>
        </w:rPr>
      </w:pPr>
    </w:p>
    <w:p w14:paraId="62ABBBAC">
      <w:pPr>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响应总价</w:t>
      </w:r>
    </w:p>
    <w:p w14:paraId="4EC41306">
      <w:pPr>
        <w:spacing w:line="8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u w:val="single"/>
        </w:rPr>
        <w:t xml:space="preserve">                                                 </w:t>
      </w:r>
    </w:p>
    <w:p w14:paraId="709D2A6E">
      <w:pPr>
        <w:spacing w:line="8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p>
    <w:p w14:paraId="469DE71D">
      <w:pPr>
        <w:spacing w:line="8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响应总价（小写）：</w:t>
      </w:r>
      <w:r>
        <w:rPr>
          <w:rFonts w:hint="eastAsia" w:ascii="宋体" w:hAnsi="宋体" w:eastAsia="宋体" w:cs="宋体"/>
          <w:color w:val="auto"/>
          <w:sz w:val="24"/>
          <w:szCs w:val="24"/>
          <w:highlight w:val="none"/>
          <w:u w:val="single"/>
        </w:rPr>
        <w:t xml:space="preserve">                                       </w:t>
      </w:r>
    </w:p>
    <w:p w14:paraId="52A00231">
      <w:pPr>
        <w:spacing w:line="800" w:lineRule="exact"/>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p w14:paraId="2199B43E">
      <w:pPr>
        <w:spacing w:line="800" w:lineRule="exact"/>
        <w:ind w:firstLine="480" w:firstLineChars="200"/>
        <w:rPr>
          <w:rFonts w:hint="eastAsia" w:ascii="宋体" w:hAnsi="宋体" w:eastAsia="宋体" w:cs="宋体"/>
          <w:color w:val="auto"/>
          <w:sz w:val="24"/>
          <w:szCs w:val="24"/>
          <w:highlight w:val="none"/>
        </w:rPr>
      </w:pPr>
    </w:p>
    <w:p w14:paraId="1F275674">
      <w:pPr>
        <w:spacing w:line="8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(单位盖章)</w:t>
      </w:r>
    </w:p>
    <w:p w14:paraId="325B5BC2">
      <w:pPr>
        <w:spacing w:line="8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(签字或盖章)</w:t>
      </w:r>
    </w:p>
    <w:p w14:paraId="0AD5B94B">
      <w:pPr>
        <w:spacing w:line="8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编制人：</w:t>
      </w:r>
      <w:r>
        <w:rPr>
          <w:rFonts w:hint="eastAsia" w:ascii="宋体" w:hAnsi="宋体" w:eastAsia="宋体" w:cs="宋体"/>
          <w:color w:val="auto"/>
          <w:sz w:val="24"/>
          <w:szCs w:val="24"/>
          <w:highlight w:val="none"/>
          <w:u w:val="single"/>
        </w:rPr>
        <w:t xml:space="preserve">                                                 </w:t>
      </w:r>
    </w:p>
    <w:p w14:paraId="2823A556">
      <w:pPr>
        <w:spacing w:line="8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6B4DEF6">
      <w:pPr>
        <w:rPr>
          <w:rFonts w:hint="eastAsia" w:ascii="宋体" w:hAnsi="宋体" w:eastAsia="宋体" w:cs="宋体"/>
          <w:color w:val="auto"/>
          <w:sz w:val="24"/>
          <w:szCs w:val="24"/>
          <w:highlight w:val="none"/>
        </w:rPr>
      </w:pPr>
    </w:p>
    <w:p w14:paraId="156054E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38F2D6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bookmarkEnd w:id="74"/>
      <w:bookmarkEnd w:id="75"/>
      <w:r>
        <w:rPr>
          <w:rFonts w:hint="eastAsia" w:asciiTheme="minorEastAsia" w:hAnsiTheme="minorEastAsia" w:eastAsiaTheme="minorEastAsia"/>
          <w:b/>
          <w:color w:val="auto"/>
          <w:sz w:val="24"/>
          <w:highlight w:val="none"/>
        </w:rPr>
        <w:t>、最后承诺报价表</w:t>
      </w:r>
      <w:bookmarkEnd w:id="76"/>
      <w:bookmarkEnd w:id="77"/>
      <w:bookmarkEnd w:id="78"/>
    </w:p>
    <w:p w14:paraId="2A6FCFDC">
      <w:pPr>
        <w:spacing w:before="156" w:beforeLines="50" w:after="156" w:afterLines="50" w:line="360" w:lineRule="auto"/>
        <w:ind w:firstLine="236" w:firstLineChars="98"/>
        <w:jc w:val="center"/>
        <w:outlineLvl w:val="9"/>
        <w:rPr>
          <w:b/>
          <w:color w:val="auto"/>
          <w:sz w:val="24"/>
          <w:szCs w:val="28"/>
          <w:highlight w:val="none"/>
        </w:rPr>
      </w:pPr>
      <w:bookmarkStart w:id="79" w:name="_Toc16156"/>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79"/>
    </w:p>
    <w:p w14:paraId="35B3F594">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4F7EEE0D">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157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CB4D19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39805B02">
            <w:pPr>
              <w:rPr>
                <w:rFonts w:cs="宋体" w:asciiTheme="minorEastAsia" w:hAnsiTheme="minorEastAsia" w:eastAsiaTheme="minorEastAsia"/>
                <w:b/>
                <w:color w:val="auto"/>
                <w:kern w:val="2"/>
                <w:sz w:val="24"/>
                <w:szCs w:val="24"/>
                <w:highlight w:val="none"/>
              </w:rPr>
            </w:pPr>
          </w:p>
        </w:tc>
      </w:tr>
      <w:tr w14:paraId="3912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ED352E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7C61EF01">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rPr>
              <w:t xml:space="preserve">全部 </w:t>
            </w:r>
            <w:r>
              <w:rPr>
                <w:rFonts w:hint="eastAsia" w:cs="@仿宋_GB2312" w:asciiTheme="minorEastAsia" w:hAnsiTheme="minorEastAsia" w:eastAsiaTheme="minorEastAsia"/>
                <w:color w:val="auto"/>
                <w:kern w:val="2"/>
                <w:sz w:val="24"/>
                <w:szCs w:val="28"/>
                <w:highlight w:val="none"/>
                <w:lang w:val="en-US" w:eastAsia="zh-CN"/>
              </w:rPr>
              <w:t xml:space="preserve"> </w:t>
            </w:r>
          </w:p>
        </w:tc>
      </w:tr>
      <w:tr w14:paraId="0582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29C2606">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6A9C40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7F75B226">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0D8C92E9">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63D9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F3D4E6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48ED6EA6">
            <w:pPr>
              <w:snapToGrid w:val="0"/>
              <w:rPr>
                <w:rFonts w:cs="宋体" w:asciiTheme="minorEastAsia" w:hAnsiTheme="minorEastAsia" w:eastAsiaTheme="minorEastAsia"/>
                <w:b/>
                <w:color w:val="auto"/>
                <w:kern w:val="2"/>
                <w:sz w:val="24"/>
                <w:szCs w:val="24"/>
                <w:highlight w:val="none"/>
              </w:rPr>
            </w:pPr>
          </w:p>
        </w:tc>
      </w:tr>
      <w:tr w14:paraId="559D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3131594B">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5950" w:type="dxa"/>
            <w:vAlign w:val="center"/>
          </w:tcPr>
          <w:p w14:paraId="2E6CF1D7">
            <w:pPr>
              <w:snapToGrid w:val="0"/>
              <w:rPr>
                <w:rFonts w:cs="宋体" w:asciiTheme="minorEastAsia" w:hAnsiTheme="minorEastAsia" w:eastAsiaTheme="minorEastAsia"/>
                <w:b/>
                <w:color w:val="auto"/>
                <w:kern w:val="2"/>
                <w:sz w:val="24"/>
                <w:szCs w:val="24"/>
                <w:highlight w:val="none"/>
              </w:rPr>
            </w:pPr>
            <w:r>
              <w:rPr>
                <w:rFonts w:hint="eastAsia" w:ascii="宋体" w:hAnsi="宋体" w:eastAsia="宋体" w:cs="宋体"/>
                <w:color w:val="auto"/>
                <w:sz w:val="24"/>
                <w:highlight w:val="none"/>
                <w:lang w:val="en-US" w:eastAsia="zh-CN"/>
              </w:rPr>
              <w:t>自合同签订并接到采购人通知后50个日历天内完成绿化建设工作；养护期为验收合格之日起一年。</w:t>
            </w:r>
          </w:p>
        </w:tc>
      </w:tr>
      <w:tr w14:paraId="118A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2715C53">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647F1CA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A19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5D10E4C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2E2FBF35">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（此处可补充谈判小组根据与供应商谈判情况变动的谈判文件的内容，包括采购需求中的技术、服务要求以及合同草案条款。）</w:t>
            </w:r>
          </w:p>
        </w:tc>
      </w:tr>
      <w:tr w14:paraId="0B24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509" w:type="pct"/>
            <w:vAlign w:val="center"/>
          </w:tcPr>
          <w:p w14:paraId="15B9346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谈判小组签字</w:t>
            </w:r>
          </w:p>
        </w:tc>
        <w:tc>
          <w:tcPr>
            <w:tcW w:w="3491" w:type="pct"/>
          </w:tcPr>
          <w:p w14:paraId="4BD7C20A">
            <w:pPr>
              <w:rPr>
                <w:rFonts w:cs="宋体" w:asciiTheme="minorEastAsia" w:hAnsiTheme="minorEastAsia" w:eastAsiaTheme="minorEastAsia"/>
                <w:b/>
                <w:color w:val="auto"/>
                <w:kern w:val="2"/>
                <w:sz w:val="24"/>
                <w:szCs w:val="24"/>
                <w:highlight w:val="none"/>
              </w:rPr>
            </w:pPr>
          </w:p>
        </w:tc>
      </w:tr>
    </w:tbl>
    <w:p w14:paraId="689F1EC3">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2CDBB557">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0EB34D0E">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075BD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w:t>
      </w:r>
      <w:r>
        <w:rPr>
          <w:rFonts w:hint="eastAsia" w:cs="@仿宋_GB2312"/>
          <w:b/>
          <w:bCs/>
          <w:color w:val="auto"/>
          <w:kern w:val="2"/>
          <w:sz w:val="24"/>
          <w:highlight w:val="none"/>
        </w:rPr>
        <w:t>本页《报价表》由供应商在接到报价通知后依据谈判情况填写,并在规定时间内提交。</w:t>
      </w:r>
      <w:r>
        <w:rPr>
          <w:rFonts w:hint="eastAsia" w:cs="宋体" w:asciiTheme="minorEastAsia" w:hAnsiTheme="minorEastAsia" w:eastAsiaTheme="minorEastAsia"/>
          <w:color w:val="auto"/>
          <w:kern w:val="2"/>
          <w:sz w:val="24"/>
          <w:szCs w:val="24"/>
          <w:highlight w:val="none"/>
        </w:rPr>
        <w:t>考虑谈判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54010CE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2.表中大写金额与小写金额不一致的，以大写金额为准。</w:t>
      </w:r>
    </w:p>
    <w:p w14:paraId="11331209">
      <w:pPr>
        <w:keepNext w:val="0"/>
        <w:keepLines w:val="0"/>
        <w:pageBreakBefore/>
        <w:widowControl/>
        <w:kinsoku/>
        <w:wordWrap/>
        <w:overflowPunct/>
        <w:topLinePunct w:val="0"/>
        <w:autoSpaceDE/>
        <w:autoSpaceDN/>
        <w:bidi w:val="0"/>
        <w:adjustRightInd/>
        <w:snapToGrid/>
        <w:jc w:val="center"/>
        <w:textAlignment w:val="auto"/>
        <w:rPr>
          <w:rFonts w:cs="@仿宋_GB2312" w:asciiTheme="minorEastAsia" w:hAnsiTheme="minorEastAsia" w:eastAsiaTheme="minorEastAsia"/>
          <w:b/>
          <w:bCs/>
          <w:color w:val="auto"/>
          <w:kern w:val="2"/>
          <w:sz w:val="24"/>
          <w:szCs w:val="24"/>
          <w:highlight w:val="none"/>
        </w:rPr>
      </w:pPr>
      <w:bookmarkStart w:id="80" w:name="_Toc15150"/>
      <w:bookmarkStart w:id="81" w:name="_Toc1235"/>
      <w:bookmarkStart w:id="82"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80"/>
      <w:bookmarkEnd w:id="81"/>
    </w:p>
    <w:p w14:paraId="186DFE1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081A08A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F2DC15C">
      <w:pPr>
        <w:spacing w:line="360" w:lineRule="auto"/>
        <w:jc w:val="center"/>
        <w:outlineLvl w:val="1"/>
        <w:rPr>
          <w:rFonts w:asciiTheme="minorEastAsia" w:hAnsiTheme="minorEastAsia" w:eastAsiaTheme="minorEastAsia"/>
          <w:b/>
          <w:color w:val="auto"/>
          <w:sz w:val="24"/>
          <w:highlight w:val="none"/>
        </w:rPr>
      </w:pPr>
      <w:bookmarkStart w:id="83" w:name="_Toc6032"/>
      <w:bookmarkStart w:id="84" w:name="_Toc6969"/>
      <w:r>
        <w:rPr>
          <w:rFonts w:hint="eastAsia" w:asciiTheme="minorEastAsia" w:hAnsiTheme="minorEastAsia" w:eastAsiaTheme="minorEastAsia"/>
          <w:b/>
          <w:color w:val="auto"/>
          <w:sz w:val="24"/>
          <w:highlight w:val="none"/>
        </w:rPr>
        <w:t>四、谈判响应函</w:t>
      </w:r>
      <w:bookmarkEnd w:id="82"/>
      <w:bookmarkEnd w:id="83"/>
      <w:bookmarkEnd w:id="84"/>
    </w:p>
    <w:p w14:paraId="4432B503">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4E5E4E97">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根据贵方的竞争性谈判公告和谈判邀请，我方兹宣布同意如下：</w:t>
      </w:r>
    </w:p>
    <w:p w14:paraId="3818D8F4">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1.经踏勘项目现场和研究上述谈判文件的谈判须知、合同条款、图纸和工程建设技术标准及其他有关文件后，我方接受上述文件要求，并对工程量清单及最高投标限价无异议。我方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承诺按本谈判文件、合同条款和工程建设技术标准的条件、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151DF95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2.我方已详细审核并确认全部谈判文件及有关附件，充分理解谈判价格不得低于企业个别成本有关规定。我方经成本核算，所填报的谈判报价不低于企业个别成本。</w:t>
      </w:r>
    </w:p>
    <w:p w14:paraId="180D128A">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约定的工期和</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或业主开工令的要求如期开工、工程质量达到合格标准、如期竣工并移交整个工程。</w:t>
      </w:r>
    </w:p>
    <w:p w14:paraId="3D9981E2">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规定的</w:t>
      </w:r>
      <w:r>
        <w:rPr>
          <w:rFonts w:hint="eastAsia" w:cs="宋体"/>
          <w:color w:val="auto"/>
          <w:kern w:val="2"/>
          <w:sz w:val="24"/>
          <w:szCs w:val="24"/>
          <w:highlight w:val="none"/>
          <w:lang w:eastAsia="zh-CN"/>
        </w:rPr>
        <w:t>谈判有效期</w:t>
      </w:r>
      <w:r>
        <w:rPr>
          <w:rFonts w:hint="eastAsia" w:ascii="宋体" w:hAnsi="宋体" w:eastAsia="宋体" w:cs="宋体"/>
          <w:color w:val="auto"/>
          <w:kern w:val="2"/>
          <w:sz w:val="24"/>
          <w:szCs w:val="24"/>
          <w:highlight w:val="none"/>
        </w:rPr>
        <w:t>内有效，在此期间内如果成交，我方将受此约束。</w:t>
      </w:r>
    </w:p>
    <w:p w14:paraId="7D39329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澄清、修改、补充将成为约束双方的合同文件的组成部分。</w:t>
      </w:r>
    </w:p>
    <w:p w14:paraId="7D902A9B">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0E056EB9">
      <w:pPr>
        <w:spacing w:line="360" w:lineRule="auto"/>
        <w:ind w:firstLine="3600" w:firstLineChars="1500"/>
        <w:rPr>
          <w:rFonts w:cs="@仿宋_GB2312"/>
          <w:color w:val="auto"/>
          <w:kern w:val="2"/>
          <w:sz w:val="24"/>
          <w:highlight w:val="none"/>
        </w:rPr>
      </w:pPr>
    </w:p>
    <w:p w14:paraId="5FDEE6F2">
      <w:pPr>
        <w:spacing w:line="360" w:lineRule="auto"/>
        <w:ind w:firstLine="3600" w:firstLineChars="15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26979E8E">
      <w:pPr>
        <w:spacing w:line="360" w:lineRule="auto"/>
        <w:ind w:firstLine="3600" w:firstLineChars="15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6CED607C">
      <w:pPr>
        <w:widowControl/>
        <w:jc w:val="left"/>
        <w:rPr>
          <w:color w:val="auto"/>
          <w:sz w:val="24"/>
          <w:highlight w:val="none"/>
        </w:rPr>
      </w:pPr>
      <w:r>
        <w:rPr>
          <w:color w:val="auto"/>
          <w:sz w:val="24"/>
          <w:highlight w:val="none"/>
        </w:rPr>
        <w:br w:type="page"/>
      </w:r>
    </w:p>
    <w:p w14:paraId="0EC635C1">
      <w:pPr>
        <w:spacing w:line="360" w:lineRule="auto"/>
        <w:jc w:val="center"/>
        <w:outlineLvl w:val="1"/>
        <w:rPr>
          <w:b/>
          <w:i/>
          <w:color w:val="auto"/>
          <w:sz w:val="24"/>
          <w:highlight w:val="none"/>
        </w:rPr>
      </w:pPr>
      <w:bookmarkStart w:id="85" w:name="_Toc2947"/>
      <w:bookmarkStart w:id="86" w:name="_Toc16222"/>
      <w:r>
        <w:rPr>
          <w:rFonts w:hint="eastAsia" w:asciiTheme="minorEastAsia" w:hAnsiTheme="minorEastAsia" w:eastAsiaTheme="minorEastAsia"/>
          <w:b/>
          <w:color w:val="auto"/>
          <w:sz w:val="24"/>
          <w:highlight w:val="none"/>
        </w:rPr>
        <w:t>五、</w:t>
      </w:r>
      <w:bookmarkEnd w:id="85"/>
      <w:bookmarkStart w:id="87" w:name="_Toc8658"/>
      <w:r>
        <w:rPr>
          <w:rFonts w:hint="eastAsia" w:asciiTheme="minorEastAsia" w:hAnsiTheme="minorEastAsia" w:eastAsiaTheme="minorEastAsia"/>
          <w:b/>
          <w:color w:val="auto"/>
          <w:sz w:val="24"/>
          <w:highlight w:val="none"/>
          <w:lang w:val="en-US" w:eastAsia="zh-CN"/>
        </w:rPr>
        <w:t>供应商资格声明书</w:t>
      </w:r>
      <w:bookmarkEnd w:id="86"/>
      <w:r>
        <w:rPr>
          <w:rFonts w:hint="eastAsia" w:asciiTheme="minorEastAsia" w:hAnsiTheme="minorEastAsia" w:eastAsiaTheme="minorEastAsia"/>
          <w:b/>
          <w:color w:val="auto"/>
          <w:sz w:val="24"/>
          <w:highlight w:val="none"/>
          <w:lang w:val="en-US" w:eastAsia="zh-CN"/>
        </w:rPr>
        <w:t xml:space="preserve"> </w:t>
      </w:r>
    </w:p>
    <w:p w14:paraId="40134F07">
      <w:pPr>
        <w:pStyle w:val="15"/>
        <w:spacing w:line="360" w:lineRule="auto"/>
        <w:outlineLvl w:val="9"/>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42CBE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在参与本次项目谈判中，我单位承诺：</w:t>
      </w:r>
    </w:p>
    <w:p w14:paraId="581E87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122D3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4CBB8D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D8CA2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0D72A6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3FEF6AF1">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资格行为，且处于处罚期内的情况；</w:t>
      </w:r>
    </w:p>
    <w:p w14:paraId="4FE6CE0F">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673A94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25ECF9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CC7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7FEA264">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6CA21603">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6A13448">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0ECC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83C8FF1">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B2E193D">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B7941F1">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2806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C144F1">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1FA9676A">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B4A684F">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187AE1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6BF7856">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765401F">
      <w:pPr>
        <w:spacing w:line="360" w:lineRule="auto"/>
        <w:jc w:val="center"/>
        <w:outlineLvl w:val="9"/>
        <w:rPr>
          <w:b/>
          <w:i/>
          <w:color w:val="auto"/>
          <w:sz w:val="24"/>
          <w:highlight w:val="none"/>
        </w:r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bookmarkEnd w:id="87"/>
    <w:p w14:paraId="103ABA73">
      <w:pPr>
        <w:spacing w:line="360" w:lineRule="auto"/>
        <w:jc w:val="center"/>
        <w:outlineLvl w:val="1"/>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bookmarkStart w:id="88" w:name="_Toc121626298"/>
      <w:bookmarkStart w:id="89" w:name="_Toc516969106"/>
      <w:bookmarkStart w:id="90" w:name="_Toc520983594"/>
      <w:bookmarkStart w:id="91" w:name="_Toc204594911"/>
      <w:bookmarkStart w:id="92" w:name="_Toc8203"/>
    </w:p>
    <w:p w14:paraId="6BF3CB2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93" w:name="_Toc11666"/>
      <w:r>
        <w:rPr>
          <w:rFonts w:hint="eastAsia" w:asciiTheme="minorEastAsia" w:hAnsiTheme="minorEastAsia" w:eastAsiaTheme="minorEastAsia"/>
          <w:b/>
          <w:color w:val="auto"/>
          <w:sz w:val="24"/>
          <w:highlight w:val="none"/>
        </w:rPr>
        <w:t>六、</w:t>
      </w:r>
      <w:r>
        <w:rPr>
          <w:rFonts w:hint="eastAsia" w:ascii="宋体" w:hAnsi="宋体" w:eastAsia="宋体" w:cs="宋体"/>
          <w:b/>
          <w:bCs w:val="0"/>
          <w:color w:val="auto"/>
          <w:kern w:val="2"/>
          <w:sz w:val="24"/>
          <w:szCs w:val="24"/>
          <w:highlight w:val="none"/>
          <w:lang w:val="en-US" w:eastAsia="zh-CN" w:bidi="ar"/>
        </w:rPr>
        <w:t>诚信响应承诺书</w:t>
      </w:r>
    </w:p>
    <w:p w14:paraId="2D00CE6F">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0DCD438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项目的响应，所提供的一切材料都是真实、有效、合法的；</w:t>
      </w:r>
    </w:p>
    <w:p w14:paraId="48F62C9D">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4C6CC57">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三、不出借、转让资质证书，不让他人挂靠投标，不以他人名义投标或者以其他方式弄虚作假，骗取成交；</w:t>
      </w:r>
    </w:p>
    <w:p w14:paraId="28A1E327">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四、不与其他供应商相互串通响应报价，不排挤其他供应商的公平竞争、损害采购人的合法权益；</w:t>
      </w:r>
    </w:p>
    <w:p w14:paraId="6AAC30A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五、不与采购人、采购代理机构或其他供应商串通响应，损害国家利益、社会公共利益或者他人的合法权益；</w:t>
      </w:r>
    </w:p>
    <w:p w14:paraId="0624171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D9EF7D0">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七、严格遵守会议现场纪律，服从监管人员管理；</w:t>
      </w:r>
    </w:p>
    <w:p w14:paraId="01120CE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八、保证成交后不转包，若有分包征得采购人同意；</w:t>
      </w:r>
    </w:p>
    <w:p w14:paraId="4F5E405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九、保证成交之后，按照响应文件要求提供相关后续服务；</w:t>
      </w:r>
    </w:p>
    <w:p w14:paraId="0E35671D">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十、保证企业及所属相关人员在本次响应中无行贿等犯罪行为；</w:t>
      </w:r>
    </w:p>
    <w:p w14:paraId="2FFEAC64">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4AE2E2D">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谈判或者中标（成交）资格、中标（成交）无效、记入不良行为记录等有关处理，愿意承担法律责任，给采购人造成损失的，依法承担赔偿责任。</w:t>
      </w:r>
    </w:p>
    <w:p w14:paraId="3A149FA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386F3E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C7CEAEA">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基本账户：</w:t>
      </w:r>
    </w:p>
    <w:p w14:paraId="148DDC9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供应商（签章）：                  法定代表人（签章）：</w:t>
      </w:r>
    </w:p>
    <w:p w14:paraId="56062BE4">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30323CA">
      <w:pPr>
        <w:keepNext w:val="0"/>
        <w:keepLines w:val="0"/>
        <w:widowControl w:val="0"/>
        <w:suppressLineNumbers w:val="0"/>
        <w:spacing w:before="0" w:beforeAutospacing="0" w:after="0" w:afterAutospacing="0" w:line="560" w:lineRule="exact"/>
        <w:ind w:left="0" w:right="0"/>
        <w:jc w:val="right"/>
        <w:rPr>
          <w:rFonts w:hint="eastAsia" w:ascii="仿宋_GB2312" w:hAnsi="@仿宋_GB2312" w:eastAsia="仿宋_GB2312" w:cs="仿宋_GB2312"/>
          <w:color w:val="auto"/>
          <w:kern w:val="2"/>
          <w:sz w:val="32"/>
          <w:szCs w:val="32"/>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月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3A58650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3E1C5E0A">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p>
    <w:p w14:paraId="23B8359B">
      <w:pPr>
        <w:spacing w:line="360" w:lineRule="auto"/>
        <w:jc w:val="center"/>
        <w:outlineLvl w:val="1"/>
        <w:rPr>
          <w:rFonts w:hint="eastAsia" w:asciiTheme="minorEastAsia" w:hAnsiTheme="minorEastAsia" w:eastAsiaTheme="minorEastAsia"/>
          <w:b/>
          <w:color w:val="auto"/>
          <w:sz w:val="24"/>
          <w:highlight w:val="none"/>
        </w:rPr>
      </w:pPr>
    </w:p>
    <w:p w14:paraId="06B68DCC">
      <w:pPr>
        <w:spacing w:line="360" w:lineRule="auto"/>
        <w:jc w:val="center"/>
        <w:outlineLvl w:val="1"/>
        <w:rPr>
          <w:rFonts w:hint="eastAsia" w:asciiTheme="minorEastAsia" w:hAnsiTheme="minorEastAsia" w:eastAsiaTheme="minorEastAsia"/>
          <w:b/>
          <w:color w:val="auto"/>
          <w:sz w:val="24"/>
          <w:highlight w:val="none"/>
        </w:rPr>
      </w:pPr>
    </w:p>
    <w:p w14:paraId="6392CF77">
      <w:pPr>
        <w:spacing w:line="360" w:lineRule="auto"/>
        <w:jc w:val="center"/>
        <w:outlineLvl w:val="1"/>
        <w:rPr>
          <w:rFonts w:hint="eastAsia" w:asciiTheme="minorEastAsia" w:hAnsiTheme="minorEastAsia" w:eastAsiaTheme="minorEastAsia"/>
          <w:b/>
          <w:color w:val="auto"/>
          <w:sz w:val="24"/>
          <w:highlight w:val="none"/>
        </w:rPr>
      </w:pPr>
    </w:p>
    <w:p w14:paraId="114EA004">
      <w:pPr>
        <w:spacing w:line="360" w:lineRule="auto"/>
        <w:jc w:val="center"/>
        <w:outlineLvl w:val="1"/>
        <w:rPr>
          <w:rFonts w:hint="eastAsia" w:asciiTheme="minorEastAsia" w:hAnsiTheme="minorEastAsia" w:eastAsiaTheme="minorEastAsia"/>
          <w:b/>
          <w:color w:val="auto"/>
          <w:sz w:val="24"/>
          <w:highlight w:val="none"/>
        </w:rPr>
      </w:pPr>
    </w:p>
    <w:p w14:paraId="0038A6EE">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363F5C4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授权书</w:t>
      </w:r>
      <w:bookmarkEnd w:id="88"/>
      <w:bookmarkEnd w:id="89"/>
      <w:bookmarkEnd w:id="90"/>
      <w:bookmarkEnd w:id="91"/>
      <w:bookmarkEnd w:id="92"/>
      <w:bookmarkEnd w:id="93"/>
    </w:p>
    <w:p w14:paraId="3A6DCE07">
      <w:pPr>
        <w:spacing w:line="360" w:lineRule="auto"/>
        <w:jc w:val="center"/>
        <w:rPr>
          <w:rFonts w:asciiTheme="minorEastAsia" w:hAnsiTheme="minorEastAsia" w:eastAsiaTheme="minorEastAsia"/>
          <w:b/>
          <w:color w:val="auto"/>
          <w:sz w:val="24"/>
          <w:highlight w:val="none"/>
        </w:rPr>
      </w:pPr>
    </w:p>
    <w:p w14:paraId="5340C71A">
      <w:pPr>
        <w:pStyle w:val="14"/>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5422573">
      <w:pPr>
        <w:pStyle w:val="14"/>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9F6A2FC">
      <w:pPr>
        <w:pStyle w:val="14"/>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55331141">
      <w:pPr>
        <w:pStyle w:val="14"/>
        <w:snapToGrid w:val="0"/>
        <w:spacing w:line="360" w:lineRule="auto"/>
        <w:ind w:firstLine="480" w:firstLineChars="200"/>
        <w:jc w:val="left"/>
        <w:rPr>
          <w:rFonts w:hAnsi="宋体" w:eastAsia="宋体"/>
          <w:color w:val="auto"/>
          <w:sz w:val="24"/>
          <w:highlight w:val="none"/>
        </w:rPr>
      </w:pPr>
    </w:p>
    <w:p w14:paraId="449D03F3">
      <w:pPr>
        <w:pStyle w:val="14"/>
        <w:snapToGrid w:val="0"/>
        <w:spacing w:line="360" w:lineRule="auto"/>
        <w:ind w:firstLine="480" w:firstLineChars="200"/>
        <w:jc w:val="left"/>
        <w:rPr>
          <w:rFonts w:hAnsi="宋体" w:eastAsia="宋体"/>
          <w:color w:val="auto"/>
          <w:sz w:val="24"/>
          <w:highlight w:val="none"/>
        </w:rPr>
      </w:pPr>
    </w:p>
    <w:p w14:paraId="139D15F5">
      <w:pPr>
        <w:pStyle w:val="14"/>
        <w:snapToGrid w:val="0"/>
        <w:spacing w:line="360" w:lineRule="auto"/>
        <w:ind w:firstLine="480" w:firstLineChars="200"/>
        <w:jc w:val="left"/>
        <w:rPr>
          <w:rFonts w:hAnsi="宋体" w:eastAsia="宋体"/>
          <w:color w:val="auto"/>
          <w:sz w:val="24"/>
          <w:highlight w:val="none"/>
        </w:rPr>
      </w:pPr>
    </w:p>
    <w:p w14:paraId="16663AFC">
      <w:pPr>
        <w:pStyle w:val="14"/>
        <w:snapToGrid w:val="0"/>
        <w:spacing w:line="360" w:lineRule="auto"/>
        <w:ind w:firstLine="480" w:firstLineChars="200"/>
        <w:jc w:val="left"/>
        <w:rPr>
          <w:rFonts w:hAnsi="宋体" w:eastAsia="宋体"/>
          <w:color w:val="auto"/>
          <w:sz w:val="24"/>
          <w:highlight w:val="none"/>
        </w:rPr>
      </w:pPr>
    </w:p>
    <w:p w14:paraId="4A4E04E1">
      <w:pPr>
        <w:pStyle w:val="14"/>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EB3B380">
      <w:pPr>
        <w:pStyle w:val="14"/>
        <w:snapToGrid w:val="0"/>
        <w:spacing w:line="360" w:lineRule="auto"/>
        <w:ind w:firstLine="480" w:firstLineChars="200"/>
        <w:jc w:val="left"/>
        <w:rPr>
          <w:rFonts w:hAnsi="宋体" w:eastAsia="宋体"/>
          <w:color w:val="auto"/>
          <w:sz w:val="24"/>
          <w:szCs w:val="28"/>
          <w:highlight w:val="none"/>
        </w:rPr>
      </w:pPr>
    </w:p>
    <w:p w14:paraId="0253B126">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6BFB8561">
      <w:pPr>
        <w:spacing w:line="360" w:lineRule="auto"/>
        <w:rPr>
          <w:color w:val="auto"/>
          <w:sz w:val="24"/>
          <w:szCs w:val="28"/>
          <w:highlight w:val="none"/>
        </w:rPr>
      </w:pPr>
    </w:p>
    <w:p w14:paraId="2B4EB0FB">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718267D7">
      <w:pPr>
        <w:spacing w:line="360" w:lineRule="auto"/>
        <w:jc w:val="center"/>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1C98D45F">
      <w:pPr>
        <w:spacing w:line="360" w:lineRule="auto"/>
        <w:rPr>
          <w:color w:val="auto"/>
          <w:sz w:val="24"/>
          <w:szCs w:val="28"/>
          <w:highlight w:val="none"/>
        </w:rPr>
      </w:pPr>
    </w:p>
    <w:p w14:paraId="7F0BA56F">
      <w:pPr>
        <w:spacing w:line="360" w:lineRule="auto"/>
        <w:rPr>
          <w:color w:val="auto"/>
          <w:sz w:val="24"/>
          <w:szCs w:val="28"/>
          <w:highlight w:val="none"/>
        </w:rPr>
      </w:pPr>
    </w:p>
    <w:p w14:paraId="27C95A2D">
      <w:pPr>
        <w:pStyle w:val="14"/>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4EEEB5B9">
      <w:pPr>
        <w:pStyle w:val="14"/>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0EE7CDF8">
      <w:pPr>
        <w:spacing w:line="360" w:lineRule="auto"/>
        <w:jc w:val="left"/>
        <w:rPr>
          <w:color w:val="auto"/>
          <w:sz w:val="24"/>
          <w:highlight w:val="none"/>
        </w:rPr>
      </w:pPr>
      <w:r>
        <w:rPr>
          <w:rFonts w:hint="eastAsia"/>
          <w:color w:val="auto"/>
          <w:sz w:val="24"/>
          <w:highlight w:val="none"/>
        </w:rPr>
        <w:t>2.法定代表人参加谈判的无需提供授权书，仅提供身份证明扫描件。</w:t>
      </w:r>
    </w:p>
    <w:p w14:paraId="6E94F299">
      <w:pPr>
        <w:widowControl/>
        <w:jc w:val="left"/>
        <w:rPr>
          <w:color w:val="auto"/>
          <w:sz w:val="24"/>
          <w:highlight w:val="none"/>
        </w:rPr>
      </w:pPr>
      <w:r>
        <w:rPr>
          <w:color w:val="auto"/>
          <w:sz w:val="24"/>
          <w:highlight w:val="none"/>
        </w:rPr>
        <w:br w:type="page"/>
      </w:r>
    </w:p>
    <w:p w14:paraId="4990BD04">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94" w:name="_Toc15839"/>
      <w:bookmarkStart w:id="95" w:name="_Toc2484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、法定代表人身份证明书</w:t>
      </w:r>
      <w:bookmarkEnd w:id="94"/>
      <w:bookmarkEnd w:id="95"/>
    </w:p>
    <w:p w14:paraId="3CCB0674">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25FDC4DD">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单位名称：</w:t>
      </w:r>
      <w:r>
        <w:rPr>
          <w:rFonts w:hint="eastAsia" w:ascii="宋体" w:hAnsi="宋体" w:eastAsia="宋体" w:cs="宋体"/>
          <w:color w:val="auto"/>
          <w:kern w:val="2"/>
          <w:sz w:val="24"/>
          <w:szCs w:val="24"/>
          <w:highlight w:val="none"/>
          <w:u w:val="single"/>
        </w:rPr>
        <w:t xml:space="preserve">                                          </w:t>
      </w:r>
    </w:p>
    <w:p w14:paraId="08E6651F">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r>
        <w:rPr>
          <w:rFonts w:hint="eastAsia" w:ascii="宋体" w:hAnsi="宋体" w:eastAsia="宋体" w:cs="宋体"/>
          <w:color w:val="auto"/>
          <w:kern w:val="2"/>
          <w:sz w:val="24"/>
          <w:szCs w:val="24"/>
          <w:highlight w:val="none"/>
          <w:u w:val="single"/>
        </w:rPr>
        <w:t xml:space="preserve">                                          </w:t>
      </w:r>
    </w:p>
    <w:p w14:paraId="27AE196F">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p>
    <w:p w14:paraId="36669FD0">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2B856669">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r>
        <w:rPr>
          <w:rFonts w:hint="eastAsia" w:ascii="宋体" w:hAnsi="宋体" w:eastAsia="宋体" w:cs="宋体"/>
          <w:color w:val="auto"/>
          <w:kern w:val="2"/>
          <w:sz w:val="24"/>
          <w:szCs w:val="24"/>
          <w:highlight w:val="none"/>
          <w:u w:val="single"/>
        </w:rPr>
        <w:t xml:space="preserve">                                          </w:t>
      </w:r>
    </w:p>
    <w:p w14:paraId="07F34E87">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    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性    别：</w:t>
      </w:r>
      <w:r>
        <w:rPr>
          <w:rFonts w:hint="eastAsia" w:ascii="宋体" w:hAnsi="宋体" w:eastAsia="宋体" w:cs="宋体"/>
          <w:color w:val="auto"/>
          <w:kern w:val="2"/>
          <w:sz w:val="24"/>
          <w:szCs w:val="24"/>
          <w:highlight w:val="none"/>
          <w:u w:val="single"/>
        </w:rPr>
        <w:t xml:space="preserve">             </w:t>
      </w:r>
    </w:p>
    <w:p w14:paraId="1A371A48">
      <w:pPr>
        <w:snapToGrid w:val="0"/>
        <w:spacing w:line="360" w:lineRule="auto"/>
        <w:ind w:firstLine="480" w:firstLineChars="20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年    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职    务：</w:t>
      </w:r>
      <w:r>
        <w:rPr>
          <w:rFonts w:hint="eastAsia" w:ascii="宋体" w:hAnsi="宋体" w:eastAsia="宋体" w:cs="宋体"/>
          <w:color w:val="auto"/>
          <w:kern w:val="2"/>
          <w:sz w:val="24"/>
          <w:szCs w:val="24"/>
          <w:highlight w:val="none"/>
          <w:u w:val="single"/>
        </w:rPr>
        <w:t xml:space="preserve">             </w:t>
      </w:r>
    </w:p>
    <w:p w14:paraId="170225C1">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手机号码：</w:t>
      </w:r>
      <w:r>
        <w:rPr>
          <w:rFonts w:hint="eastAsia" w:ascii="宋体" w:hAnsi="宋体" w:eastAsia="宋体" w:cs="宋体"/>
          <w:color w:val="auto"/>
          <w:kern w:val="2"/>
          <w:sz w:val="24"/>
          <w:szCs w:val="24"/>
          <w:highlight w:val="none"/>
          <w:u w:val="single"/>
        </w:rPr>
        <w:t xml:space="preserve">             </w:t>
      </w:r>
    </w:p>
    <w:p w14:paraId="2C81E795">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系  </w:t>
      </w:r>
      <w:r>
        <w:rPr>
          <w:rFonts w:hint="eastAsia" w:ascii="宋体" w:hAnsi="宋体" w:eastAsia="宋体" w:cs="宋体"/>
          <w:color w:val="auto"/>
          <w:kern w:val="2"/>
          <w:sz w:val="24"/>
          <w:szCs w:val="24"/>
          <w:highlight w:val="none"/>
          <w:u w:val="single"/>
        </w:rPr>
        <w:t xml:space="preserve">   （供应商单位名称）       </w:t>
      </w:r>
      <w:r>
        <w:rPr>
          <w:rFonts w:hint="eastAsia" w:ascii="宋体" w:hAnsi="宋体" w:eastAsia="宋体" w:cs="宋体"/>
          <w:color w:val="auto"/>
          <w:kern w:val="2"/>
          <w:sz w:val="24"/>
          <w:szCs w:val="24"/>
          <w:highlight w:val="none"/>
        </w:rPr>
        <w:t>的法定代表人。</w:t>
      </w:r>
    </w:p>
    <w:p w14:paraId="67D68BDF">
      <w:pPr>
        <w:spacing w:before="62" w:beforeLines="20" w:after="62" w:afterLines="20" w:line="540" w:lineRule="exact"/>
        <w:ind w:firstLine="610"/>
        <w:rPr>
          <w:rFonts w:hint="eastAsia" w:ascii="宋体" w:hAnsi="宋体" w:eastAsia="宋体" w:cs="宋体"/>
          <w:color w:val="auto"/>
          <w:kern w:val="2"/>
          <w:sz w:val="24"/>
          <w:szCs w:val="24"/>
          <w:highlight w:val="none"/>
        </w:rPr>
      </w:pPr>
    </w:p>
    <w:p w14:paraId="57420E2A">
      <w:pPr>
        <w:spacing w:before="62" w:beforeLines="20" w:after="62" w:afterLines="20" w:line="540" w:lineRule="exact"/>
        <w:ind w:left="420" w:leftChars="200"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0CCFEA65">
      <w:pPr>
        <w:tabs>
          <w:tab w:val="left" w:pos="720"/>
          <w:tab w:val="left" w:pos="900"/>
        </w:tabs>
        <w:spacing w:before="62" w:beforeLines="20" w:after="62" w:afterLines="20" w:line="5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附：法定代表人身份证扫描件</w:t>
      </w:r>
    </w:p>
    <w:p w14:paraId="612AD535">
      <w:pPr>
        <w:tabs>
          <w:tab w:val="left" w:pos="720"/>
          <w:tab w:val="left" w:pos="900"/>
        </w:tabs>
        <w:spacing w:before="62" w:beforeLines="20" w:after="62" w:afterLines="20" w:line="540" w:lineRule="exact"/>
        <w:ind w:firstLine="480" w:firstLineChars="200"/>
        <w:rPr>
          <w:rFonts w:hint="eastAsia" w:ascii="宋体" w:hAnsi="宋体" w:eastAsia="宋体" w:cs="宋体"/>
          <w:color w:val="auto"/>
          <w:kern w:val="2"/>
          <w:sz w:val="24"/>
          <w:szCs w:val="24"/>
          <w:highlight w:val="none"/>
        </w:rPr>
      </w:pPr>
    </w:p>
    <w:p w14:paraId="05FC8A9F">
      <w:pPr>
        <w:tabs>
          <w:tab w:val="left" w:pos="720"/>
          <w:tab w:val="left" w:pos="900"/>
        </w:tabs>
        <w:spacing w:before="62" w:beforeLines="20" w:after="62" w:afterLines="20" w:line="540" w:lineRule="exact"/>
        <w:ind w:firstLine="4560" w:firstLineChars="1900"/>
        <w:rPr>
          <w:rFonts w:hint="eastAsia" w:ascii="宋体" w:hAnsi="宋体" w:eastAsia="宋体" w:cs="宋体"/>
          <w:color w:val="auto"/>
          <w:kern w:val="2"/>
          <w:sz w:val="24"/>
          <w:szCs w:val="24"/>
          <w:highlight w:val="none"/>
        </w:rPr>
      </w:pPr>
    </w:p>
    <w:p w14:paraId="420C0313">
      <w:pPr>
        <w:spacing w:line="360" w:lineRule="auto"/>
        <w:ind w:firstLine="3840" w:firstLineChars="16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供应商电子签章：</w:t>
      </w:r>
      <w:r>
        <w:rPr>
          <w:rFonts w:hint="eastAsia" w:ascii="宋体" w:hAnsi="宋体" w:eastAsia="宋体" w:cs="宋体"/>
          <w:color w:val="auto"/>
          <w:kern w:val="2"/>
          <w:sz w:val="24"/>
          <w:szCs w:val="24"/>
          <w:highlight w:val="none"/>
          <w:u w:val="single"/>
        </w:rPr>
        <w:t xml:space="preserve">                     </w:t>
      </w:r>
    </w:p>
    <w:p w14:paraId="702C256F">
      <w:pPr>
        <w:spacing w:line="360" w:lineRule="auto"/>
        <w:ind w:firstLine="3840" w:firstLineChars="16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p>
    <w:p w14:paraId="0E8485A4">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F1CA277">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96" w:name="_Toc4373"/>
      <w:bookmarkStart w:id="97" w:name="_Toc32663"/>
      <w:r>
        <w:rPr>
          <w:rFonts w:hint="eastAsia" w:cs="@仿宋_GB2312" w:asciiTheme="minorEastAsia" w:hAnsiTheme="minorEastAsia" w:eastAsiaTheme="minorEastAsia"/>
          <w:b/>
          <w:bCs/>
          <w:color w:val="auto"/>
          <w:kern w:val="2"/>
          <w:sz w:val="24"/>
          <w:szCs w:val="24"/>
          <w:highlight w:val="none"/>
          <w:lang w:val="en-US" w:eastAsia="zh-CN"/>
        </w:rPr>
        <w:t>九</w:t>
      </w:r>
      <w:r>
        <w:rPr>
          <w:rFonts w:hint="eastAsia" w:cs="@仿宋_GB2312" w:asciiTheme="minorEastAsia" w:hAnsiTheme="minorEastAsia" w:eastAsiaTheme="minorEastAsia"/>
          <w:b/>
          <w:bCs/>
          <w:color w:val="auto"/>
          <w:kern w:val="2"/>
          <w:sz w:val="24"/>
          <w:szCs w:val="24"/>
          <w:highlight w:val="none"/>
        </w:rPr>
        <w:t>、项目经理承诺书</w:t>
      </w:r>
      <w:bookmarkEnd w:id="96"/>
      <w:bookmarkEnd w:id="97"/>
    </w:p>
    <w:p w14:paraId="2EFC6EBC">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1B0C8B6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谈判</w:t>
      </w:r>
      <w:r>
        <w:rPr>
          <w:rFonts w:hint="eastAsia" w:cs="宋体"/>
          <w:color w:val="auto"/>
          <w:kern w:val="2"/>
          <w:sz w:val="24"/>
          <w:szCs w:val="24"/>
          <w:highlight w:val="none"/>
        </w:rPr>
        <w:t>担任的项目经理，郑重承诺：</w:t>
      </w:r>
    </w:p>
    <w:p w14:paraId="43BF471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谈判</w:t>
      </w:r>
      <w:r>
        <w:rPr>
          <w:rFonts w:hint="eastAsia" w:cs="宋体"/>
          <w:color w:val="auto"/>
          <w:kern w:val="2"/>
          <w:sz w:val="24"/>
          <w:szCs w:val="24"/>
          <w:highlight w:val="none"/>
        </w:rPr>
        <w:t>而造假的行为。</w:t>
      </w:r>
    </w:p>
    <w:p w14:paraId="3F0AEFD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w:t>
      </w:r>
      <w:r>
        <w:rPr>
          <w:rFonts w:hint="eastAsia" w:cs="宋体"/>
          <w:color w:val="auto"/>
          <w:kern w:val="2"/>
          <w:sz w:val="24"/>
          <w:szCs w:val="24"/>
          <w:highlight w:val="none"/>
          <w:lang w:val="en-US" w:eastAsia="zh-CN"/>
        </w:rPr>
        <w:t>谈判</w:t>
      </w:r>
      <w:r>
        <w:rPr>
          <w:rFonts w:hint="eastAsia" w:cs="宋体"/>
          <w:color w:val="auto"/>
          <w:kern w:val="2"/>
          <w:sz w:val="24"/>
          <w:szCs w:val="24"/>
          <w:highlight w:val="none"/>
        </w:rPr>
        <w:t>文件规定履约。</w:t>
      </w:r>
    </w:p>
    <w:p w14:paraId="55FEC2AC">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2DCE1475">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4B6C78F3">
      <w:pPr>
        <w:spacing w:line="360" w:lineRule="auto"/>
        <w:ind w:firstLine="480" w:firstLineChars="200"/>
        <w:rPr>
          <w:rFonts w:cs="宋体"/>
          <w:color w:val="auto"/>
          <w:kern w:val="2"/>
          <w:sz w:val="24"/>
          <w:szCs w:val="24"/>
          <w:highlight w:val="none"/>
        </w:rPr>
      </w:pPr>
    </w:p>
    <w:p w14:paraId="6C937A4F">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0B752AAA">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5539A262">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3CC652B0">
      <w:pPr>
        <w:spacing w:line="360" w:lineRule="auto"/>
        <w:ind w:firstLine="480" w:firstLineChars="200"/>
        <w:rPr>
          <w:rFonts w:cs="宋体"/>
          <w:color w:val="auto"/>
          <w:kern w:val="2"/>
          <w:sz w:val="24"/>
          <w:szCs w:val="24"/>
          <w:highlight w:val="none"/>
        </w:rPr>
      </w:pPr>
    </w:p>
    <w:p w14:paraId="255FB3E0">
      <w:pPr>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b/>
          <w:bCs/>
          <w:color w:val="auto"/>
          <w:kern w:val="2"/>
          <w:sz w:val="24"/>
          <w:szCs w:val="24"/>
          <w:highlight w:val="none"/>
        </w:rPr>
        <w:t>注：本页后附项目经理身份证明扫描件。</w:t>
      </w:r>
    </w:p>
    <w:p w14:paraId="550079B0">
      <w:pPr>
        <w:spacing w:line="360" w:lineRule="auto"/>
        <w:ind w:firstLine="4200" w:firstLineChars="1750"/>
        <w:rPr>
          <w:rFonts w:ascii="@仿宋_GB2312" w:eastAsia="@仿宋_GB2312" w:cs="宋体"/>
          <w:color w:val="auto"/>
          <w:kern w:val="2"/>
          <w:sz w:val="24"/>
          <w:szCs w:val="24"/>
          <w:highlight w:val="none"/>
          <w:lang w:val="zh-CN"/>
        </w:rPr>
      </w:pPr>
      <w:r>
        <w:rPr>
          <w:rFonts w:hint="eastAsia" w:ascii="@仿宋_GB2312" w:cs="@仿宋_GB2312"/>
          <w:color w:val="auto"/>
          <w:kern w:val="2"/>
          <w:sz w:val="24"/>
          <w:szCs w:val="28"/>
          <w:highlight w:val="none"/>
        </w:rPr>
        <w:br w:type="page"/>
      </w:r>
    </w:p>
    <w:p w14:paraId="0A510F32">
      <w:pPr>
        <w:spacing w:line="360" w:lineRule="auto"/>
        <w:jc w:val="center"/>
        <w:outlineLvl w:val="1"/>
        <w:rPr>
          <w:rFonts w:asciiTheme="minorEastAsia" w:hAnsiTheme="minorEastAsia" w:eastAsiaTheme="minorEastAsia"/>
          <w:b/>
          <w:color w:val="auto"/>
          <w:sz w:val="24"/>
          <w:highlight w:val="none"/>
        </w:rPr>
      </w:pPr>
      <w:bookmarkStart w:id="98" w:name="_Toc16830"/>
      <w:bookmarkStart w:id="99" w:name="_Toc15906"/>
      <w:bookmarkStart w:id="100" w:name="_Hlk44283088"/>
      <w:r>
        <w:rPr>
          <w:rFonts w:hint="eastAsia" w:asciiTheme="minorEastAsia" w:hAnsiTheme="minorEastAsia" w:eastAsiaTheme="minorEastAsia"/>
          <w:b/>
          <w:color w:val="auto"/>
          <w:sz w:val="24"/>
          <w:highlight w:val="none"/>
        </w:rPr>
        <w:t>十、诚信履约承诺函</w:t>
      </w:r>
      <w:bookmarkEnd w:id="98"/>
      <w:bookmarkEnd w:id="99"/>
    </w:p>
    <w:p w14:paraId="7003F044">
      <w:pPr>
        <w:spacing w:line="360" w:lineRule="auto"/>
        <w:rPr>
          <w:rFonts w:cs="@仿宋_GB2312" w:asciiTheme="minorEastAsia" w:hAnsiTheme="minorEastAsia" w:eastAsiaTheme="minorEastAsia"/>
          <w:b/>
          <w:bCs/>
          <w:color w:val="auto"/>
          <w:kern w:val="2"/>
          <w:sz w:val="24"/>
          <w:highlight w:val="none"/>
        </w:rPr>
      </w:pPr>
    </w:p>
    <w:p w14:paraId="5FCE5B67">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2F84BBB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CA4873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3EAA3E43">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519DBF42">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4675BF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22624B4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7897C63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C760CC">
      <w:pPr>
        <w:spacing w:line="360" w:lineRule="auto"/>
        <w:rPr>
          <w:rFonts w:cs="@仿宋_GB2312" w:asciiTheme="minorEastAsia" w:hAnsiTheme="minorEastAsia" w:eastAsiaTheme="minorEastAsia"/>
          <w:bCs/>
          <w:color w:val="auto"/>
          <w:kern w:val="2"/>
          <w:sz w:val="24"/>
          <w:highlight w:val="none"/>
        </w:rPr>
      </w:pPr>
    </w:p>
    <w:p w14:paraId="6E404AB7">
      <w:pPr>
        <w:spacing w:line="360" w:lineRule="auto"/>
        <w:rPr>
          <w:rFonts w:cs="@仿宋_GB2312" w:asciiTheme="minorEastAsia" w:hAnsiTheme="minorEastAsia" w:eastAsiaTheme="minorEastAsia"/>
          <w:bCs/>
          <w:color w:val="auto"/>
          <w:kern w:val="2"/>
          <w:sz w:val="24"/>
          <w:highlight w:val="none"/>
        </w:rPr>
      </w:pPr>
    </w:p>
    <w:p w14:paraId="317BF023">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06CC7116">
      <w:pPr>
        <w:spacing w:line="360" w:lineRule="auto"/>
        <w:ind w:firstLine="4320" w:firstLineChars="1800"/>
        <w:rPr>
          <w:rFonts w:asciiTheme="minorEastAsia" w:hAnsiTheme="minorEastAsia" w:eastAsiaTheme="minorEastAsia"/>
          <w:b/>
          <w:color w:val="auto"/>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8760D0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100"/>
    <w:p w14:paraId="7ACAA2CF">
      <w:pPr>
        <w:spacing w:line="360" w:lineRule="auto"/>
        <w:jc w:val="center"/>
        <w:outlineLvl w:val="1"/>
        <w:rPr>
          <w:rFonts w:asciiTheme="minorEastAsia" w:hAnsiTheme="minorEastAsia" w:eastAsiaTheme="minorEastAsia"/>
          <w:b/>
          <w:color w:val="auto"/>
          <w:sz w:val="24"/>
          <w:highlight w:val="none"/>
        </w:rPr>
      </w:pPr>
      <w:bookmarkStart w:id="101" w:name="_Toc6061"/>
      <w:bookmarkStart w:id="102" w:name="_Toc13419"/>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、其他相关证明材料</w:t>
      </w:r>
      <w:bookmarkEnd w:id="101"/>
      <w:bookmarkEnd w:id="102"/>
    </w:p>
    <w:p w14:paraId="0EC04F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邀请、采购需求及评标方法和标准规定的相关证明文件。</w:t>
      </w:r>
    </w:p>
    <w:p w14:paraId="68C89DB8">
      <w:pPr>
        <w:spacing w:line="360" w:lineRule="auto"/>
        <w:ind w:firstLine="480" w:firstLineChars="200"/>
        <w:rPr>
          <w:rFonts w:asciiTheme="minorEastAsia" w:hAnsiTheme="minorEastAsia" w:eastAsiaTheme="minorEastAsia"/>
          <w:color w:val="auto"/>
          <w:sz w:val="24"/>
          <w:highlight w:val="none"/>
        </w:rPr>
      </w:pPr>
    </w:p>
    <w:p w14:paraId="2F39336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22BBD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4803B04F">
      <w:pPr>
        <w:spacing w:line="360" w:lineRule="auto"/>
        <w:ind w:firstLine="435"/>
        <w:rPr>
          <w:rFonts w:asciiTheme="minorEastAsia" w:hAnsiTheme="minorEastAsia" w:eastAsiaTheme="minorEastAsia"/>
          <w:color w:val="auto"/>
          <w:sz w:val="24"/>
          <w:highlight w:val="none"/>
        </w:rPr>
      </w:pPr>
    </w:p>
    <w:p w14:paraId="45B69CA7">
      <w:pPr>
        <w:spacing w:line="360" w:lineRule="auto"/>
        <w:ind w:firstLine="435"/>
        <w:rPr>
          <w:rFonts w:asciiTheme="minorEastAsia" w:hAnsiTheme="minorEastAsia" w:eastAsiaTheme="minorEastAsia"/>
          <w:color w:val="auto"/>
          <w:sz w:val="24"/>
          <w:highlight w:val="none"/>
        </w:rPr>
      </w:pPr>
    </w:p>
    <w:p w14:paraId="62A16E7B">
      <w:pPr>
        <w:rPr>
          <w:rFonts w:hint="eastAsia" w:ascii="宋体" w:hAnsi="宋体" w:eastAsia="宋体" w:cs="宋体"/>
          <w:b/>
          <w:bCs w:val="0"/>
          <w:color w:val="auto"/>
          <w:kern w:val="0"/>
          <w:sz w:val="28"/>
          <w:szCs w:val="28"/>
          <w:highlight w:val="none"/>
          <w:lang w:val="en-US" w:eastAsia="zh-CN" w:bidi="ar"/>
        </w:rPr>
      </w:pPr>
      <w:r>
        <w:rPr>
          <w:rFonts w:hint="eastAsia" w:ascii="宋体" w:hAnsi="宋体" w:eastAsia="宋体" w:cs="宋体"/>
          <w:b/>
          <w:bCs w:val="0"/>
          <w:color w:val="auto"/>
          <w:kern w:val="0"/>
          <w:sz w:val="28"/>
          <w:szCs w:val="28"/>
          <w:highlight w:val="none"/>
          <w:lang w:val="en-US" w:eastAsia="zh-CN" w:bidi="ar"/>
        </w:rPr>
        <w:br w:type="page"/>
      </w:r>
    </w:p>
    <w:p w14:paraId="4C1C51F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附件</w:t>
      </w:r>
      <w:r>
        <w:rPr>
          <w:rFonts w:hint="default" w:ascii="Times New Roman" w:hAnsi="Times New Roman" w:eastAsia="宋体" w:cs="Times New Roman"/>
          <w:b/>
          <w:bCs w:val="0"/>
          <w:color w:val="auto"/>
          <w:kern w:val="0"/>
          <w:sz w:val="28"/>
          <w:szCs w:val="28"/>
          <w:highlight w:val="none"/>
          <w:lang w:val="en-US" w:eastAsia="zh-CN" w:bidi="ar"/>
        </w:rPr>
        <w:t>1</w:t>
      </w:r>
    </w:p>
    <w:p w14:paraId="1D85365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关于联合惩戒失信行为加强信用查询管理的通知</w:t>
      </w:r>
    </w:p>
    <w:p w14:paraId="7BF0D337">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一、失信行为联合惩戒的范围和查询渠道</w:t>
      </w:r>
    </w:p>
    <w:p w14:paraId="5F9CD5D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49035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（一）工程建设项目</w:t>
      </w:r>
    </w:p>
    <w:p w14:paraId="3897A55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1、“信用中国”网站（www.creditchina.gov.cn）查询投标人、法定代表人及其项目经理(建造师)以下失信行为：</w:t>
      </w:r>
    </w:p>
    <w:p w14:paraId="78F3C8B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7091B46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1C3AD8D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③被列入“拖欠农民工工资失信联合惩戒对象名单”的；</w:t>
      </w:r>
    </w:p>
    <w:p w14:paraId="46255AB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④被列入 “严重失信主体名单”的；</w:t>
      </w:r>
    </w:p>
    <w:p w14:paraId="15BAD6B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⑤在“信用中国”网站上披露的仍在公示期的严重失信行为(具体行为类别及判定依据见附件2)的。</w:t>
      </w:r>
    </w:p>
    <w:p w14:paraId="006CF1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39"/>
          <w:rFonts w:hint="eastAsia" w:ascii="宋体" w:hAnsi="宋体" w:eastAsia="宋体" w:cs="宋体"/>
          <w:color w:val="auto"/>
          <w:sz w:val="24"/>
          <w:szCs w:val="24"/>
          <w:highlight w:val="none"/>
          <w:u w:val="singl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查询投标人以下失信行为：</w:t>
      </w:r>
    </w:p>
    <w:p w14:paraId="461124C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1F4AB91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482B0DD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A05B05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38E18D0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5D2FBB6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16663A3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2311375">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759C2F0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t>
      </w:r>
      <w:r>
        <w:rPr>
          <w:rStyle w:val="93"/>
          <w:rFonts w:hint="eastAsia" w:ascii="宋体" w:hAnsi="宋体" w:eastAsia="宋体" w:cs="宋体"/>
          <w:color w:val="auto"/>
          <w:sz w:val="24"/>
          <w:szCs w:val="24"/>
          <w:highlight w:val="none"/>
          <w:u w:val="single"/>
          <w:lang w:val="en-US" w:eastAsia="zh-CN" w:bidi="ar"/>
        </w:rPr>
        <w:t>www.creditchina.gov.cn</w:t>
      </w:r>
      <w:r>
        <w:rPr>
          <w:rFonts w:hint="eastAsia" w:ascii="宋体" w:hAnsi="宋体" w:eastAsia="宋体" w:cs="宋体"/>
          <w:color w:val="auto"/>
          <w:kern w:val="0"/>
          <w:sz w:val="24"/>
          <w:szCs w:val="24"/>
          <w:highlight w:val="none"/>
          <w:lang w:val="en-US" w:eastAsia="zh-CN" w:bidi="ar"/>
        </w:rPr>
        <w:t>）查询供应商、法定代表人及其项目负责人以下失信行为：</w:t>
      </w:r>
    </w:p>
    <w:p w14:paraId="5E65065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417A8D93">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178628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6489FCD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233A782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39"/>
          <w:rFonts w:hint="eastAsia" w:ascii="宋体" w:hAnsi="宋体" w:eastAsia="宋体" w:cs="宋体"/>
          <w:color w:val="auto"/>
          <w:sz w:val="24"/>
          <w:szCs w:val="24"/>
          <w:highlight w:val="non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查询供应商以下失信行为：</w:t>
      </w:r>
    </w:p>
    <w:p w14:paraId="3CCA3EF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240101E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"http://www.ccgp.gov.cn" </w:instrText>
      </w:r>
      <w:r>
        <w:rPr>
          <w:rFonts w:hint="eastAsia" w:ascii="宋体" w:hAnsi="宋体" w:eastAsia="宋体" w:cs="Times New Roman"/>
          <w:color w:val="auto"/>
          <w:kern w:val="0"/>
          <w:sz w:val="24"/>
          <w:szCs w:val="24"/>
          <w:highlight w:val="none"/>
          <w:lang w:val="en-US" w:eastAsia="zh-CN" w:bidi="ar"/>
        </w:rPr>
        <w:fldChar w:fldCharType="separate"/>
      </w:r>
      <w:r>
        <w:rPr>
          <w:rStyle w:val="39"/>
          <w:rFonts w:hint="eastAsia" w:ascii="宋体" w:hAnsi="宋体" w:eastAsia="宋体" w:cs="宋体"/>
          <w:color w:val="auto"/>
          <w:sz w:val="24"/>
          <w:szCs w:val="24"/>
          <w:highlight w:val="none"/>
        </w:rPr>
        <w:t>www.ccgp.gov.cn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）查询以下失信行为：</w:t>
      </w:r>
    </w:p>
    <w:p w14:paraId="55A704F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559108B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070B76C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F0B2327">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二、在开评标活动中的查询程序</w:t>
      </w:r>
    </w:p>
    <w:p w14:paraId="5AF0620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D48F8F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A0C136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3、项目单位及其委托的代理机构应当做好信用查询结果截图和记录留存。</w:t>
      </w:r>
    </w:p>
    <w:p w14:paraId="54EE4214">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三、相关要求</w:t>
      </w:r>
    </w:p>
    <w:p w14:paraId="123AC1D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E7AFE6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6D7E007">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u w:val="none"/>
        </w:rPr>
        <w:t>https://credit.ah.gov.cn/xinyong-fuwu/xvbahv/index.html</w:t>
      </w:r>
      <w:r>
        <w:rPr>
          <w:rFonts w:hint="eastAsia" w:ascii="宋体" w:hAnsi="宋体" w:eastAsia="宋体" w:cs="宋体"/>
          <w:color w:val="auto"/>
          <w:kern w:val="0"/>
          <w:sz w:val="24"/>
          <w:szCs w:val="24"/>
          <w:highlight w:val="none"/>
          <w:lang w:val="en-US" w:eastAsia="zh-CN"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3FF2497">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2、“信用中国”查询的严重失信行为判定依据为各行业主管部门下发的联合惩戒文件中规定的行为（按附件2执行）。</w:t>
      </w:r>
    </w:p>
    <w:p w14:paraId="06CC918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0906A8F1">
      <w:pPr>
        <w:pStyle w:val="24"/>
        <w:keepNext w:val="0"/>
        <w:keepLines w:val="0"/>
        <w:widowControl w:val="0"/>
        <w:suppressLineNumbers w:val="0"/>
        <w:spacing w:before="0" w:beforeAutospacing="1" w:after="120" w:afterAutospacing="0" w:line="360" w:lineRule="auto"/>
        <w:ind w:left="420" w:leftChars="200" w:right="0" w:firstLine="420" w:firstLineChars="200"/>
        <w:jc w:val="both"/>
        <w:rPr>
          <w:rFonts w:hint="eastAsia" w:ascii="宋体" w:hAnsi="Calibri" w:eastAsia="宋体" w:cs="Times New Roman"/>
          <w:color w:val="auto"/>
          <w:kern w:val="2"/>
          <w:sz w:val="21"/>
          <w:szCs w:val="21"/>
          <w:highlight w:val="none"/>
        </w:rPr>
      </w:pPr>
      <w:r>
        <w:rPr>
          <w:rFonts w:hint="eastAsia" w:ascii="宋体" w:hAnsi="Calibri" w:eastAsia="宋体" w:cs="Times New Roman"/>
          <w:color w:val="auto"/>
          <w:kern w:val="2"/>
          <w:sz w:val="21"/>
          <w:szCs w:val="21"/>
          <w:highlight w:val="none"/>
          <w:lang w:val="en-US" w:eastAsia="zh-CN" w:bidi="ar"/>
        </w:rPr>
        <w:t xml:space="preserve"> </w:t>
      </w:r>
    </w:p>
    <w:p w14:paraId="75D418F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br w:type="page"/>
      </w:r>
      <w:r>
        <w:rPr>
          <w:rFonts w:hint="eastAsia" w:ascii="宋体" w:hAnsi="宋体" w:eastAsia="宋体" w:cs="宋体"/>
          <w:b/>
          <w:bCs w:val="0"/>
          <w:color w:val="auto"/>
          <w:kern w:val="0"/>
          <w:sz w:val="24"/>
          <w:szCs w:val="24"/>
          <w:highlight w:val="none"/>
          <w:lang w:val="en-US" w:eastAsia="zh-CN" w:bidi="ar"/>
        </w:rPr>
        <w:t>附件</w:t>
      </w:r>
      <w:r>
        <w:rPr>
          <w:rFonts w:hint="default" w:ascii="Times New Roman" w:hAnsi="Times New Roman" w:eastAsia="宋体" w:cs="Times New Roman"/>
          <w:b/>
          <w:bCs w:val="0"/>
          <w:color w:val="auto"/>
          <w:kern w:val="0"/>
          <w:sz w:val="24"/>
          <w:szCs w:val="24"/>
          <w:highlight w:val="none"/>
          <w:lang w:val="en-US" w:eastAsia="zh-CN" w:bidi="ar"/>
        </w:rPr>
        <w:t>2</w:t>
      </w:r>
    </w:p>
    <w:p w14:paraId="48D2942F">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“信用中国”查询的严重失信行为类别及判定依据</w:t>
      </w:r>
    </w:p>
    <w:p w14:paraId="37924A5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0E1BD6E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一、安全生产领域严重失信行为：</w:t>
      </w:r>
    </w:p>
    <w:p w14:paraId="604C5B8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（一）下列发生生产安全事故的生产经营单位及其有关人员应当列入严重失信主体名单：</w:t>
      </w:r>
    </w:p>
    <w:p w14:paraId="6811363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3E66690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2、12个月内累计发生2起以上较大生产安全事故的生产经营单位及其主要负责人；</w:t>
      </w:r>
    </w:p>
    <w:p w14:paraId="5B6609D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36DD3BD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4、瞒报、谎报生产安全事故的生产经营单位及其有关责任人员；</w:t>
      </w:r>
    </w:p>
    <w:p w14:paraId="65E0740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5、发生生产安全事故后，不立即组织抢救或者在事故调查处理期间擅离职守或者逃匿的生产经营单位主要负责人。</w:t>
      </w:r>
    </w:p>
    <w:p w14:paraId="57326D0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4DCD896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1、未依法取得安全生产相关许可或者许可被暂扣、吊销期间从事相关生产经营活动的生产经营单位及其主要负责人；</w:t>
      </w:r>
    </w:p>
    <w:p w14:paraId="71B6658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2、承担安全评价、认证、检测、检验职责的机构及其直接责任人员租借资质、挂靠、出具虚假报告或者证书的；</w:t>
      </w:r>
    </w:p>
    <w:p w14:paraId="1482F2D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3、在应急管理部门作出行政处罚后，有执行能力拒不执行或者逃避执行的生产经营单位及其主要负责人；</w:t>
      </w:r>
    </w:p>
    <w:p w14:paraId="7CC0B2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4、其他违反安全生产法律法规受到行政处罚，且性质恶劣、情节严重的。</w:t>
      </w:r>
    </w:p>
    <w:p w14:paraId="24E45B7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依据：《安全生产严重失信主体名单管理办法》（2023年8月8日应急管理部令第11号）</w:t>
      </w:r>
    </w:p>
    <w:p w14:paraId="0CD7999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二、环境保护领域严重失信行为：</w:t>
      </w:r>
    </w:p>
    <w:p w14:paraId="3A947D7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（一）因为环境违法构成</w:t>
      </w:r>
      <w:r>
        <w:rPr>
          <w:rFonts w:hint="eastAsia" w:ascii="宋体" w:hAnsi="宋体" w:eastAsia="宋体" w:cs="宋体"/>
          <w:color w:val="auto"/>
          <w:sz w:val="24"/>
          <w:szCs w:val="24"/>
          <w:highlight w:val="none"/>
          <w:u w:val="none"/>
        </w:rPr>
        <w:t>环境犯罪</w:t>
      </w:r>
      <w:r>
        <w:rPr>
          <w:rFonts w:hint="eastAsia" w:ascii="宋体" w:hAnsi="宋体" w:eastAsia="宋体" w:cs="宋体"/>
          <w:color w:val="auto"/>
          <w:kern w:val="0"/>
          <w:sz w:val="24"/>
          <w:szCs w:val="24"/>
          <w:highlight w:val="none"/>
          <w:lang w:val="en-US" w:eastAsia="zh-CN" w:bidi="ar"/>
        </w:rPr>
        <w:t>的；</w:t>
      </w:r>
    </w:p>
    <w:p w14:paraId="62A9E4D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w:t>
      </w:r>
      <w:r>
        <w:rPr>
          <w:rFonts w:hint="eastAsia" w:ascii="宋体" w:hAnsi="宋体" w:eastAsia="宋体" w:cs="宋体"/>
          <w:color w:val="auto"/>
          <w:sz w:val="24"/>
          <w:szCs w:val="24"/>
          <w:highlight w:val="none"/>
          <w:u w:val="none"/>
        </w:rPr>
        <w:t>建设项目环境影响评价</w:t>
      </w:r>
      <w:r>
        <w:rPr>
          <w:rFonts w:hint="eastAsia" w:ascii="宋体" w:hAnsi="宋体" w:eastAsia="宋体" w:cs="宋体"/>
          <w:color w:val="auto"/>
          <w:kern w:val="0"/>
          <w:sz w:val="24"/>
          <w:szCs w:val="24"/>
          <w:highlight w:val="none"/>
          <w:lang w:val="en-US" w:eastAsia="zh-CN" w:bidi="ar"/>
        </w:rPr>
        <w:t>文件未按规定通过审批，擅自开工建设的；</w:t>
      </w:r>
    </w:p>
    <w:p w14:paraId="06CFB7C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（三）建设项目环保设施未建成、环保措施未落实、未通过</w:t>
      </w:r>
      <w:r>
        <w:rPr>
          <w:rFonts w:hint="eastAsia" w:ascii="宋体" w:hAnsi="宋体" w:eastAsia="宋体" w:cs="宋体"/>
          <w:color w:val="auto"/>
          <w:sz w:val="24"/>
          <w:szCs w:val="24"/>
          <w:highlight w:val="none"/>
          <w:u w:val="none"/>
        </w:rPr>
        <w:t>竣工环保验收</w:t>
      </w:r>
      <w:r>
        <w:rPr>
          <w:rFonts w:hint="eastAsia" w:ascii="宋体" w:hAnsi="宋体" w:eastAsia="宋体" w:cs="宋体"/>
          <w:color w:val="auto"/>
          <w:kern w:val="0"/>
          <w:sz w:val="24"/>
          <w:szCs w:val="24"/>
          <w:highlight w:val="none"/>
          <w:lang w:val="en-US" w:eastAsia="zh-CN" w:bidi="ar"/>
        </w:rPr>
        <w:t>或者验收不合格，主体工程正式投入生产或者使用的；</w:t>
      </w:r>
    </w:p>
    <w:p w14:paraId="18F0E56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1B16FBC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（五）主要污染物排放总量超过控制指标的；</w:t>
      </w:r>
    </w:p>
    <w:p w14:paraId="46986F8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（六）私设暗管或者利用</w:t>
      </w:r>
      <w:r>
        <w:rPr>
          <w:rFonts w:hint="eastAsia" w:ascii="宋体" w:hAnsi="宋体" w:eastAsia="宋体" w:cs="宋体"/>
          <w:color w:val="auto"/>
          <w:sz w:val="24"/>
          <w:szCs w:val="24"/>
          <w:highlight w:val="none"/>
          <w:u w:val="none"/>
        </w:rPr>
        <w:t>渗井</w:t>
      </w:r>
      <w:r>
        <w:rPr>
          <w:rFonts w:hint="eastAsia" w:ascii="宋体" w:hAnsi="宋体" w:eastAsia="宋体" w:cs="宋体"/>
          <w:color w:val="auto"/>
          <w:kern w:val="0"/>
          <w:sz w:val="24"/>
          <w:szCs w:val="24"/>
          <w:highlight w:val="none"/>
          <w:lang w:val="en-US" w:eastAsia="zh-CN" w:bidi="ar"/>
        </w:rPr>
        <w:t>、渗坑、裂隙、溶洞等排放、倾倒、处置水污染物，或者通过私设旁路排放</w:t>
      </w:r>
      <w:r>
        <w:rPr>
          <w:rFonts w:hint="eastAsia" w:ascii="宋体" w:hAnsi="宋体" w:eastAsia="宋体" w:cs="宋体"/>
          <w:color w:val="auto"/>
          <w:sz w:val="24"/>
          <w:szCs w:val="24"/>
          <w:highlight w:val="none"/>
          <w:u w:val="none"/>
        </w:rPr>
        <w:t>大气污染物</w:t>
      </w:r>
      <w:r>
        <w:rPr>
          <w:rFonts w:hint="eastAsia" w:ascii="宋体" w:hAnsi="宋体" w:eastAsia="宋体" w:cs="宋体"/>
          <w:color w:val="auto"/>
          <w:kern w:val="0"/>
          <w:sz w:val="24"/>
          <w:szCs w:val="24"/>
          <w:highlight w:val="none"/>
          <w:lang w:val="en-US" w:eastAsia="zh-CN" w:bidi="ar"/>
        </w:rPr>
        <w:t>的；</w:t>
      </w:r>
    </w:p>
    <w:p w14:paraId="70AD890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（七）非法排放、倾倒、处置危险废物，或者向无</w:t>
      </w:r>
      <w:r>
        <w:rPr>
          <w:rFonts w:hint="eastAsia" w:ascii="宋体" w:hAnsi="宋体" w:eastAsia="宋体" w:cs="宋体"/>
          <w:color w:val="auto"/>
          <w:sz w:val="24"/>
          <w:szCs w:val="24"/>
          <w:highlight w:val="none"/>
          <w:u w:val="none"/>
        </w:rPr>
        <w:t>经营许可证</w:t>
      </w:r>
      <w:r>
        <w:rPr>
          <w:rFonts w:hint="eastAsia" w:ascii="宋体" w:hAnsi="宋体" w:eastAsia="宋体" w:cs="宋体"/>
          <w:color w:val="auto"/>
          <w:kern w:val="0"/>
          <w:sz w:val="24"/>
          <w:szCs w:val="24"/>
          <w:highlight w:val="none"/>
          <w:lang w:val="en-US" w:eastAsia="zh-CN" w:bidi="ar"/>
        </w:rPr>
        <w:t>或者超出经营许可范围的单位或个人提供或者委托其收集、贮存、利用、处置危险废物的；</w:t>
      </w:r>
    </w:p>
    <w:p w14:paraId="3FF8539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（八）</w:t>
      </w:r>
      <w:r>
        <w:rPr>
          <w:rFonts w:hint="eastAsia" w:ascii="宋体" w:hAnsi="宋体" w:eastAsia="宋体" w:cs="宋体"/>
          <w:color w:val="auto"/>
          <w:sz w:val="24"/>
          <w:szCs w:val="24"/>
          <w:highlight w:val="none"/>
          <w:u w:val="none"/>
        </w:rPr>
        <w:t>环境违法行为</w:t>
      </w:r>
      <w:r>
        <w:rPr>
          <w:rFonts w:hint="eastAsia" w:ascii="宋体" w:hAnsi="宋体" w:eastAsia="宋体" w:cs="宋体"/>
          <w:color w:val="auto"/>
          <w:kern w:val="0"/>
          <w:sz w:val="24"/>
          <w:szCs w:val="24"/>
          <w:highlight w:val="none"/>
          <w:lang w:val="en-US" w:eastAsia="zh-CN" w:bidi="ar"/>
        </w:rPr>
        <w:t>造成集中式生活饮用水水源取水中断的；</w:t>
      </w:r>
    </w:p>
    <w:p w14:paraId="497E495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（九）环境违法行为对生活饮用水水源保护区、自然保护区、</w:t>
      </w:r>
      <w:r>
        <w:rPr>
          <w:rFonts w:hint="eastAsia" w:ascii="宋体" w:hAnsi="宋体" w:eastAsia="宋体" w:cs="宋体"/>
          <w:color w:val="auto"/>
          <w:sz w:val="24"/>
          <w:szCs w:val="24"/>
          <w:highlight w:val="none"/>
          <w:u w:val="none"/>
        </w:rPr>
        <w:t>国家重点生态功能区</w:t>
      </w:r>
      <w:r>
        <w:rPr>
          <w:rFonts w:hint="eastAsia" w:ascii="宋体" w:hAnsi="宋体" w:eastAsia="宋体" w:cs="宋体"/>
          <w:color w:val="auto"/>
          <w:kern w:val="0"/>
          <w:sz w:val="24"/>
          <w:szCs w:val="24"/>
          <w:highlight w:val="none"/>
          <w:lang w:val="en-US" w:eastAsia="zh-CN" w:bidi="ar"/>
        </w:rPr>
        <w:t>、风景名胜区、居住功能区、</w:t>
      </w:r>
      <w:r>
        <w:rPr>
          <w:rFonts w:hint="eastAsia" w:ascii="宋体" w:hAnsi="宋体" w:eastAsia="宋体" w:cs="宋体"/>
          <w:color w:val="auto"/>
          <w:sz w:val="24"/>
          <w:szCs w:val="24"/>
          <w:highlight w:val="none"/>
          <w:u w:val="none"/>
        </w:rPr>
        <w:t>基本农田保护区</w:t>
      </w:r>
      <w:r>
        <w:rPr>
          <w:rFonts w:hint="eastAsia" w:ascii="宋体" w:hAnsi="宋体" w:eastAsia="宋体" w:cs="宋体"/>
          <w:color w:val="auto"/>
          <w:kern w:val="0"/>
          <w:sz w:val="24"/>
          <w:szCs w:val="24"/>
          <w:highlight w:val="none"/>
          <w:lang w:val="en-US" w:eastAsia="zh-CN" w:bidi="ar"/>
        </w:rPr>
        <w:t>等环境敏感区造成重大不利影响的；</w:t>
      </w:r>
    </w:p>
    <w:p w14:paraId="215D99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（十）违法从事自然资源开发、交通基础设施建设，以及其他开发建设活动，造成严重生态破坏的；</w:t>
      </w:r>
    </w:p>
    <w:p w14:paraId="266D9DC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（十一）发生较大及以上突发环境事件的；</w:t>
      </w:r>
    </w:p>
    <w:p w14:paraId="1F41F4F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（十二）被环保部门挂牌督办，整改逾期未完成的；</w:t>
      </w:r>
    </w:p>
    <w:p w14:paraId="41949F9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（十三）以暴力、威胁等方式拒绝、阻挠环保部门工作人员现场检查的；</w:t>
      </w:r>
    </w:p>
    <w:p w14:paraId="65FF446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（十四）违反重污染天气应急预案有关规定，对重污染天气响应不力的。</w:t>
      </w:r>
    </w:p>
    <w:p w14:paraId="4C39268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3683E00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w:t>
      </w:r>
      <w:r>
        <w:rPr>
          <w:rFonts w:hint="eastAsia" w:ascii="宋体" w:hAnsi="宋体" w:eastAsia="宋体" w:cs="宋体"/>
          <w:b/>
          <w:bCs/>
          <w:color w:val="auto"/>
          <w:kern w:val="0"/>
          <w:sz w:val="24"/>
          <w:szCs w:val="24"/>
          <w:highlight w:val="none"/>
          <w:lang w:val="en-US" w:eastAsia="zh-CN" w:bidi="ar"/>
        </w:rPr>
        <w:t>公共资源交易领域严重失信行为</w:t>
      </w:r>
    </w:p>
    <w:p w14:paraId="03A5AF1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0A451FE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1C98D95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6E74A9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506797E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12B4C44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（六）投标人以他人名义投标或者以其他方式弄虚作假，骗取中标的；</w:t>
      </w:r>
    </w:p>
    <w:p w14:paraId="6295A3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（七）依法必须进行招标的项目，招标人违反法律规定，与投标人就投标价格、投标方案等实质性内容进行谈判的；</w:t>
      </w:r>
    </w:p>
    <w:p w14:paraId="493DF46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C4DF3C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6AEF987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18458E9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23CFD58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（十二）中标人不按照与招标人订立的合同履行义务，情节严重的； </w:t>
      </w:r>
    </w:p>
    <w:p w14:paraId="41B11A1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78C051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7CDCD0F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（十五）采购人对应当实行集中采购的政府采购项目，不委托集中采购机构实行集中采购的； </w:t>
      </w:r>
    </w:p>
    <w:p w14:paraId="4F4691C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（十六）采购人、采购代理机构违反法律规定隐匿、销毁应当保存的采购文件或者伪造、变造采购文件的； </w:t>
      </w:r>
    </w:p>
    <w:p w14:paraId="7F16664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5E1C9D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（十八）疫苗生产企业向县级疾病预防控制机构以外的单位或者个人销售第二类疫苗的； </w:t>
      </w:r>
    </w:p>
    <w:p w14:paraId="26829A5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（十九）存在其他违反公共资源交易法律法规行为的。</w:t>
      </w:r>
    </w:p>
    <w:p w14:paraId="434FA82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依据：《关于对公共资源交易领域严重失信主体开展联合惩戒的备忘录》（发改法规〔2018〕457号）</w:t>
      </w:r>
    </w:p>
    <w:p w14:paraId="4443EBA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社会保险领域严重失信行为</w:t>
      </w:r>
    </w:p>
    <w:p w14:paraId="7CA590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（一）用人单位未按相关规定参加社会保险且拒不整改的； </w:t>
      </w:r>
    </w:p>
    <w:p w14:paraId="13796A1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（二）用人单位未如实申报社会保险缴费基数且拒不整改的； </w:t>
      </w:r>
    </w:p>
    <w:p w14:paraId="71F0A42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（三）应缴纳社会保险费却拒不缴纳的； </w:t>
      </w:r>
    </w:p>
    <w:p w14:paraId="07F7BDB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（四）隐匿、转移、侵占、挪用社会保险费款、基金或者违规投资运营的；</w:t>
      </w:r>
    </w:p>
    <w:p w14:paraId="1C2F4F8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（五）以欺诈、伪造证明材料或者其他手段参加、申报社会保险和骗取社会保险基金支出或社会保险待遇的； </w:t>
      </w:r>
    </w:p>
    <w:p w14:paraId="1AC3868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（六）非法获取、出售或变相交易社会保险个人权益数据的； </w:t>
      </w:r>
    </w:p>
    <w:p w14:paraId="6288359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（七）社会保险服务机构违反服务协议或相关规定的； </w:t>
      </w:r>
    </w:p>
    <w:p w14:paraId="4856945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0E97583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（九）其他违反法律法规规定的。</w:t>
      </w:r>
    </w:p>
    <w:p w14:paraId="7A27F2A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依据：《关于对社会保险领域严重失信企业及其有关人员实施联合惩戒的合作备忘录》（发改财金〔2018〕1704号）</w:t>
      </w:r>
    </w:p>
    <w:p w14:paraId="0BDD3A3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五、建筑市场领域</w:t>
      </w:r>
      <w:r>
        <w:rPr>
          <w:rFonts w:hint="eastAsia" w:ascii="宋体" w:hAnsi="宋体" w:eastAsia="宋体" w:cs="宋体"/>
          <w:b/>
          <w:bCs/>
          <w:color w:val="auto"/>
          <w:kern w:val="0"/>
          <w:sz w:val="24"/>
          <w:szCs w:val="24"/>
          <w:highlight w:val="none"/>
          <w:lang w:val="en-US" w:eastAsia="zh-CN" w:bidi="ar"/>
        </w:rPr>
        <w:t>严重失信行为</w:t>
      </w:r>
    </w:p>
    <w:p w14:paraId="3C2DD89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（一）利用虚假材料、以欺骗手段取得企业资质的；</w:t>
      </w:r>
    </w:p>
    <w:p w14:paraId="21F1497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（二）发生转包、出借资质，受到行政处罚的；</w:t>
      </w:r>
    </w:p>
    <w:p w14:paraId="6EBAC3F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6E8E623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（四）经法院判决或仲裁机构裁决，认定为拖欠工程款,且拒不履行生效法律文书确定的义务的。</w:t>
      </w:r>
    </w:p>
    <w:p w14:paraId="5CE4E7E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1FD70B1B">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依据：《建筑市场信用管理暂行办法》（建市〔2017〕241号）</w:t>
      </w:r>
    </w:p>
    <w:p w14:paraId="4F29154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六、政府采购严重失信行为</w:t>
      </w:r>
    </w:p>
    <w:p w14:paraId="1C47871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（一）三万元以上罚款；</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（二）在一至三年内禁止参加政府采购活动（处罚期限届满的除外）；</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（三）在一至三年内禁止代理政府采购业务（处罚期限届满的除外）；</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（四）撤销政府采购代理机构资格（仅针对《政府采购法》第78条修改前作出的处罚决定）。</w:t>
      </w:r>
    </w:p>
    <w:p w14:paraId="2A0EA31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依据：《关于报送政府采购严重违法失信行为信息记录的通知》（财办库〔2014〕526号）</w:t>
      </w:r>
    </w:p>
    <w:p w14:paraId="3CEC3F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未列出的其他类别严重失信行为，由招标人（代理机构）根据各类别行业主管部门下发的联合惩戒文件进行判断。</w:t>
      </w:r>
    </w:p>
    <w:p w14:paraId="70B0069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kern w:val="0"/>
          <w:sz w:val="24"/>
          <w:szCs w:val="24"/>
          <w:highlight w:val="none"/>
          <w:lang w:val="en-US" w:eastAsia="zh-CN" w:bidi="ar"/>
        </w:rPr>
      </w:pPr>
    </w:p>
    <w:p w14:paraId="4954D73B">
      <w:pPr>
        <w:spacing w:line="360" w:lineRule="auto"/>
        <w:ind w:firstLine="435"/>
        <w:rPr>
          <w:rFonts w:hint="eastAsia" w:asciiTheme="minorEastAsia" w:hAnsiTheme="minorEastAsia" w:eastAsiaTheme="minorEastAsia"/>
          <w:color w:val="auto"/>
          <w:sz w:val="24"/>
          <w:highlight w:val="none"/>
          <w:lang w:eastAsia="zh-CN"/>
        </w:rPr>
      </w:pPr>
    </w:p>
    <w:p w14:paraId="4CFFD747">
      <w:pPr>
        <w:pStyle w:val="10"/>
        <w:rPr>
          <w:rFonts w:hint="eastAsia" w:ascii="宋体" w:hAnsi="宋体" w:eastAsia="宋体" w:cs="宋体"/>
          <w:color w:val="auto"/>
          <w:highlight w:val="none"/>
        </w:rPr>
      </w:pPr>
    </w:p>
    <w:p w14:paraId="263198CB">
      <w:pPr>
        <w:pStyle w:val="10"/>
        <w:rPr>
          <w:rFonts w:hint="eastAsia" w:ascii="宋体" w:hAnsi="宋体" w:eastAsia="宋体" w:cs="宋体"/>
          <w:color w:val="auto"/>
          <w:highlight w:val="none"/>
        </w:rPr>
      </w:pPr>
    </w:p>
    <w:p w14:paraId="46DD556E">
      <w:pPr>
        <w:pStyle w:val="10"/>
        <w:rPr>
          <w:rFonts w:hint="eastAsia" w:ascii="宋体" w:hAnsi="宋体" w:eastAsia="宋体" w:cs="宋体"/>
          <w:color w:val="auto"/>
          <w:highlight w:val="none"/>
        </w:rPr>
      </w:pPr>
    </w:p>
    <w:p w14:paraId="12AD1D2D">
      <w:pPr>
        <w:pStyle w:val="2"/>
        <w:keepNext/>
        <w:keepLines/>
        <w:pageBreakBefore/>
        <w:widowControl w:val="0"/>
        <w:kinsoku/>
        <w:wordWrap/>
        <w:overflowPunct/>
        <w:topLinePunct w:val="0"/>
        <w:autoSpaceDE/>
        <w:autoSpaceDN/>
        <w:bidi w:val="0"/>
        <w:adjustRightInd/>
        <w:snapToGrid/>
        <w:spacing w:before="156" w:beforeLines="50" w:after="156" w:afterLines="50"/>
        <w:jc w:val="center"/>
        <w:textAlignment w:val="auto"/>
        <w:rPr>
          <w:rFonts w:hint="eastAsia" w:ascii="宋体" w:hAnsi="宋体" w:eastAsia="宋体" w:cs="宋体"/>
          <w:b/>
          <w:bCs/>
          <w:color w:val="auto"/>
          <w:sz w:val="32"/>
          <w:szCs w:val="32"/>
          <w:highlight w:val="none"/>
        </w:rPr>
      </w:pPr>
      <w:bookmarkStart w:id="103" w:name="_Toc6740"/>
      <w:bookmarkStart w:id="104" w:name="_Toc13540"/>
      <w:bookmarkStart w:id="105" w:name="_Toc506107366"/>
      <w:bookmarkStart w:id="106" w:name="_Toc35424974"/>
      <w:bookmarkStart w:id="107" w:name="_Toc13627"/>
      <w:bookmarkStart w:id="108" w:name="_Toc11729"/>
      <w:bookmarkStart w:id="109" w:name="_Toc10919"/>
      <w:bookmarkStart w:id="110" w:name="_Toc35425140"/>
      <w:bookmarkStart w:id="111" w:name="_Toc19583"/>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 xml:space="preserve">章  </w:t>
      </w:r>
      <w:bookmarkEnd w:id="103"/>
      <w:bookmarkEnd w:id="104"/>
      <w:bookmarkEnd w:id="105"/>
      <w:bookmarkEnd w:id="106"/>
      <w:bookmarkEnd w:id="107"/>
      <w:bookmarkEnd w:id="108"/>
      <w:bookmarkEnd w:id="109"/>
      <w:bookmarkEnd w:id="110"/>
      <w:bookmarkEnd w:id="111"/>
      <w:r>
        <w:rPr>
          <w:rFonts w:hint="eastAsia" w:ascii="宋体" w:hAnsi="宋体" w:eastAsia="宋体" w:cs="宋体"/>
          <w:b/>
          <w:bCs/>
          <w:color w:val="auto"/>
          <w:sz w:val="32"/>
          <w:szCs w:val="32"/>
          <w:highlight w:val="none"/>
        </w:rPr>
        <w:t>采购人、代理机构对本竞争性谈判文件的确认</w:t>
      </w:r>
    </w:p>
    <w:p w14:paraId="1255410E">
      <w:pPr>
        <w:pStyle w:val="10"/>
        <w:rPr>
          <w:rFonts w:hint="eastAsia" w:ascii="宋体" w:hAnsi="宋体" w:eastAsia="宋体" w:cs="宋体"/>
          <w:color w:val="auto"/>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506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9" w:hRule="atLeast"/>
          <w:jc w:val="center"/>
        </w:trPr>
        <w:tc>
          <w:tcPr>
            <w:tcW w:w="9580" w:type="dxa"/>
            <w:noWrap w:val="0"/>
            <w:vAlign w:val="top"/>
          </w:tcPr>
          <w:p w14:paraId="0A8FF0B0">
            <w:pPr>
              <w:wordWrap w:val="0"/>
              <w:adjustRightInd w:val="0"/>
              <w:snapToGrid w:val="0"/>
              <w:spacing w:line="560" w:lineRule="exact"/>
              <w:rPr>
                <w:rFonts w:hint="eastAsia" w:ascii="宋体" w:hAnsi="宋体" w:eastAsia="宋体" w:cs="宋体"/>
                <w:color w:val="auto"/>
                <w:sz w:val="30"/>
                <w:highlight w:val="none"/>
              </w:rPr>
            </w:pPr>
          </w:p>
          <w:p w14:paraId="32DB1303">
            <w:pPr>
              <w:wordWrap w:val="0"/>
              <w:ind w:left="-358" w:leftChars="-171" w:hanging="1"/>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我      </w:t>
            </w: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明湖新区道路绿化项目</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的招标文件进行确认</w:t>
            </w:r>
          </w:p>
          <w:p w14:paraId="1C7BB117">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招标单位：滁州市明湖建设管理服务中心 </w:t>
            </w:r>
          </w:p>
          <w:p w14:paraId="267EC9CB">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 系 人：</w:t>
            </w:r>
            <w:r>
              <w:rPr>
                <w:rFonts w:hint="eastAsia" w:ascii="宋体" w:hAnsi="宋体" w:eastAsia="宋体" w:cs="宋体"/>
                <w:color w:val="auto"/>
                <w:sz w:val="28"/>
                <w:szCs w:val="28"/>
                <w:highlight w:val="none"/>
                <w:lang w:val="en-US" w:eastAsia="zh-CN"/>
              </w:rPr>
              <w:t>钟兰翔</w:t>
            </w:r>
            <w:r>
              <w:rPr>
                <w:rFonts w:hint="eastAsia" w:ascii="宋体" w:hAnsi="宋体" w:eastAsia="宋体" w:cs="宋体"/>
                <w:color w:val="auto"/>
                <w:sz w:val="28"/>
                <w:szCs w:val="28"/>
                <w:highlight w:val="none"/>
                <w:lang w:eastAsia="zh-CN"/>
              </w:rPr>
              <w:t xml:space="preserve"> </w:t>
            </w:r>
          </w:p>
          <w:p w14:paraId="7954158F">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联系方式：</w:t>
            </w:r>
            <w:r>
              <w:rPr>
                <w:rFonts w:hint="eastAsia" w:ascii="宋体" w:hAnsi="宋体" w:eastAsia="宋体" w:cs="宋体"/>
                <w:color w:val="auto"/>
                <w:sz w:val="28"/>
                <w:szCs w:val="28"/>
                <w:highlight w:val="none"/>
                <w:lang w:val="en-US" w:eastAsia="zh-CN"/>
              </w:rPr>
              <w:t xml:space="preserve">15155005346 </w:t>
            </w:r>
          </w:p>
          <w:p w14:paraId="5000E799">
            <w:pPr>
              <w:wordWrap w:val="0"/>
              <w:spacing w:line="25" w:lineRule="atLeast"/>
              <w:ind w:firstLine="600" w:firstLineChars="200"/>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t xml:space="preserve">          </w:t>
            </w:r>
          </w:p>
          <w:p w14:paraId="2F90DE55">
            <w:pPr>
              <w:wordWrap w:val="0"/>
              <w:spacing w:line="25"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C66BAEC">
            <w:pPr>
              <w:wordWrap w:val="0"/>
              <w:spacing w:line="560" w:lineRule="exact"/>
              <w:ind w:firstLine="6580" w:firstLineChars="23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77E0996F">
            <w:pPr>
              <w:spacing w:line="560" w:lineRule="exact"/>
              <w:ind w:firstLine="6720" w:firstLineChars="2400"/>
              <w:rPr>
                <w:rFonts w:hint="eastAsia" w:ascii="宋体" w:hAnsi="宋体" w:eastAsia="宋体" w:cs="宋体"/>
                <w:color w:val="auto"/>
                <w:sz w:val="30"/>
                <w:highlight w:val="none"/>
                <w:lang w:eastAsia="zh-CN"/>
              </w:rPr>
            </w:pPr>
            <w:r>
              <w:rPr>
                <w:rFonts w:hint="eastAsia" w:ascii="宋体" w:hAnsi="宋体" w:eastAsia="宋体" w:cs="宋体"/>
                <w:color w:val="auto"/>
                <w:sz w:val="28"/>
                <w:szCs w:val="28"/>
                <w:highlight w:val="none"/>
                <w:lang w:eastAsia="zh-CN"/>
              </w:rPr>
              <w:t>2026年4月</w:t>
            </w:r>
          </w:p>
        </w:tc>
      </w:tr>
      <w:tr w14:paraId="665B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9" w:hRule="atLeast"/>
          <w:jc w:val="center"/>
        </w:trPr>
        <w:tc>
          <w:tcPr>
            <w:tcW w:w="9580" w:type="dxa"/>
            <w:noWrap w:val="0"/>
            <w:vAlign w:val="top"/>
          </w:tcPr>
          <w:p w14:paraId="6E26CEFD">
            <w:pPr>
              <w:spacing w:line="560" w:lineRule="exact"/>
              <w:ind w:firstLine="560" w:firstLineChars="200"/>
              <w:rPr>
                <w:rFonts w:hint="eastAsia" w:ascii="宋体" w:hAnsi="宋体" w:eastAsia="宋体" w:cs="宋体"/>
                <w:color w:val="auto"/>
                <w:sz w:val="28"/>
                <w:szCs w:val="28"/>
                <w:highlight w:val="none"/>
              </w:rPr>
            </w:pPr>
          </w:p>
          <w:p w14:paraId="61FF6E6D">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招标代理机构：滁州市城投工程咨询管理有限公司</w:t>
            </w:r>
          </w:p>
          <w:p w14:paraId="7BDA15D4">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经 办 人：周晓培</w:t>
            </w:r>
          </w:p>
          <w:p w14:paraId="52421496">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联系电话：0550-3519512、18255055896</w:t>
            </w:r>
          </w:p>
          <w:p w14:paraId="38E82496">
            <w:pPr>
              <w:spacing w:line="560" w:lineRule="exact"/>
              <w:ind w:firstLine="5040" w:firstLineChars="1800"/>
              <w:rPr>
                <w:rFonts w:hint="eastAsia" w:ascii="宋体" w:hAnsi="宋体" w:eastAsia="宋体" w:cs="宋体"/>
                <w:color w:val="auto"/>
                <w:sz w:val="28"/>
                <w:szCs w:val="28"/>
                <w:highlight w:val="none"/>
              </w:rPr>
            </w:pPr>
          </w:p>
          <w:p w14:paraId="368EF379">
            <w:pPr>
              <w:spacing w:line="560" w:lineRule="exact"/>
              <w:ind w:firstLine="5460" w:firstLineChars="1950"/>
              <w:rPr>
                <w:rFonts w:hint="eastAsia" w:ascii="宋体" w:hAnsi="宋体" w:eastAsia="宋体" w:cs="宋体"/>
                <w:color w:val="auto"/>
                <w:sz w:val="28"/>
                <w:szCs w:val="28"/>
                <w:highlight w:val="none"/>
              </w:rPr>
            </w:pPr>
          </w:p>
          <w:p w14:paraId="01B033C8">
            <w:pPr>
              <w:pStyle w:val="28"/>
              <w:rPr>
                <w:rFonts w:hint="eastAsia" w:ascii="宋体" w:hAnsi="宋体" w:eastAsia="宋体" w:cs="宋体"/>
                <w:color w:val="auto"/>
                <w:highlight w:val="none"/>
              </w:rPr>
            </w:pPr>
          </w:p>
          <w:p w14:paraId="16A31733">
            <w:pPr>
              <w:spacing w:line="560" w:lineRule="exact"/>
              <w:ind w:firstLine="5460" w:firstLineChars="1950"/>
              <w:rPr>
                <w:rFonts w:hint="eastAsia" w:ascii="宋体" w:hAnsi="宋体" w:eastAsia="宋体" w:cs="宋体"/>
                <w:color w:val="auto"/>
                <w:sz w:val="28"/>
                <w:szCs w:val="28"/>
                <w:highlight w:val="none"/>
              </w:rPr>
            </w:pPr>
          </w:p>
          <w:p w14:paraId="6F467480">
            <w:pPr>
              <w:spacing w:line="560" w:lineRule="exact"/>
              <w:ind w:firstLine="6720" w:firstLineChars="2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66725072">
            <w:pPr>
              <w:spacing w:line="560" w:lineRule="exact"/>
              <w:ind w:firstLine="6720" w:firstLineChars="2400"/>
              <w:rPr>
                <w:rFonts w:hint="eastAsia" w:ascii="宋体" w:hAnsi="宋体" w:eastAsia="宋体" w:cs="宋体"/>
                <w:color w:val="auto"/>
                <w:sz w:val="30"/>
                <w:highlight w:val="none"/>
                <w:lang w:eastAsia="zh-CN"/>
              </w:rPr>
            </w:pPr>
            <w:r>
              <w:rPr>
                <w:rFonts w:hint="eastAsia" w:ascii="宋体" w:hAnsi="宋体" w:eastAsia="宋体" w:cs="宋体"/>
                <w:color w:val="auto"/>
                <w:sz w:val="28"/>
                <w:szCs w:val="28"/>
                <w:highlight w:val="none"/>
                <w:lang w:eastAsia="zh-CN"/>
              </w:rPr>
              <w:t>2026年4月</w:t>
            </w:r>
          </w:p>
        </w:tc>
      </w:tr>
    </w:tbl>
    <w:p w14:paraId="44551F5C">
      <w:pPr>
        <w:pStyle w:val="10"/>
        <w:rPr>
          <w:rFonts w:hint="eastAsia" w:ascii="宋体" w:hAnsi="宋体" w:eastAsia="宋体" w:cs="宋体"/>
          <w:color w:val="auto"/>
          <w:highlight w:val="none"/>
        </w:rPr>
      </w:pPr>
    </w:p>
    <w:p w14:paraId="4B0FDED7">
      <w:pPr>
        <w:spacing w:line="360" w:lineRule="auto"/>
        <w:ind w:firstLine="435"/>
        <w:rPr>
          <w:rFonts w:hint="eastAsia" w:ascii="宋体" w:hAnsi="宋体" w:eastAsia="宋体" w:cs="宋体"/>
          <w:color w:val="auto"/>
          <w:sz w:val="24"/>
          <w:highlight w:val="none"/>
        </w:rPr>
      </w:pPr>
    </w:p>
    <w:sectPr>
      <w:headerReference r:id="rId7" w:type="default"/>
      <w:footerReference r:id="rId8"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9E6B">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0ECB">
    <w:pPr>
      <w:pStyle w:val="18"/>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CBC54">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FCBC54">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00B02">
    <w:pPr>
      <w:spacing w:line="189" w:lineRule="auto"/>
      <w:ind w:left="4430"/>
      <w:rPr>
        <w:rFonts w:hint="eastAsia" w:cs="@仿宋_GB2312" w:asciiTheme="minorEastAsia" w:hAnsiTheme="minorEastAsia" w:eastAsiaTheme="minorEastAsia"/>
        <w:kern w:val="2"/>
        <w:sz w:val="21"/>
        <w:szCs w:val="21"/>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07C6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507C6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3B993">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D3EB6">
    <w:pPr>
      <w:pStyle w:val="1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81F">
    <w:pPr>
      <w:pStyle w:val="19"/>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1">
    <w:nsid w:val="0000000C"/>
    <w:multiLevelType w:val="multilevel"/>
    <w:tmpl w:val="0000000C"/>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3"/>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1"/>
    <w:multiLevelType w:val="multilevel"/>
    <w:tmpl w:val="00000011"/>
    <w:lvl w:ilvl="0" w:tentative="0">
      <w:start w:val="6"/>
      <w:numFmt w:val="decimal"/>
      <w:lvlText w:val="（%1）"/>
      <w:lvlJc w:val="left"/>
      <w:pPr>
        <w:tabs>
          <w:tab w:val="left" w:pos="1500"/>
        </w:tabs>
        <w:ind w:left="1500" w:hanging="1080"/>
      </w:pPr>
      <w:rPr>
        <w:rFonts w:hint="eastAsia"/>
      </w:rPr>
    </w:lvl>
    <w:lvl w:ilvl="1" w:tentative="0">
      <w:start w:val="1"/>
      <w:numFmt w:val="decimal"/>
      <w:pStyle w:val="16"/>
      <w:lvlText w:val="（%2）"/>
      <w:lvlJc w:val="left"/>
      <w:pPr>
        <w:tabs>
          <w:tab w:val="left" w:pos="1920"/>
        </w:tabs>
        <w:ind w:left="192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323379E"/>
    <w:multiLevelType w:val="multilevel"/>
    <w:tmpl w:val="2323379E"/>
    <w:lvl w:ilvl="0" w:tentative="0">
      <w:start w:val="1"/>
      <w:numFmt w:val="chineseCountingThousand"/>
      <w:pStyle w:val="26"/>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6BA1"/>
    <w:rsid w:val="0000043F"/>
    <w:rsid w:val="000023CA"/>
    <w:rsid w:val="000037F9"/>
    <w:rsid w:val="000049DA"/>
    <w:rsid w:val="000056B7"/>
    <w:rsid w:val="00006585"/>
    <w:rsid w:val="00007647"/>
    <w:rsid w:val="0000779C"/>
    <w:rsid w:val="000131F7"/>
    <w:rsid w:val="00014039"/>
    <w:rsid w:val="0001600A"/>
    <w:rsid w:val="00016B6C"/>
    <w:rsid w:val="000201D0"/>
    <w:rsid w:val="00020B57"/>
    <w:rsid w:val="00020E3A"/>
    <w:rsid w:val="000261F2"/>
    <w:rsid w:val="000360B3"/>
    <w:rsid w:val="00040C25"/>
    <w:rsid w:val="00042139"/>
    <w:rsid w:val="00042973"/>
    <w:rsid w:val="00042B14"/>
    <w:rsid w:val="00044F49"/>
    <w:rsid w:val="000450C3"/>
    <w:rsid w:val="0004550A"/>
    <w:rsid w:val="00050A3F"/>
    <w:rsid w:val="00061234"/>
    <w:rsid w:val="00062C99"/>
    <w:rsid w:val="000648D2"/>
    <w:rsid w:val="00066B5B"/>
    <w:rsid w:val="00070E0E"/>
    <w:rsid w:val="0007146E"/>
    <w:rsid w:val="00076DB7"/>
    <w:rsid w:val="00080FEB"/>
    <w:rsid w:val="000845C6"/>
    <w:rsid w:val="000845CA"/>
    <w:rsid w:val="00092933"/>
    <w:rsid w:val="00093150"/>
    <w:rsid w:val="00094D41"/>
    <w:rsid w:val="000970FA"/>
    <w:rsid w:val="00097CB9"/>
    <w:rsid w:val="000A0D8A"/>
    <w:rsid w:val="000A10A9"/>
    <w:rsid w:val="000A6693"/>
    <w:rsid w:val="000A7970"/>
    <w:rsid w:val="000A7D94"/>
    <w:rsid w:val="000B00AF"/>
    <w:rsid w:val="000B1511"/>
    <w:rsid w:val="000B46F2"/>
    <w:rsid w:val="000B70F0"/>
    <w:rsid w:val="000C0507"/>
    <w:rsid w:val="000C1DB1"/>
    <w:rsid w:val="000D3A8D"/>
    <w:rsid w:val="000D3F37"/>
    <w:rsid w:val="000E2BA5"/>
    <w:rsid w:val="000E33A5"/>
    <w:rsid w:val="000E3BFD"/>
    <w:rsid w:val="000E3C74"/>
    <w:rsid w:val="000E3F9B"/>
    <w:rsid w:val="000E478E"/>
    <w:rsid w:val="000E6689"/>
    <w:rsid w:val="000E6FA7"/>
    <w:rsid w:val="000F172B"/>
    <w:rsid w:val="000F2198"/>
    <w:rsid w:val="000F3856"/>
    <w:rsid w:val="000F39B6"/>
    <w:rsid w:val="000F54AA"/>
    <w:rsid w:val="000F6B7B"/>
    <w:rsid w:val="00100B0F"/>
    <w:rsid w:val="0010187C"/>
    <w:rsid w:val="0010219C"/>
    <w:rsid w:val="001037E3"/>
    <w:rsid w:val="001077EC"/>
    <w:rsid w:val="0011036B"/>
    <w:rsid w:val="00110820"/>
    <w:rsid w:val="00112D01"/>
    <w:rsid w:val="00113EBF"/>
    <w:rsid w:val="00116050"/>
    <w:rsid w:val="0011660B"/>
    <w:rsid w:val="0012143A"/>
    <w:rsid w:val="00124AF9"/>
    <w:rsid w:val="001258BA"/>
    <w:rsid w:val="00126A59"/>
    <w:rsid w:val="001273BC"/>
    <w:rsid w:val="001301E2"/>
    <w:rsid w:val="001349C6"/>
    <w:rsid w:val="00140687"/>
    <w:rsid w:val="00140769"/>
    <w:rsid w:val="00141FE8"/>
    <w:rsid w:val="00142ED4"/>
    <w:rsid w:val="001459A7"/>
    <w:rsid w:val="00146421"/>
    <w:rsid w:val="00147A94"/>
    <w:rsid w:val="00147E0C"/>
    <w:rsid w:val="00151E19"/>
    <w:rsid w:val="00153B20"/>
    <w:rsid w:val="00154FDC"/>
    <w:rsid w:val="00155F64"/>
    <w:rsid w:val="00157856"/>
    <w:rsid w:val="00160729"/>
    <w:rsid w:val="001651ED"/>
    <w:rsid w:val="00166794"/>
    <w:rsid w:val="00166ED8"/>
    <w:rsid w:val="001714C9"/>
    <w:rsid w:val="00171B25"/>
    <w:rsid w:val="001749A0"/>
    <w:rsid w:val="0018119B"/>
    <w:rsid w:val="001812BE"/>
    <w:rsid w:val="001844AB"/>
    <w:rsid w:val="001853C7"/>
    <w:rsid w:val="00190839"/>
    <w:rsid w:val="00192879"/>
    <w:rsid w:val="00194365"/>
    <w:rsid w:val="001944B8"/>
    <w:rsid w:val="00196DA3"/>
    <w:rsid w:val="001A26EE"/>
    <w:rsid w:val="001A526C"/>
    <w:rsid w:val="001A68E5"/>
    <w:rsid w:val="001A69CE"/>
    <w:rsid w:val="001B2A54"/>
    <w:rsid w:val="001B2BA4"/>
    <w:rsid w:val="001B4A22"/>
    <w:rsid w:val="001B5014"/>
    <w:rsid w:val="001B7327"/>
    <w:rsid w:val="001C3E8A"/>
    <w:rsid w:val="001C646A"/>
    <w:rsid w:val="001D22EA"/>
    <w:rsid w:val="001D3674"/>
    <w:rsid w:val="001D3E9A"/>
    <w:rsid w:val="001D53B4"/>
    <w:rsid w:val="001D67FB"/>
    <w:rsid w:val="001D6C96"/>
    <w:rsid w:val="001E1835"/>
    <w:rsid w:val="001E7198"/>
    <w:rsid w:val="001F19A3"/>
    <w:rsid w:val="001F28D2"/>
    <w:rsid w:val="001F2F45"/>
    <w:rsid w:val="001F3023"/>
    <w:rsid w:val="001F3250"/>
    <w:rsid w:val="001F35F6"/>
    <w:rsid w:val="001F74CA"/>
    <w:rsid w:val="001F7590"/>
    <w:rsid w:val="002003B6"/>
    <w:rsid w:val="0020244A"/>
    <w:rsid w:val="00204609"/>
    <w:rsid w:val="002049B4"/>
    <w:rsid w:val="0020520B"/>
    <w:rsid w:val="00207490"/>
    <w:rsid w:val="002076AD"/>
    <w:rsid w:val="00213C55"/>
    <w:rsid w:val="00216412"/>
    <w:rsid w:val="00223CF4"/>
    <w:rsid w:val="00224C4A"/>
    <w:rsid w:val="00225608"/>
    <w:rsid w:val="002302D6"/>
    <w:rsid w:val="00231187"/>
    <w:rsid w:val="00233C96"/>
    <w:rsid w:val="0023407E"/>
    <w:rsid w:val="00240B40"/>
    <w:rsid w:val="00244182"/>
    <w:rsid w:val="00247817"/>
    <w:rsid w:val="002544A1"/>
    <w:rsid w:val="00256EF1"/>
    <w:rsid w:val="00257ECE"/>
    <w:rsid w:val="00260B94"/>
    <w:rsid w:val="00264F2E"/>
    <w:rsid w:val="00265463"/>
    <w:rsid w:val="00271245"/>
    <w:rsid w:val="00271720"/>
    <w:rsid w:val="00274A9E"/>
    <w:rsid w:val="00276BA1"/>
    <w:rsid w:val="002778C0"/>
    <w:rsid w:val="00280984"/>
    <w:rsid w:val="002835E3"/>
    <w:rsid w:val="00284542"/>
    <w:rsid w:val="00291840"/>
    <w:rsid w:val="00297870"/>
    <w:rsid w:val="002A14D1"/>
    <w:rsid w:val="002A1A1D"/>
    <w:rsid w:val="002A28AD"/>
    <w:rsid w:val="002A3F9B"/>
    <w:rsid w:val="002B04FD"/>
    <w:rsid w:val="002B5318"/>
    <w:rsid w:val="002B6D27"/>
    <w:rsid w:val="002B7A09"/>
    <w:rsid w:val="002C060C"/>
    <w:rsid w:val="002C5DCC"/>
    <w:rsid w:val="002C69FD"/>
    <w:rsid w:val="002C70AB"/>
    <w:rsid w:val="002D05DD"/>
    <w:rsid w:val="002D10A6"/>
    <w:rsid w:val="002D26D1"/>
    <w:rsid w:val="002D2965"/>
    <w:rsid w:val="002D2F38"/>
    <w:rsid w:val="002D3C10"/>
    <w:rsid w:val="002D3D02"/>
    <w:rsid w:val="002D4CB5"/>
    <w:rsid w:val="002D5610"/>
    <w:rsid w:val="002D684B"/>
    <w:rsid w:val="002D6FA4"/>
    <w:rsid w:val="002E1327"/>
    <w:rsid w:val="002E2AD2"/>
    <w:rsid w:val="002E2D3A"/>
    <w:rsid w:val="002E3B26"/>
    <w:rsid w:val="002E4AB8"/>
    <w:rsid w:val="002E7FC4"/>
    <w:rsid w:val="002F1132"/>
    <w:rsid w:val="00303D04"/>
    <w:rsid w:val="00310070"/>
    <w:rsid w:val="0031081B"/>
    <w:rsid w:val="00310EF7"/>
    <w:rsid w:val="003110EC"/>
    <w:rsid w:val="00314577"/>
    <w:rsid w:val="00317A51"/>
    <w:rsid w:val="003206A6"/>
    <w:rsid w:val="00322439"/>
    <w:rsid w:val="0032560D"/>
    <w:rsid w:val="00327C92"/>
    <w:rsid w:val="0033145F"/>
    <w:rsid w:val="00333292"/>
    <w:rsid w:val="003344E7"/>
    <w:rsid w:val="0033460E"/>
    <w:rsid w:val="0033580B"/>
    <w:rsid w:val="003365E7"/>
    <w:rsid w:val="003378D5"/>
    <w:rsid w:val="00341B40"/>
    <w:rsid w:val="00344BF7"/>
    <w:rsid w:val="003473D7"/>
    <w:rsid w:val="003510A4"/>
    <w:rsid w:val="00351AC8"/>
    <w:rsid w:val="00351CB6"/>
    <w:rsid w:val="00353075"/>
    <w:rsid w:val="003536F2"/>
    <w:rsid w:val="00360384"/>
    <w:rsid w:val="00361F77"/>
    <w:rsid w:val="00362110"/>
    <w:rsid w:val="00362561"/>
    <w:rsid w:val="00363022"/>
    <w:rsid w:val="00363E02"/>
    <w:rsid w:val="00370BF9"/>
    <w:rsid w:val="00372CF6"/>
    <w:rsid w:val="00373A96"/>
    <w:rsid w:val="003744F2"/>
    <w:rsid w:val="003800C3"/>
    <w:rsid w:val="0038193A"/>
    <w:rsid w:val="003826C2"/>
    <w:rsid w:val="00383728"/>
    <w:rsid w:val="00385435"/>
    <w:rsid w:val="00386239"/>
    <w:rsid w:val="003903BB"/>
    <w:rsid w:val="00392627"/>
    <w:rsid w:val="003938B3"/>
    <w:rsid w:val="003939B1"/>
    <w:rsid w:val="00394128"/>
    <w:rsid w:val="00394ADC"/>
    <w:rsid w:val="00395131"/>
    <w:rsid w:val="00395235"/>
    <w:rsid w:val="0039561A"/>
    <w:rsid w:val="0039676A"/>
    <w:rsid w:val="00397C7D"/>
    <w:rsid w:val="003A004F"/>
    <w:rsid w:val="003A085C"/>
    <w:rsid w:val="003A092F"/>
    <w:rsid w:val="003A326B"/>
    <w:rsid w:val="003A68A7"/>
    <w:rsid w:val="003B1321"/>
    <w:rsid w:val="003B154F"/>
    <w:rsid w:val="003B2E76"/>
    <w:rsid w:val="003B4130"/>
    <w:rsid w:val="003B715B"/>
    <w:rsid w:val="003C2C62"/>
    <w:rsid w:val="003C2CB8"/>
    <w:rsid w:val="003D1D14"/>
    <w:rsid w:val="003D31C0"/>
    <w:rsid w:val="003D6B5D"/>
    <w:rsid w:val="003D6C7C"/>
    <w:rsid w:val="003D6EFB"/>
    <w:rsid w:val="003D73CA"/>
    <w:rsid w:val="003D7E52"/>
    <w:rsid w:val="003E25C6"/>
    <w:rsid w:val="003F7528"/>
    <w:rsid w:val="0040083C"/>
    <w:rsid w:val="004009F4"/>
    <w:rsid w:val="004011AA"/>
    <w:rsid w:val="0040202C"/>
    <w:rsid w:val="0040563A"/>
    <w:rsid w:val="00406508"/>
    <w:rsid w:val="00412E69"/>
    <w:rsid w:val="004140DE"/>
    <w:rsid w:val="0041456E"/>
    <w:rsid w:val="00414F7E"/>
    <w:rsid w:val="004164F8"/>
    <w:rsid w:val="0042170B"/>
    <w:rsid w:val="00424A97"/>
    <w:rsid w:val="00426F05"/>
    <w:rsid w:val="00427B65"/>
    <w:rsid w:val="004327A2"/>
    <w:rsid w:val="004328E1"/>
    <w:rsid w:val="00436B56"/>
    <w:rsid w:val="0044205D"/>
    <w:rsid w:val="004426E7"/>
    <w:rsid w:val="004427B7"/>
    <w:rsid w:val="00442F6D"/>
    <w:rsid w:val="0044349F"/>
    <w:rsid w:val="00445F1F"/>
    <w:rsid w:val="004474B2"/>
    <w:rsid w:val="0045076F"/>
    <w:rsid w:val="00451F60"/>
    <w:rsid w:val="00452BB2"/>
    <w:rsid w:val="00456054"/>
    <w:rsid w:val="0045656D"/>
    <w:rsid w:val="00460B9A"/>
    <w:rsid w:val="0046291C"/>
    <w:rsid w:val="00462D98"/>
    <w:rsid w:val="00463E7D"/>
    <w:rsid w:val="0046704C"/>
    <w:rsid w:val="0047174D"/>
    <w:rsid w:val="0047268A"/>
    <w:rsid w:val="00472964"/>
    <w:rsid w:val="00472A44"/>
    <w:rsid w:val="00473A89"/>
    <w:rsid w:val="00475899"/>
    <w:rsid w:val="00482C78"/>
    <w:rsid w:val="0048634A"/>
    <w:rsid w:val="004874AE"/>
    <w:rsid w:val="004905FC"/>
    <w:rsid w:val="00494385"/>
    <w:rsid w:val="00494D24"/>
    <w:rsid w:val="004951D1"/>
    <w:rsid w:val="004960BB"/>
    <w:rsid w:val="00496773"/>
    <w:rsid w:val="00496FA4"/>
    <w:rsid w:val="004A27D0"/>
    <w:rsid w:val="004A4D67"/>
    <w:rsid w:val="004A7690"/>
    <w:rsid w:val="004B0A70"/>
    <w:rsid w:val="004B6A5D"/>
    <w:rsid w:val="004C13CB"/>
    <w:rsid w:val="004D0537"/>
    <w:rsid w:val="004D3D4B"/>
    <w:rsid w:val="004D5498"/>
    <w:rsid w:val="004D66A5"/>
    <w:rsid w:val="004D6B00"/>
    <w:rsid w:val="004D6B8C"/>
    <w:rsid w:val="004D71FC"/>
    <w:rsid w:val="004D7A64"/>
    <w:rsid w:val="004E0D39"/>
    <w:rsid w:val="004E1D50"/>
    <w:rsid w:val="004E65E1"/>
    <w:rsid w:val="004F27A0"/>
    <w:rsid w:val="004F2F91"/>
    <w:rsid w:val="004F63C7"/>
    <w:rsid w:val="004F6BAD"/>
    <w:rsid w:val="00501382"/>
    <w:rsid w:val="005029C7"/>
    <w:rsid w:val="00504B12"/>
    <w:rsid w:val="00510798"/>
    <w:rsid w:val="00512101"/>
    <w:rsid w:val="005125F1"/>
    <w:rsid w:val="0051737F"/>
    <w:rsid w:val="00522A55"/>
    <w:rsid w:val="00524A11"/>
    <w:rsid w:val="0052757B"/>
    <w:rsid w:val="00527768"/>
    <w:rsid w:val="00530EA4"/>
    <w:rsid w:val="00531AD6"/>
    <w:rsid w:val="005327FB"/>
    <w:rsid w:val="00533FCA"/>
    <w:rsid w:val="00536422"/>
    <w:rsid w:val="005470D4"/>
    <w:rsid w:val="005616B5"/>
    <w:rsid w:val="005639C3"/>
    <w:rsid w:val="005668F0"/>
    <w:rsid w:val="005679A4"/>
    <w:rsid w:val="00571FA4"/>
    <w:rsid w:val="00574B0B"/>
    <w:rsid w:val="005760E1"/>
    <w:rsid w:val="00581663"/>
    <w:rsid w:val="00585811"/>
    <w:rsid w:val="00591DC8"/>
    <w:rsid w:val="0059223D"/>
    <w:rsid w:val="00597B15"/>
    <w:rsid w:val="005A044C"/>
    <w:rsid w:val="005A149F"/>
    <w:rsid w:val="005A18B7"/>
    <w:rsid w:val="005A2656"/>
    <w:rsid w:val="005A73B1"/>
    <w:rsid w:val="005B05B5"/>
    <w:rsid w:val="005B16E3"/>
    <w:rsid w:val="005B34C9"/>
    <w:rsid w:val="005B6BD1"/>
    <w:rsid w:val="005C140C"/>
    <w:rsid w:val="005C6C95"/>
    <w:rsid w:val="005D0200"/>
    <w:rsid w:val="005D44EF"/>
    <w:rsid w:val="005D5109"/>
    <w:rsid w:val="005D5112"/>
    <w:rsid w:val="005D5A94"/>
    <w:rsid w:val="005D5D67"/>
    <w:rsid w:val="005E2874"/>
    <w:rsid w:val="005E425A"/>
    <w:rsid w:val="005E6202"/>
    <w:rsid w:val="005F240E"/>
    <w:rsid w:val="005F2B97"/>
    <w:rsid w:val="005F34CC"/>
    <w:rsid w:val="005F3914"/>
    <w:rsid w:val="005F3B5A"/>
    <w:rsid w:val="005F6AB4"/>
    <w:rsid w:val="00607471"/>
    <w:rsid w:val="00610A66"/>
    <w:rsid w:val="00610C25"/>
    <w:rsid w:val="00612CFF"/>
    <w:rsid w:val="00613177"/>
    <w:rsid w:val="00613F7C"/>
    <w:rsid w:val="00614BF2"/>
    <w:rsid w:val="0061557C"/>
    <w:rsid w:val="00617ECF"/>
    <w:rsid w:val="006208AC"/>
    <w:rsid w:val="00623DE2"/>
    <w:rsid w:val="00627601"/>
    <w:rsid w:val="006300D0"/>
    <w:rsid w:val="00630BA1"/>
    <w:rsid w:val="00632012"/>
    <w:rsid w:val="00634694"/>
    <w:rsid w:val="00635682"/>
    <w:rsid w:val="006357FD"/>
    <w:rsid w:val="00636517"/>
    <w:rsid w:val="00637122"/>
    <w:rsid w:val="00637690"/>
    <w:rsid w:val="00637BB7"/>
    <w:rsid w:val="0064044E"/>
    <w:rsid w:val="00640E1E"/>
    <w:rsid w:val="0064389A"/>
    <w:rsid w:val="00644F02"/>
    <w:rsid w:val="00645442"/>
    <w:rsid w:val="00650474"/>
    <w:rsid w:val="006525CD"/>
    <w:rsid w:val="00652C67"/>
    <w:rsid w:val="00653F7F"/>
    <w:rsid w:val="00655229"/>
    <w:rsid w:val="0065682C"/>
    <w:rsid w:val="00662EE8"/>
    <w:rsid w:val="00663813"/>
    <w:rsid w:val="00664AFD"/>
    <w:rsid w:val="00667567"/>
    <w:rsid w:val="0067391A"/>
    <w:rsid w:val="00674173"/>
    <w:rsid w:val="00676551"/>
    <w:rsid w:val="00677D87"/>
    <w:rsid w:val="0068405B"/>
    <w:rsid w:val="00690DB1"/>
    <w:rsid w:val="00691C87"/>
    <w:rsid w:val="00693404"/>
    <w:rsid w:val="006953D9"/>
    <w:rsid w:val="006A03C1"/>
    <w:rsid w:val="006A1269"/>
    <w:rsid w:val="006A49DE"/>
    <w:rsid w:val="006A5803"/>
    <w:rsid w:val="006A69C3"/>
    <w:rsid w:val="006A7C15"/>
    <w:rsid w:val="006B1242"/>
    <w:rsid w:val="006B1DBC"/>
    <w:rsid w:val="006B7C1C"/>
    <w:rsid w:val="006B7D9A"/>
    <w:rsid w:val="006C06D9"/>
    <w:rsid w:val="006C3E22"/>
    <w:rsid w:val="006C45B8"/>
    <w:rsid w:val="006C48CA"/>
    <w:rsid w:val="006C5716"/>
    <w:rsid w:val="006C64B2"/>
    <w:rsid w:val="006C6D92"/>
    <w:rsid w:val="006C74A9"/>
    <w:rsid w:val="006D07DE"/>
    <w:rsid w:val="006D361A"/>
    <w:rsid w:val="006D36C1"/>
    <w:rsid w:val="006E06D9"/>
    <w:rsid w:val="006E0FB8"/>
    <w:rsid w:val="006E1D40"/>
    <w:rsid w:val="006E2E1F"/>
    <w:rsid w:val="006E5059"/>
    <w:rsid w:val="006F0247"/>
    <w:rsid w:val="006F1A03"/>
    <w:rsid w:val="006F5F03"/>
    <w:rsid w:val="006F5FFF"/>
    <w:rsid w:val="0070078B"/>
    <w:rsid w:val="00710804"/>
    <w:rsid w:val="00711FC6"/>
    <w:rsid w:val="007130B1"/>
    <w:rsid w:val="00715071"/>
    <w:rsid w:val="00716532"/>
    <w:rsid w:val="00716F39"/>
    <w:rsid w:val="00720574"/>
    <w:rsid w:val="00720D0D"/>
    <w:rsid w:val="007231E9"/>
    <w:rsid w:val="007243E6"/>
    <w:rsid w:val="00724F0E"/>
    <w:rsid w:val="00725DA2"/>
    <w:rsid w:val="00727C59"/>
    <w:rsid w:val="00733730"/>
    <w:rsid w:val="00734E5D"/>
    <w:rsid w:val="00736013"/>
    <w:rsid w:val="00737BF8"/>
    <w:rsid w:val="0074339B"/>
    <w:rsid w:val="007516F4"/>
    <w:rsid w:val="00752504"/>
    <w:rsid w:val="00753ECD"/>
    <w:rsid w:val="00756245"/>
    <w:rsid w:val="00761662"/>
    <w:rsid w:val="0076222D"/>
    <w:rsid w:val="00763E37"/>
    <w:rsid w:val="00763F83"/>
    <w:rsid w:val="00764043"/>
    <w:rsid w:val="007757CF"/>
    <w:rsid w:val="0078128F"/>
    <w:rsid w:val="007819D9"/>
    <w:rsid w:val="00782F68"/>
    <w:rsid w:val="00785E68"/>
    <w:rsid w:val="007866A5"/>
    <w:rsid w:val="0078683C"/>
    <w:rsid w:val="00787C8F"/>
    <w:rsid w:val="00790EDB"/>
    <w:rsid w:val="00791538"/>
    <w:rsid w:val="0079326E"/>
    <w:rsid w:val="007954E7"/>
    <w:rsid w:val="00796EDE"/>
    <w:rsid w:val="007A085A"/>
    <w:rsid w:val="007A5A58"/>
    <w:rsid w:val="007B1C56"/>
    <w:rsid w:val="007C1DD7"/>
    <w:rsid w:val="007C3CD5"/>
    <w:rsid w:val="007C4CBA"/>
    <w:rsid w:val="007C5E88"/>
    <w:rsid w:val="007C61EF"/>
    <w:rsid w:val="007D1C0D"/>
    <w:rsid w:val="007D2D23"/>
    <w:rsid w:val="007D7AA0"/>
    <w:rsid w:val="007E2241"/>
    <w:rsid w:val="007E2627"/>
    <w:rsid w:val="007E27D6"/>
    <w:rsid w:val="007E3921"/>
    <w:rsid w:val="007F2052"/>
    <w:rsid w:val="007F40D8"/>
    <w:rsid w:val="00801028"/>
    <w:rsid w:val="00802DCE"/>
    <w:rsid w:val="00803793"/>
    <w:rsid w:val="00804000"/>
    <w:rsid w:val="0081017D"/>
    <w:rsid w:val="008153D1"/>
    <w:rsid w:val="00817A01"/>
    <w:rsid w:val="00820E1F"/>
    <w:rsid w:val="00825E35"/>
    <w:rsid w:val="00830A4E"/>
    <w:rsid w:val="008334F8"/>
    <w:rsid w:val="00835FFD"/>
    <w:rsid w:val="00844FAA"/>
    <w:rsid w:val="008504BF"/>
    <w:rsid w:val="008524CE"/>
    <w:rsid w:val="00854ED9"/>
    <w:rsid w:val="00855391"/>
    <w:rsid w:val="0086440C"/>
    <w:rsid w:val="00875269"/>
    <w:rsid w:val="00876294"/>
    <w:rsid w:val="00876659"/>
    <w:rsid w:val="0087734C"/>
    <w:rsid w:val="00881EEF"/>
    <w:rsid w:val="00882141"/>
    <w:rsid w:val="00883A1A"/>
    <w:rsid w:val="008876EC"/>
    <w:rsid w:val="008922A8"/>
    <w:rsid w:val="00894999"/>
    <w:rsid w:val="008953F3"/>
    <w:rsid w:val="00895BD5"/>
    <w:rsid w:val="008A1475"/>
    <w:rsid w:val="008A16C4"/>
    <w:rsid w:val="008A6FED"/>
    <w:rsid w:val="008B39C5"/>
    <w:rsid w:val="008B51AA"/>
    <w:rsid w:val="008C2AA8"/>
    <w:rsid w:val="008C67F2"/>
    <w:rsid w:val="008D064A"/>
    <w:rsid w:val="008D1E91"/>
    <w:rsid w:val="008D264C"/>
    <w:rsid w:val="008D2B0F"/>
    <w:rsid w:val="008D5611"/>
    <w:rsid w:val="008E294B"/>
    <w:rsid w:val="008E449E"/>
    <w:rsid w:val="008E4BDD"/>
    <w:rsid w:val="008E4DA7"/>
    <w:rsid w:val="008E5B79"/>
    <w:rsid w:val="008E770C"/>
    <w:rsid w:val="008E7CD5"/>
    <w:rsid w:val="008F187F"/>
    <w:rsid w:val="008F39F1"/>
    <w:rsid w:val="008F402F"/>
    <w:rsid w:val="008F76E8"/>
    <w:rsid w:val="0090697A"/>
    <w:rsid w:val="009078A1"/>
    <w:rsid w:val="00911E9C"/>
    <w:rsid w:val="00913A93"/>
    <w:rsid w:val="00914AD1"/>
    <w:rsid w:val="00917405"/>
    <w:rsid w:val="00920F7C"/>
    <w:rsid w:val="00924743"/>
    <w:rsid w:val="00924F78"/>
    <w:rsid w:val="00934CAE"/>
    <w:rsid w:val="0094257D"/>
    <w:rsid w:val="009467D2"/>
    <w:rsid w:val="009469A8"/>
    <w:rsid w:val="0095467C"/>
    <w:rsid w:val="00954A61"/>
    <w:rsid w:val="00955C6F"/>
    <w:rsid w:val="00956916"/>
    <w:rsid w:val="00966C7B"/>
    <w:rsid w:val="00967FE8"/>
    <w:rsid w:val="009700F4"/>
    <w:rsid w:val="009701DC"/>
    <w:rsid w:val="00970996"/>
    <w:rsid w:val="009715D8"/>
    <w:rsid w:val="0097552B"/>
    <w:rsid w:val="00976B1D"/>
    <w:rsid w:val="009775B8"/>
    <w:rsid w:val="009811A8"/>
    <w:rsid w:val="0098659E"/>
    <w:rsid w:val="009904C9"/>
    <w:rsid w:val="00992CEC"/>
    <w:rsid w:val="00995BF9"/>
    <w:rsid w:val="009A0CAF"/>
    <w:rsid w:val="009A1328"/>
    <w:rsid w:val="009A2207"/>
    <w:rsid w:val="009B0673"/>
    <w:rsid w:val="009B0EDA"/>
    <w:rsid w:val="009B3545"/>
    <w:rsid w:val="009B6C42"/>
    <w:rsid w:val="009D2690"/>
    <w:rsid w:val="009D2998"/>
    <w:rsid w:val="009D31F7"/>
    <w:rsid w:val="009D32C2"/>
    <w:rsid w:val="009D50DB"/>
    <w:rsid w:val="009E2932"/>
    <w:rsid w:val="009E2B8D"/>
    <w:rsid w:val="009E2E04"/>
    <w:rsid w:val="009E3A0A"/>
    <w:rsid w:val="009E4BCE"/>
    <w:rsid w:val="009E5ECD"/>
    <w:rsid w:val="009F3E91"/>
    <w:rsid w:val="009F7A34"/>
    <w:rsid w:val="00A008DA"/>
    <w:rsid w:val="00A00C7A"/>
    <w:rsid w:val="00A0571E"/>
    <w:rsid w:val="00A101E6"/>
    <w:rsid w:val="00A130DE"/>
    <w:rsid w:val="00A1499B"/>
    <w:rsid w:val="00A16EB2"/>
    <w:rsid w:val="00A17CCF"/>
    <w:rsid w:val="00A20CD3"/>
    <w:rsid w:val="00A30A1B"/>
    <w:rsid w:val="00A314C2"/>
    <w:rsid w:val="00A35C01"/>
    <w:rsid w:val="00A46CD5"/>
    <w:rsid w:val="00A50447"/>
    <w:rsid w:val="00A519A0"/>
    <w:rsid w:val="00A56D48"/>
    <w:rsid w:val="00A60B3D"/>
    <w:rsid w:val="00A62A2E"/>
    <w:rsid w:val="00A63E86"/>
    <w:rsid w:val="00A65139"/>
    <w:rsid w:val="00A655F5"/>
    <w:rsid w:val="00A66A60"/>
    <w:rsid w:val="00A713BD"/>
    <w:rsid w:val="00A71D1A"/>
    <w:rsid w:val="00A757C3"/>
    <w:rsid w:val="00A75E5B"/>
    <w:rsid w:val="00A7684A"/>
    <w:rsid w:val="00A83B69"/>
    <w:rsid w:val="00A86533"/>
    <w:rsid w:val="00A91CA2"/>
    <w:rsid w:val="00A92FB8"/>
    <w:rsid w:val="00A932EE"/>
    <w:rsid w:val="00A948F1"/>
    <w:rsid w:val="00AA18F9"/>
    <w:rsid w:val="00AA1D7D"/>
    <w:rsid w:val="00AA2790"/>
    <w:rsid w:val="00AA3806"/>
    <w:rsid w:val="00AA7F1B"/>
    <w:rsid w:val="00AB066F"/>
    <w:rsid w:val="00AB139D"/>
    <w:rsid w:val="00AB187D"/>
    <w:rsid w:val="00AB2D05"/>
    <w:rsid w:val="00AB3EFB"/>
    <w:rsid w:val="00AC0B05"/>
    <w:rsid w:val="00AC7F9D"/>
    <w:rsid w:val="00AD079A"/>
    <w:rsid w:val="00AD1890"/>
    <w:rsid w:val="00AD4A6B"/>
    <w:rsid w:val="00AE2149"/>
    <w:rsid w:val="00AE33AE"/>
    <w:rsid w:val="00AE3F91"/>
    <w:rsid w:val="00AE4B4A"/>
    <w:rsid w:val="00AF020F"/>
    <w:rsid w:val="00AF1F69"/>
    <w:rsid w:val="00B00288"/>
    <w:rsid w:val="00B0053D"/>
    <w:rsid w:val="00B02AF8"/>
    <w:rsid w:val="00B03916"/>
    <w:rsid w:val="00B039E3"/>
    <w:rsid w:val="00B06D36"/>
    <w:rsid w:val="00B0722E"/>
    <w:rsid w:val="00B07C1F"/>
    <w:rsid w:val="00B12BC4"/>
    <w:rsid w:val="00B22838"/>
    <w:rsid w:val="00B26818"/>
    <w:rsid w:val="00B311CE"/>
    <w:rsid w:val="00B31C60"/>
    <w:rsid w:val="00B3250C"/>
    <w:rsid w:val="00B33E95"/>
    <w:rsid w:val="00B35AE1"/>
    <w:rsid w:val="00B3720B"/>
    <w:rsid w:val="00B4477D"/>
    <w:rsid w:val="00B458F3"/>
    <w:rsid w:val="00B45D0B"/>
    <w:rsid w:val="00B4619F"/>
    <w:rsid w:val="00B54621"/>
    <w:rsid w:val="00B5558A"/>
    <w:rsid w:val="00B56513"/>
    <w:rsid w:val="00B6149B"/>
    <w:rsid w:val="00B63D36"/>
    <w:rsid w:val="00B64376"/>
    <w:rsid w:val="00B6570C"/>
    <w:rsid w:val="00B71D0E"/>
    <w:rsid w:val="00B7401F"/>
    <w:rsid w:val="00B769CF"/>
    <w:rsid w:val="00B77614"/>
    <w:rsid w:val="00B77636"/>
    <w:rsid w:val="00B806C3"/>
    <w:rsid w:val="00B80D6F"/>
    <w:rsid w:val="00B84290"/>
    <w:rsid w:val="00B84FCA"/>
    <w:rsid w:val="00B9089F"/>
    <w:rsid w:val="00B91826"/>
    <w:rsid w:val="00B91AEE"/>
    <w:rsid w:val="00B95F5A"/>
    <w:rsid w:val="00B967C6"/>
    <w:rsid w:val="00B96EAD"/>
    <w:rsid w:val="00BA21CC"/>
    <w:rsid w:val="00BA2EFC"/>
    <w:rsid w:val="00BA79F5"/>
    <w:rsid w:val="00BB10ED"/>
    <w:rsid w:val="00BB1747"/>
    <w:rsid w:val="00BB276E"/>
    <w:rsid w:val="00BB295A"/>
    <w:rsid w:val="00BB3AB6"/>
    <w:rsid w:val="00BB766D"/>
    <w:rsid w:val="00BC003F"/>
    <w:rsid w:val="00BC007B"/>
    <w:rsid w:val="00BC0FFE"/>
    <w:rsid w:val="00BC148D"/>
    <w:rsid w:val="00BC26BA"/>
    <w:rsid w:val="00BC35F8"/>
    <w:rsid w:val="00BC47D9"/>
    <w:rsid w:val="00BC481B"/>
    <w:rsid w:val="00BD1989"/>
    <w:rsid w:val="00BD2771"/>
    <w:rsid w:val="00BD617C"/>
    <w:rsid w:val="00BE1DBC"/>
    <w:rsid w:val="00BF2BD0"/>
    <w:rsid w:val="00BF376F"/>
    <w:rsid w:val="00BF3E44"/>
    <w:rsid w:val="00BF3F05"/>
    <w:rsid w:val="00BF436A"/>
    <w:rsid w:val="00BF46A6"/>
    <w:rsid w:val="00BF48F0"/>
    <w:rsid w:val="00BF53E1"/>
    <w:rsid w:val="00BF56F8"/>
    <w:rsid w:val="00BF5FD3"/>
    <w:rsid w:val="00BF71FB"/>
    <w:rsid w:val="00C02546"/>
    <w:rsid w:val="00C044C1"/>
    <w:rsid w:val="00C04AB6"/>
    <w:rsid w:val="00C06545"/>
    <w:rsid w:val="00C10D50"/>
    <w:rsid w:val="00C12CEE"/>
    <w:rsid w:val="00C134AF"/>
    <w:rsid w:val="00C17625"/>
    <w:rsid w:val="00C220FC"/>
    <w:rsid w:val="00C24B5B"/>
    <w:rsid w:val="00C24DFA"/>
    <w:rsid w:val="00C24F9D"/>
    <w:rsid w:val="00C261F6"/>
    <w:rsid w:val="00C276F6"/>
    <w:rsid w:val="00C30182"/>
    <w:rsid w:val="00C30382"/>
    <w:rsid w:val="00C30C9E"/>
    <w:rsid w:val="00C31FC9"/>
    <w:rsid w:val="00C37A63"/>
    <w:rsid w:val="00C41F60"/>
    <w:rsid w:val="00C46A36"/>
    <w:rsid w:val="00C47037"/>
    <w:rsid w:val="00C53625"/>
    <w:rsid w:val="00C53E9F"/>
    <w:rsid w:val="00C548BA"/>
    <w:rsid w:val="00C54D56"/>
    <w:rsid w:val="00C57784"/>
    <w:rsid w:val="00C602C1"/>
    <w:rsid w:val="00C63608"/>
    <w:rsid w:val="00C63FC0"/>
    <w:rsid w:val="00C66392"/>
    <w:rsid w:val="00C67D87"/>
    <w:rsid w:val="00C72C8D"/>
    <w:rsid w:val="00C73D09"/>
    <w:rsid w:val="00C74C5E"/>
    <w:rsid w:val="00C75ECA"/>
    <w:rsid w:val="00C80D87"/>
    <w:rsid w:val="00C82558"/>
    <w:rsid w:val="00C827A2"/>
    <w:rsid w:val="00C82B69"/>
    <w:rsid w:val="00C82CB3"/>
    <w:rsid w:val="00C86E29"/>
    <w:rsid w:val="00C91B28"/>
    <w:rsid w:val="00C91F3A"/>
    <w:rsid w:val="00C93590"/>
    <w:rsid w:val="00CA314D"/>
    <w:rsid w:val="00CA5446"/>
    <w:rsid w:val="00CB1213"/>
    <w:rsid w:val="00CB12E8"/>
    <w:rsid w:val="00CB218D"/>
    <w:rsid w:val="00CB3C63"/>
    <w:rsid w:val="00CB5625"/>
    <w:rsid w:val="00CB5797"/>
    <w:rsid w:val="00CB7E67"/>
    <w:rsid w:val="00CC03E5"/>
    <w:rsid w:val="00CC1C17"/>
    <w:rsid w:val="00CC4F01"/>
    <w:rsid w:val="00CC4F7F"/>
    <w:rsid w:val="00CC5C15"/>
    <w:rsid w:val="00CD0146"/>
    <w:rsid w:val="00CD0252"/>
    <w:rsid w:val="00CD09E1"/>
    <w:rsid w:val="00CD49AD"/>
    <w:rsid w:val="00CD74CC"/>
    <w:rsid w:val="00CE1780"/>
    <w:rsid w:val="00CE3028"/>
    <w:rsid w:val="00CE353F"/>
    <w:rsid w:val="00CE3C6D"/>
    <w:rsid w:val="00CE4327"/>
    <w:rsid w:val="00CE4913"/>
    <w:rsid w:val="00CE66BD"/>
    <w:rsid w:val="00CF0671"/>
    <w:rsid w:val="00CF247A"/>
    <w:rsid w:val="00CF4190"/>
    <w:rsid w:val="00CF44AD"/>
    <w:rsid w:val="00CF4FC0"/>
    <w:rsid w:val="00D00028"/>
    <w:rsid w:val="00D0107F"/>
    <w:rsid w:val="00D033A5"/>
    <w:rsid w:val="00D1072F"/>
    <w:rsid w:val="00D108A5"/>
    <w:rsid w:val="00D14585"/>
    <w:rsid w:val="00D20249"/>
    <w:rsid w:val="00D20831"/>
    <w:rsid w:val="00D20EFF"/>
    <w:rsid w:val="00D2551E"/>
    <w:rsid w:val="00D25F48"/>
    <w:rsid w:val="00D304CC"/>
    <w:rsid w:val="00D3077A"/>
    <w:rsid w:val="00D31324"/>
    <w:rsid w:val="00D36A58"/>
    <w:rsid w:val="00D47756"/>
    <w:rsid w:val="00D53ED8"/>
    <w:rsid w:val="00D604AC"/>
    <w:rsid w:val="00D608F8"/>
    <w:rsid w:val="00D64857"/>
    <w:rsid w:val="00D6493A"/>
    <w:rsid w:val="00D649A5"/>
    <w:rsid w:val="00D67875"/>
    <w:rsid w:val="00D719B9"/>
    <w:rsid w:val="00D71E86"/>
    <w:rsid w:val="00D731C6"/>
    <w:rsid w:val="00D745C5"/>
    <w:rsid w:val="00D75327"/>
    <w:rsid w:val="00D80C36"/>
    <w:rsid w:val="00D81A32"/>
    <w:rsid w:val="00D86EE1"/>
    <w:rsid w:val="00D87E70"/>
    <w:rsid w:val="00D91C23"/>
    <w:rsid w:val="00D9377F"/>
    <w:rsid w:val="00D95E90"/>
    <w:rsid w:val="00D96126"/>
    <w:rsid w:val="00D96523"/>
    <w:rsid w:val="00D97B36"/>
    <w:rsid w:val="00DA2FD5"/>
    <w:rsid w:val="00DA515B"/>
    <w:rsid w:val="00DB0B64"/>
    <w:rsid w:val="00DB2522"/>
    <w:rsid w:val="00DB42D9"/>
    <w:rsid w:val="00DB4B1C"/>
    <w:rsid w:val="00DB5085"/>
    <w:rsid w:val="00DB5E31"/>
    <w:rsid w:val="00DB619F"/>
    <w:rsid w:val="00DB6E51"/>
    <w:rsid w:val="00DC1062"/>
    <w:rsid w:val="00DC132C"/>
    <w:rsid w:val="00DC1AD2"/>
    <w:rsid w:val="00DC48CC"/>
    <w:rsid w:val="00DD078D"/>
    <w:rsid w:val="00DD3189"/>
    <w:rsid w:val="00DD4191"/>
    <w:rsid w:val="00DD43F0"/>
    <w:rsid w:val="00DD44DE"/>
    <w:rsid w:val="00DD5C4A"/>
    <w:rsid w:val="00DE09AB"/>
    <w:rsid w:val="00DE4A3F"/>
    <w:rsid w:val="00DE5A99"/>
    <w:rsid w:val="00DF24C2"/>
    <w:rsid w:val="00DF4367"/>
    <w:rsid w:val="00DF70AA"/>
    <w:rsid w:val="00DF7291"/>
    <w:rsid w:val="00E043D3"/>
    <w:rsid w:val="00E0574A"/>
    <w:rsid w:val="00E076D8"/>
    <w:rsid w:val="00E10709"/>
    <w:rsid w:val="00E1243D"/>
    <w:rsid w:val="00E12742"/>
    <w:rsid w:val="00E1403B"/>
    <w:rsid w:val="00E146D4"/>
    <w:rsid w:val="00E14B2F"/>
    <w:rsid w:val="00E15966"/>
    <w:rsid w:val="00E1744B"/>
    <w:rsid w:val="00E21D37"/>
    <w:rsid w:val="00E220ED"/>
    <w:rsid w:val="00E22B44"/>
    <w:rsid w:val="00E24551"/>
    <w:rsid w:val="00E25E48"/>
    <w:rsid w:val="00E30ACD"/>
    <w:rsid w:val="00E31806"/>
    <w:rsid w:val="00E319C3"/>
    <w:rsid w:val="00E32735"/>
    <w:rsid w:val="00E416DF"/>
    <w:rsid w:val="00E42251"/>
    <w:rsid w:val="00E44B88"/>
    <w:rsid w:val="00E51CEF"/>
    <w:rsid w:val="00E66E36"/>
    <w:rsid w:val="00E671AE"/>
    <w:rsid w:val="00E702ED"/>
    <w:rsid w:val="00E709A4"/>
    <w:rsid w:val="00E75D63"/>
    <w:rsid w:val="00E772DB"/>
    <w:rsid w:val="00E77C34"/>
    <w:rsid w:val="00E81367"/>
    <w:rsid w:val="00E8338F"/>
    <w:rsid w:val="00E85191"/>
    <w:rsid w:val="00E86012"/>
    <w:rsid w:val="00E86BAB"/>
    <w:rsid w:val="00E9037B"/>
    <w:rsid w:val="00E9432B"/>
    <w:rsid w:val="00E94E10"/>
    <w:rsid w:val="00E96743"/>
    <w:rsid w:val="00E96A42"/>
    <w:rsid w:val="00EA49C5"/>
    <w:rsid w:val="00EA6279"/>
    <w:rsid w:val="00EA68A0"/>
    <w:rsid w:val="00EA7B0A"/>
    <w:rsid w:val="00EB1969"/>
    <w:rsid w:val="00EB5027"/>
    <w:rsid w:val="00EB5EE1"/>
    <w:rsid w:val="00EC1836"/>
    <w:rsid w:val="00EC2442"/>
    <w:rsid w:val="00EC318C"/>
    <w:rsid w:val="00EC3990"/>
    <w:rsid w:val="00EC42AE"/>
    <w:rsid w:val="00EC484B"/>
    <w:rsid w:val="00EC5D8E"/>
    <w:rsid w:val="00EC7E58"/>
    <w:rsid w:val="00ED15FA"/>
    <w:rsid w:val="00ED3881"/>
    <w:rsid w:val="00ED5C9F"/>
    <w:rsid w:val="00ED7302"/>
    <w:rsid w:val="00ED7C12"/>
    <w:rsid w:val="00EE07A3"/>
    <w:rsid w:val="00EE0B52"/>
    <w:rsid w:val="00EE45D7"/>
    <w:rsid w:val="00EE6E9A"/>
    <w:rsid w:val="00EE789D"/>
    <w:rsid w:val="00EF04AC"/>
    <w:rsid w:val="00EF2AC4"/>
    <w:rsid w:val="00EF397E"/>
    <w:rsid w:val="00EF51CE"/>
    <w:rsid w:val="00EF7A17"/>
    <w:rsid w:val="00F05AE9"/>
    <w:rsid w:val="00F06F68"/>
    <w:rsid w:val="00F117BB"/>
    <w:rsid w:val="00F13DBE"/>
    <w:rsid w:val="00F1488C"/>
    <w:rsid w:val="00F15E9D"/>
    <w:rsid w:val="00F200DD"/>
    <w:rsid w:val="00F24C2D"/>
    <w:rsid w:val="00F25584"/>
    <w:rsid w:val="00F27D59"/>
    <w:rsid w:val="00F32A81"/>
    <w:rsid w:val="00F40C82"/>
    <w:rsid w:val="00F4197F"/>
    <w:rsid w:val="00F431D4"/>
    <w:rsid w:val="00F44A0E"/>
    <w:rsid w:val="00F44AF1"/>
    <w:rsid w:val="00F45DFF"/>
    <w:rsid w:val="00F46998"/>
    <w:rsid w:val="00F5382D"/>
    <w:rsid w:val="00F53D9C"/>
    <w:rsid w:val="00F5462B"/>
    <w:rsid w:val="00F57205"/>
    <w:rsid w:val="00F62DD8"/>
    <w:rsid w:val="00F634AD"/>
    <w:rsid w:val="00F63677"/>
    <w:rsid w:val="00F6568C"/>
    <w:rsid w:val="00F71EBA"/>
    <w:rsid w:val="00F75B81"/>
    <w:rsid w:val="00F804C4"/>
    <w:rsid w:val="00F80C7E"/>
    <w:rsid w:val="00F82F83"/>
    <w:rsid w:val="00F84506"/>
    <w:rsid w:val="00F85A85"/>
    <w:rsid w:val="00F873AC"/>
    <w:rsid w:val="00F90C64"/>
    <w:rsid w:val="00F92B30"/>
    <w:rsid w:val="00F933B9"/>
    <w:rsid w:val="00F94674"/>
    <w:rsid w:val="00F94919"/>
    <w:rsid w:val="00F94A59"/>
    <w:rsid w:val="00FA1E07"/>
    <w:rsid w:val="00FA25B6"/>
    <w:rsid w:val="00FA2FAF"/>
    <w:rsid w:val="00FA3757"/>
    <w:rsid w:val="00FA3C61"/>
    <w:rsid w:val="00FA54F6"/>
    <w:rsid w:val="00FA64B1"/>
    <w:rsid w:val="00FA70F3"/>
    <w:rsid w:val="00FA71CD"/>
    <w:rsid w:val="00FA7FDD"/>
    <w:rsid w:val="00FB0453"/>
    <w:rsid w:val="00FB0C07"/>
    <w:rsid w:val="00FB298D"/>
    <w:rsid w:val="00FB35EA"/>
    <w:rsid w:val="00FB4832"/>
    <w:rsid w:val="00FC1439"/>
    <w:rsid w:val="00FC1B7A"/>
    <w:rsid w:val="00FC2DB5"/>
    <w:rsid w:val="00FC33AA"/>
    <w:rsid w:val="00FC3F65"/>
    <w:rsid w:val="00FC4173"/>
    <w:rsid w:val="00FC71DA"/>
    <w:rsid w:val="00FC724B"/>
    <w:rsid w:val="00FC7668"/>
    <w:rsid w:val="00FC7910"/>
    <w:rsid w:val="00FD01E0"/>
    <w:rsid w:val="00FD0FC8"/>
    <w:rsid w:val="00FD2B6F"/>
    <w:rsid w:val="00FD4B78"/>
    <w:rsid w:val="00FD6FF8"/>
    <w:rsid w:val="00FE1627"/>
    <w:rsid w:val="00FE2AA2"/>
    <w:rsid w:val="00FE439C"/>
    <w:rsid w:val="00FE444F"/>
    <w:rsid w:val="00FE54B7"/>
    <w:rsid w:val="00FE5BD0"/>
    <w:rsid w:val="00FE62B8"/>
    <w:rsid w:val="00FE69F4"/>
    <w:rsid w:val="00FE73F0"/>
    <w:rsid w:val="00FE7E42"/>
    <w:rsid w:val="00FF092F"/>
    <w:rsid w:val="00FF0DA7"/>
    <w:rsid w:val="00FF44E0"/>
    <w:rsid w:val="00FF6C72"/>
    <w:rsid w:val="01A94010"/>
    <w:rsid w:val="01CC7C92"/>
    <w:rsid w:val="01DF6F92"/>
    <w:rsid w:val="0261662C"/>
    <w:rsid w:val="02EB00EE"/>
    <w:rsid w:val="04AF15ED"/>
    <w:rsid w:val="050E411D"/>
    <w:rsid w:val="051F632A"/>
    <w:rsid w:val="05BF1420"/>
    <w:rsid w:val="05CC4D92"/>
    <w:rsid w:val="061C2219"/>
    <w:rsid w:val="06BD5DFB"/>
    <w:rsid w:val="06E446F6"/>
    <w:rsid w:val="07673685"/>
    <w:rsid w:val="077E558A"/>
    <w:rsid w:val="078220FB"/>
    <w:rsid w:val="09BF1E8A"/>
    <w:rsid w:val="09C30F57"/>
    <w:rsid w:val="0A3B3C8B"/>
    <w:rsid w:val="0A53552A"/>
    <w:rsid w:val="0A856C30"/>
    <w:rsid w:val="0B45552B"/>
    <w:rsid w:val="0BF263F6"/>
    <w:rsid w:val="0C2A47BC"/>
    <w:rsid w:val="0CF629FC"/>
    <w:rsid w:val="0D596940"/>
    <w:rsid w:val="0D7E0499"/>
    <w:rsid w:val="0D981BB8"/>
    <w:rsid w:val="0E0846E8"/>
    <w:rsid w:val="0EC266A4"/>
    <w:rsid w:val="0F3932BC"/>
    <w:rsid w:val="0F786D63"/>
    <w:rsid w:val="0FD567FB"/>
    <w:rsid w:val="0FD769B0"/>
    <w:rsid w:val="10087CD4"/>
    <w:rsid w:val="105E794E"/>
    <w:rsid w:val="106B05B6"/>
    <w:rsid w:val="109004E6"/>
    <w:rsid w:val="109A13A3"/>
    <w:rsid w:val="114968AC"/>
    <w:rsid w:val="119360D6"/>
    <w:rsid w:val="11EB3D39"/>
    <w:rsid w:val="12112340"/>
    <w:rsid w:val="121F7798"/>
    <w:rsid w:val="12CE3384"/>
    <w:rsid w:val="1354798A"/>
    <w:rsid w:val="137B35AF"/>
    <w:rsid w:val="14005579"/>
    <w:rsid w:val="14763522"/>
    <w:rsid w:val="14782AA2"/>
    <w:rsid w:val="149A64B1"/>
    <w:rsid w:val="1505027F"/>
    <w:rsid w:val="15134287"/>
    <w:rsid w:val="16CE15A3"/>
    <w:rsid w:val="16FA59B3"/>
    <w:rsid w:val="170F61FF"/>
    <w:rsid w:val="177B0705"/>
    <w:rsid w:val="17A4173D"/>
    <w:rsid w:val="18351F10"/>
    <w:rsid w:val="18927454"/>
    <w:rsid w:val="19485FB9"/>
    <w:rsid w:val="19C177C7"/>
    <w:rsid w:val="19D159ED"/>
    <w:rsid w:val="1A324115"/>
    <w:rsid w:val="1A540717"/>
    <w:rsid w:val="1B542D7A"/>
    <w:rsid w:val="1B7C407F"/>
    <w:rsid w:val="1BE671DD"/>
    <w:rsid w:val="1C1023C3"/>
    <w:rsid w:val="1D814AA5"/>
    <w:rsid w:val="1DB84F1E"/>
    <w:rsid w:val="1DD73BCF"/>
    <w:rsid w:val="1EB6048B"/>
    <w:rsid w:val="1EF65EF6"/>
    <w:rsid w:val="1F234C0C"/>
    <w:rsid w:val="1F903C55"/>
    <w:rsid w:val="205F6F32"/>
    <w:rsid w:val="210755B4"/>
    <w:rsid w:val="22FB276D"/>
    <w:rsid w:val="239755FD"/>
    <w:rsid w:val="2443573A"/>
    <w:rsid w:val="2446477A"/>
    <w:rsid w:val="24637B8A"/>
    <w:rsid w:val="249D2C56"/>
    <w:rsid w:val="25566745"/>
    <w:rsid w:val="25822292"/>
    <w:rsid w:val="25F3318F"/>
    <w:rsid w:val="25F74D56"/>
    <w:rsid w:val="261F6D61"/>
    <w:rsid w:val="2751016E"/>
    <w:rsid w:val="27846795"/>
    <w:rsid w:val="28386F2E"/>
    <w:rsid w:val="28EA52FA"/>
    <w:rsid w:val="29107F53"/>
    <w:rsid w:val="2A1D6A2D"/>
    <w:rsid w:val="2A842608"/>
    <w:rsid w:val="2AF730C2"/>
    <w:rsid w:val="2B177920"/>
    <w:rsid w:val="2BA57BBC"/>
    <w:rsid w:val="2BEE4B94"/>
    <w:rsid w:val="2C7963E8"/>
    <w:rsid w:val="2D113502"/>
    <w:rsid w:val="2DA01243"/>
    <w:rsid w:val="2DE86E74"/>
    <w:rsid w:val="2E222864"/>
    <w:rsid w:val="2E7E7AFE"/>
    <w:rsid w:val="2EFF6701"/>
    <w:rsid w:val="2F2470D2"/>
    <w:rsid w:val="2F5B716B"/>
    <w:rsid w:val="2FA71273"/>
    <w:rsid w:val="303F76FD"/>
    <w:rsid w:val="3075311F"/>
    <w:rsid w:val="307A0C5E"/>
    <w:rsid w:val="30E644FA"/>
    <w:rsid w:val="31A751BC"/>
    <w:rsid w:val="3252638A"/>
    <w:rsid w:val="32EE71B8"/>
    <w:rsid w:val="32FC18D5"/>
    <w:rsid w:val="33057DFC"/>
    <w:rsid w:val="337203AE"/>
    <w:rsid w:val="33721B98"/>
    <w:rsid w:val="343432F1"/>
    <w:rsid w:val="343B3DBB"/>
    <w:rsid w:val="34AA710F"/>
    <w:rsid w:val="357F7587"/>
    <w:rsid w:val="35D42696"/>
    <w:rsid w:val="36000CFE"/>
    <w:rsid w:val="36C2526A"/>
    <w:rsid w:val="36D466C5"/>
    <w:rsid w:val="376641A4"/>
    <w:rsid w:val="376B3925"/>
    <w:rsid w:val="3796189E"/>
    <w:rsid w:val="3811168E"/>
    <w:rsid w:val="38D41769"/>
    <w:rsid w:val="399D3224"/>
    <w:rsid w:val="39A42568"/>
    <w:rsid w:val="3A022862"/>
    <w:rsid w:val="3B3A3330"/>
    <w:rsid w:val="3B537311"/>
    <w:rsid w:val="3B96141A"/>
    <w:rsid w:val="3BBF0A71"/>
    <w:rsid w:val="3C277297"/>
    <w:rsid w:val="3D1E454A"/>
    <w:rsid w:val="3DE418E4"/>
    <w:rsid w:val="3EA90A54"/>
    <w:rsid w:val="3F2324C1"/>
    <w:rsid w:val="3F5C60E3"/>
    <w:rsid w:val="3FD80FD4"/>
    <w:rsid w:val="403C5A07"/>
    <w:rsid w:val="41221750"/>
    <w:rsid w:val="41F45E6E"/>
    <w:rsid w:val="42124D27"/>
    <w:rsid w:val="422549D8"/>
    <w:rsid w:val="429733C9"/>
    <w:rsid w:val="43413334"/>
    <w:rsid w:val="436037BB"/>
    <w:rsid w:val="43885228"/>
    <w:rsid w:val="4394533B"/>
    <w:rsid w:val="43B54FC0"/>
    <w:rsid w:val="44352E99"/>
    <w:rsid w:val="44AA183B"/>
    <w:rsid w:val="44DD67C7"/>
    <w:rsid w:val="44E56D05"/>
    <w:rsid w:val="45690CD5"/>
    <w:rsid w:val="45952195"/>
    <w:rsid w:val="46107493"/>
    <w:rsid w:val="46164604"/>
    <w:rsid w:val="46222FA9"/>
    <w:rsid w:val="46827519"/>
    <w:rsid w:val="46D7656E"/>
    <w:rsid w:val="47D1407B"/>
    <w:rsid w:val="488302E7"/>
    <w:rsid w:val="48CE7303"/>
    <w:rsid w:val="48D569F9"/>
    <w:rsid w:val="49B5282F"/>
    <w:rsid w:val="4A4F1536"/>
    <w:rsid w:val="4B904E59"/>
    <w:rsid w:val="4BD97CE6"/>
    <w:rsid w:val="4BDD4185"/>
    <w:rsid w:val="4C4B10F8"/>
    <w:rsid w:val="4C5C4D3B"/>
    <w:rsid w:val="4C6729B1"/>
    <w:rsid w:val="4CF643D0"/>
    <w:rsid w:val="4D044724"/>
    <w:rsid w:val="4D2D3004"/>
    <w:rsid w:val="4D3B2BA3"/>
    <w:rsid w:val="4D424C15"/>
    <w:rsid w:val="4DBF2D2F"/>
    <w:rsid w:val="4E597784"/>
    <w:rsid w:val="4E5E123E"/>
    <w:rsid w:val="4F0831A5"/>
    <w:rsid w:val="4F6E725F"/>
    <w:rsid w:val="4F771487"/>
    <w:rsid w:val="4FC60E49"/>
    <w:rsid w:val="4FCE5F50"/>
    <w:rsid w:val="50266BA2"/>
    <w:rsid w:val="50C431DE"/>
    <w:rsid w:val="517B52CE"/>
    <w:rsid w:val="521D6D1B"/>
    <w:rsid w:val="522E0650"/>
    <w:rsid w:val="52623ABC"/>
    <w:rsid w:val="52880638"/>
    <w:rsid w:val="528A7DFA"/>
    <w:rsid w:val="52B551A5"/>
    <w:rsid w:val="534C78B7"/>
    <w:rsid w:val="553B5E36"/>
    <w:rsid w:val="5566248C"/>
    <w:rsid w:val="55C53951"/>
    <w:rsid w:val="55C957B6"/>
    <w:rsid w:val="56111C07"/>
    <w:rsid w:val="56866803"/>
    <w:rsid w:val="56F1196D"/>
    <w:rsid w:val="573B10AE"/>
    <w:rsid w:val="57607DD5"/>
    <w:rsid w:val="59282FEE"/>
    <w:rsid w:val="59704CBE"/>
    <w:rsid w:val="597436C4"/>
    <w:rsid w:val="5AFE591D"/>
    <w:rsid w:val="5CFE3670"/>
    <w:rsid w:val="5D7B027C"/>
    <w:rsid w:val="5E131117"/>
    <w:rsid w:val="5E266569"/>
    <w:rsid w:val="5E4E4E2C"/>
    <w:rsid w:val="5FE91B00"/>
    <w:rsid w:val="60956786"/>
    <w:rsid w:val="61456024"/>
    <w:rsid w:val="618640A1"/>
    <w:rsid w:val="61876A50"/>
    <w:rsid w:val="619F774C"/>
    <w:rsid w:val="6235097C"/>
    <w:rsid w:val="6263077A"/>
    <w:rsid w:val="62886432"/>
    <w:rsid w:val="62A72D5C"/>
    <w:rsid w:val="62C76F5B"/>
    <w:rsid w:val="62EA5F8F"/>
    <w:rsid w:val="62F167CC"/>
    <w:rsid w:val="633352E7"/>
    <w:rsid w:val="63576604"/>
    <w:rsid w:val="642B3B2B"/>
    <w:rsid w:val="66A630F5"/>
    <w:rsid w:val="670F0867"/>
    <w:rsid w:val="677B6565"/>
    <w:rsid w:val="683F57E5"/>
    <w:rsid w:val="68682E9A"/>
    <w:rsid w:val="68ED60DB"/>
    <w:rsid w:val="690540BF"/>
    <w:rsid w:val="69B52012"/>
    <w:rsid w:val="69FA5E67"/>
    <w:rsid w:val="6A942F72"/>
    <w:rsid w:val="6B594E10"/>
    <w:rsid w:val="6C43379D"/>
    <w:rsid w:val="6C733C7B"/>
    <w:rsid w:val="6CC43A24"/>
    <w:rsid w:val="6DD21CAC"/>
    <w:rsid w:val="6DDF5126"/>
    <w:rsid w:val="6E292BB9"/>
    <w:rsid w:val="6EC4023D"/>
    <w:rsid w:val="6EDD3662"/>
    <w:rsid w:val="6F8A37EA"/>
    <w:rsid w:val="6FDB2297"/>
    <w:rsid w:val="70142E12"/>
    <w:rsid w:val="705C5240"/>
    <w:rsid w:val="71AE3447"/>
    <w:rsid w:val="72633030"/>
    <w:rsid w:val="727D38B6"/>
    <w:rsid w:val="72E12639"/>
    <w:rsid w:val="731A4031"/>
    <w:rsid w:val="74162BD4"/>
    <w:rsid w:val="749156AA"/>
    <w:rsid w:val="755F0D14"/>
    <w:rsid w:val="757177C2"/>
    <w:rsid w:val="75F16B45"/>
    <w:rsid w:val="76592168"/>
    <w:rsid w:val="76940F17"/>
    <w:rsid w:val="76EA60B5"/>
    <w:rsid w:val="77166AD4"/>
    <w:rsid w:val="77577866"/>
    <w:rsid w:val="780659D7"/>
    <w:rsid w:val="783F5B05"/>
    <w:rsid w:val="78E33F6B"/>
    <w:rsid w:val="78E41947"/>
    <w:rsid w:val="78F8116E"/>
    <w:rsid w:val="79312F71"/>
    <w:rsid w:val="794A3C60"/>
    <w:rsid w:val="797E3D39"/>
    <w:rsid w:val="79D9001D"/>
    <w:rsid w:val="7A4A3CF9"/>
    <w:rsid w:val="7AE30252"/>
    <w:rsid w:val="7B2F5245"/>
    <w:rsid w:val="7BAB6A04"/>
    <w:rsid w:val="7D120FFA"/>
    <w:rsid w:val="7D776DF5"/>
    <w:rsid w:val="7DA243F4"/>
    <w:rsid w:val="7DE92B4F"/>
    <w:rsid w:val="7E032932"/>
    <w:rsid w:val="7EAE12ED"/>
    <w:rsid w:val="7F5D4FEE"/>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numPr>
        <w:ilvl w:val="1"/>
        <w:numId w:val="1"/>
      </w:numPr>
      <w:adjustRightInd w:val="0"/>
      <w:spacing w:line="360" w:lineRule="atLeast"/>
      <w:outlineLvl w:val="1"/>
    </w:pPr>
    <w:rPr>
      <w:color w:val="auto"/>
      <w:sz w:val="24"/>
      <w:u w:val="none" w:color="auto"/>
    </w:rPr>
  </w:style>
  <w:style w:type="paragraph" w:styleId="4">
    <w:name w:val="heading 3"/>
    <w:basedOn w:val="1"/>
    <w:next w:val="1"/>
    <w:link w:val="66"/>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1"/>
    <w:autoRedefine/>
    <w:qFormat/>
    <w:uiPriority w:val="0"/>
    <w:pPr>
      <w:keepNext/>
      <w:keepLines/>
      <w:spacing w:before="280" w:after="290" w:line="376" w:lineRule="auto"/>
      <w:outlineLvl w:val="3"/>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3"/>
    <w:autoRedefine/>
    <w:qFormat/>
    <w:uiPriority w:val="0"/>
    <w:pPr>
      <w:jc w:val="left"/>
    </w:pPr>
    <w:rPr>
      <w:rFonts w:ascii="Arial" w:hAnsi="Arial" w:eastAsia="黑体" w:cs="Arial"/>
    </w:rPr>
  </w:style>
  <w:style w:type="paragraph" w:styleId="9">
    <w:name w:val="index 6"/>
    <w:basedOn w:val="1"/>
    <w:next w:val="1"/>
    <w:qFormat/>
    <w:uiPriority w:val="0"/>
    <w:pPr>
      <w:tabs>
        <w:tab w:val="left" w:pos="-9"/>
        <w:tab w:val="left" w:pos="3"/>
      </w:tabs>
      <w:ind w:left="0"/>
      <w:jc w:val="left"/>
    </w:pPr>
    <w:rPr>
      <w:b/>
      <w:bCs/>
      <w:color w:val="FF0000"/>
      <w:sz w:val="28"/>
      <w:szCs w:val="28"/>
    </w:rPr>
  </w:style>
  <w:style w:type="paragraph" w:styleId="10">
    <w:name w:val="Body Text"/>
    <w:basedOn w:val="1"/>
    <w:link w:val="72"/>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52"/>
    <w:autoRedefine/>
    <w:qFormat/>
    <w:uiPriority w:val="99"/>
    <w:rPr>
      <w:rFonts w:ascii="宋体" w:hAnsi="Courier New" w:eastAsiaTheme="minorEastAsia" w:cstheme="minorBidi"/>
      <w:szCs w:val="22"/>
    </w:rPr>
  </w:style>
  <w:style w:type="paragraph" w:styleId="15">
    <w:name w:val="Date"/>
    <w:basedOn w:val="1"/>
    <w:next w:val="1"/>
    <w:link w:val="59"/>
    <w:autoRedefine/>
    <w:qFormat/>
    <w:uiPriority w:val="0"/>
    <w:rPr>
      <w:rFonts w:ascii="Arial" w:hAnsi="Arial" w:eastAsia="宋体" w:cs="Arial"/>
      <w:b/>
      <w:sz w:val="28"/>
    </w:rPr>
  </w:style>
  <w:style w:type="paragraph" w:styleId="16">
    <w:name w:val="Body Text Indent 2"/>
    <w:basedOn w:val="1"/>
    <w:qFormat/>
    <w:uiPriority w:val="0"/>
    <w:pPr>
      <w:numPr>
        <w:ilvl w:val="1"/>
        <w:numId w:val="2"/>
      </w:numPr>
      <w:tabs>
        <w:tab w:val="clear" w:pos="1920"/>
      </w:tabs>
      <w:spacing w:after="120" w:afterLines="0" w:line="480" w:lineRule="auto"/>
      <w:ind w:left="420" w:leftChars="200" w:firstLine="0"/>
    </w:pPr>
  </w:style>
  <w:style w:type="paragraph" w:styleId="17">
    <w:name w:val="Balloon Text"/>
    <w:basedOn w:val="1"/>
    <w:link w:val="46"/>
    <w:autoRedefine/>
    <w:semiHidden/>
    <w:unhideWhenUsed/>
    <w:qFormat/>
    <w:uiPriority w:val="99"/>
    <w:rPr>
      <w:sz w:val="18"/>
      <w:szCs w:val="18"/>
    </w:rPr>
  </w:style>
  <w:style w:type="paragraph" w:styleId="18">
    <w:name w:val="footer"/>
    <w:basedOn w:val="1"/>
    <w:link w:val="51"/>
    <w:autoRedefine/>
    <w:unhideWhenUsed/>
    <w:qFormat/>
    <w:uiPriority w:val="99"/>
    <w:pPr>
      <w:tabs>
        <w:tab w:val="center" w:pos="4153"/>
        <w:tab w:val="right" w:pos="8306"/>
      </w:tabs>
      <w:snapToGrid w:val="0"/>
      <w:jc w:val="left"/>
    </w:pPr>
    <w:rPr>
      <w:sz w:val="18"/>
      <w:szCs w:val="18"/>
    </w:rPr>
  </w:style>
  <w:style w:type="paragraph" w:styleId="19">
    <w:name w:val="header"/>
    <w:basedOn w:val="1"/>
    <w:link w:val="5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2">
    <w:name w:val="toc 6"/>
    <w:basedOn w:val="1"/>
    <w:next w:val="1"/>
    <w:qFormat/>
    <w:uiPriority w:val="0"/>
    <w:pPr>
      <w:ind w:left="2100" w:leftChars="1000"/>
    </w:pPr>
  </w:style>
  <w:style w:type="paragraph" w:styleId="23">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Normal (Web)"/>
    <w:basedOn w:val="1"/>
    <w:autoRedefine/>
    <w:qFormat/>
    <w:uiPriority w:val="0"/>
    <w:pPr>
      <w:spacing w:before="100" w:beforeAutospacing="1" w:after="100" w:afterAutospacing="1"/>
      <w:jc w:val="left"/>
    </w:pPr>
    <w:rPr>
      <w:rFonts w:cs="Times New Roman"/>
      <w:kern w:val="0"/>
      <w:sz w:val="24"/>
    </w:rPr>
  </w:style>
  <w:style w:type="paragraph" w:styleId="25">
    <w:name w:val="index 1"/>
    <w:basedOn w:val="1"/>
    <w:next w:val="1"/>
    <w:autoRedefine/>
    <w:qFormat/>
    <w:uiPriority w:val="0"/>
    <w:pPr>
      <w:jc w:val="center"/>
    </w:pPr>
    <w:rPr>
      <w:rFonts w:ascii="Arial" w:hAnsi="Arial" w:eastAsia="Arial" w:cs="Arial"/>
      <w:b/>
      <w:bCs/>
      <w:sz w:val="28"/>
    </w:rPr>
  </w:style>
  <w:style w:type="paragraph" w:styleId="26">
    <w:name w:val="Title"/>
    <w:basedOn w:val="1"/>
    <w:next w:val="1"/>
    <w:qFormat/>
    <w:uiPriority w:val="0"/>
    <w:pPr>
      <w:numPr>
        <w:ilvl w:val="0"/>
        <w:numId w:val="3"/>
      </w:numPr>
      <w:spacing w:line="360" w:lineRule="auto"/>
      <w:jc w:val="left"/>
      <w:outlineLvl w:val="0"/>
    </w:pPr>
    <w:rPr>
      <w:rFonts w:ascii="Cambria" w:hAnsi="Cambria" w:cs="Times New Roman"/>
      <w:b/>
      <w:bCs/>
      <w:sz w:val="28"/>
      <w:szCs w:val="32"/>
    </w:rPr>
  </w:style>
  <w:style w:type="paragraph" w:styleId="27">
    <w:name w:val="Body Text First Indent"/>
    <w:basedOn w:val="10"/>
    <w:autoRedefine/>
    <w:semiHidden/>
    <w:unhideWhenUsed/>
    <w:qFormat/>
    <w:uiPriority w:val="99"/>
    <w:pPr>
      <w:ind w:firstLine="420" w:firstLineChars="100"/>
    </w:pPr>
  </w:style>
  <w:style w:type="paragraph" w:styleId="28">
    <w:name w:val="Body Text First Indent 2"/>
    <w:basedOn w:val="11"/>
    <w:next w:val="1"/>
    <w:qFormat/>
    <w:uiPriority w:val="0"/>
    <w:pPr>
      <w:ind w:firstLine="420" w:firstLineChars="200"/>
    </w:pPr>
    <w:rPr>
      <w:rFonts w:ascii="Times New Roman" w:hAnsi="Times New Roman" w:cs="Times New Roman"/>
      <w:szCs w:val="21"/>
    </w:rPr>
  </w:style>
  <w:style w:type="table" w:styleId="30">
    <w:name w:val="Table Grid"/>
    <w:basedOn w:val="2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bCs/>
    </w:rPr>
  </w:style>
  <w:style w:type="character" w:styleId="33">
    <w:name w:val="FollowedHyperlink"/>
    <w:basedOn w:val="31"/>
    <w:semiHidden/>
    <w:unhideWhenUsed/>
    <w:qFormat/>
    <w:uiPriority w:val="99"/>
    <w:rPr>
      <w:color w:val="5C5C5C"/>
      <w:u w:val="none"/>
    </w:rPr>
  </w:style>
  <w:style w:type="character" w:styleId="34">
    <w:name w:val="Emphasis"/>
    <w:basedOn w:val="31"/>
    <w:qFormat/>
    <w:uiPriority w:val="20"/>
    <w:rPr>
      <w:b/>
      <w:bCs/>
    </w:rPr>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rPr>
      <w:color w:val="D6D6D6"/>
    </w:rPr>
  </w:style>
  <w:style w:type="character" w:styleId="38">
    <w:name w:val="HTML Variable"/>
    <w:basedOn w:val="31"/>
    <w:semiHidden/>
    <w:unhideWhenUsed/>
    <w:qFormat/>
    <w:uiPriority w:val="99"/>
  </w:style>
  <w:style w:type="character" w:styleId="39">
    <w:name w:val="Hyperlink"/>
    <w:basedOn w:val="31"/>
    <w:autoRedefine/>
    <w:unhideWhenUsed/>
    <w:qFormat/>
    <w:uiPriority w:val="99"/>
    <w:rPr>
      <w:color w:val="0000FF" w:themeColor="hyperlink"/>
      <w:u w:val="single"/>
      <w14:textFill>
        <w14:solidFill>
          <w14:schemeClr w14:val="hlink"/>
        </w14:solidFill>
      </w14:textFill>
    </w:rPr>
  </w:style>
  <w:style w:type="character" w:styleId="40">
    <w:name w:val="HTML Code"/>
    <w:basedOn w:val="31"/>
    <w:semiHidden/>
    <w:unhideWhenUsed/>
    <w:qFormat/>
    <w:uiPriority w:val="99"/>
    <w:rPr>
      <w:rFonts w:hint="default" w:ascii="monospace" w:hAnsi="monospace" w:eastAsia="monospace" w:cs="monospace"/>
      <w:sz w:val="20"/>
    </w:rPr>
  </w:style>
  <w:style w:type="character" w:styleId="41">
    <w:name w:val="annotation reference"/>
    <w:basedOn w:val="31"/>
    <w:unhideWhenUsed/>
    <w:qFormat/>
    <w:uiPriority w:val="0"/>
    <w:rPr>
      <w:sz w:val="21"/>
      <w:szCs w:val="21"/>
    </w:rPr>
  </w:style>
  <w:style w:type="character" w:styleId="42">
    <w:name w:val="HTML Cite"/>
    <w:basedOn w:val="31"/>
    <w:semiHidden/>
    <w:unhideWhenUsed/>
    <w:qFormat/>
    <w:uiPriority w:val="99"/>
  </w:style>
  <w:style w:type="character" w:styleId="43">
    <w:name w:val="HTML Keyboard"/>
    <w:basedOn w:val="31"/>
    <w:semiHidden/>
    <w:unhideWhenUsed/>
    <w:qFormat/>
    <w:uiPriority w:val="99"/>
    <w:rPr>
      <w:rFonts w:hint="default" w:ascii="monospace" w:hAnsi="monospace" w:eastAsia="monospace" w:cs="monospace"/>
      <w:sz w:val="20"/>
    </w:rPr>
  </w:style>
  <w:style w:type="character" w:styleId="44">
    <w:name w:val="HTML Sample"/>
    <w:basedOn w:val="31"/>
    <w:semiHidden/>
    <w:unhideWhenUsed/>
    <w:qFormat/>
    <w:uiPriority w:val="99"/>
    <w:rPr>
      <w:rFonts w:ascii="monospace" w:hAnsi="monospace" w:eastAsia="monospace" w:cs="monospace"/>
    </w:rPr>
  </w:style>
  <w:style w:type="paragraph" w:customStyle="1" w:styleId="45">
    <w:name w:val="正文文字 8"/>
    <w:basedOn w:val="1"/>
    <w:next w:val="1"/>
    <w:autoRedefine/>
    <w:qFormat/>
    <w:uiPriority w:val="0"/>
    <w:pPr>
      <w:ind w:left="240"/>
    </w:pPr>
    <w:rPr>
      <w:sz w:val="16"/>
    </w:rPr>
  </w:style>
  <w:style w:type="character" w:customStyle="1" w:styleId="46">
    <w:name w:val="批注框文本 Char"/>
    <w:basedOn w:val="31"/>
    <w:link w:val="17"/>
    <w:autoRedefine/>
    <w:semiHidden/>
    <w:qFormat/>
    <w:uiPriority w:val="99"/>
    <w:rPr>
      <w:rFonts w:ascii="@仿宋_GB2312" w:hAnsi="@仿宋_GB2312" w:eastAsia="@仿宋_GB2312" w:cs="@仿宋_GB2312"/>
      <w:sz w:val="18"/>
      <w:szCs w:val="18"/>
    </w:rPr>
  </w:style>
  <w:style w:type="paragraph" w:customStyle="1" w:styleId="47">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9">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0">
    <w:name w:val="页眉 Char"/>
    <w:basedOn w:val="31"/>
    <w:link w:val="19"/>
    <w:autoRedefine/>
    <w:qFormat/>
    <w:uiPriority w:val="0"/>
    <w:rPr>
      <w:rFonts w:ascii="@仿宋_GB2312" w:hAnsi="@仿宋_GB2312" w:eastAsia="@仿宋_GB2312" w:cs="@仿宋_GB2312"/>
      <w:sz w:val="18"/>
      <w:szCs w:val="18"/>
    </w:rPr>
  </w:style>
  <w:style w:type="character" w:customStyle="1" w:styleId="51">
    <w:name w:val="页脚 Char"/>
    <w:basedOn w:val="31"/>
    <w:link w:val="18"/>
    <w:autoRedefine/>
    <w:qFormat/>
    <w:uiPriority w:val="99"/>
    <w:rPr>
      <w:rFonts w:ascii="@仿宋_GB2312" w:hAnsi="@仿宋_GB2312" w:eastAsia="@仿宋_GB2312" w:cs="@仿宋_GB2312"/>
      <w:sz w:val="18"/>
      <w:szCs w:val="18"/>
    </w:rPr>
  </w:style>
  <w:style w:type="character" w:customStyle="1" w:styleId="52">
    <w:name w:val="纯文本 Char"/>
    <w:link w:val="14"/>
    <w:autoRedefine/>
    <w:qFormat/>
    <w:uiPriority w:val="0"/>
    <w:rPr>
      <w:rFonts w:ascii="宋体" w:hAnsi="Courier New"/>
    </w:rPr>
  </w:style>
  <w:style w:type="character" w:customStyle="1" w:styleId="53">
    <w:name w:val="纯文本 字符1"/>
    <w:basedOn w:val="31"/>
    <w:autoRedefine/>
    <w:semiHidden/>
    <w:qFormat/>
    <w:uiPriority w:val="99"/>
    <w:rPr>
      <w:rFonts w:hAnsi="Courier New" w:cs="Courier New" w:asciiTheme="minorEastAsia"/>
      <w:szCs w:val="20"/>
    </w:rPr>
  </w:style>
  <w:style w:type="character" w:customStyle="1" w:styleId="54">
    <w:name w:val="未处理的提及1"/>
    <w:basedOn w:val="31"/>
    <w:autoRedefine/>
    <w:semiHidden/>
    <w:unhideWhenUsed/>
    <w:qFormat/>
    <w:uiPriority w:val="99"/>
    <w:rPr>
      <w:color w:val="605E5C"/>
      <w:shd w:val="clear" w:color="auto" w:fill="E1DFDD"/>
    </w:rPr>
  </w:style>
  <w:style w:type="paragraph" w:styleId="55">
    <w:name w:val="List Paragraph"/>
    <w:basedOn w:val="1"/>
    <w:autoRedefine/>
    <w:qFormat/>
    <w:uiPriority w:val="34"/>
    <w:pPr>
      <w:ind w:firstLine="420" w:firstLineChars="200"/>
    </w:pPr>
  </w:style>
  <w:style w:type="paragraph" w:customStyle="1" w:styleId="56">
    <w:name w:val="Char Char Char Char Char Char Char1 Char"/>
    <w:basedOn w:val="1"/>
    <w:autoRedefine/>
    <w:qFormat/>
    <w:uiPriority w:val="0"/>
    <w:rPr>
      <w:rFonts w:ascii="Arial" w:hAnsi="Arial" w:eastAsia="宋体" w:cs="Arial"/>
      <w:sz w:val="24"/>
    </w:rPr>
  </w:style>
  <w:style w:type="table" w:customStyle="1" w:styleId="57">
    <w:name w:val="网格表 1 浅色1"/>
    <w:basedOn w:val="29"/>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8">
    <w:name w:val="日期 字符"/>
    <w:basedOn w:val="31"/>
    <w:autoRedefine/>
    <w:semiHidden/>
    <w:qFormat/>
    <w:uiPriority w:val="99"/>
    <w:rPr>
      <w:rFonts w:ascii="@仿宋_GB2312" w:hAnsi="@仿宋_GB2312" w:eastAsia="@仿宋_GB2312" w:cs="@仿宋_GB2312"/>
      <w:szCs w:val="20"/>
    </w:rPr>
  </w:style>
  <w:style w:type="character" w:customStyle="1" w:styleId="59">
    <w:name w:val="日期 Char"/>
    <w:link w:val="15"/>
    <w:autoRedefine/>
    <w:qFormat/>
    <w:uiPriority w:val="0"/>
    <w:rPr>
      <w:rFonts w:ascii="Arial" w:hAnsi="Arial" w:eastAsia="宋体" w:cs="Arial"/>
      <w:b/>
      <w:sz w:val="28"/>
      <w:szCs w:val="20"/>
    </w:rPr>
  </w:style>
  <w:style w:type="character" w:customStyle="1" w:styleId="60">
    <w:name w:val="纯文本 Char1"/>
    <w:link w:val="61"/>
    <w:autoRedefine/>
    <w:qFormat/>
    <w:locked/>
    <w:uiPriority w:val="0"/>
    <w:rPr>
      <w:rFonts w:ascii="Arial" w:hAnsi="Arial" w:eastAsia="Arial"/>
      <w:kern w:val="2"/>
      <w:sz w:val="21"/>
      <w:lang w:val="en-US" w:eastAsia="zh-CN" w:bidi="ar-SA"/>
    </w:rPr>
  </w:style>
  <w:style w:type="paragraph" w:customStyle="1" w:styleId="61">
    <w:name w:val="纯文本1"/>
    <w:basedOn w:val="1"/>
    <w:link w:val="60"/>
    <w:autoRedefine/>
    <w:qFormat/>
    <w:uiPriority w:val="0"/>
    <w:rPr>
      <w:rFonts w:ascii="Arial" w:hAnsi="Arial" w:eastAsia="Arial" w:cstheme="minorBidi"/>
    </w:rPr>
  </w:style>
  <w:style w:type="character" w:customStyle="1" w:styleId="62">
    <w:name w:val="批注文字 Char"/>
    <w:basedOn w:val="31"/>
    <w:autoRedefine/>
    <w:semiHidden/>
    <w:qFormat/>
    <w:uiPriority w:val="99"/>
    <w:rPr>
      <w:rFonts w:ascii="@仿宋_GB2312" w:hAnsi="@仿宋_GB2312" w:eastAsia="@仿宋_GB2312" w:cs="@仿宋_GB2312"/>
      <w:szCs w:val="20"/>
    </w:rPr>
  </w:style>
  <w:style w:type="character" w:customStyle="1" w:styleId="63">
    <w:name w:val="批注文字 Char1"/>
    <w:link w:val="8"/>
    <w:autoRedefine/>
    <w:qFormat/>
    <w:uiPriority w:val="0"/>
    <w:rPr>
      <w:rFonts w:ascii="Arial" w:hAnsi="Arial" w:eastAsia="黑体" w:cs="Arial"/>
      <w:szCs w:val="20"/>
    </w:rPr>
  </w:style>
  <w:style w:type="character" w:customStyle="1" w:styleId="64">
    <w:name w:val="标题 1 Char"/>
    <w:basedOn w:val="31"/>
    <w:link w:val="2"/>
    <w:autoRedefine/>
    <w:qFormat/>
    <w:uiPriority w:val="9"/>
    <w:rPr>
      <w:rFonts w:ascii="@仿宋_GB2312" w:hAnsi="@仿宋_GB2312" w:eastAsia="@仿宋_GB2312" w:cs="@仿宋_GB2312"/>
      <w:b/>
      <w:bCs/>
      <w:kern w:val="44"/>
      <w:sz w:val="44"/>
      <w:szCs w:val="44"/>
    </w:rPr>
  </w:style>
  <w:style w:type="paragraph" w:customStyle="1" w:styleId="65">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6">
    <w:name w:val="标题 3 Char"/>
    <w:basedOn w:val="31"/>
    <w:link w:val="4"/>
    <w:autoRedefine/>
    <w:semiHidden/>
    <w:qFormat/>
    <w:uiPriority w:val="9"/>
    <w:rPr>
      <w:rFonts w:ascii="@仿宋_GB2312" w:hAnsi="@仿宋_GB2312" w:eastAsia="@仿宋_GB2312" w:cs="@仿宋_GB2312"/>
      <w:b/>
      <w:bCs/>
      <w:sz w:val="32"/>
      <w:szCs w:val="32"/>
    </w:rPr>
  </w:style>
  <w:style w:type="character" w:customStyle="1" w:styleId="67">
    <w:name w:val="fontstyle01"/>
    <w:basedOn w:val="31"/>
    <w:autoRedefine/>
    <w:qFormat/>
    <w:uiPriority w:val="0"/>
    <w:rPr>
      <w:rFonts w:hint="eastAsia" w:ascii="宋体" w:hAnsi="宋体" w:eastAsia="宋体"/>
      <w:color w:val="000000"/>
      <w:sz w:val="22"/>
      <w:szCs w:val="22"/>
    </w:rPr>
  </w:style>
  <w:style w:type="character" w:customStyle="1" w:styleId="68">
    <w:name w:val="fontstyle21"/>
    <w:basedOn w:val="31"/>
    <w:autoRedefine/>
    <w:qFormat/>
    <w:uiPriority w:val="0"/>
    <w:rPr>
      <w:rFonts w:hint="default" w:ascii="TimesNewRomanPSMT" w:hAnsi="TimesNewRomanPSMT"/>
      <w:color w:val="000000"/>
      <w:sz w:val="22"/>
      <w:szCs w:val="22"/>
    </w:rPr>
  </w:style>
  <w:style w:type="character" w:customStyle="1" w:styleId="6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0">
    <w:name w:val="标题 4 字符"/>
    <w:basedOn w:val="31"/>
    <w:autoRedefine/>
    <w:semiHidden/>
    <w:qFormat/>
    <w:uiPriority w:val="9"/>
    <w:rPr>
      <w:rFonts w:asciiTheme="majorHAnsi" w:hAnsiTheme="majorHAnsi" w:eastAsiaTheme="majorEastAsia" w:cstheme="majorBidi"/>
      <w:b/>
      <w:bCs/>
      <w:sz w:val="28"/>
      <w:szCs w:val="28"/>
    </w:rPr>
  </w:style>
  <w:style w:type="character" w:customStyle="1" w:styleId="71">
    <w:name w:val="标题 4 Char"/>
    <w:link w:val="5"/>
    <w:autoRedefine/>
    <w:qFormat/>
    <w:uiPriority w:val="0"/>
    <w:rPr>
      <w:rFonts w:ascii="@仿宋_GB2312" w:hAnsi="@仿宋_GB2312" w:eastAsia="@仿宋_GB2312" w:cs="@仿宋_GB2312"/>
      <w:b/>
      <w:bCs/>
      <w:sz w:val="28"/>
      <w:szCs w:val="28"/>
    </w:rPr>
  </w:style>
  <w:style w:type="character" w:customStyle="1" w:styleId="72">
    <w:name w:val="正文文本 Char"/>
    <w:basedOn w:val="31"/>
    <w:link w:val="10"/>
    <w:autoRedefine/>
    <w:qFormat/>
    <w:uiPriority w:val="0"/>
    <w:rPr>
      <w:rFonts w:ascii="@微软简标宋" w:hAnsi="@微软简标宋" w:eastAsia="@微软简标宋" w:cs="@微软简标宋"/>
      <w:szCs w:val="24"/>
      <w:lang w:val="zh-CN" w:eastAsia="zh-CN"/>
    </w:rPr>
  </w:style>
  <w:style w:type="table" w:customStyle="1" w:styleId="73">
    <w:name w:val="网格型1"/>
    <w:basedOn w:val="29"/>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Table Normal"/>
    <w:autoRedefine/>
    <w:semiHidden/>
    <w:unhideWhenUsed/>
    <w:qFormat/>
    <w:uiPriority w:val="0"/>
    <w:tblPr>
      <w:tblCellMar>
        <w:top w:w="0" w:type="dxa"/>
        <w:left w:w="0" w:type="dxa"/>
        <w:bottom w:w="0" w:type="dxa"/>
        <w:right w:w="0" w:type="dxa"/>
      </w:tblCellMar>
    </w:tblPr>
  </w:style>
  <w:style w:type="paragraph" w:customStyle="1" w:styleId="75">
    <w:name w:val="Table Text"/>
    <w:basedOn w:val="1"/>
    <w:autoRedefine/>
    <w:semiHidden/>
    <w:qFormat/>
    <w:uiPriority w:val="0"/>
    <w:rPr>
      <w:rFonts w:ascii="Arial" w:hAnsi="Arial" w:eastAsia="Arial" w:cs="Arial"/>
      <w:sz w:val="21"/>
      <w:szCs w:val="21"/>
      <w:lang w:val="en-US" w:eastAsia="en-US" w:bidi="ar-SA"/>
    </w:rPr>
  </w:style>
  <w:style w:type="character" w:customStyle="1" w:styleId="76">
    <w:name w:val="hover"/>
    <w:basedOn w:val="31"/>
    <w:qFormat/>
    <w:uiPriority w:val="0"/>
    <w:rPr>
      <w:color w:val="2590EB"/>
    </w:rPr>
  </w:style>
  <w:style w:type="character" w:customStyle="1" w:styleId="77">
    <w:name w:val="hover1"/>
    <w:basedOn w:val="31"/>
    <w:qFormat/>
    <w:uiPriority w:val="0"/>
    <w:rPr>
      <w:color w:val="2590EB"/>
    </w:rPr>
  </w:style>
  <w:style w:type="character" w:customStyle="1" w:styleId="78">
    <w:name w:val="hover2"/>
    <w:basedOn w:val="31"/>
    <w:qFormat/>
    <w:uiPriority w:val="0"/>
  </w:style>
  <w:style w:type="character" w:customStyle="1" w:styleId="79">
    <w:name w:val="hover3"/>
    <w:basedOn w:val="31"/>
    <w:qFormat/>
    <w:uiPriority w:val="0"/>
    <w:rPr>
      <w:color w:val="2590EB"/>
      <w:shd w:val="clear" w:fill="E9F4FD"/>
    </w:rPr>
  </w:style>
  <w:style w:type="character" w:customStyle="1" w:styleId="80">
    <w:name w:val="first-child"/>
    <w:basedOn w:val="31"/>
    <w:qFormat/>
    <w:uiPriority w:val="0"/>
  </w:style>
  <w:style w:type="character" w:customStyle="1" w:styleId="81">
    <w:name w:val="layui-this"/>
    <w:basedOn w:val="31"/>
    <w:qFormat/>
    <w:uiPriority w:val="0"/>
    <w:rPr>
      <w:bdr w:val="single" w:color="EEEEEE" w:sz="6" w:space="0"/>
      <w:shd w:val="clear" w:fill="FFFFFF"/>
    </w:rPr>
  </w:style>
  <w:style w:type="character" w:customStyle="1" w:styleId="82">
    <w:name w:val="hover4"/>
    <w:basedOn w:val="31"/>
    <w:qFormat/>
    <w:uiPriority w:val="0"/>
    <w:rPr>
      <w:color w:val="2590EB"/>
      <w:shd w:val="clear" w:fill="E9F4FD"/>
    </w:rPr>
  </w:style>
  <w:style w:type="character" w:customStyle="1" w:styleId="83">
    <w:name w:val="mini-outputtext1"/>
    <w:basedOn w:val="31"/>
    <w:qFormat/>
    <w:uiPriority w:val="0"/>
  </w:style>
  <w:style w:type="paragraph" w:customStyle="1" w:styleId="84">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85">
    <w:name w:val="card-title"/>
    <w:basedOn w:val="1"/>
    <w:qFormat/>
    <w:uiPriority w:val="0"/>
    <w:pPr>
      <w:spacing w:line="543" w:lineRule="atLeast"/>
      <w:ind w:right="679"/>
      <w:jc w:val="left"/>
    </w:pPr>
    <w:rPr>
      <w:color w:val="666666"/>
      <w:kern w:val="0"/>
      <w:lang w:val="en-US" w:eastAsia="zh-CN" w:bidi="ar"/>
    </w:rPr>
  </w:style>
  <w:style w:type="character" w:customStyle="1" w:styleId="86">
    <w:name w:val="font01"/>
    <w:basedOn w:val="31"/>
    <w:qFormat/>
    <w:uiPriority w:val="0"/>
    <w:rPr>
      <w:rFonts w:hint="eastAsia" w:ascii="宋体" w:hAnsi="宋体" w:eastAsia="宋体" w:cs="宋体"/>
      <w:color w:val="000000"/>
      <w:sz w:val="22"/>
      <w:szCs w:val="22"/>
      <w:u w:val="none"/>
    </w:rPr>
  </w:style>
  <w:style w:type="paragraph" w:customStyle="1" w:styleId="87">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paragraph" w:customStyle="1" w:styleId="8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89">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90">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91">
    <w:name w:val="节标题"/>
    <w:basedOn w:val="1"/>
    <w:next w:val="1"/>
    <w:qFormat/>
    <w:uiPriority w:val="0"/>
    <w:pPr>
      <w:spacing w:line="289" w:lineRule="atLeast"/>
      <w:jc w:val="center"/>
    </w:pPr>
    <w:rPr>
      <w:sz w:val="28"/>
    </w:rPr>
  </w:style>
  <w:style w:type="table" w:customStyle="1" w:styleId="92">
    <w:name w:val="网格型2"/>
    <w:basedOn w:val="29"/>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15"/>
    <w:basedOn w:val="31"/>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6ca81c25-4e44-4b5f-b447-e69752cbea93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3EEBD66</paraID>
      <start>0</start>
      <end>2</end>
      <status>unmodified</status>
      <modifiedWord/>
      <trackRevisions>false</trackRevisions>
    </reviewItem>
    <reviewItem>
      <errorID>90c07f3e-92f2-42d2-80d3-740d2b316f58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3B687B9F</paraID>
      <start>0</start>
      <end>2</end>
      <status>unmodified</status>
      <modifiedWord/>
      <trackRevisions>false</trackRevisions>
    </reviewItem>
    <reviewItem>
      <errorID>89d06228-79e2-4586-a3ea-78e1b5ee25e2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60D9AA83</paraID>
      <start>0</start>
      <end>2</end>
      <status>unmodified</status>
      <modifiedWord/>
      <trackRevisions>false</trackRevisions>
    </reviewItem>
    <reviewItem>
      <errorID>1499174d-0f25-474f-a329-34879eb69409</errorID>
      <errorWord>。</errorWord>
      <group>L1_Format</group>
      <groupName>格式问题</groupName>
      <ability>L2_HalfPunc</ability>
      <abilityName>全半角检查</abilityName>
      <candidateList>
        <item>.</item>
      </candidateList>
      <explain>文本全半角错误。</explain>
      <paraID>313095A7</paraID>
      <start>248</start>
      <end>249</end>
      <status>unmodified</status>
      <modifiedWord/>
      <trackRevisions>false</trackRevisions>
    </reviewItem>
    <reviewItem>
      <errorID>18ea299e-2971-4fb8-8211-8d211bda805d</errorID>
      <errorWord>(</errorWord>
      <group>L1_Format</group>
      <groupName>格式问题</groupName>
      <ability>L2_HalfPunc</ability>
      <abilityName>全半角检查</abilityName>
      <candidateList>
        <item>（</item>
      </candidateList>
      <explain>文本全半角错误。</explain>
      <paraID> 38898F0</paraID>
      <start>11</start>
      <end>12</end>
      <status>unmodified</status>
      <modifiedWord/>
      <trackRevisions>false</trackRevisions>
    </reviewItem>
    <reviewItem>
      <errorID>f2414a07-7232-4bd5-91ac-f9f087293d62</errorID>
      <errorWord>)</errorWord>
      <group>L1_Format</group>
      <groupName>格式问题</groupName>
      <ability>L2_HalfPunc</ability>
      <abilityName>全半角检查</abilityName>
      <candidateList>
        <item>）</item>
      </candidateList>
      <explain>文本全半角错误。</explain>
      <paraID> 38898F0</paraID>
      <start>14</start>
      <end>15</end>
      <status>unmodified</status>
      <modifiedWord/>
      <trackRevisions>false</trackRevisions>
    </reviewItem>
    <reviewItem>
      <errorID>2f57c0b5-8241-47b2-b3ec-a5ae3b9ea16e</errorID>
      <errorWord>：/</errorWord>
      <group>L1_Punc</group>
      <groupName>标点问题</groupName>
      <ability>L2_Punc</ability>
      <abilityName>标点符号检查</abilityName>
      <candidateList>
        <item>：</item>
      </candidateList>
      <explain/>
      <paraID>381D0767</paraID>
      <start>2</start>
      <end>4</end>
      <status>unmodified</status>
      <modifiedWord/>
      <trackRevisions>false</trackRevisions>
    </reviewItem>
    <reviewItem>
      <errorID>84e0c366-6065-43bf-aa23-68b6fda1d11f</errorID>
      <errorWord>：/</errorWord>
      <group>L1_Punc</group>
      <groupName>标点问题</groupName>
      <ability>L2_Punc</ability>
      <abilityName>标点符号检查</abilityName>
      <candidateList>
        <item>：</item>
      </candidateList>
      <explain/>
      <paraID>5EB117C7</paraID>
      <start>2</start>
      <end>4</end>
      <status>unmodified</status>
      <modifiedWord/>
      <trackRevisions>false</trackRevisions>
    </reviewItem>
    <reviewItem>
      <errorID>bec5bb19-5d5b-4d61-83eb-162ed10cabf6</errorID>
      <errorWord>：/</errorWord>
      <group>L1_Punc</group>
      <groupName>标点问题</groupName>
      <ability>L2_Punc</ability>
      <abilityName>标点符号检查</abilityName>
      <candidateList>
        <item>：</item>
      </candidateList>
      <explain/>
      <paraID>773C0C29</paraID>
      <start>8</start>
      <end>10</end>
      <status>unmodified</status>
      <modifiedWord/>
      <trackRevisions>false</trackRevisions>
    </reviewItem>
    <reviewItem>
      <errorID>4bc262e1-4c4b-450c-b8b6-13a4d95bc426</errorID>
      <errorWord>/。</errorWord>
      <group>L1_Punc</group>
      <groupName>标点问题</groupName>
      <ability>L2_Punc</ability>
      <abilityName>标点符号检查</abilityName>
      <candidateList>
        <item>/</item>
      </candidateList>
      <explain/>
      <paraID>3DD99DAE</paraID>
      <start>19</start>
      <end>21</end>
      <status>unmodified</status>
      <modifiedWord/>
      <trackRevisions>false</trackRevisions>
    </reviewItem>
    <reviewItem>
      <errorID>63ada928-544a-4559-8f25-a11646e516d4</errorID>
      <errorWord>法律、法规</errorWord>
      <group>L1_Word</group>
      <groupName>字词问题</groupName>
      <ability>L2_Typo</ability>
      <abilityName>字词错误</abilityName>
      <candidateList>
        <item>法律法规</item>
      </candidateList>
      <explain/>
      <paraID>13D41902</paraID>
      <start>2</start>
      <end>7</end>
      <status>unmodified</status>
      <modifiedWord/>
      <trackRevisions>false</trackRevisions>
    </reviewItem>
    <reviewItem>
      <errorID>197db69c-54ec-425b-9f4e-09cc8a2a56d3</errorID>
      <errorWord>提出质疑</errorWord>
      <group>L1_Grammar</group>
      <groupName>语法问题</groupName>
      <ability>L2_Grammar</ability>
      <abilityName>语法错误</abilityName>
      <candidateList>
        <item>质疑</item>
      </candidateList>
      <explain>〈动〉提出疑问：～问难。</explain>
      <paraID>627F78AF</paraID>
      <start>50</start>
      <end>54</end>
      <status>unmodified</status>
      <modifiedWord/>
      <trackRevisions>false</trackRevisions>
    </reviewItem>
    <reviewItem>
      <errorID>1808ed6a-8c4a-4215-a468-a36013aeb76a</errorID>
      <errorWord>；</errorWord>
      <group>L1_Word</group>
      <groupName>字词问题</groupName>
      <ability>L2_Typo</ability>
      <abilityName>字词错误</abilityName>
      <candidateList>
        <item>；可</item>
      </candidateList>
      <explain/>
      <paraID>627F78AF</paraID>
      <start>54</start>
      <end>55</end>
      <status>unmodified</status>
      <modifiedWord/>
      <trackRevisions>false</trackRevisions>
    </reviewItem>
    <reviewItem>
      <errorID>d02731ca-6d37-4043-9440-69d913166ed7</errorID>
      <errorWord>提出质疑</errorWord>
      <group>L1_Grammar</group>
      <groupName>语法问题</groupName>
      <ability>L2_Grammar</ability>
      <abilityName>语法错误</abilityName>
      <candidateList>
        <item>质疑</item>
      </candidateList>
      <explain>〈动〉提出疑问：～问难。</explain>
      <paraID>627F78AF</paraID>
      <start>78</start>
      <end>82</end>
      <status>unmodified</status>
      <modifiedWord/>
      <trackRevisions>false</trackRevisions>
    </reviewItem>
    <reviewItem>
      <errorID>b1709e7e-75e0-4863-bfe0-8079dd1bd141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CCFBD36</paraID>
      <start>0</start>
      <end>2</end>
      <status>unmodified</status>
      <modifiedWord/>
      <trackRevisions>false</trackRevisions>
    </reviewItem>
    <reviewItem>
      <errorID>ab10c7b3-55d5-4085-87b8-a2ff6cdc3461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22C7D214</paraID>
      <start>0</start>
      <end>2</end>
      <status>unmodified</status>
      <modifiedWord/>
      <trackRevisions>false</trackRevisions>
    </reviewItem>
    <reviewItem>
      <errorID>7b9014d9-d979-4991-942b-a6e0ef279261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7DFFF4E8</paraID>
      <start>0</start>
      <end>2</end>
      <status>unmodified</status>
      <modifiedWord/>
      <trackRevisions>false</trackRevisions>
    </reviewItem>
    <reviewItem>
      <errorID>743a00e3-655d-45b2-9e30-82e14c33e6ba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21CB5C83</paraID>
      <start>52</start>
      <end>55</end>
      <status>unmodified</status>
      <modifiedWord/>
      <trackRevisions>false</trackRevisions>
    </reviewItem>
    <reviewItem>
      <errorID>62963e08-1ef9-4ed9-9a4c-359c5e2393c1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21CB5C83</paraID>
      <start>67</start>
      <end>70</end>
      <status>unmodified</status>
      <modifiedWord/>
      <trackRevisions>false</trackRevisions>
    </reviewItem>
    <reviewItem>
      <errorID>c7afb98b-4383-4887-92a9-3b10b0d8181c</errorID>
      <errorWord>(</errorWord>
      <group>L1_Format</group>
      <groupName>格式问题</groupName>
      <ability>L2_HalfPunc</ability>
      <abilityName>全半角检查</abilityName>
      <candidateList>
        <item>（</item>
      </candidateList>
      <explain>文本全半角错误。</explain>
      <paraID> 3612E30</paraID>
      <start>20</start>
      <end>21</end>
      <status>unmodified</status>
      <modifiedWord/>
      <trackRevisions>false</trackRevisions>
    </reviewItem>
    <reviewItem>
      <errorID>75188cf4-8d9d-4467-b0f9-a3ea70d4664b</errorID>
      <errorWord>)中</errorWord>
      <group>L1_Word</group>
      <groupName>字词问题</groupName>
      <ability>L2_Typo</ability>
      <abilityName>字词错误</abilityName>
      <candidateList>
        <item>)</item>
      </candidateList>
      <explain/>
      <paraID> 3612E30</paraID>
      <start>29</start>
      <end>31</end>
      <status>unmodified</status>
      <modifiedWord/>
      <trackRevisions>false</trackRevisions>
    </reviewItem>
    <reviewItem>
      <errorID>a59d7b73-0af7-4309-9dfc-a36e3168a9ef</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16BD0819</paraID>
      <start>14</start>
      <end>17</end>
      <status>unmodified</status>
      <modifiedWord/>
      <trackRevisions>false</trackRevisions>
    </reviewItem>
    <reviewItem>
      <errorID>ed422f6a-754f-4965-a099-3d160bbb13d7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671FC369</paraID>
      <start>42</start>
      <end>45</end>
      <status>unmodified</status>
      <modifiedWord/>
      <trackRevisions>false</trackRevisions>
    </reviewItem>
    <reviewItem>
      <errorID>ae96485a-6e95-4210-8d0c-f6b607ac3d90</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217F8B30</paraID>
      <start>63</start>
      <end>67</end>
      <status>unmodified</status>
      <modifiedWord/>
      <trackRevisions>false</trackRevisions>
    </reviewItem>
    <reviewItem>
      <errorID>f9cdb5ae-5f52-40cf-b6ef-b4465542eef4</errorID>
      <errorWord>间</errorWord>
      <group>L1_Word</group>
      <groupName>字词问题</groupName>
      <ability>L2_Typo</ability>
      <abilityName>字词错误</abilityName>
      <candidateList>
        <item>间内</item>
      </candidateList>
      <explain/>
      <paraID>26778F85</paraID>
      <start>45</start>
      <end>46</end>
      <status>unmodified</status>
      <modifiedWord/>
      <trackRevisions>false</trackRevisions>
    </reviewItem>
    <reviewItem>
      <errorID>66a6679e-8cc2-4184-a9ce-9ae697b6c5d5</errorID>
      <errorWord>&gt;</errorWord>
      <group>L1_Format</group>
      <groupName>格式问题</groupName>
      <ability>L2_HalfPunc</ability>
      <abilityName>全半角检查</abilityName>
      <candidateList>
        <item>〉</item>
      </candidateList>
      <explain>文本全半角错误。</explain>
      <paraID>7C51C089</paraID>
      <start>22</start>
      <end>23</end>
      <status>unmodified</status>
      <modifiedWord/>
      <trackRevisions>false</trackRevisions>
    </reviewItem>
    <reviewItem>
      <errorID>9bb4e89e-211e-4d70-8484-be690fe1239c</errorID>
      <errorWord>&gt;</errorWord>
      <group>L1_Format</group>
      <groupName>格式问题</groupName>
      <ability>L2_HalfPunc</ability>
      <abilityName>全半角检查</abilityName>
      <candidateList>
        <item>〉</item>
      </candidateList>
      <explain>文本全半角错误。</explain>
      <paraID>7C51C089</paraID>
      <start>27</start>
      <end>28</end>
      <status>unmodified</status>
      <modifiedWord/>
      <trackRevisions>false</trackRevisions>
    </reviewItem>
    <reviewItem>
      <errorID>b351b7c6-f0c5-4ef7-b8ad-95ea28e72677</errorID>
      <errorWord>(</errorWord>
      <group>L1_Format</group>
      <groupName>格式问题</groupName>
      <ability>L2_HalfPunc</ability>
      <abilityName>全半角检查</abilityName>
      <candidateList>
        <item>（</item>
      </candidateList>
      <explain>文本全半角错误。</explain>
      <paraID>7C51C089</paraID>
      <start>39</start>
      <end>40</end>
      <status>unmodified</status>
      <modifiedWord/>
      <trackRevisions>false</trackRevisions>
    </reviewItem>
    <reviewItem>
      <errorID>bd240ec4-dde9-4363-a5a0-3f50d028c262</errorID>
      <errorWord>)</errorWord>
      <group>L1_Format</group>
      <groupName>格式问题</groupName>
      <ability>L2_HalfPunc</ability>
      <abilityName>全半角检查</abilityName>
      <candidateList>
        <item>）</item>
      </candidateList>
      <explain>文本全半角错误。</explain>
      <paraID>7C51C089</paraID>
      <start>42</start>
      <end>43</end>
      <status>unmodified</status>
      <modifiedWord/>
      <trackRevisions>false</trackRevisions>
    </reviewItem>
    <reviewItem>
      <errorID>e169a980-795c-4294-8132-92005c508fd6</errorID>
      <errorWord>下</errorWord>
      <group>L1_Word</group>
      <groupName>字词问题</groupName>
      <ability>L2_Typo</ability>
      <abilityName>字词错误</abilityName>
      <candidateList>
        <item>下一</item>
      </candidateList>
      <explain/>
      <paraID>146D69E0</paraID>
      <start>29</start>
      <end>30</end>
      <status>unmodified</status>
      <modifiedWord/>
      <trackRevisions>false</trackRevisions>
    </reviewItem>
    <reviewItem>
      <errorID>8d8cefcc-41e3-45ab-b775-558bdcab8604</errorID>
      <errorWord>接收</errorWord>
      <group>L1_Word</group>
      <groupName>字词问题</groupName>
      <ability>L2_Typo</ability>
      <abilityName>字词错误</abilityName>
      <candidateList>
        <item>接受</item>
      </candidateList>
      <explain>存在发音相同字词的误用。</explain>
      <paraID>3B23E614</paraID>
      <start>9</start>
      <end>11</end>
      <status>unmodified</status>
      <modifiedWord/>
      <trackRevisions>false</trackRevisions>
    </reviewItem>
    <reviewItem>
      <errorID>831a0884-49a1-42cf-86fd-cd3b2aa2c4f7</errorID>
      <errorWord>提出质疑</errorWord>
      <group>L1_Grammar</group>
      <groupName>语法问题</groupName>
      <ability>L2_Grammar</ability>
      <abilityName>语法错误</abilityName>
      <candidateList>
        <item>质疑</item>
      </candidateList>
      <explain>〈动〉提出疑问：～问难。</explain>
      <paraID>4B382FBD</paraID>
      <start>61</start>
      <end>65</end>
      <status>unmodified</status>
      <modifiedWord/>
      <trackRevisions>false</trackRevisions>
    </reviewItem>
    <reviewItem>
      <errorID>7ac951a4-f0b6-425a-a38b-69240b45daf8</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14B3D180</paraID>
      <start>139</start>
      <end>141</end>
      <status>unmodified</status>
      <modifiedWord/>
      <trackRevisions>false</trackRevisions>
    </reviewItem>
    <reviewItem>
      <errorID>4ebf116e-542b-4f98-976b-4f54e116f244</errorID>
      <errorWord>、直至</errorWord>
      <group>L1_Word</group>
      <groupName>字词问题</groupName>
      <ability>L2_Typo</ability>
      <abilityName>字词错误</abilityName>
      <candidateList>
        <item>直至</item>
      </candidateList>
      <explain/>
      <paraID>15AF58B4</paraID>
      <start>72</start>
      <end>75</end>
      <status>unmodified</status>
      <modifiedWord/>
      <trackRevisions>false</trackRevisions>
    </reviewItem>
    <reviewItem>
      <errorID>dc45d9dd-546d-40b1-9065-cbe8f593dc74</errorID>
      <errorWord>未</errorWord>
      <group>L1_Word</group>
      <groupName>字词问题</groupName>
      <ability>L2_Typo</ability>
      <abilityName>字词错误</abilityName>
      <candidateList>
        <item>未支</item>
      </candidateList>
      <explain/>
      <paraID>15AF58B4</paraID>
      <start>106</start>
      <end>107</end>
      <status>unmodified</status>
      <modifiedWord/>
      <trackRevisions>false</trackRevisions>
    </reviewItem>
    <reviewItem>
      <errorID>3ad07cf6-77ea-4081-a78d-921404195c90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6B5268E2</paraID>
      <start>0</start>
      <end>2</end>
      <status>unmodified</status>
      <modifiedWord/>
      <trackRevisions>false</trackRevisions>
    </reviewItem>
    <reviewItem>
      <errorID>6974142f-1a77-4844-9748-af77d7c67c2a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2F2CBC74</paraID>
      <start>0</start>
      <end>2</end>
      <status>unmodified</status>
      <modifiedWord/>
      <trackRevisions>false</trackRevisions>
    </reviewItem>
    <reviewItem>
      <errorID>74772e57-f41d-4a17-b2a6-82fc5e05fbaa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3D1B8815</paraID>
      <start>0</start>
      <end>2</end>
      <status>unmodified</status>
      <modifiedWord/>
      <trackRevisions>false</trackRevisions>
    </reviewItem>
    <reviewItem>
      <errorID>b6ad2522-8321-4cdd-8b53-ea03a3f351a9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6BCBF303</paraID>
      <start>0</start>
      <end>2</end>
      <status>unmodified</status>
      <modifiedWord/>
      <trackRevisions>false</trackRevisions>
    </reviewItem>
    <reviewItem>
      <errorID>ed449741-7062-43e4-bf05-eb59c79544ff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2809CEDC</paraID>
      <start>0</start>
      <end>2</end>
      <status>unmodified</status>
      <modifiedWord/>
      <trackRevisions>false</trackRevisions>
    </reviewItem>
    <reviewItem>
      <errorID>4e8678ef-6ec1-4d83-9075-cd4d4ffeb585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591F96EB</paraID>
      <start>0</start>
      <end>2</end>
      <status>unmodified</status>
      <modifiedWord/>
      <trackRevisions>false</trackRevisions>
    </reviewItem>
    <reviewItem>
      <errorID>e94c26a4-c939-4ffd-ac96-d104c7a585b0</errorID>
      <errorWord>、</errorWord>
      <group>L1_Word</group>
      <groupName>字词问题</groupName>
      <ability>L2_Typo</ability>
      <abilityName>字词错误</abilityName>
      <candidateList>
        <item>、具</item>
      </candidateList>
      <explain/>
      <paraID>7D05EA54</paraID>
      <start>72</start>
      <end>73</end>
      <status>unmodified</status>
      <modifiedWord/>
      <trackRevisions>false</trackRevisions>
    </reviewItem>
    <reviewItem>
      <errorID>ac19ade1-f20f-4e69-8fe8-3b9acb54f12b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6A866BEA</paraID>
      <start>0</start>
      <end>2</end>
      <status>unmodified</status>
      <modifiedWord/>
      <trackRevisions>false</trackRevisions>
    </reviewItem>
    <reviewItem>
      <errorID>47f046fb-409a-44ba-b9ac-5c56acf105e0</errorID>
      <errorWord>,</errorWord>
      <group>L1_Format</group>
      <groupName>格式问题</groupName>
      <ability>L2_HalfPunc</ability>
      <abilityName>全半角检查</abilityName>
      <candidateList>
        <item>，</item>
      </candidateList>
      <explain>文本全半角错误。</explain>
      <paraID>18622253</paraID>
      <start>15</start>
      <end>16</end>
      <status>unmodified</status>
      <modifiedWord/>
      <trackRevisions>false</trackRevisions>
    </reviewItem>
    <reviewItem>
      <errorID>dff49d9e-ad71-4ab1-b650-4ae9871b64d7</errorID>
      <errorWord>,</errorWord>
      <group>L1_Format</group>
      <groupName>格式问题</groupName>
      <ability>L2_HalfPunc</ability>
      <abilityName>全半角检查</abilityName>
      <candidateList>
        <item>，</item>
      </candidateList>
      <explain>文本全半角错误。</explain>
      <paraID>7433155D</paraID>
      <start>14</start>
      <end>15</end>
      <status>unmodified</status>
      <modifiedWord/>
      <trackRevisions>false</trackRevisions>
    </reviewItem>
    <reviewItem>
      <errorID>2bb16f11-ddf3-43e8-837c-0c057ae8c6ac</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613B5CF0</paraID>
      <start>4</start>
      <end>8</end>
      <status>unmodified</status>
      <modifiedWord/>
      <trackRevisions>false</trackRevisions>
    </reviewItem>
    <reviewItem>
      <errorID>a90ed885-6fac-4e06-a914-7711878e4fd7</errorID>
      <errorWord>其它</errorWord>
      <group>L1_Word</group>
      <groupName>字词问题</groupName>
      <ability>L2_Alias</ability>
      <abilityName>也作/曾用词</abilityName>
      <candidateList>
        <item>其他</item>
      </candidateList>
      <explain>词汇[其它]为不规范表述或旧称，其规范书面表述为[其他]。</explain>
      <paraID> 5B34C96</paraID>
      <start>11</start>
      <end>13</end>
      <status>unmodified</status>
      <modifiedWord/>
      <trackRevisions>false</trackRevisions>
    </reviewItem>
    <reviewItem>
      <errorID>64d2c0af-1f9b-4688-8e4a-a45983a6ee5d</errorID>
      <errorWord>,</errorWord>
      <group>L1_Format</group>
      <groupName>格式问题</groupName>
      <ability>L2_HalfPunc</ability>
      <abilityName>全半角检查</abilityName>
      <candidateList>
        <item>，</item>
      </candidateList>
      <explain>文本全半角错误。</explain>
      <paraID>34180622</paraID>
      <start>15</start>
      <end>16</end>
      <status>unmodified</status>
      <modifiedWord/>
      <trackRevisions>false</trackRevisions>
    </reviewItem>
    <reviewItem>
      <errorID>11f087ea-9624-4062-b599-1f8a3347dfcf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486FE0EA</paraID>
      <start>3</start>
      <end>7</end>
      <status>unmodified</status>
      <modifiedWord/>
      <trackRevisions>false</trackRevisions>
    </reviewItem>
    <reviewItem>
      <errorID>85abcfcf-81b1-434e-8555-e290eafe887d</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13FD142D</paraID>
      <start>10</start>
      <end>14</end>
      <status>unmodified</status>
      <modifiedWord/>
      <trackRevisions>false</trackRevisions>
    </reviewItem>
    <reviewItem>
      <errorID>393a6787-3051-4af3-b191-5fbe8622c6fa</errorID>
      <errorWord>,</errorWord>
      <group>L1_Format</group>
      <groupName>格式问题</groupName>
      <ability>L2_HalfPunc</ability>
      <abilityName>全半角检查</abilityName>
      <candidateList>
        <item>，</item>
      </candidateList>
      <explain>文本全半角错误。</explain>
      <paraID>7B65B167</paraID>
      <start>15</start>
      <end>16</end>
      <status>unmodified</status>
      <modifiedWord/>
      <trackRevisions>false</trackRevisions>
    </reviewItem>
    <reviewItem>
      <errorID>75db1a72-46f0-41b2-b83a-f7f2ab6587e2</errorID>
      <errorWord>法律、法规</errorWord>
      <group>L1_Word</group>
      <groupName>字词问题</groupName>
      <ability>L2_Typo</ability>
      <abilityName>字词错误</abilityName>
      <candidateList>
        <item>法律法规</item>
      </candidateList>
      <explain/>
      <paraID>71A0A420</paraID>
      <start>13</start>
      <end>18</end>
      <status>unmodified</status>
      <modifiedWord/>
      <trackRevisions>false</trackRevisions>
    </reviewItem>
    <reviewItem>
      <errorID>4f891342-ae13-4e49-8cec-7a77bafdb222</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3CF08C34</paraID>
      <start>3</start>
      <end>7</end>
      <status>unmodified</status>
      <modifiedWord/>
      <trackRevisions>false</trackRevisions>
    </reviewItem>
    <reviewItem>
      <errorID>8975bae0-77f5-42ab-bdd3-6c636cf535d0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3E7876F</paraID>
      <start>10</start>
      <end>14</end>
      <status>unmodified</status>
      <modifiedWord/>
      <trackRevisions>false</trackRevisions>
    </reviewItem>
    <reviewItem>
      <errorID>967d77ba-bfba-4427-908c-08c3c5d43387</errorID>
      <errorWord>(</errorWord>
      <group>L1_Format</group>
      <groupName>格式问题</groupName>
      <ability>L2_HalfPunc</ability>
      <abilityName>全半角检查</abilityName>
      <candidateList>
        <item>（</item>
      </candidateList>
      <explain>文本全半角错误。</explain>
      <paraID>4FEA0B68</paraID>
      <start>20</start>
      <end>21</end>
      <status>unmodified</status>
      <modifiedWord/>
      <trackRevisions>false</trackRevisions>
    </reviewItem>
    <reviewItem>
      <errorID>4a6eb248-45f3-42fb-9989-a56b4e863f16</errorID>
      <errorWord>)中</errorWord>
      <group>L1_Word</group>
      <groupName>字词问题</groupName>
      <ability>L2_Typo</ability>
      <abilityName>字词错误</abilityName>
      <candidateList>
        <item>)</item>
      </candidateList>
      <explain/>
      <paraID>4FEA0B68</paraID>
      <start>29</start>
      <end>31</end>
      <status>unmodified</status>
      <modifiedWord/>
      <trackRevisions>false</trackRevisions>
    </reviewItem>
    <reviewItem>
      <errorID>07f6bf24-6ffa-4d2b-8508-2e530389b9c6</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54CCEF54</paraID>
      <start>32</start>
      <end>38</end>
      <status>unmodified</status>
      <modifiedWord/>
      <trackRevisions>false</trackRevisions>
    </reviewItem>
    <reviewItem>
      <errorID>2c2cfdb7-e533-49c6-9295-d146a42869cf</errorID>
      <errorWord>(</errorWord>
      <group>L1_Format</group>
      <groupName>格式问题</groupName>
      <ability>L2_HalfPunc</ability>
      <abilityName>全半角检查</abilityName>
      <candidateList>
        <item>（</item>
      </candidateList>
      <explain>文本全半角错误。</explain>
      <paraID>54CCEF54</paraID>
      <start>159</start>
      <end>160</end>
      <status>unmodified</status>
      <modifiedWord/>
      <trackRevisions>false</trackRevisions>
    </reviewItem>
    <reviewItem>
      <errorID>517e56aa-44a6-4699-9b50-f47d3f8b6f18</errorID>
      <errorWord>)</errorWord>
      <group>L1_Format</group>
      <groupName>格式问题</groupName>
      <ability>L2_HalfPunc</ability>
      <abilityName>全半角检查</abilityName>
      <candidateList>
        <item>）</item>
      </candidateList>
      <explain>文本全半角错误。</explain>
      <paraID>54CCEF54</paraID>
      <start>171</start>
      <end>172</end>
      <status>unmodified</status>
      <modifiedWord/>
      <trackRevisions>false</trackRevisions>
    </reviewItem>
    <reviewItem>
      <errorID>7ae0ff67-7767-425e-8c4f-7093f59877ef</errorID>
      <errorWord>(</errorWord>
      <group>L1_Format</group>
      <groupName>格式问题</groupName>
      <ability>L2_HalfPunc</ability>
      <abilityName>全半角检查</abilityName>
      <candidateList>
        <item>（</item>
      </candidateList>
      <explain>文本全半角错误。</explain>
      <paraID>5C0F339D</paraID>
      <start>59</start>
      <end>60</end>
      <status>unmodified</status>
      <modifiedWord/>
      <trackRevisions>false</trackRevisions>
    </reviewItem>
    <reviewItem>
      <errorID>9791b3bf-a591-4e47-bcdf-3e031f1036b1</errorID>
      <errorWord>)</errorWord>
      <group>L1_Format</group>
      <groupName>格式问题</groupName>
      <ability>L2_HalfPunc</ability>
      <abilityName>全半角检查</abilityName>
      <candidateList>
        <item>）</item>
      </candidateList>
      <explain>文本全半角错误。</explain>
      <paraID>5C0F339D</paraID>
      <start>68</start>
      <end>69</end>
      <status>unmodified</status>
      <modifiedWord/>
      <trackRevisions>false</trackRevisions>
    </reviewItem>
    <reviewItem>
      <errorID>859fdf07-a8e8-41a5-a725-7cc7b7f24a2b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4AF89F39</paraID>
      <start>0</start>
      <end>3</end>
      <status>unmodified</status>
      <modifiedWord/>
      <trackRevisions>false</trackRevisions>
    </reviewItem>
    <reviewItem>
      <errorID>b14efb90-6b87-4f00-b706-3826981dfff4</errorID>
      <errorWord>法律、法规</errorWord>
      <group>L1_Word</group>
      <groupName>字词问题</groupName>
      <ability>L2_Typo</ability>
      <abilityName>字词错误</abilityName>
      <candidateList>
        <item>法律法规</item>
      </candidateList>
      <explain/>
      <paraID>7F1092AF</paraID>
      <start>2</start>
      <end>7</end>
      <status>unmodified</status>
      <modifiedWord/>
      <trackRevisions>false</trackRevisions>
    </reviewItem>
    <reviewItem>
      <errorID>8a2d4a69-d9f6-4e29-8759-f48c7b1fa282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11F87078</paraID>
      <start>0</start>
      <end>3</end>
      <status>unmodified</status>
      <modifiedWord/>
      <trackRevisions>false</trackRevisions>
    </reviewItem>
    <reviewItem>
      <errorID>61568e75-0ef5-4a71-a466-d2e2f75a85b9</errorID>
      <errorWord>：/。</errorWord>
      <group>L1_Punc</group>
      <groupName>标点问题</groupName>
      <ability>L2_Punc</ability>
      <abilityName>标点符号检查</abilityName>
      <candidateList>
        <item>：</item>
      </candidateList>
      <explain/>
      <paraID>1F0CFE83</paraID>
      <start>9</start>
      <end>12</end>
      <status>unmodified</status>
      <modifiedWord/>
      <trackRevisions>false</trackRevisions>
    </reviewItem>
    <reviewItem>
      <errorID>a7cfb3f0-c331-4e74-81c2-9e9a368cdc32</errorID>
      <errorWord>：/</errorWord>
      <group>L1_Punc</group>
      <groupName>标点问题</groupName>
      <ability>L2_Punc</ability>
      <abilityName>标点符号检查</abilityName>
      <candidateList>
        <item>：</item>
      </candidateList>
      <explain/>
      <paraID>50C85867</paraID>
      <start>8</start>
      <end>10</end>
      <status>unmodified</status>
      <modifiedWord/>
      <trackRevisions>false</trackRevisions>
    </reviewItem>
    <reviewItem>
      <errorID>2449e32d-aa0d-4b4f-a4d0-816b69ac446d</errorID>
      <errorWord>（</errorWord>
      <group>L1_Format</group>
      <groupName>格式问题</groupName>
      <ability>L2_HalfPunc</ability>
      <abilityName>全半角检查</abilityName>
      <candidateList>
        <item>(</item>
      </candidateList>
      <explain>文本全半角错误。</explain>
      <paraID>5F81EFF8</paraID>
      <start>0</start>
      <end>1</end>
      <status>unmodified</status>
      <modifiedWord/>
      <trackRevisions>false</trackRevisions>
    </reviewItem>
    <reviewItem>
      <errorID>8f12b0dc-5217-4946-9be8-11e273ac8b8f</errorID>
      <errorWord>）</errorWord>
      <group>L1_Format</group>
      <groupName>格式问题</groupName>
      <ability>L2_HalfPunc</ability>
      <abilityName>全半角检查</abilityName>
      <candidateList>
        <item>)</item>
      </candidateList>
      <explain>文本全半角错误。</explain>
      <paraID>5F81EFF8</paraID>
      <start>2</start>
      <end>3</end>
      <status>unmodified</status>
      <modifiedWord/>
      <trackRevisions>false</trackRevisions>
    </reviewItem>
    <reviewItem>
      <errorID>bbf8594d-19ce-4c19-8d08-0e7557c53358</errorID>
      <errorWord>；</errorWord>
      <group>L1_Format</group>
      <groupName>格式问题</groupName>
      <ability>L2_HalfPunc</ability>
      <abilityName>全半角检查</abilityName>
      <candidateList>
        <item>;</item>
      </candidateList>
      <explain>文本全半角错误。</explain>
      <paraID>5F81EFF8</paraID>
      <start>18</start>
      <end>19</end>
      <status>unmodified</status>
      <modifiedWord/>
      <trackRevisions>false</trackRevisions>
    </reviewItem>
    <reviewItem>
      <errorID>50153901-cbad-4822-9e7c-567eb90ad53f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1AD35347</paraID>
      <start>0</start>
      <end>2</end>
      <status>unmodified</status>
      <modifiedWord/>
      <trackRevisions>false</trackRevisions>
    </reviewItem>
    <reviewItem>
      <errorID>51b9263a-4621-497e-8072-8a14fa82b817</errorID>
      <errorWord>《安徽省城市园林绿化植物种植技术规定》（试行）</errorWord>
      <group>L1_Knowledge</group>
      <groupName>知识性问题</groupName>
      <ability>L2_Knowledge</ability>
      <abilityName>其他知识</abilityName>
      <candidateList>
        <item>《安徽省城市园林绿化植物种植技术规定（试行）》</item>
      </candidateList>
      <explain>疑似政策文件、法律法规名称等书写不规范，请注意检查。</explain>
      <paraID>1AD35347</paraID>
      <start>2</start>
      <end>25</end>
      <status>unmodified</status>
      <modifiedWord/>
      <trackRevisions>false</trackRevisions>
    </reviewItem>
    <reviewItem>
      <errorID>7b3e84d0-3482-4acc-b411-e079b99eb89c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6A2CD1E1</paraID>
      <start>0</start>
      <end>2</end>
      <status>unmodified</status>
      <modifiedWord/>
      <trackRevisions>false</trackRevisions>
    </reviewItem>
    <reviewItem>
      <errorID>61779c75-82c3-4649-b4ff-9f14baa395e7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5D16E969</paraID>
      <start>0</start>
      <end>2</end>
      <status>unmodified</status>
      <modifiedWord/>
      <trackRevisions>false</trackRevisions>
    </reviewItem>
    <reviewItem>
      <errorID>93368730-086c-47ee-b456-ac84bd91c41e</errorID>
      <errorWord>绿</errorWord>
      <group>L1_Word</group>
      <groupName>字词问题</groupName>
      <ability>L2_Typo</ability>
      <abilityName>字词错误</abilityName>
      <candidateList>
        <item>绿化</item>
      </candidateList>
      <explain/>
      <paraID>5D16E969</paraID>
      <start>5</start>
      <end>6</end>
      <status>unmodified</status>
      <modifiedWord/>
      <trackRevisions>false</trackRevisions>
    </reviewItem>
    <reviewItem>
      <errorID>a7c56f78-c841-404a-b7ec-e20450d59e62</errorID>
      <errorWord>(</errorWord>
      <group>L1_Format</group>
      <groupName>格式问题</groupName>
      <ability>L2_HalfPunc</ability>
      <abilityName>全半角检查</abilityName>
      <candidateList>
        <item>（</item>
      </candidateList>
      <explain>文本全半角错误。</explain>
      <paraID>5D16E969</paraID>
      <start>43</start>
      <end>44</end>
      <status>unmodified</status>
      <modifiedWord/>
      <trackRevisions>false</trackRevisions>
    </reviewItem>
    <reviewItem>
      <errorID>1582d453-a87a-4e2b-893f-3b99cbc330f6</errorID>
      <errorWord>)</errorWord>
      <group>L1_Format</group>
      <groupName>格式问题</groupName>
      <ability>L2_HalfPunc</ability>
      <abilityName>全半角检查</abilityName>
      <candidateList>
        <item>）</item>
      </candidateList>
      <explain>文本全半角错误。</explain>
      <paraID>5D16E969</paraID>
      <start>56</start>
      <end>57</end>
      <status>unmodified</status>
      <modifiedWord/>
      <trackRevisions>false</trackRevisions>
    </reviewItem>
    <reviewItem>
      <errorID>2c2c6e77-25eb-43a8-8308-b9a7c1e15fd7</errorID>
      <errorWord>(</errorWord>
      <group>L1_Format</group>
      <groupName>格式问题</groupName>
      <ability>L2_HalfPunc</ability>
      <abilityName>全半角检查</abilityName>
      <candidateList>
        <item>（</item>
      </candidateList>
      <explain>文本全半角错误。</explain>
      <paraID>5D16E969</paraID>
      <start>68</start>
      <end>69</end>
      <status>unmodified</status>
      <modifiedWord/>
      <trackRevisions>false</trackRevisions>
    </reviewItem>
    <reviewItem>
      <errorID>df2e8476-7278-49c0-9f91-5bf291a90034</errorID>
      <errorWord>)</errorWord>
      <group>L1_Format</group>
      <groupName>格式问题</groupName>
      <ability>L2_HalfPunc</ability>
      <abilityName>全半角检查</abilityName>
      <candidateList>
        <item>）</item>
      </candidateList>
      <explain>文本全半角错误。</explain>
      <paraID>5D16E969</paraID>
      <start>82</start>
      <end>83</end>
      <status>unmodified</status>
      <modifiedWord/>
      <trackRevisions>false</trackRevisions>
    </reviewItem>
    <reviewItem>
      <errorID>3add25aa-9200-4314-a8cf-88664eb9c5d4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AF99FE9</paraID>
      <start>0</start>
      <end>2</end>
      <status>unmodified</status>
      <modifiedWord/>
      <trackRevisions>false</trackRevisions>
    </reviewItem>
    <reviewItem>
      <errorID>5d566196-fe7e-4b8f-9392-429e0a478120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347858B9</paraID>
      <start>0</start>
      <end>2</end>
      <status>unmodified</status>
      <modifiedWord/>
      <trackRevisions>false</trackRevisions>
    </reviewItem>
    <reviewItem>
      <errorID>b2c5496b-6af6-46b0-9189-96632df77a77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7C1C9C7B</paraID>
      <start>0</start>
      <end>2</end>
      <status>unmodified</status>
      <modifiedWord/>
      <trackRevisions>false</trackRevisions>
    </reviewItem>
    <reviewItem>
      <errorID>45470355-b74d-4346-ad6d-f65db69bbd07</errorID>
      <errorWord>其它</errorWord>
      <group>L1_Word</group>
      <groupName>字词问题</groupName>
      <ability>L2_Alias</ability>
      <abilityName>也作/曾用词</abilityName>
      <candidateList>
        <item>其他</item>
      </candidateList>
      <explain>词汇[其它]为不规范表述或旧称，其规范书面表述为[其他]。</explain>
      <paraID>7C1C9C7B</paraID>
      <start>2</start>
      <end>4</end>
      <status>unmodified</status>
      <modifiedWord/>
      <trackRevisions>false</trackRevisions>
    </reviewItem>
    <reviewItem>
      <errorID>de7e9f5a-bffd-4070-8471-ff63214d4ef4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7765B6AB</paraID>
      <start>0</start>
      <end>2</end>
      <status>unmodified</status>
      <modifiedWord/>
      <trackRevisions>false</trackRevisions>
    </reviewItem>
    <reviewItem>
      <errorID>99644ce9-fc2f-4c0d-807a-93639afc4228</errorID>
      <errorWord>(</errorWord>
      <group>L1_Format</group>
      <groupName>格式问题</groupName>
      <ability>L2_HalfPunc</ability>
      <abilityName>全半角检查</abilityName>
      <candidateList>
        <item>（</item>
      </candidateList>
      <explain>文本全半角错误。</explain>
      <paraID>7765B6AB</paraID>
      <start>10</start>
      <end>11</end>
      <status>unmodified</status>
      <modifiedWord/>
      <trackRevisions>false</trackRevisions>
    </reviewItem>
    <reviewItem>
      <errorID>edddfbd7-59a4-414a-8ad8-15b8c8cf6b7f</errorID>
      <errorWord>)</errorWord>
      <group>L1_Format</group>
      <groupName>格式问题</groupName>
      <ability>L2_HalfPunc</ability>
      <abilityName>全半角检查</abilityName>
      <candidateList>
        <item>）</item>
      </candidateList>
      <explain>文本全半角错误。</explain>
      <paraID>7765B6AB</paraID>
      <start>34</start>
      <end>35</end>
      <status>unmodified</status>
      <modifiedWord/>
      <trackRevisions>false</trackRevisions>
    </reviewItem>
    <reviewItem>
      <errorID>37953754-4ca4-465e-af4a-d69a3b9216be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5F484012</paraID>
      <start>0</start>
      <end>2</end>
      <status>unmodified</status>
      <modifiedWord/>
      <trackRevisions>false</trackRevisions>
    </reviewItem>
    <reviewItem>
      <errorID>884fe438-f064-40b5-92b6-383c62a16471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21D3A89E</paraID>
      <start>0</start>
      <end>2</end>
      <status>unmodified</status>
      <modifiedWord/>
      <trackRevisions>false</trackRevisions>
    </reviewItem>
    <reviewItem>
      <errorID>19524275-17a7-4e20-a30e-36151e259bca</errorID>
      <errorWord>树杆</errorWord>
      <group>L1_Word</group>
      <groupName>字词问题</groupName>
      <ability>L2_Typo</ability>
      <abilityName>字词错误</abilityName>
      <candidateList>
        <item>树干</item>
      </candidateList>
      <explain>〈名〉树木的主体部分。</explain>
      <paraID>4A67EF7A</paraID>
      <start>9</start>
      <end>11</end>
      <status>unmodified</status>
      <modifiedWord/>
      <trackRevisions>false</trackRevisions>
    </reviewItem>
    <reviewItem>
      <errorID>9b7ebcdc-c868-451c-849f-38b4ef5c2d5d</errorID>
      <errorWord>遮荫</errorWord>
      <group>L1_Word</group>
      <groupName>字词问题</groupName>
      <ability>L2_Typo</ability>
      <abilityName>字词错误</abilityName>
      <candidateList>
        <item>遮阴</item>
      </candidateList>
      <explain>存在发音相同字词的误用。</explain>
      <paraID>28170920</paraID>
      <start>42</start>
      <end>44</end>
      <status>unmodified</status>
      <modifiedWord/>
      <trackRevisions>false</trackRevisions>
    </reviewItem>
    <reviewItem>
      <errorID>5e765e89-710e-433d-b07b-bed624e4bf68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1C625031</paraID>
      <start>0</start>
      <end>2</end>
      <status>unmodified</status>
      <modifiedWord/>
      <trackRevisions>false</trackRevisions>
    </reviewItem>
    <reviewItem>
      <errorID>b1e37b31-43ba-4e9b-9f04-4f269e978bc7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24C8DEC3</paraID>
      <start>0</start>
      <end>2</end>
      <status>unmodified</status>
      <modifiedWord/>
      <trackRevisions>false</trackRevisions>
    </reviewItem>
    <reviewItem>
      <errorID>4ca8efd4-8b1b-4d66-8f74-febb42b1d3a6</errorID>
      <errorWord>地</errorWord>
      <group>L1_Word</group>
      <groupName>字词问题</groupName>
      <ability>L2_DDD</ability>
      <abilityName>的地得用法</abilityName>
      <candidateList>
        <item>的</item>
      </candidateList>
      <explain>“的”常用于连接修饰语与名词性中心语，表示属性、所属或描述。</explain>
      <paraID>24C8DEC3</paraID>
      <start>46</start>
      <end>47</end>
      <status>unmodified</status>
      <modifiedWord/>
      <trackRevisions>false</trackRevisions>
    </reviewItem>
    <reviewItem>
      <errorID>138858a7-6701-4a23-abff-10b136f57bd2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4E76C05B</paraID>
      <start>0</start>
      <end>2</end>
      <status>unmodified</status>
      <modifiedWord/>
      <trackRevisions>false</trackRevisions>
    </reviewItem>
    <reviewItem>
      <errorID>fa1b876f-4805-402c-8f07-9e53b1a36c31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A18F92C</paraID>
      <start>0</start>
      <end>2</end>
      <status>unmodified</status>
      <modifiedWord/>
      <trackRevisions>false</trackRevisions>
    </reviewItem>
    <reviewItem>
      <errorID>3d894074-13dd-4e6e-a835-23c8b38ade68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1AB8B79D</paraID>
      <start>0</start>
      <end>2</end>
      <status>unmodified</status>
      <modifiedWord/>
      <trackRevisions>false</trackRevisions>
    </reviewItem>
    <reviewItem>
      <errorID>0a415e8f-1ec9-485f-bd1d-536d1e506693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19D45E4</paraID>
      <start>0</start>
      <end>2</end>
      <status>unmodified</status>
      <modifiedWord/>
      <trackRevisions>false</trackRevisions>
    </reviewItem>
    <reviewItem>
      <errorID>98989aef-8163-4442-b8df-255d8bdad1c9</errorID>
      <errorWord>牙</errorWord>
      <group>L1_Word</group>
      <groupName>字词问题</groupName>
      <ability>L2_Typo</ability>
      <abilityName>字词错误</abilityName>
      <candidateList>
        <item>缘</item>
      </candidateList>
      <explain/>
      <paraID> 19D45E4</paraID>
      <start>36</start>
      <end>37</end>
      <status>unmodified</status>
      <modifiedWord/>
      <trackRevisions>false</trackRevisions>
    </reviewItem>
    <reviewItem>
      <errorID>444d4cb8-356d-42d9-9281-965fc1bfecd1</errorID>
      <errorWord>用</errorWord>
      <group>L1_Word</group>
      <groupName>字词问题</groupName>
      <ability>L2_Typo</ability>
      <abilityName>字词错误</abilityName>
      <candidateList>
        <item>用包</item>
      </candidateList>
      <explain/>
      <paraID> 19D45E4</paraID>
      <start>45</start>
      <end>46</end>
      <status>unmodified</status>
      <modifiedWord/>
      <trackRevisions>false</trackRevisions>
    </reviewItem>
    <reviewItem>
      <errorID>5f9d81dd-391e-4a0e-a84a-54c5f2ce1d46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9C32424</paraID>
      <start>0</start>
      <end>3</end>
      <status>unmodified</status>
      <modifiedWord/>
      <trackRevisions>false</trackRevisions>
    </reviewItem>
    <reviewItem>
      <errorID>616e31f7-ad15-43df-a2e2-8d20b1287609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3CA748CE</paraID>
      <start>0</start>
      <end>3</end>
      <status>unmodified</status>
      <modifiedWord/>
      <trackRevisions>false</trackRevisions>
    </reviewItem>
    <reviewItem>
      <errorID>288dfea1-2585-4138-a7e0-b60e73f383ff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256BB65F</paraID>
      <start>0</start>
      <end>3</end>
      <status>unmodified</status>
      <modifiedWord/>
      <trackRevisions>false</trackRevisions>
    </reviewItem>
    <reviewItem>
      <errorID>4fe54f84-c24e-4618-a737-a8daa7980f4e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68BA71CD</paraID>
      <start>0</start>
      <end>3</end>
      <status>unmodified</status>
      <modifiedWord/>
      <trackRevisions>false</trackRevisions>
    </reviewItem>
    <reviewItem>
      <errorID>7876979b-ae39-4f13-a6fc-350ba09b776d</errorID>
      <errorWord>，</errorWord>
      <group>L1_Word</group>
      <groupName>字词问题</groupName>
      <ability>L2_Typo</ability>
      <abilityName>字词错误</abilityName>
      <candidateList>
        <item>，是</item>
      </candidateList>
      <explain/>
      <paraID>68BA71CD</paraID>
      <start>27</start>
      <end>28</end>
      <status>unmodified</status>
      <modifiedWord/>
      <trackRevisions>false</trackRevisions>
    </reviewItem>
    <reviewItem>
      <errorID>bc0ccfaa-4c4f-4005-bbdc-d16165358dd1</errorID>
      <errorWord>(</errorWord>
      <group>L1_Format</group>
      <groupName>格式问题</groupName>
      <ability>L2_HalfPunc</ability>
      <abilityName>全半角检查</abilityName>
      <candidateList>
        <item>（</item>
      </candidateList>
      <explain>文本全半角错误。</explain>
      <paraID>1F275674</paraID>
      <start>32</start>
      <end>33</end>
      <status>unmodified</status>
      <modifiedWord/>
      <trackRevisions>false</trackRevisions>
    </reviewItem>
    <reviewItem>
      <errorID>318bf167-d797-4838-a6f0-f6315e34459b</errorID>
      <errorWord>)</errorWord>
      <group>L1_Format</group>
      <groupName>格式问题</groupName>
      <ability>L2_HalfPunc</ability>
      <abilityName>全半角检查</abilityName>
      <candidateList>
        <item>）</item>
      </candidateList>
      <explain>文本全半角错误。</explain>
      <paraID>1F275674</paraID>
      <start>37</start>
      <end>38</end>
      <status>unmodified</status>
      <modifiedWord/>
      <trackRevisions>false</trackRevisions>
    </reviewItem>
    <reviewItem>
      <errorID>51c0aeda-af33-4a81-8b5d-7498a7b6dfb0</errorID>
      <errorWord>(</errorWord>
      <group>L1_Format</group>
      <groupName>格式问题</groupName>
      <ability>L2_HalfPunc</ability>
      <abilityName>全半角检查</abilityName>
      <candidateList>
        <item>（</item>
      </candidateList>
      <explain>文本全半角错误。</explain>
      <paraID>325B5BC2</paraID>
      <start>31</start>
      <end>32</end>
      <status>unmodified</status>
      <modifiedWord/>
      <trackRevisions>false</trackRevisions>
    </reviewItem>
    <reviewItem>
      <errorID>0188c00d-9a46-4c66-bc21-320219d7e355</errorID>
      <errorWord>)</errorWord>
      <group>L1_Format</group>
      <groupName>格式问题</groupName>
      <ability>L2_HalfPunc</ability>
      <abilityName>全半角检查</abilityName>
      <candidateList>
        <item>）</item>
      </candidateList>
      <explain>文本全半角错误。</explain>
      <paraID>325B5BC2</paraID>
      <start>37</start>
      <end>38</end>
      <status>unmodified</status>
      <modifiedWord/>
      <trackRevisions>false</trackRevisions>
    </reviewItem>
    <reviewItem>
      <errorID>d2340918-8723-4f63-bb45-cf2995c67322</errorID>
      <errorWord>,</errorWord>
      <group>L1_Format</group>
      <groupName>格式问题</groupName>
      <ability>L2_HalfPunc</ability>
      <abilityName>全半角检查</abilityName>
      <candidateList>
        <item>，</item>
      </candidateList>
      <explain>文本全半角错误。</explain>
      <paraID>1075BDB0</paraID>
      <start>29</start>
      <end>30</end>
      <status>unmodified</status>
      <modifiedWord/>
      <trackRevisions>false</trackRevisions>
    </reviewItem>
    <reviewItem>
      <errorID>31e36e08-34d3-446c-92ce-291f6337cd0c</errorID>
      <errorWord>-</errorWord>
      <group>L1_Format</group>
      <groupName>格式问题</groupName>
      <ability>L2_HalfPunc</ability>
      <abilityName>全半角检查</abilityName>
      <candidateList>
        <item>－</item>
      </candidateList>
      <explain>文本全半角错误。</explain>
      <paraID>1075BDB0</paraID>
      <start>70</start>
      <end>71</end>
      <status>unmodified</status>
      <modifiedWord/>
      <trackRevisions>false</trackRevisions>
    </reviewItem>
    <reviewItem>
      <errorID>f5c98ad6-7cdc-4465-bc77-670f740ed9d7</errorID>
      <errorWord>，</errorWord>
      <group>L1_Word</group>
      <groupName>字词问题</groupName>
      <ability>L2_Typo</ability>
      <abilityName>字词错误</abilityName>
      <candidateList>
        <item>，具</item>
      </candidateList>
      <explain/>
      <paraID>48F62C9D</paraID>
      <start>91</start>
      <end>92</end>
      <status>unmodified</status>
      <modifiedWord/>
      <trackRevisions>false</trackRevisions>
    </reviewItem>
    <reviewItem>
      <errorID>2c57d39d-ddf1-4ae3-9be4-58a431dcf131</errorID>
      <errorWord>(</errorWord>
      <group>L1_Format</group>
      <groupName>格式问题</groupName>
      <ability>L2_HalfPunc</ability>
      <abilityName>全半角检查</abilityName>
      <candidateList>
        <item>（</item>
      </candidateList>
      <explain>文本全半角错误。</explain>
      <paraID> 624171B</paraID>
      <start>152</start>
      <end>153</end>
      <status>unmodified</status>
      <modifiedWord/>
      <trackRevisions>false</trackRevisions>
    </reviewItem>
    <reviewItem>
      <errorID>006f4eb7-8472-4348-a955-e72809f9910f</errorID>
      <errorWord>)</errorWord>
      <group>L1_Format</group>
      <groupName>格式问题</groupName>
      <ability>L2_HalfPunc</ability>
      <abilityName>全半角检查</abilityName>
      <candidateList>
        <item>）</item>
      </candidateList>
      <explain>文本全半角错误。</explain>
      <paraID> 624171B</paraID>
      <start>187</start>
      <end>188</end>
      <status>unmodified</status>
      <modifiedWord/>
      <trackRevisions>false</trackRevisions>
    </reviewItem>
    <reviewItem>
      <errorID>bec58904-0e30-40fe-9a7f-7e5838b12a63</errorID>
      <errorWord>程</errorWord>
      <group>L1_Word</group>
      <groupName>字词问题</groupName>
      <ability>L2_Typo</ability>
      <abilityName>字词错误</abilityName>
      <candidateList>
        <item>程中</item>
      </candidateList>
      <explain/>
      <paraID>5340C71A</paraID>
      <start>70</start>
      <end>71</end>
      <status>unmodified</status>
      <modifiedWord/>
      <trackRevisions>false</trackRevisions>
    </reviewItem>
    <reviewItem>
      <errorID>b6b5ddb4-1997-4776-a2d0-f5da85be9380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2F84BBB8</paraID>
      <start>51</start>
      <end>54</end>
      <status>unmodified</status>
      <modifiedWord/>
      <trackRevisions>false</trackRevisions>
    </reviewItem>
    <reviewItem>
      <errorID>1cf33e0a-04fe-4593-8cb4-3ec2f8916542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3897A55F</paraID>
      <start>0</start>
      <end>2</end>
      <status>unmodified</status>
      <modifiedWord/>
      <trackRevisions>false</trackRevisions>
    </reviewItem>
    <reviewItem>
      <errorID>8ae56299-c72b-40a2-9270-f66bb87d640c</errorID>
      <errorWord>(</errorWord>
      <group>L1_Format</group>
      <groupName>格式问题</groupName>
      <ability>L2_HalfPunc</ability>
      <abilityName>全半角检查</abilityName>
      <candidateList>
        <item>（</item>
      </candidateList>
      <explain>文本全半角错误。</explain>
      <paraID>3897A55F</paraID>
      <start>51</start>
      <end>52</end>
      <status>unmodified</status>
      <modifiedWord/>
      <trackRevisions>false</trackRevisions>
    </reviewItem>
    <reviewItem>
      <errorID>89b18678-f9e6-45da-a74b-066480e62aec</errorID>
      <errorWord>)</errorWord>
      <group>L1_Format</group>
      <groupName>格式问题</groupName>
      <ability>L2_HalfPunc</ability>
      <abilityName>全半角检查</abilityName>
      <candidateList>
        <item>）</item>
      </candidateList>
      <explain>文本全半角错误。</explain>
      <paraID>3897A55F</paraID>
      <start>55</start>
      <end>56</end>
      <status>unmodified</status>
      <modifiedWord/>
      <trackRevisions>false</trackRevisions>
    </reviewItem>
    <reviewItem>
      <errorID>f23d565a-fa51-4687-ad5c-b82f7bb24ba7</errorID>
      <errorWord>;</errorWord>
      <group>L1_Format</group>
      <groupName>格式问题</groupName>
      <ability>L2_HalfPunc</ability>
      <abilityName>全半角检查</abilityName>
      <candidateList>
        <item>；</item>
      </candidateList>
      <explain>文本全半角错误。</explain>
      <paraID>78F3C8B7</paraID>
      <start>13</start>
      <end>14</end>
      <status>unmodified</status>
      <modifiedWord/>
      <trackRevisions>false</trackRevisions>
    </reviewItem>
    <reviewItem>
      <errorID>e6e4d605-c76c-4dec-a62c-58d3db788337</errorID>
      <errorWord>(</errorWord>
      <group>L1_Format</group>
      <groupName>格式问题</groupName>
      <ability>L2_HalfPunc</ability>
      <abilityName>全半角检查</abilityName>
      <candidateList>
        <item>（</item>
      </candidateList>
      <explain>文本全半角错误。</explain>
      <paraID>15BAD6B9</paraID>
      <start>26</start>
      <end>27</end>
      <status>unmodified</status>
      <modifiedWord/>
      <trackRevisions>false</trackRevisions>
    </reviewItem>
    <reviewItem>
      <errorID>2c7bd41d-fb49-4a4d-8263-694bcc140d7d</errorID>
      <errorWord>)</errorWord>
      <group>L1_Format</group>
      <groupName>格式问题</groupName>
      <ability>L2_HalfPunc</ability>
      <abilityName>全半角检查</abilityName>
      <candidateList>
        <item>）</item>
      </candidateList>
      <explain>文本全半角错误。</explain>
      <paraID>15BAD6B9</paraID>
      <start>42</start>
      <end>43</end>
      <status>unmodified</status>
      <modifiedWord/>
      <trackRevisions>false</trackRevisions>
    </reviewItem>
    <reviewItem>
      <errorID>d66b8148-3e15-4fc3-99c2-61583e381fff</errorID>
      <errorWord>、</errorWord>
      <group>L1_Word</group>
      <groupName>字词问题</groupName>
      <ability>L2_Typo</ability>
      <abilityName>字词错误</abilityName>
      <candidateList>
        <item>、在</item>
      </candidateList>
      <explain/>
      <paraID>  6CF106</paraID>
      <start>1</start>
      <end>2</end>
      <status>unmodified</status>
      <modifiedWord/>
      <trackRevisions>false</trackRevisions>
    </reviewItem>
    <reviewItem>
      <errorID>011d208a-4c3e-42f8-99b5-1c9efc6ac6d3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1F4AB912</paraID>
      <start>0</start>
      <end>2</end>
      <status>unmodified</status>
      <modifiedWord/>
      <trackRevisions>false</trackRevisions>
    </reviewItem>
    <reviewItem>
      <errorID>2e0ab08e-4deb-4db1-8f8a-7d26dbfe1a7d</errorID>
      <errorWord>(</errorWord>
      <group>L1_Format</group>
      <groupName>格式问题</groupName>
      <ability>L2_HalfPunc</ability>
      <abilityName>全半角检查</abilityName>
      <candidateList>
        <item>（</item>
      </candidateList>
      <explain>文本全半角错误。</explain>
      <paraID>1F4AB912</paraID>
      <start>18</start>
      <end>19</end>
      <status>unmodified</status>
      <modifiedWord/>
      <trackRevisions>false</trackRevisions>
    </reviewItem>
    <reviewItem>
      <errorID>67c53938-3ea7-4874-b2d4-f0976b3eba06</errorID>
      <errorWord>)</errorWord>
      <group>L1_Format</group>
      <groupName>格式问题</groupName>
      <ability>L2_HalfPunc</ability>
      <abilityName>全半角检查</abilityName>
      <candidateList>
        <item>）</item>
      </candidateList>
      <explain>文本全半角错误。</explain>
      <paraID>1F4AB912</paraID>
      <start>22</start>
      <end>23</end>
      <status>unmodified</status>
      <modifiedWord/>
      <trackRevisions>false</trackRevisions>
    </reviewItem>
    <reviewItem>
      <errorID>f76cde2e-4d76-4c7c-bbfb-db2987b4523e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759C2F0A</paraID>
      <start>0</start>
      <end>2</end>
      <status>unmodified</status>
      <modifiedWord/>
      <trackRevisions>false</trackRevisions>
    </reviewItem>
    <reviewItem>
      <errorID>37cdf0b2-bd4d-4eae-bcc9-f5a6f6f74219</errorID>
      <errorWord>;</errorWord>
      <group>L1_Format</group>
      <groupName>格式问题</groupName>
      <ability>L2_HalfPunc</ability>
      <abilityName>全半角检查</abilityName>
      <candidateList>
        <item>；</item>
      </candidateList>
      <explain>文本全半角错误。</explain>
      <paraID>5E650651</paraID>
      <start>13</start>
      <end>14</end>
      <status>unmodified</status>
      <modifiedWord/>
      <trackRevisions>false</trackRevisions>
    </reviewItem>
    <reviewItem>
      <errorID>013e9bc6-014f-4918-a914-87f79472c166</errorID>
      <errorWord>(</errorWord>
      <group>L1_Format</group>
      <groupName>格式问题</groupName>
      <ability>L2_HalfPunc</ability>
      <abilityName>全半角检查</abilityName>
      <candidateList>
        <item>（</item>
      </candidateList>
      <explain>文本全半角错误。</explain>
      <paraID>6489FCDA</paraID>
      <start>26</start>
      <end>27</end>
      <status>unmodified</status>
      <modifiedWord/>
      <trackRevisions>false</trackRevisions>
    </reviewItem>
    <reviewItem>
      <errorID>df3d13b5-82a3-4d0c-9022-f8ab1fe7d75b</errorID>
      <errorWord>)</errorWord>
      <group>L1_Format</group>
      <groupName>格式问题</groupName>
      <ability>L2_HalfPunc</ability>
      <abilityName>全半角检查</abilityName>
      <candidateList>
        <item>）</item>
      </candidateList>
      <explain>文本全半角错误。</explain>
      <paraID>6489FCDA</paraID>
      <start>42</start>
      <end>43</end>
      <status>unmodified</status>
      <modifiedWord/>
      <trackRevisions>false</trackRevisions>
    </reviewItem>
    <reviewItem>
      <errorID>f3858674-13c0-4bda-b050-304a8cffd81c</errorID>
      <errorWord>、</errorWord>
      <group>L1_Word</group>
      <groupName>字词问题</groupName>
      <ability>L2_Typo</ability>
      <abilityName>字词错误</abilityName>
      <candidateList>
        <item>、在</item>
      </candidateList>
      <explain/>
      <paraID>233A7822</paraID>
      <start>1</start>
      <end>2</end>
      <status>unmodified</status>
      <modifiedWord/>
      <trackRevisions>false</trackRevisions>
    </reviewItem>
    <reviewItem>
      <errorID>f8fb841b-2ff8-4d97-b04d-c9e1069d8eb8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240101EE</paraID>
      <start>0</start>
      <end>2</end>
      <status>unmodified</status>
      <modifiedWord/>
      <trackRevisions>false</trackRevisions>
    </reviewItem>
    <reviewItem>
      <errorID>d73d980d-7cdc-4b25-a054-02405a2b00be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559108BC</paraID>
      <start>0</start>
      <end>2</end>
      <status>unmodified</status>
      <modifiedWord/>
      <trackRevisions>false</trackRevisions>
    </reviewItem>
    <reviewItem>
      <errorID>8454b022-03f3-48ff-9572-84a5823563ad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5AF06207</paraID>
      <start>0</start>
      <end>2</end>
      <status>unmodified</status>
      <modifiedWord/>
      <trackRevisions>false</trackRevisions>
    </reviewItem>
    <reviewItem>
      <errorID>92976a50-1604-4d74-970a-ff4d309fd84b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6D48F8F9</paraID>
      <start>0</start>
      <end>2</end>
      <status>unmodified</status>
      <modifiedWord/>
      <trackRevisions>false</trackRevisions>
    </reviewItem>
    <reviewItem>
      <errorID>0bcab7b2-b385-42d4-8c6a-20925e640e17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4A0C1366</paraID>
      <start>0</start>
      <end>2</end>
      <status>unmodified</status>
      <modifiedWord/>
      <trackRevisions>false</trackRevisions>
    </reviewItem>
    <reviewItem>
      <errorID>b331f32e-5937-46b5-8fe5-736ab3c101d5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123AC1DD</paraID>
      <start>0</start>
      <end>2</end>
      <status>unmodified</status>
      <modifiedWord/>
      <trackRevisions>false</trackRevisions>
    </reviewItem>
    <reviewItem>
      <errorID>1f82c361-eb53-4460-b3d4-0fe58de0b4aa</errorID>
      <errorWord>(</errorWord>
      <group>L1_Format</group>
      <groupName>格式问题</groupName>
      <ability>L2_HalfPunc</ability>
      <abilityName>全半角检查</abilityName>
      <candidateList>
        <item>（</item>
      </candidateList>
      <explain>文本全半角错误。</explain>
      <paraID> 6D7E007</paraID>
      <start>130</start>
      <end>131</end>
      <status>unmodified</status>
      <modifiedWord/>
      <trackRevisions>false</trackRevisions>
    </reviewItem>
    <reviewItem>
      <errorID>a25c4d88-a0e2-4f71-adc3-2896a514ff20</errorID>
      <errorWord>)</errorWord>
      <group>L1_Format</group>
      <groupName>格式问题</groupName>
      <ability>L2_HalfPunc</ability>
      <abilityName>全半角检查</abilityName>
      <candidateList>
        <item>）</item>
      </candidateList>
      <explain>文本全半角错误。</explain>
      <paraID> 6D7E007</paraID>
      <start>133</start>
      <end>134</end>
      <status>unmodified</status>
      <modifiedWord/>
      <trackRevisions>false</trackRevisions>
    </reviewItem>
    <reviewItem>
      <errorID>6eba22f5-74ef-437c-beba-8d9242def5fc</errorID>
      <errorWord>)</errorWord>
      <group>L1_Format</group>
      <groupName>格式问题</groupName>
      <ability>L2_HalfPunc</ability>
      <abilityName>全半角检查</abilityName>
      <candidateList>
        <item>）</item>
      </candidateList>
      <explain>文本全半角错误。</explain>
      <paraID> 6D7E007</paraID>
      <start>203</start>
      <end>204</end>
      <status>unmodified</status>
      <modifiedWord/>
      <trackRevisions>false</trackRevisions>
    </reviewItem>
    <reviewItem>
      <errorID>3e79251e-6eb8-4844-83fb-760691a88f27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53FF2497</paraID>
      <start>0</start>
      <end>2</end>
      <status>unmodified</status>
      <modifiedWord/>
      <trackRevisions>false</trackRevisions>
    </reviewItem>
    <reviewItem>
      <errorID>861288d6-91fd-474e-9cdd-2c2ef289b05a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6CC9180</paraID>
      <start>0</start>
      <end>2</end>
      <status>unmodified</status>
      <modifiedWord/>
      <trackRevisions>false</trackRevisions>
    </reviewItem>
    <reviewItem>
      <errorID>9c457f2f-2128-4312-9bdf-88787659fd17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68113632</paraID>
      <start>0</start>
      <end>2</end>
      <status>unmodified</status>
      <modifiedWord/>
      <trackRevisions>false</trackRevisions>
    </reviewItem>
    <reviewItem>
      <errorID>a61f6925-efd0-4145-aa7f-0300ab2b445d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3E666900</paraID>
      <start>0</start>
      <end>2</end>
      <status>unmodified</status>
      <modifiedWord/>
      <trackRevisions>false</trackRevisions>
    </reviewItem>
    <reviewItem>
      <errorID>f65d337a-681f-446b-9b31-64514b98d827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5B6609DE</paraID>
      <start>0</start>
      <end>2</end>
      <status>unmodified</status>
      <modifiedWord/>
      <trackRevisions>false</trackRevisions>
    </reviewItem>
    <reviewItem>
      <errorID>6277e2bb-0db6-48f5-8605-f8e8b0803c5a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36DD3BD9</paraID>
      <start>0</start>
      <end>2</end>
      <status>unmodified</status>
      <modifiedWord/>
      <trackRevisions>false</trackRevisions>
    </reviewItem>
    <reviewItem>
      <errorID>7856959b-d18d-42f1-b118-54d683abd540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65E07401</paraID>
      <start>0</start>
      <end>2</end>
      <status>unmodified</status>
      <modifiedWord/>
      <trackRevisions>false</trackRevisions>
    </reviewItem>
    <reviewItem>
      <errorID>c482f28b-3c65-43b5-bdde-97ee97751bb3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4DCD8963</paraID>
      <start>0</start>
      <end>2</end>
      <status>unmodified</status>
      <modifiedWord/>
      <trackRevisions>false</trackRevisions>
    </reviewItem>
    <reviewItem>
      <errorID>56eaf8d0-2106-4724-b2da-78f0f4afa2a1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71B66582</paraID>
      <start>0</start>
      <end>2</end>
      <status>unmodified</status>
      <modifiedWord/>
      <trackRevisions>false</trackRevisions>
    </reviewItem>
    <reviewItem>
      <errorID>151c545c-f35f-4516-b9b6-6fcde261bcf1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1482F2DF</paraID>
      <start>0</start>
      <end>2</end>
      <status>unmodified</status>
      <modifiedWord/>
      <trackRevisions>false</trackRevisions>
    </reviewItem>
    <reviewItem>
      <errorID>58b3127a-9d57-449f-bbb2-ab013f227519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7CC0B222</paraID>
      <start>0</start>
      <end>2</end>
      <status>unmodified</status>
      <modifiedWord/>
      <trackRevisions>false</trackRevisions>
    </reviewItem>
    <reviewItem>
      <errorID>66ccf3c9-f71c-45d3-9e2a-4afce505bf7b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4C392689</paraID>
      <start>39</start>
      <end>42</end>
      <status>unmodified</status>
      <modifiedWord/>
      <trackRevisions>false</trackRevisions>
    </reviewItem>
    <reviewItem>
      <errorID>0135a5e7-90ae-4005-b1f1-319aea74ef46</errorID>
      <errorWord>,</errorWord>
      <group>L1_Format</group>
      <groupName>格式问题</groupName>
      <ability>L2_HalfPunc</ability>
      <abilityName>全半角检查</abilityName>
      <candidateList>
        <item>，</item>
      </candidateList>
      <explain>文本全半角错误。</explain>
      <paraID>6E8E623D</paraID>
      <start>24</start>
      <end>25</end>
      <status>unmodified</status>
      <modifiedWord/>
      <trackRevisions>false</trackRevisions>
    </reviewItem>
    <reviewItem>
      <errorID>25f21a87-de33-47ff-b485-329c8014c5f4</errorID>
      <errorWord>《政府采购法》</errorWord>
      <group>L1_Word</group>
      <groupName>字词问题</groupName>
      <ability>L2_Typo</ability>
      <abilityName>字词错误</abilityName>
      <candidateList>
        <item>《中华人民共和国政府采购法》</item>
      </candidateList>
      <explain/>
      <paraID>1C47871B</paraID>
      <start>149</start>
      <end>156</end>
      <status>unmodified</status>
      <modifiedWord/>
      <trackRevisions>false</trackRevisions>
    </reviewItem>
    <reviewItem>
      <errorID>476e1b93-0cb0-423a-bc79-3439b0f55c19</errorID>
      <errorWord>第78条</errorWord>
      <group>L1_Knowledge</group>
      <groupName>知识性问题</groupName>
      <ability>L2_Knowledge</ability>
      <abilityName>其他知识</abilityName>
      <candidateList>
        <item>第七十八条</item>
      </candidateList>
      <explain/>
      <paraID>1C47871B</paraID>
      <start>156</start>
      <end>160</end>
      <status>unmodified</status>
      <modifiedWord/>
      <trackRevisions>false</trackRevisions>
    </reviewItem>
    <reviewItem>
      <errorID>b5e8a6a3-73f8-42aa-8448-91aac1cf27c2</errorID>
      <errorWord>我</errorWord>
      <group>L1_Word</group>
      <groupName>字词问题</groupName>
      <ability>L2_Typo</ability>
      <abilityName>字词错误</abilityName>
      <candidateList>
        <item/>
      </candidateList>
      <explain/>
      <paraID>32DB1303</paraID>
      <start>0</start>
      <end>1</end>
      <status>unmodified</status>
      <modifiedWord/>
      <trackRevisions>false</trackRevisions>
    </reviewItem>
    <reviewItem>
      <errorID>6aa2630f-38dc-4d36-bfe7-ceec10ae011e</errorID>
      <errorWord>我</errorWord>
      <group>L1_Word</group>
      <groupName>字词问题</groupName>
      <ability>L2_Typo</ability>
      <abilityName>字词错误</abilityName>
      <candidateList>
        <item/>
      </candidateList>
      <explain/>
      <paraID>32DB1303</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88d6e-d721-4e6c-a15e-4ad31a315330}">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12497</Words>
  <Characters>13810</Characters>
  <Lines>206</Lines>
  <Paragraphs>58</Paragraphs>
  <TotalTime>29</TotalTime>
  <ScaleCrop>false</ScaleCrop>
  <LinksUpToDate>false</LinksUpToDate>
  <CharactersWithSpaces>13978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NTKO</cp:lastModifiedBy>
  <cp:lastPrinted>2019-12-07T15:21:00Z</cp:lastPrinted>
  <dcterms:modified xsi:type="dcterms:W3CDTF">2026-04-30T09:01:04Z</dcterms:modified>
  <cp:revision>3589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FC44F39F47B2484CBFEA06EE6D2B742C_13</vt:lpwstr>
  </property>
  <property fmtid="{D5CDD505-2E9C-101B-9397-08002B2CF9AE}" pid="4" name="KSOTemplateDocerSaveRecord">
    <vt:lpwstr>eyJoZGlkIjoiMDk2MmQyNTdjMmYyM2I4Njk3YjVkOTliYjhhNDZiYTEiLCJ1c2VySWQiOiI0MDkyMjI1MTkifQ==</vt:lpwstr>
  </property>
</Properties>
</file>