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A94728F">
      <w:pPr>
        <w:jc w:val="center"/>
        <w:rPr>
          <w:rFonts w:ascii="宋体" w:cs="宋体"/>
          <w:b/>
          <w:color w:val="auto"/>
          <w:kern w:val="0"/>
          <w:sz w:val="44"/>
          <w:szCs w:val="44"/>
          <w:highlight w:val="none"/>
        </w:rPr>
      </w:pPr>
      <w:bookmarkStart w:id="0" w:name="_Toc324404811"/>
      <w:bookmarkStart w:id="1" w:name="_Toc247085669"/>
      <w:bookmarkStart w:id="2" w:name="_Toc246996898"/>
      <w:bookmarkStart w:id="3" w:name="_Toc506107265"/>
      <w:bookmarkStart w:id="4" w:name="_Toc15058843"/>
      <w:bookmarkStart w:id="5" w:name="_Toc296602400"/>
      <w:bookmarkStart w:id="6" w:name="_Toc461631222"/>
      <w:bookmarkStart w:id="7" w:name="OLE_LINK5"/>
      <w:bookmarkStart w:id="8" w:name="OLE_LINK3"/>
      <w:bookmarkStart w:id="9" w:name="OLE_LINK1"/>
      <w:bookmarkStart w:id="10" w:name="OLE_LINK4"/>
      <w:bookmarkStart w:id="11" w:name="OLE_LINK2"/>
    </w:p>
    <w:p w14:paraId="6DAF9859">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宋体" w:hAnsi="宋体" w:cs="宋体"/>
          <w:b/>
          <w:color w:val="auto"/>
          <w:kern w:val="0"/>
          <w:sz w:val="44"/>
          <w:szCs w:val="44"/>
          <w:highlight w:val="none"/>
          <w:lang w:val="en-US" w:eastAsia="zh-CN"/>
        </w:rPr>
      </w:pPr>
      <w:r>
        <w:rPr>
          <w:rFonts w:hint="eastAsia" w:ascii="宋体" w:hAnsi="宋体" w:cs="宋体"/>
          <w:b/>
          <w:color w:val="auto"/>
          <w:kern w:val="0"/>
          <w:sz w:val="44"/>
          <w:szCs w:val="44"/>
          <w:highlight w:val="none"/>
          <w:lang w:val="en-US" w:eastAsia="zh-CN"/>
        </w:rPr>
        <w:t>滁州经开区市政道路排水管网更新改造项目</w:t>
      </w:r>
    </w:p>
    <w:p w14:paraId="45C1A944">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宋体" w:eastAsia="宋体" w:cs="宋体"/>
          <w:b/>
          <w:color w:val="auto"/>
          <w:kern w:val="0"/>
          <w:sz w:val="44"/>
          <w:szCs w:val="44"/>
          <w:highlight w:val="none"/>
          <w:lang w:val="en-US" w:eastAsia="zh-CN"/>
        </w:rPr>
      </w:pPr>
      <w:r>
        <w:rPr>
          <w:rFonts w:hint="eastAsia" w:ascii="宋体" w:hAnsi="宋体" w:cs="宋体"/>
          <w:b/>
          <w:color w:val="auto"/>
          <w:kern w:val="0"/>
          <w:sz w:val="44"/>
          <w:szCs w:val="44"/>
          <w:highlight w:val="none"/>
          <w:lang w:val="en-US" w:eastAsia="zh-CN"/>
        </w:rPr>
        <w:t>工程量清单及最高投标限价编制服</w:t>
      </w:r>
      <w:r>
        <w:rPr>
          <w:rFonts w:hint="eastAsia" w:ascii="宋体" w:hAnsi="宋体" w:cs="宋体"/>
          <w:b/>
          <w:color w:val="auto"/>
          <w:kern w:val="0"/>
          <w:sz w:val="44"/>
          <w:szCs w:val="44"/>
          <w:highlight w:val="none"/>
          <w:lang w:val="en-US" w:eastAsia="zh-CN"/>
        </w:rPr>
        <w:t>务项目</w:t>
      </w:r>
    </w:p>
    <w:p w14:paraId="44C23102">
      <w:pPr>
        <w:wordWrap w:val="0"/>
        <w:ind w:firstLine="2640" w:firstLineChars="1100"/>
        <w:rPr>
          <w:color w:val="auto"/>
          <w:sz w:val="24"/>
          <w:highlight w:val="none"/>
        </w:rPr>
      </w:pPr>
    </w:p>
    <w:p w14:paraId="053A80E4">
      <w:pPr>
        <w:wordWrap w:val="0"/>
        <w:ind w:firstLine="2640" w:firstLineChars="1100"/>
        <w:rPr>
          <w:color w:val="auto"/>
          <w:sz w:val="24"/>
          <w:highlight w:val="none"/>
        </w:rPr>
      </w:pPr>
    </w:p>
    <w:p w14:paraId="0AE54B96">
      <w:pPr>
        <w:adjustRightInd w:val="0"/>
        <w:snapToGrid w:val="0"/>
        <w:spacing w:line="360" w:lineRule="auto"/>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招 标 文 件</w:t>
      </w:r>
    </w:p>
    <w:p w14:paraId="60E96951">
      <w:pPr>
        <w:jc w:val="center"/>
        <w:rPr>
          <w:rFonts w:hint="eastAsia" w:ascii="宋体" w:hAnsi="宋体" w:eastAsia="宋体" w:cs="宋体"/>
          <w:color w:val="auto"/>
          <w:sz w:val="72"/>
          <w:szCs w:val="72"/>
          <w:highlight w:val="none"/>
          <w:lang w:eastAsia="zh-CN"/>
        </w:rPr>
      </w:pPr>
      <w:r>
        <w:rPr>
          <w:rFonts w:hint="eastAsia"/>
          <w:color w:val="auto"/>
          <w:sz w:val="28"/>
          <w:szCs w:val="28"/>
          <w:highlight w:val="none"/>
        </w:rPr>
        <w:t>项目编号：czsjqt202508-002</w:t>
      </w:r>
    </w:p>
    <w:p w14:paraId="1549FF39">
      <w:pPr>
        <w:jc w:val="center"/>
        <w:rPr>
          <w:color w:val="auto"/>
          <w:sz w:val="24"/>
          <w:highlight w:val="none"/>
        </w:rPr>
      </w:pPr>
      <w:r>
        <w:rPr>
          <w:color w:val="auto"/>
          <w:sz w:val="24"/>
          <w:highlight w:val="none"/>
        </w:rPr>
        <w:t xml:space="preserve"> </w:t>
      </w:r>
    </w:p>
    <w:p w14:paraId="039ADEC3">
      <w:pPr>
        <w:spacing w:line="400" w:lineRule="exact"/>
        <w:jc w:val="center"/>
        <w:rPr>
          <w:rFonts w:ascii="宋体"/>
          <w:b/>
          <w:color w:val="auto"/>
          <w:sz w:val="39"/>
          <w:highlight w:val="none"/>
        </w:rPr>
      </w:pPr>
    </w:p>
    <w:p w14:paraId="4290FE22">
      <w:pPr>
        <w:spacing w:line="400" w:lineRule="exact"/>
        <w:rPr>
          <w:color w:val="auto"/>
          <w:highlight w:val="none"/>
        </w:rPr>
      </w:pPr>
    </w:p>
    <w:p w14:paraId="4D961E9B">
      <w:pPr>
        <w:spacing w:line="720" w:lineRule="exact"/>
        <w:rPr>
          <w:b/>
          <w:bCs/>
          <w:color w:val="auto"/>
          <w:sz w:val="28"/>
          <w:szCs w:val="28"/>
          <w:highlight w:val="none"/>
        </w:rPr>
      </w:pPr>
    </w:p>
    <w:p w14:paraId="1EC6A254">
      <w:pPr>
        <w:pStyle w:val="2"/>
        <w:rPr>
          <w:b/>
          <w:bCs/>
          <w:color w:val="auto"/>
          <w:sz w:val="28"/>
          <w:szCs w:val="28"/>
          <w:highlight w:val="none"/>
        </w:rPr>
      </w:pPr>
    </w:p>
    <w:p w14:paraId="7C2A335A">
      <w:pPr>
        <w:rPr>
          <w:b/>
          <w:bCs/>
          <w:color w:val="auto"/>
          <w:sz w:val="28"/>
          <w:szCs w:val="28"/>
          <w:highlight w:val="none"/>
        </w:rPr>
      </w:pPr>
    </w:p>
    <w:p w14:paraId="65E10D80">
      <w:pPr>
        <w:pStyle w:val="2"/>
        <w:rPr>
          <w:b/>
          <w:bCs/>
          <w:color w:val="auto"/>
          <w:sz w:val="28"/>
          <w:szCs w:val="28"/>
          <w:highlight w:val="none"/>
        </w:rPr>
      </w:pPr>
    </w:p>
    <w:p w14:paraId="689B4A99">
      <w:pPr>
        <w:rPr>
          <w:b/>
          <w:bCs/>
          <w:color w:val="auto"/>
          <w:sz w:val="28"/>
          <w:szCs w:val="28"/>
          <w:highlight w:val="none"/>
        </w:rPr>
      </w:pPr>
    </w:p>
    <w:p w14:paraId="309B6D50">
      <w:pPr>
        <w:pStyle w:val="2"/>
        <w:rPr>
          <w:color w:val="auto"/>
          <w:highlight w:val="none"/>
        </w:rPr>
      </w:pPr>
    </w:p>
    <w:p w14:paraId="382C976D">
      <w:pPr>
        <w:spacing w:line="720" w:lineRule="exact"/>
        <w:rPr>
          <w:b/>
          <w:bCs/>
          <w:color w:val="auto"/>
          <w:sz w:val="28"/>
          <w:szCs w:val="28"/>
          <w:highlight w:val="none"/>
        </w:rPr>
      </w:pPr>
    </w:p>
    <w:p w14:paraId="62A6F336">
      <w:pPr>
        <w:keepNext w:val="0"/>
        <w:keepLines w:val="0"/>
        <w:pageBreakBefore w:val="0"/>
        <w:widowControl/>
        <w:kinsoku/>
        <w:wordWrap/>
        <w:overflowPunct/>
        <w:topLinePunct w:val="0"/>
        <w:autoSpaceDE/>
        <w:autoSpaceDN/>
        <w:bidi w:val="0"/>
        <w:adjustRightInd/>
        <w:snapToGrid/>
        <w:spacing w:before="157" w:beforeLines="50" w:after="157" w:afterLines="50" w:line="640" w:lineRule="exact"/>
        <w:ind w:firstLine="0" w:firstLineChars="0"/>
        <w:jc w:val="center"/>
        <w:textAlignment w:val="baseline"/>
        <w:rPr>
          <w:rFonts w:hint="eastAsia" w:ascii="宋体" w:hAnsi="宋体" w:cs="宋体"/>
          <w:b/>
          <w:bCs/>
          <w:color w:val="auto"/>
          <w:sz w:val="28"/>
          <w:szCs w:val="28"/>
          <w:highlight w:val="none"/>
        </w:rPr>
      </w:pPr>
      <w:r>
        <w:rPr>
          <w:rFonts w:hint="eastAsia" w:ascii="宋体" w:hAnsi="宋体" w:cs="宋体"/>
          <w:b/>
          <w:bCs/>
          <w:color w:val="auto"/>
          <w:sz w:val="28"/>
          <w:szCs w:val="28"/>
          <w:highlight w:val="none"/>
          <w:lang w:eastAsia="zh-CN"/>
        </w:rPr>
        <w:t>招标单位</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u w:val="single"/>
          <w:lang w:val="en-US" w:eastAsia="zh-CN"/>
        </w:rPr>
        <w:t xml:space="preserve">    </w:t>
      </w:r>
      <w:r>
        <w:rPr>
          <w:rFonts w:hint="eastAsia" w:ascii="宋体" w:hAnsi="宋体" w:cs="宋体"/>
          <w:b/>
          <w:bCs/>
          <w:color w:val="auto"/>
          <w:sz w:val="28"/>
          <w:szCs w:val="28"/>
          <w:highlight w:val="none"/>
          <w:u w:val="single"/>
          <w:lang w:eastAsia="zh-CN"/>
        </w:rPr>
        <w:t>滁州华城建设开发有限公司</w:t>
      </w:r>
      <w:r>
        <w:rPr>
          <w:rFonts w:hint="eastAsia" w:ascii="宋体" w:hAnsi="宋体" w:cs="宋体"/>
          <w:b/>
          <w:bCs/>
          <w:color w:val="auto"/>
          <w:sz w:val="28"/>
          <w:szCs w:val="28"/>
          <w:highlight w:val="none"/>
          <w:u w:val="single"/>
          <w:lang w:val="en-US" w:eastAsia="zh-CN"/>
        </w:rPr>
        <w:t xml:space="preserve">   </w:t>
      </w:r>
      <w:r>
        <w:rPr>
          <w:rFonts w:hint="eastAsia" w:ascii="宋体" w:hAnsi="宋体" w:cs="宋体"/>
          <w:b/>
          <w:bCs/>
          <w:color w:val="auto"/>
          <w:sz w:val="28"/>
          <w:szCs w:val="28"/>
          <w:highlight w:val="none"/>
        </w:rPr>
        <w:t>（盖章）</w:t>
      </w:r>
    </w:p>
    <w:p w14:paraId="4C73EFBD">
      <w:pPr>
        <w:keepNext w:val="0"/>
        <w:keepLines w:val="0"/>
        <w:pageBreakBefore w:val="0"/>
        <w:widowControl/>
        <w:kinsoku/>
        <w:wordWrap/>
        <w:overflowPunct/>
        <w:topLinePunct w:val="0"/>
        <w:autoSpaceDE/>
        <w:autoSpaceDN/>
        <w:bidi w:val="0"/>
        <w:adjustRightInd/>
        <w:snapToGrid/>
        <w:spacing w:before="157" w:beforeLines="50" w:after="157" w:afterLines="50" w:line="640" w:lineRule="exact"/>
        <w:ind w:firstLine="0" w:firstLineChars="0"/>
        <w:jc w:val="center"/>
        <w:textAlignment w:val="baseline"/>
        <w:rPr>
          <w:rFonts w:hint="eastAsia" w:ascii="宋体" w:hAnsi="宋体" w:cs="宋体"/>
          <w:b/>
          <w:bCs/>
          <w:color w:val="auto"/>
          <w:sz w:val="28"/>
          <w:szCs w:val="28"/>
          <w:highlight w:val="none"/>
        </w:rPr>
      </w:pPr>
      <w:r>
        <w:rPr>
          <w:rFonts w:hint="eastAsia" w:ascii="宋体" w:hAnsi="宋体" w:cs="宋体"/>
          <w:b/>
          <w:bCs/>
          <w:color w:val="auto"/>
          <w:sz w:val="28"/>
          <w:szCs w:val="28"/>
          <w:highlight w:val="none"/>
          <w:lang w:eastAsia="zh-CN"/>
        </w:rPr>
        <w:t>（隶属于国家级经济技术开发区的国有企业）</w:t>
      </w:r>
    </w:p>
    <w:p w14:paraId="743118D4">
      <w:pPr>
        <w:keepNext w:val="0"/>
        <w:keepLines w:val="0"/>
        <w:pageBreakBefore w:val="0"/>
        <w:widowControl/>
        <w:kinsoku/>
        <w:wordWrap/>
        <w:overflowPunct/>
        <w:topLinePunct w:val="0"/>
        <w:autoSpaceDE/>
        <w:autoSpaceDN/>
        <w:bidi w:val="0"/>
        <w:adjustRightInd/>
        <w:snapToGrid/>
        <w:spacing w:before="157" w:beforeLines="50" w:after="157" w:afterLines="50" w:line="640" w:lineRule="exact"/>
        <w:ind w:firstLine="0" w:firstLineChars="0"/>
        <w:jc w:val="center"/>
        <w:textAlignment w:val="baseline"/>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代理机构：</w:t>
      </w:r>
      <w:r>
        <w:rPr>
          <w:rFonts w:hint="eastAsia" w:ascii="宋体" w:hAnsi="宋体" w:cs="宋体"/>
          <w:b/>
          <w:bCs/>
          <w:color w:val="auto"/>
          <w:sz w:val="28"/>
          <w:szCs w:val="28"/>
          <w:highlight w:val="none"/>
          <w:u w:val="single"/>
          <w:lang w:eastAsia="zh-CN"/>
        </w:rPr>
        <w:t>滁州市城投工程咨询管理有限公司</w:t>
      </w:r>
      <w:r>
        <w:rPr>
          <w:rFonts w:hint="eastAsia" w:ascii="宋体" w:hAnsi="宋体" w:cs="宋体"/>
          <w:b/>
          <w:bCs/>
          <w:color w:val="auto"/>
          <w:sz w:val="28"/>
          <w:szCs w:val="28"/>
          <w:highlight w:val="none"/>
        </w:rPr>
        <w:t>（盖章）</w:t>
      </w:r>
    </w:p>
    <w:p w14:paraId="596FD7B5">
      <w:pPr>
        <w:keepNext w:val="0"/>
        <w:keepLines w:val="0"/>
        <w:pageBreakBefore w:val="0"/>
        <w:widowControl/>
        <w:kinsoku/>
        <w:wordWrap/>
        <w:overflowPunct/>
        <w:topLinePunct w:val="0"/>
        <w:autoSpaceDE/>
        <w:autoSpaceDN/>
        <w:bidi w:val="0"/>
        <w:adjustRightInd/>
        <w:snapToGrid/>
        <w:spacing w:before="157" w:beforeLines="50" w:after="157" w:afterLines="50" w:line="640" w:lineRule="exact"/>
        <w:ind w:firstLine="0" w:firstLineChars="0"/>
        <w:jc w:val="center"/>
        <w:textAlignment w:val="baseline"/>
        <w:rPr>
          <w:rFonts w:hint="eastAsia" w:ascii="宋体" w:hAnsi="宋体" w:cs="宋体"/>
          <w:b/>
          <w:bCs/>
          <w:color w:val="auto"/>
          <w:sz w:val="28"/>
          <w:szCs w:val="28"/>
          <w:highlight w:val="none"/>
        </w:rPr>
      </w:pPr>
      <w:r>
        <w:rPr>
          <w:rFonts w:hint="eastAsia" w:ascii="宋体" w:hAnsi="宋体" w:cs="宋体"/>
          <w:b/>
          <w:bCs/>
          <w:color w:val="auto"/>
          <w:sz w:val="28"/>
          <w:szCs w:val="28"/>
          <w:highlight w:val="none"/>
          <w:u w:val="single"/>
        </w:rPr>
        <w:t>202</w:t>
      </w:r>
      <w:r>
        <w:rPr>
          <w:rFonts w:hint="eastAsia" w:ascii="宋体" w:hAnsi="宋体" w:cs="宋体"/>
          <w:b/>
          <w:bCs/>
          <w:color w:val="auto"/>
          <w:sz w:val="28"/>
          <w:szCs w:val="28"/>
          <w:highlight w:val="none"/>
          <w:u w:val="single"/>
          <w:lang w:val="en-US" w:eastAsia="zh-CN"/>
        </w:rPr>
        <w:t>5</w:t>
      </w:r>
      <w:r>
        <w:rPr>
          <w:rFonts w:hint="eastAsia" w:ascii="宋体" w:hAnsi="宋体" w:cs="宋体"/>
          <w:b/>
          <w:bCs/>
          <w:color w:val="auto"/>
          <w:sz w:val="28"/>
          <w:szCs w:val="28"/>
          <w:highlight w:val="none"/>
        </w:rPr>
        <w:t xml:space="preserve">年 </w:t>
      </w: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u w:val="single"/>
          <w:lang w:val="en-US" w:eastAsia="zh-CN"/>
        </w:rPr>
        <w:t xml:space="preserve">8 </w:t>
      </w:r>
      <w:r>
        <w:rPr>
          <w:rFonts w:hint="eastAsia" w:ascii="宋体" w:hAnsi="宋体" w:cs="宋体"/>
          <w:b/>
          <w:bCs/>
          <w:color w:val="auto"/>
          <w:sz w:val="28"/>
          <w:szCs w:val="28"/>
          <w:highlight w:val="none"/>
        </w:rPr>
        <w:t>月</w:t>
      </w:r>
    </w:p>
    <w:p w14:paraId="2325A293">
      <w:pPr>
        <w:jc w:val="center"/>
        <w:rPr>
          <w:color w:val="auto"/>
          <w:sz w:val="44"/>
          <w:szCs w:val="44"/>
          <w:highlight w:val="none"/>
        </w:rPr>
        <w:sectPr>
          <w:headerReference r:id="rId3" w:type="default"/>
          <w:footerReference r:id="rId4" w:type="default"/>
          <w:pgSz w:w="11906" w:h="16838"/>
          <w:pgMar w:top="1134" w:right="1417" w:bottom="1134" w:left="1417" w:header="851" w:footer="992" w:gutter="0"/>
          <w:cols w:space="720" w:num="1"/>
          <w:docGrid w:type="lines" w:linePitch="312" w:charSpace="0"/>
        </w:sectPr>
      </w:pPr>
    </w:p>
    <w:p w14:paraId="029F3F86">
      <w:pPr>
        <w:spacing w:line="700" w:lineRule="exact"/>
        <w:jc w:val="center"/>
        <w:rPr>
          <w:color w:val="auto"/>
          <w:sz w:val="44"/>
          <w:szCs w:val="44"/>
          <w:highlight w:val="none"/>
        </w:rPr>
      </w:pPr>
      <w:r>
        <w:rPr>
          <w:rFonts w:hint="eastAsia"/>
          <w:color w:val="auto"/>
          <w:sz w:val="44"/>
          <w:szCs w:val="44"/>
          <w:highlight w:val="none"/>
        </w:rPr>
        <w:t>目</w:t>
      </w:r>
      <w:r>
        <w:rPr>
          <w:color w:val="auto"/>
          <w:sz w:val="44"/>
          <w:szCs w:val="44"/>
          <w:highlight w:val="none"/>
        </w:rPr>
        <w:t xml:space="preserve">   </w:t>
      </w:r>
      <w:r>
        <w:rPr>
          <w:rFonts w:hint="eastAsia"/>
          <w:color w:val="auto"/>
          <w:sz w:val="44"/>
          <w:szCs w:val="44"/>
          <w:highlight w:val="none"/>
        </w:rPr>
        <w:t>录</w:t>
      </w:r>
      <w:bookmarkEnd w:id="0"/>
      <w:bookmarkEnd w:id="1"/>
      <w:bookmarkEnd w:id="2"/>
      <w:bookmarkEnd w:id="3"/>
      <w:bookmarkEnd w:id="4"/>
      <w:bookmarkEnd w:id="5"/>
      <w:bookmarkEnd w:id="6"/>
      <w:bookmarkStart w:id="12" w:name="_Toc152045511"/>
      <w:bookmarkStart w:id="13" w:name="_Toc152042287"/>
      <w:bookmarkStart w:id="14" w:name="_Toc179632527"/>
      <w:bookmarkStart w:id="15" w:name="_Toc144974479"/>
    </w:p>
    <w:p w14:paraId="5346BFE9">
      <w:pPr>
        <w:pStyle w:val="30"/>
        <w:tabs>
          <w:tab w:val="right" w:leader="dot" w:pos="9072"/>
        </w:tabs>
        <w:spacing w:line="700" w:lineRule="exact"/>
        <w:rPr>
          <w:rFonts w:ascii="宋体" w:cs="宋体"/>
          <w:color w:val="auto"/>
          <w:sz w:val="24"/>
          <w:szCs w:val="24"/>
          <w:highlight w:val="none"/>
        </w:rPr>
      </w:pPr>
      <w:r>
        <w:rPr>
          <w:rFonts w:ascii="宋体" w:hAnsi="宋体" w:cs="宋体"/>
          <w:b w:val="0"/>
          <w:bCs w:val="0"/>
          <w:caps w:val="0"/>
          <w:color w:val="auto"/>
          <w:sz w:val="24"/>
          <w:szCs w:val="24"/>
          <w:highlight w:val="none"/>
        </w:rPr>
        <w:fldChar w:fldCharType="begin"/>
      </w:r>
      <w:r>
        <w:rPr>
          <w:rFonts w:ascii="宋体" w:hAnsi="宋体" w:cs="宋体"/>
          <w:b w:val="0"/>
          <w:bCs w:val="0"/>
          <w:caps w:val="0"/>
          <w:color w:val="auto"/>
          <w:sz w:val="24"/>
          <w:szCs w:val="24"/>
          <w:highlight w:val="none"/>
        </w:rPr>
        <w:instrText xml:space="preserve"> TOC \o "1-3" \h \z \u </w:instrText>
      </w:r>
      <w:r>
        <w:rPr>
          <w:rFonts w:ascii="宋体" w:hAnsi="宋体" w:cs="宋体"/>
          <w:b w:val="0"/>
          <w:bCs w:val="0"/>
          <w:caps w:val="0"/>
          <w:color w:val="auto"/>
          <w:sz w:val="24"/>
          <w:szCs w:val="24"/>
          <w:highlight w:val="none"/>
        </w:rPr>
        <w:fldChar w:fldCharType="separate"/>
      </w:r>
      <w:r>
        <w:rPr>
          <w:color w:val="auto"/>
          <w:highlight w:val="none"/>
        </w:rPr>
        <w:fldChar w:fldCharType="begin"/>
      </w:r>
      <w:r>
        <w:rPr>
          <w:color w:val="auto"/>
          <w:highlight w:val="none"/>
        </w:rPr>
        <w:instrText xml:space="preserve"> HYPERLINK \l "_Toc3705" </w:instrText>
      </w:r>
      <w:r>
        <w:rPr>
          <w:color w:val="auto"/>
          <w:highlight w:val="none"/>
        </w:rPr>
        <w:fldChar w:fldCharType="separate"/>
      </w:r>
      <w:r>
        <w:rPr>
          <w:rFonts w:hint="eastAsia" w:ascii="宋体" w:hAnsi="宋体" w:cs="宋体"/>
          <w:color w:val="auto"/>
          <w:sz w:val="24"/>
          <w:szCs w:val="24"/>
          <w:highlight w:val="none"/>
        </w:rPr>
        <w:t>招标公告信息</w:t>
      </w:r>
      <w:r>
        <w:rPr>
          <w:rFonts w:ascii="宋体" w:cs="宋体"/>
          <w:color w:val="auto"/>
          <w:sz w:val="24"/>
          <w:szCs w:val="24"/>
          <w:highlight w:val="none"/>
        </w:rPr>
        <w:tab/>
      </w: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fldChar w:fldCharType="end"/>
      </w:r>
    </w:p>
    <w:p w14:paraId="1C944EA7">
      <w:pPr>
        <w:pStyle w:val="30"/>
        <w:tabs>
          <w:tab w:val="right" w:leader="dot" w:pos="9072"/>
        </w:tabs>
        <w:spacing w:line="700" w:lineRule="exact"/>
        <w:rPr>
          <w:rFonts w:ascii="宋体" w:cs="宋体"/>
          <w:color w:val="auto"/>
          <w:sz w:val="24"/>
          <w:szCs w:val="24"/>
          <w:highlight w:val="none"/>
        </w:rPr>
      </w:pPr>
      <w:r>
        <w:rPr>
          <w:color w:val="auto"/>
          <w:highlight w:val="none"/>
        </w:rPr>
        <w:fldChar w:fldCharType="begin"/>
      </w:r>
      <w:r>
        <w:rPr>
          <w:color w:val="auto"/>
          <w:highlight w:val="none"/>
        </w:rPr>
        <w:instrText xml:space="preserve"> HYPERLINK \l "_Toc8504" </w:instrText>
      </w:r>
      <w:r>
        <w:rPr>
          <w:color w:val="auto"/>
          <w:highlight w:val="none"/>
        </w:rPr>
        <w:fldChar w:fldCharType="separate"/>
      </w:r>
      <w:r>
        <w:rPr>
          <w:rFonts w:hint="eastAsia" w:ascii="宋体" w:hAnsi="宋体" w:cs="宋体"/>
          <w:color w:val="auto"/>
          <w:sz w:val="24"/>
          <w:szCs w:val="24"/>
          <w:highlight w:val="none"/>
        </w:rPr>
        <w:t>第一章</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投标人须知</w:t>
      </w:r>
      <w:r>
        <w:rPr>
          <w:rFonts w:ascii="宋体" w:cs="宋体"/>
          <w:color w:val="auto"/>
          <w:sz w:val="24"/>
          <w:szCs w:val="24"/>
          <w:highlight w:val="none"/>
        </w:rPr>
        <w:tab/>
      </w:r>
      <w:r>
        <w:rPr>
          <w:rFonts w:hint="eastAsia" w:ascii="宋体" w:hAnsi="宋体" w:cs="宋体"/>
          <w:color w:val="auto"/>
          <w:sz w:val="24"/>
          <w:szCs w:val="24"/>
          <w:highlight w:val="none"/>
          <w:lang w:val="en-US" w:eastAsia="zh-CN"/>
        </w:rPr>
        <w:t>6</w:t>
      </w:r>
      <w:r>
        <w:rPr>
          <w:rFonts w:ascii="宋体" w:hAnsi="宋体" w:cs="宋体"/>
          <w:color w:val="auto"/>
          <w:sz w:val="24"/>
          <w:szCs w:val="24"/>
          <w:highlight w:val="none"/>
        </w:rPr>
        <w:fldChar w:fldCharType="end"/>
      </w:r>
    </w:p>
    <w:p w14:paraId="1D07BAD5">
      <w:pPr>
        <w:pStyle w:val="30"/>
        <w:tabs>
          <w:tab w:val="right" w:leader="dot" w:pos="9072"/>
        </w:tabs>
        <w:spacing w:line="700" w:lineRule="exact"/>
        <w:rPr>
          <w:rFonts w:hint="eastAsia" w:ascii="宋体" w:eastAsia="宋体" w:cs="宋体"/>
          <w:color w:val="auto"/>
          <w:sz w:val="24"/>
          <w:szCs w:val="24"/>
          <w:highlight w:val="none"/>
          <w:lang w:eastAsia="zh-CN"/>
        </w:rPr>
      </w:pPr>
      <w:r>
        <w:rPr>
          <w:color w:val="auto"/>
          <w:highlight w:val="none"/>
        </w:rPr>
        <w:fldChar w:fldCharType="begin"/>
      </w:r>
      <w:r>
        <w:rPr>
          <w:color w:val="auto"/>
          <w:highlight w:val="none"/>
        </w:rPr>
        <w:instrText xml:space="preserve"> HYPERLINK \l "_Toc18840" </w:instrText>
      </w:r>
      <w:r>
        <w:rPr>
          <w:color w:val="auto"/>
          <w:highlight w:val="none"/>
        </w:rPr>
        <w:fldChar w:fldCharType="separate"/>
      </w:r>
      <w:r>
        <w:rPr>
          <w:rFonts w:hint="eastAsia" w:ascii="宋体" w:hAnsi="宋体" w:cs="宋体"/>
          <w:color w:val="auto"/>
          <w:sz w:val="24"/>
          <w:szCs w:val="24"/>
          <w:highlight w:val="none"/>
        </w:rPr>
        <w:t>第二章</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资格审查办法</w:t>
      </w:r>
      <w:r>
        <w:rPr>
          <w:rFonts w:ascii="宋体" w:cs="宋体"/>
          <w:color w:val="auto"/>
          <w:sz w:val="24"/>
          <w:szCs w:val="24"/>
          <w:highlight w:val="none"/>
        </w:rPr>
        <w:tab/>
      </w:r>
      <w:r>
        <w:rPr>
          <w:rFonts w:ascii="宋体" w:hAnsi="宋体" w:cs="宋体"/>
          <w:color w:val="auto"/>
          <w:sz w:val="24"/>
          <w:szCs w:val="24"/>
          <w:highlight w:val="none"/>
        </w:rPr>
        <w:t>2</w:t>
      </w:r>
      <w:r>
        <w:rPr>
          <w:rFonts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2</w:t>
      </w:r>
    </w:p>
    <w:p w14:paraId="1F4D4878">
      <w:pPr>
        <w:pStyle w:val="30"/>
        <w:tabs>
          <w:tab w:val="right" w:leader="dot" w:pos="9072"/>
        </w:tabs>
        <w:spacing w:line="700" w:lineRule="exact"/>
        <w:rPr>
          <w:rFonts w:hint="eastAsia" w:ascii="宋体" w:eastAsia="宋体" w:cs="宋体"/>
          <w:color w:val="auto"/>
          <w:sz w:val="24"/>
          <w:szCs w:val="24"/>
          <w:highlight w:val="none"/>
          <w:lang w:eastAsia="zh-CN"/>
        </w:rPr>
      </w:pPr>
      <w:r>
        <w:rPr>
          <w:color w:val="auto"/>
          <w:highlight w:val="none"/>
        </w:rPr>
        <w:fldChar w:fldCharType="begin"/>
      </w:r>
      <w:r>
        <w:rPr>
          <w:color w:val="auto"/>
          <w:highlight w:val="none"/>
        </w:rPr>
        <w:instrText xml:space="preserve"> HYPERLINK \l "_Toc24443" </w:instrText>
      </w:r>
      <w:r>
        <w:rPr>
          <w:color w:val="auto"/>
          <w:highlight w:val="none"/>
        </w:rPr>
        <w:fldChar w:fldCharType="separate"/>
      </w:r>
      <w:r>
        <w:rPr>
          <w:rFonts w:hint="eastAsia" w:ascii="宋体" w:hAnsi="宋体" w:cs="宋体"/>
          <w:color w:val="auto"/>
          <w:sz w:val="24"/>
          <w:szCs w:val="24"/>
          <w:highlight w:val="none"/>
        </w:rPr>
        <w:t>第三章</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评标办法</w:t>
      </w:r>
      <w:r>
        <w:rPr>
          <w:rFonts w:ascii="宋体" w:cs="宋体"/>
          <w:color w:val="auto"/>
          <w:sz w:val="24"/>
          <w:szCs w:val="24"/>
          <w:highlight w:val="none"/>
        </w:rPr>
        <w:tab/>
      </w:r>
      <w:r>
        <w:rPr>
          <w:rFonts w:ascii="宋体" w:hAnsi="宋体" w:cs="宋体"/>
          <w:color w:val="auto"/>
          <w:sz w:val="24"/>
          <w:szCs w:val="24"/>
          <w:highlight w:val="none"/>
        </w:rPr>
        <w:t>2</w:t>
      </w:r>
      <w:r>
        <w:rPr>
          <w:rFonts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5</w:t>
      </w:r>
    </w:p>
    <w:p w14:paraId="7DEEC87A">
      <w:pPr>
        <w:pStyle w:val="30"/>
        <w:tabs>
          <w:tab w:val="right" w:leader="dot" w:pos="9072"/>
        </w:tabs>
        <w:spacing w:line="700" w:lineRule="exact"/>
        <w:rPr>
          <w:rFonts w:hint="eastAsia" w:ascii="宋体" w:eastAsia="宋体" w:cs="宋体"/>
          <w:color w:val="auto"/>
          <w:sz w:val="24"/>
          <w:szCs w:val="24"/>
          <w:highlight w:val="none"/>
          <w:lang w:eastAsia="zh-CN"/>
        </w:rPr>
      </w:pPr>
      <w:r>
        <w:rPr>
          <w:color w:val="auto"/>
          <w:highlight w:val="none"/>
        </w:rPr>
        <w:fldChar w:fldCharType="begin"/>
      </w:r>
      <w:r>
        <w:rPr>
          <w:color w:val="auto"/>
          <w:highlight w:val="none"/>
        </w:rPr>
        <w:instrText xml:space="preserve"> HYPERLINK \l "_Toc16404" </w:instrText>
      </w:r>
      <w:r>
        <w:rPr>
          <w:color w:val="auto"/>
          <w:highlight w:val="none"/>
        </w:rPr>
        <w:fldChar w:fldCharType="separate"/>
      </w:r>
      <w:r>
        <w:rPr>
          <w:rFonts w:hint="eastAsia" w:ascii="宋体" w:hAnsi="宋体" w:cs="宋体"/>
          <w:color w:val="auto"/>
          <w:sz w:val="24"/>
          <w:szCs w:val="24"/>
          <w:highlight w:val="none"/>
        </w:rPr>
        <w:t>第四章</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合同条款及格式</w:t>
      </w:r>
      <w:r>
        <w:rPr>
          <w:rFonts w:ascii="宋体" w:cs="宋体"/>
          <w:color w:val="auto"/>
          <w:sz w:val="24"/>
          <w:szCs w:val="24"/>
          <w:highlight w:val="none"/>
        </w:rPr>
        <w:tab/>
      </w:r>
      <w:r>
        <w:rPr>
          <w:rFonts w:ascii="宋体" w:hAnsi="宋体" w:cs="宋体"/>
          <w:color w:val="auto"/>
          <w:sz w:val="24"/>
          <w:szCs w:val="24"/>
          <w:highlight w:val="none"/>
        </w:rPr>
        <w:t>3</w:t>
      </w:r>
      <w:r>
        <w:rPr>
          <w:rFonts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2</w:t>
      </w:r>
    </w:p>
    <w:p w14:paraId="195E2455">
      <w:pPr>
        <w:pStyle w:val="30"/>
        <w:tabs>
          <w:tab w:val="right" w:leader="dot" w:pos="9072"/>
        </w:tabs>
        <w:spacing w:line="700" w:lineRule="exact"/>
        <w:rPr>
          <w:rFonts w:hint="eastAsia" w:asci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"_Toc16786" </w:instrText>
      </w:r>
      <w:r>
        <w:rPr>
          <w:color w:val="auto"/>
          <w:highlight w:val="none"/>
        </w:rPr>
        <w:fldChar w:fldCharType="separate"/>
      </w:r>
      <w:r>
        <w:rPr>
          <w:rFonts w:hint="eastAsia" w:ascii="宋体" w:hAnsi="宋体" w:cs="宋体"/>
          <w:color w:val="auto"/>
          <w:sz w:val="24"/>
          <w:szCs w:val="24"/>
          <w:highlight w:val="none"/>
        </w:rPr>
        <w:t>第五章</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投标文件格式</w:t>
      </w:r>
      <w:r>
        <w:rPr>
          <w:rFonts w:ascii="宋体" w:cs="宋体"/>
          <w:color w:val="auto"/>
          <w:sz w:val="24"/>
          <w:szCs w:val="24"/>
          <w:highlight w:val="none"/>
        </w:rPr>
        <w:tab/>
      </w:r>
      <w:r>
        <w:rPr>
          <w:rFonts w:hint="eastAsia" w:ascii="宋体" w:hAnsi="宋体" w:cs="宋体"/>
          <w:color w:val="auto"/>
          <w:sz w:val="24"/>
          <w:szCs w:val="24"/>
          <w:highlight w:val="none"/>
          <w:lang w:val="en-US" w:eastAsia="zh-CN"/>
        </w:rPr>
        <w:t>4</w:t>
      </w:r>
      <w:r>
        <w:rPr>
          <w:rFonts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8</w:t>
      </w:r>
    </w:p>
    <w:p w14:paraId="6E6C0E55">
      <w:pPr>
        <w:pStyle w:val="30"/>
        <w:tabs>
          <w:tab w:val="right" w:leader="dot" w:pos="9072"/>
        </w:tabs>
        <w:spacing w:line="700" w:lineRule="exact"/>
        <w:rPr>
          <w:rFonts w:hint="eastAsia" w:ascii="宋体" w:eastAsia="宋体" w:cs="宋体"/>
          <w:color w:val="auto"/>
          <w:sz w:val="24"/>
          <w:szCs w:val="24"/>
          <w:highlight w:val="none"/>
          <w:lang w:eastAsia="zh-CN"/>
        </w:rPr>
      </w:pPr>
      <w:r>
        <w:rPr>
          <w:color w:val="auto"/>
          <w:highlight w:val="none"/>
        </w:rPr>
        <w:fldChar w:fldCharType="begin"/>
      </w:r>
      <w:r>
        <w:rPr>
          <w:color w:val="auto"/>
          <w:highlight w:val="none"/>
        </w:rPr>
        <w:instrText xml:space="preserve"> HYPERLINK \l "_Toc25735" </w:instrText>
      </w:r>
      <w:r>
        <w:rPr>
          <w:color w:val="auto"/>
          <w:highlight w:val="none"/>
        </w:rPr>
        <w:fldChar w:fldCharType="separate"/>
      </w:r>
      <w:r>
        <w:rPr>
          <w:rFonts w:hint="eastAsia" w:ascii="宋体" w:hAnsi="宋体" w:cs="宋体"/>
          <w:color w:val="auto"/>
          <w:sz w:val="24"/>
          <w:szCs w:val="24"/>
          <w:highlight w:val="none"/>
        </w:rPr>
        <w:t>第六章</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招标单位、招标代理机构对本招标文件的确认</w:t>
      </w:r>
      <w:r>
        <w:rPr>
          <w:rFonts w:ascii="宋体" w:cs="宋体"/>
          <w:color w:val="auto"/>
          <w:sz w:val="24"/>
          <w:szCs w:val="24"/>
          <w:highlight w:val="none"/>
        </w:rPr>
        <w:tab/>
      </w:r>
      <w:r>
        <w:rPr>
          <w:rFonts w:ascii="宋体" w:hAnsi="宋体" w:cs="宋体"/>
          <w:color w:val="auto"/>
          <w:sz w:val="24"/>
          <w:szCs w:val="24"/>
          <w:highlight w:val="none"/>
        </w:rPr>
        <w:t>6</w:t>
      </w:r>
      <w:r>
        <w:rPr>
          <w:rFonts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5</w:t>
      </w:r>
    </w:p>
    <w:p w14:paraId="77941365">
      <w:pPr>
        <w:pStyle w:val="2"/>
        <w:spacing w:line="700" w:lineRule="exact"/>
        <w:ind w:left="0" w:leftChars="0" w:firstLine="0" w:firstLineChars="0"/>
        <w:jc w:val="left"/>
        <w:rPr>
          <w:color w:val="auto"/>
          <w:sz w:val="24"/>
          <w:szCs w:val="24"/>
          <w:highlight w:val="none"/>
        </w:rPr>
      </w:pPr>
      <w:r>
        <w:rPr>
          <w:rFonts w:hAnsi="宋体" w:cs="宋体"/>
          <w:b/>
          <w:bCs/>
          <w:caps/>
          <w:color w:val="auto"/>
          <w:sz w:val="24"/>
          <w:szCs w:val="24"/>
          <w:highlight w:val="none"/>
        </w:rPr>
        <w:fldChar w:fldCharType="end"/>
      </w:r>
    </w:p>
    <w:p w14:paraId="27E2A268">
      <w:pPr>
        <w:pStyle w:val="43"/>
        <w:spacing w:line="700" w:lineRule="exact"/>
        <w:jc w:val="left"/>
        <w:rPr>
          <w:color w:val="auto"/>
          <w:sz w:val="24"/>
          <w:szCs w:val="24"/>
          <w:highlight w:val="none"/>
        </w:rPr>
      </w:pPr>
    </w:p>
    <w:p w14:paraId="784F2DC1">
      <w:pPr>
        <w:bidi w:val="0"/>
        <w:rPr>
          <w:color w:val="auto"/>
          <w:highlight w:val="none"/>
        </w:rPr>
      </w:pPr>
    </w:p>
    <w:p w14:paraId="1A1D52E3">
      <w:pPr>
        <w:bidi w:val="0"/>
        <w:rPr>
          <w:color w:val="auto"/>
          <w:highlight w:val="none"/>
        </w:rPr>
      </w:pPr>
    </w:p>
    <w:p w14:paraId="5E2CC711">
      <w:pPr>
        <w:bidi w:val="0"/>
        <w:rPr>
          <w:color w:val="auto"/>
          <w:highlight w:val="none"/>
        </w:rPr>
      </w:pPr>
    </w:p>
    <w:p w14:paraId="43C0C283">
      <w:pPr>
        <w:bidi w:val="0"/>
        <w:rPr>
          <w:color w:val="auto"/>
          <w:highlight w:val="none"/>
        </w:rPr>
      </w:pPr>
    </w:p>
    <w:p w14:paraId="4A42BB4A">
      <w:pPr>
        <w:bidi w:val="0"/>
        <w:rPr>
          <w:color w:val="auto"/>
          <w:highlight w:val="none"/>
        </w:rPr>
      </w:pPr>
    </w:p>
    <w:p w14:paraId="19CAA8BC">
      <w:pPr>
        <w:bidi w:val="0"/>
        <w:rPr>
          <w:color w:val="auto"/>
          <w:highlight w:val="none"/>
        </w:rPr>
      </w:pPr>
    </w:p>
    <w:p w14:paraId="6AED76E2">
      <w:pPr>
        <w:bidi w:val="0"/>
        <w:rPr>
          <w:color w:val="auto"/>
          <w:highlight w:val="none"/>
        </w:rPr>
      </w:pPr>
    </w:p>
    <w:p w14:paraId="35BCF158">
      <w:pPr>
        <w:bidi w:val="0"/>
        <w:rPr>
          <w:color w:val="auto"/>
          <w:highlight w:val="none"/>
        </w:rPr>
      </w:pPr>
    </w:p>
    <w:p w14:paraId="1E84E4F4">
      <w:pPr>
        <w:tabs>
          <w:tab w:val="left" w:pos="7034"/>
        </w:tabs>
        <w:bidi w:val="0"/>
        <w:jc w:val="left"/>
        <w:rPr>
          <w:rFonts w:hint="eastAsia" w:eastAsia="宋体"/>
          <w:color w:val="auto"/>
          <w:highlight w:val="none"/>
          <w:lang w:eastAsia="zh-CN"/>
        </w:rPr>
        <w:sectPr>
          <w:footerReference r:id="rId5" w:type="default"/>
          <w:pgSz w:w="11906" w:h="16838"/>
          <w:pgMar w:top="1134" w:right="1417" w:bottom="1134" w:left="1417" w:header="851" w:footer="992" w:gutter="0"/>
          <w:pgNumType w:start="1"/>
          <w:cols w:space="720" w:num="1"/>
          <w:docGrid w:type="lines" w:linePitch="312" w:charSpace="0"/>
        </w:sectPr>
      </w:pPr>
      <w:r>
        <w:rPr>
          <w:rFonts w:hint="eastAsia"/>
          <w:color w:val="auto"/>
          <w:highlight w:val="none"/>
          <w:lang w:eastAsia="zh-CN"/>
        </w:rPr>
        <w:tab/>
      </w:r>
    </w:p>
    <w:p w14:paraId="2061E1E5">
      <w:pPr>
        <w:pStyle w:val="43"/>
        <w:spacing w:beforeLines="50" w:afterLines="50" w:line="440" w:lineRule="exact"/>
        <w:rPr>
          <w:rFonts w:hint="eastAsia"/>
          <w:bCs/>
          <w:color w:val="auto"/>
          <w:sz w:val="28"/>
          <w:szCs w:val="28"/>
          <w:highlight w:val="none"/>
        </w:rPr>
      </w:pPr>
      <w:bookmarkStart w:id="16" w:name="_Toc3705"/>
      <w:r>
        <w:rPr>
          <w:rFonts w:hint="eastAsia"/>
          <w:bCs/>
          <w:color w:val="auto"/>
          <w:sz w:val="28"/>
          <w:szCs w:val="28"/>
          <w:highlight w:val="none"/>
        </w:rPr>
        <w:t>招标公告信息</w:t>
      </w:r>
      <w:bookmarkEnd w:id="16"/>
    </w:p>
    <w:p w14:paraId="5DF15D83">
      <w:pPr>
        <w:keepNext/>
        <w:keepLines/>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项目概况</w:t>
      </w:r>
    </w:p>
    <w:p w14:paraId="63793EC5">
      <w:pPr>
        <w:keepNext/>
        <w:keepLines/>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黑体" w:hAnsi="黑体" w:cs="宋体"/>
          <w:color w:val="auto"/>
          <w:sz w:val="28"/>
          <w:szCs w:val="28"/>
          <w:highlight w:val="none"/>
        </w:rPr>
      </w:pPr>
      <w:r>
        <w:rPr>
          <w:rFonts w:hint="eastAsia" w:ascii="仿宋" w:hAnsi="仿宋" w:eastAsia="仿宋" w:cs="仿宋"/>
          <w:color w:val="auto"/>
          <w:sz w:val="28"/>
          <w:szCs w:val="28"/>
          <w:highlight w:val="none"/>
          <w:u w:val="single"/>
          <w:lang w:val="en-US" w:eastAsia="zh-CN"/>
        </w:rPr>
        <w:t>滁州经开区市政道路排水管网更新改造项目工程量清单及最高投标限价编制服务项目</w:t>
      </w:r>
      <w:r>
        <w:rPr>
          <w:rFonts w:hint="eastAsia" w:ascii="仿宋" w:hAnsi="仿宋" w:eastAsia="仿宋" w:cs="仿宋"/>
          <w:color w:val="auto"/>
          <w:sz w:val="28"/>
          <w:szCs w:val="28"/>
          <w:highlight w:val="none"/>
        </w:rPr>
        <w:t>的潜在投标人应在</w:t>
      </w:r>
      <w:r>
        <w:rPr>
          <w:rFonts w:hint="eastAsia" w:ascii="仿宋" w:hAnsi="仿宋" w:eastAsia="仿宋" w:cs="仿宋"/>
          <w:color w:val="auto"/>
          <w:sz w:val="28"/>
          <w:szCs w:val="28"/>
          <w:highlight w:val="none"/>
          <w:u w:val="single"/>
        </w:rPr>
        <w:t>滁州市公共资源交易中心网（</w:t>
      </w:r>
      <w:r>
        <w:rPr>
          <w:rFonts w:hint="eastAsia" w:ascii="仿宋" w:hAnsi="仿宋" w:eastAsia="仿宋" w:cs="仿宋"/>
          <w:color w:val="auto"/>
          <w:sz w:val="28"/>
          <w:szCs w:val="28"/>
          <w:highlight w:val="none"/>
          <w:u w:val="single"/>
          <w:lang w:eastAsia="zh-CN"/>
        </w:rPr>
        <w:t>http:</w:t>
      </w:r>
      <w:r>
        <w:rPr>
          <w:rFonts w:hint="eastAsia" w:ascii="仿宋" w:hAnsi="仿宋" w:eastAsia="仿宋" w:cs="仿宋"/>
          <w:color w:val="auto"/>
          <w:sz w:val="28"/>
          <w:szCs w:val="28"/>
          <w:highlight w:val="none"/>
          <w:u w:val="single"/>
        </w:rPr>
        <w:t>//ggzy.chuzhou.gov.cn/）</w:t>
      </w:r>
      <w:r>
        <w:rPr>
          <w:rFonts w:hint="eastAsia" w:ascii="仿宋" w:hAnsi="仿宋" w:eastAsia="仿宋" w:cs="仿宋"/>
          <w:color w:val="auto"/>
          <w:sz w:val="28"/>
          <w:szCs w:val="28"/>
          <w:highlight w:val="none"/>
        </w:rPr>
        <w:t>获取招标文件，并于</w:t>
      </w:r>
      <w:r>
        <w:rPr>
          <w:rFonts w:hint="eastAsia" w:ascii="仿宋" w:hAnsi="仿宋" w:eastAsia="仿宋" w:cs="仿宋"/>
          <w:color w:val="auto"/>
          <w:sz w:val="28"/>
          <w:szCs w:val="28"/>
          <w:highlight w:val="none"/>
          <w:u w:val="single"/>
          <w:lang w:eastAsia="zh-CN"/>
        </w:rPr>
        <w:t>2025年</w:t>
      </w:r>
      <w:r>
        <w:rPr>
          <w:rFonts w:hint="eastAsia" w:ascii="仿宋" w:hAnsi="仿宋" w:eastAsia="仿宋" w:cs="仿宋"/>
          <w:color w:val="auto"/>
          <w:sz w:val="28"/>
          <w:szCs w:val="28"/>
          <w:highlight w:val="none"/>
          <w:u w:val="single"/>
          <w:lang w:val="en-US" w:eastAsia="zh-CN"/>
        </w:rPr>
        <w:t>8</w:t>
      </w:r>
      <w:r>
        <w:rPr>
          <w:rFonts w:hint="eastAsia" w:ascii="仿宋" w:hAnsi="仿宋" w:eastAsia="仿宋" w:cs="仿宋"/>
          <w:color w:val="auto"/>
          <w:sz w:val="28"/>
          <w:szCs w:val="28"/>
          <w:highlight w:val="none"/>
          <w:u w:val="single"/>
          <w:lang w:eastAsia="zh-CN"/>
        </w:rPr>
        <w:t>月</w:t>
      </w:r>
      <w:r>
        <w:rPr>
          <w:rFonts w:hint="eastAsia" w:ascii="仿宋" w:hAnsi="仿宋" w:eastAsia="仿宋" w:cs="仿宋"/>
          <w:color w:val="auto"/>
          <w:sz w:val="28"/>
          <w:szCs w:val="28"/>
          <w:highlight w:val="none"/>
          <w:u w:val="single"/>
          <w:lang w:val="en-US" w:eastAsia="zh-CN"/>
        </w:rPr>
        <w:t>26</w:t>
      </w:r>
      <w:r>
        <w:rPr>
          <w:rFonts w:hint="eastAsia" w:ascii="仿宋" w:hAnsi="仿宋" w:eastAsia="仿宋" w:cs="仿宋"/>
          <w:color w:val="auto"/>
          <w:sz w:val="28"/>
          <w:szCs w:val="28"/>
          <w:highlight w:val="none"/>
          <w:u w:val="single"/>
        </w:rPr>
        <w:t>日08点00分</w:t>
      </w:r>
      <w:r>
        <w:rPr>
          <w:rFonts w:hint="eastAsia" w:ascii="仿宋" w:hAnsi="仿宋" w:eastAsia="仿宋" w:cs="仿宋"/>
          <w:color w:val="auto"/>
          <w:sz w:val="28"/>
          <w:szCs w:val="28"/>
          <w:highlight w:val="none"/>
        </w:rPr>
        <w:t>（北京时间）前递交投标文件。</w:t>
      </w:r>
    </w:p>
    <w:p w14:paraId="4663E32E">
      <w:pPr>
        <w:keepNext/>
        <w:keepLines/>
        <w:pageBreakBefore w:val="0"/>
        <w:widowControl w:val="0"/>
        <w:kinsoku/>
        <w:wordWrap/>
        <w:overflowPunct/>
        <w:topLinePunct w:val="0"/>
        <w:autoSpaceDE/>
        <w:autoSpaceDN/>
        <w:bidi w:val="0"/>
        <w:adjustRightInd/>
        <w:snapToGrid/>
        <w:spacing w:line="520" w:lineRule="exact"/>
        <w:ind w:left="0" w:leftChars="0" w:firstLine="560" w:firstLineChars="200"/>
        <w:textAlignment w:val="auto"/>
        <w:outlineLvl w:val="1"/>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一、项目基本情况</w:t>
      </w:r>
    </w:p>
    <w:p w14:paraId="70160483">
      <w:pPr>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default" w:ascii="仿宋" w:hAnsi="仿宋" w:eastAsia="仿宋" w:cs="仿宋"/>
          <w:color w:val="auto"/>
          <w:sz w:val="28"/>
          <w:szCs w:val="28"/>
          <w:highlight w:val="none"/>
          <w:shd w:val="clear" w:fill="auto"/>
          <w:lang w:val="en-US" w:eastAsia="zh-CN"/>
        </w:rPr>
      </w:pPr>
      <w:r>
        <w:rPr>
          <w:rFonts w:hint="eastAsia" w:ascii="仿宋" w:hAnsi="仿宋" w:eastAsia="仿宋" w:cs="仿宋"/>
          <w:color w:val="auto"/>
          <w:sz w:val="28"/>
          <w:szCs w:val="28"/>
          <w:highlight w:val="none"/>
          <w:shd w:val="clear" w:fill="auto"/>
        </w:rPr>
        <w:t>项目编号：czsjqt202508-002</w:t>
      </w:r>
    </w:p>
    <w:p w14:paraId="6595B564">
      <w:pPr>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shd w:val="clear" w:fill="auto"/>
          <w:lang w:eastAsia="zh-CN"/>
        </w:rPr>
      </w:pPr>
      <w:r>
        <w:rPr>
          <w:rFonts w:hint="eastAsia" w:ascii="仿宋" w:hAnsi="仿宋" w:eastAsia="仿宋" w:cs="仿宋"/>
          <w:color w:val="auto"/>
          <w:sz w:val="28"/>
          <w:szCs w:val="28"/>
          <w:highlight w:val="none"/>
          <w:shd w:val="clear" w:fill="auto"/>
        </w:rPr>
        <w:t>项目名称：</w:t>
      </w:r>
      <w:r>
        <w:rPr>
          <w:rFonts w:hint="eastAsia" w:ascii="仿宋" w:hAnsi="仿宋" w:eastAsia="仿宋" w:cs="仿宋"/>
          <w:color w:val="auto"/>
          <w:sz w:val="28"/>
          <w:szCs w:val="28"/>
          <w:highlight w:val="none"/>
          <w:shd w:val="clear" w:fill="auto"/>
          <w:lang w:val="en-US" w:eastAsia="zh-CN"/>
        </w:rPr>
        <w:t>滁州经开区市政道路排水管网更新改造项目工程量清单及最高投标限价编制服务项目</w:t>
      </w:r>
      <w:r>
        <w:rPr>
          <w:rFonts w:hint="eastAsia" w:ascii="仿宋" w:hAnsi="仿宋" w:eastAsia="仿宋" w:cs="仿宋"/>
          <w:color w:val="auto"/>
          <w:sz w:val="28"/>
          <w:szCs w:val="28"/>
          <w:highlight w:val="none"/>
          <w:shd w:val="clear" w:fill="auto"/>
          <w:lang w:eastAsia="zh-CN"/>
        </w:rPr>
        <w:t xml:space="preserve"> </w:t>
      </w:r>
    </w:p>
    <w:p w14:paraId="6D0144D5">
      <w:pPr>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default" w:ascii="仿宋" w:hAnsi="仿宋" w:eastAsia="仿宋" w:cs="仿宋"/>
          <w:color w:val="auto"/>
          <w:sz w:val="28"/>
          <w:szCs w:val="28"/>
          <w:highlight w:val="none"/>
          <w:shd w:val="clear" w:fill="auto"/>
          <w:lang w:val="en-US" w:eastAsia="zh-CN"/>
        </w:rPr>
      </w:pPr>
      <w:r>
        <w:rPr>
          <w:rFonts w:hint="eastAsia" w:ascii="仿宋" w:hAnsi="仿宋" w:eastAsia="仿宋" w:cs="仿宋"/>
          <w:color w:val="auto"/>
          <w:sz w:val="28"/>
          <w:szCs w:val="28"/>
          <w:highlight w:val="none"/>
          <w:shd w:val="clear" w:fill="auto"/>
          <w:lang w:eastAsia="zh-CN"/>
        </w:rPr>
        <w:t>预算金额：</w:t>
      </w:r>
      <w:r>
        <w:rPr>
          <w:rFonts w:hint="eastAsia" w:ascii="仿宋" w:hAnsi="仿宋" w:eastAsia="仿宋" w:cs="仿宋"/>
          <w:color w:val="auto"/>
          <w:sz w:val="28"/>
          <w:szCs w:val="28"/>
          <w:highlight w:val="none"/>
          <w:shd w:val="clear" w:fill="auto"/>
          <w:lang w:val="en-US" w:eastAsia="zh-CN"/>
        </w:rPr>
        <w:t>520900元</w:t>
      </w:r>
    </w:p>
    <w:p w14:paraId="32133F84">
      <w:pPr>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default" w:ascii="仿宋_GB2312" w:hAnsi="仿宋_GB2312" w:eastAsia="宋体" w:cs="仿宋_GB2312"/>
          <w:color w:val="auto"/>
          <w:sz w:val="28"/>
          <w:szCs w:val="28"/>
          <w:highlight w:val="none"/>
          <w:u w:val="none"/>
          <w:lang w:val="en-US" w:eastAsia="zh-CN"/>
        </w:rPr>
      </w:pPr>
      <w:r>
        <w:rPr>
          <w:rFonts w:hint="eastAsia" w:ascii="仿宋" w:hAnsi="仿宋" w:eastAsia="仿宋" w:cs="仿宋"/>
          <w:color w:val="auto"/>
          <w:sz w:val="28"/>
          <w:szCs w:val="28"/>
          <w:highlight w:val="none"/>
          <w:shd w:val="clear" w:fill="auto"/>
          <w:lang w:eastAsia="zh-CN"/>
        </w:rPr>
        <w:t>最高限价</w:t>
      </w:r>
      <w:r>
        <w:rPr>
          <w:rFonts w:hint="eastAsia" w:ascii="仿宋" w:hAnsi="仿宋" w:eastAsia="仿宋" w:cs="仿宋"/>
          <w:color w:val="auto"/>
          <w:sz w:val="28"/>
          <w:szCs w:val="28"/>
          <w:highlight w:val="none"/>
          <w:shd w:val="clear" w:fill="auto"/>
          <w:lang w:val="en-US" w:eastAsia="zh-CN"/>
        </w:rPr>
        <w:t>：1.16‰</w:t>
      </w:r>
    </w:p>
    <w:p w14:paraId="40AE9B1A">
      <w:pPr>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default" w:ascii="仿宋" w:hAnsi="仿宋" w:eastAsia="仿宋" w:cs="仿宋"/>
          <w:color w:val="auto"/>
          <w:sz w:val="28"/>
          <w:szCs w:val="28"/>
          <w:highlight w:val="none"/>
          <w:shd w:val="clear" w:fill="auto"/>
          <w:lang w:val="en-US" w:eastAsia="zh-CN"/>
        </w:rPr>
      </w:pPr>
      <w:r>
        <w:rPr>
          <w:rFonts w:hint="eastAsia" w:ascii="仿宋" w:hAnsi="仿宋" w:eastAsia="仿宋" w:cs="仿宋"/>
          <w:color w:val="auto"/>
          <w:sz w:val="28"/>
          <w:szCs w:val="28"/>
          <w:highlight w:val="none"/>
          <w:shd w:val="clear" w:fill="auto"/>
          <w:lang w:eastAsia="zh-CN"/>
        </w:rPr>
        <w:t>采购需求：</w:t>
      </w:r>
      <w:r>
        <w:rPr>
          <w:rFonts w:hint="eastAsia" w:ascii="仿宋" w:hAnsi="仿宋" w:eastAsia="仿宋" w:cs="仿宋"/>
          <w:color w:val="auto"/>
          <w:sz w:val="28"/>
          <w:szCs w:val="28"/>
          <w:highlight w:val="none"/>
          <w:shd w:val="clear" w:fill="auto"/>
          <w:lang w:val="en-US" w:eastAsia="zh-CN"/>
        </w:rPr>
        <w:t>工程量清单及最高投标限价编制服务</w:t>
      </w:r>
      <w:r>
        <w:rPr>
          <w:rFonts w:hint="eastAsia" w:ascii="仿宋" w:hAnsi="仿宋" w:eastAsia="仿宋" w:cs="仿宋"/>
          <w:color w:val="auto"/>
          <w:sz w:val="28"/>
          <w:szCs w:val="28"/>
          <w:highlight w:val="none"/>
          <w:shd w:val="clear" w:fill="auto"/>
          <w:lang w:eastAsia="zh-CN"/>
        </w:rPr>
        <w:t>，</w:t>
      </w:r>
      <w:r>
        <w:rPr>
          <w:rFonts w:hint="eastAsia" w:ascii="仿宋" w:hAnsi="仿宋" w:eastAsia="仿宋" w:cs="仿宋"/>
          <w:color w:val="auto"/>
          <w:sz w:val="28"/>
          <w:szCs w:val="28"/>
          <w:highlight w:val="none"/>
          <w:shd w:val="clear" w:fill="auto"/>
          <w:lang w:val="en-US" w:eastAsia="zh-CN"/>
        </w:rPr>
        <w:t>项目范围为</w:t>
      </w:r>
      <w:r>
        <w:rPr>
          <w:rFonts w:hint="eastAsia" w:ascii="仿宋" w:hAnsi="仿宋" w:eastAsia="仿宋" w:cs="仿宋"/>
          <w:color w:val="auto"/>
          <w:sz w:val="28"/>
          <w:szCs w:val="28"/>
          <w:highlight w:val="none"/>
          <w:shd w:val="clear" w:fill="auto"/>
          <w:lang w:eastAsia="zh-CN"/>
        </w:rPr>
        <w:t>经开区范围内市政道路雨污水管网更新改造，涉及排水管网里程约700公里，包括：管网清淤疏通，</w:t>
      </w:r>
      <w:r>
        <w:rPr>
          <w:rFonts w:hint="eastAsia" w:ascii="仿宋" w:hAnsi="仿宋" w:eastAsia="仿宋" w:cs="仿宋"/>
          <w:color w:val="auto"/>
          <w:sz w:val="28"/>
          <w:szCs w:val="28"/>
          <w:highlight w:val="none"/>
          <w:shd w:val="clear" w:fill="auto"/>
          <w:lang w:val="en-US" w:eastAsia="zh-CN"/>
        </w:rPr>
        <w:t>排水泵站，</w:t>
      </w:r>
      <w:r>
        <w:rPr>
          <w:rFonts w:hint="eastAsia" w:ascii="仿宋" w:hAnsi="仿宋" w:eastAsia="仿宋" w:cs="仿宋"/>
          <w:color w:val="auto"/>
          <w:sz w:val="28"/>
          <w:szCs w:val="28"/>
          <w:highlight w:val="none"/>
          <w:shd w:val="clear" w:fill="auto"/>
          <w:lang w:eastAsia="zh-CN"/>
        </w:rPr>
        <w:t>病害情况复核，新建及修复管网，混接改造，配套检查井、雨水篦等。</w:t>
      </w:r>
    </w:p>
    <w:p w14:paraId="08AA7F8D">
      <w:pPr>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default" w:ascii="仿宋" w:hAnsi="仿宋" w:eastAsia="仿宋" w:cs="仿宋"/>
          <w:color w:val="auto"/>
          <w:sz w:val="28"/>
          <w:szCs w:val="28"/>
          <w:highlight w:val="none"/>
          <w:shd w:val="clear" w:fill="auto"/>
          <w:lang w:val="en-US" w:eastAsia="zh-CN"/>
        </w:rPr>
      </w:pPr>
      <w:r>
        <w:rPr>
          <w:rFonts w:hint="eastAsia" w:ascii="仿宋" w:hAnsi="仿宋" w:eastAsia="仿宋" w:cs="仿宋"/>
          <w:color w:val="auto"/>
          <w:sz w:val="28"/>
          <w:szCs w:val="28"/>
          <w:highlight w:val="none"/>
          <w:shd w:val="clear" w:fill="auto"/>
          <w:lang w:eastAsia="zh-CN"/>
        </w:rPr>
        <w:t>合同履行期限：</w:t>
      </w:r>
      <w:r>
        <w:rPr>
          <w:rFonts w:hint="eastAsia" w:ascii="仿宋" w:hAnsi="仿宋" w:eastAsia="仿宋" w:cs="仿宋"/>
          <w:color w:val="auto"/>
          <w:sz w:val="28"/>
          <w:szCs w:val="28"/>
          <w:highlight w:val="none"/>
          <w:shd w:val="clear" w:fill="auto"/>
          <w:lang w:val="en-US" w:eastAsia="zh-CN"/>
        </w:rPr>
        <w:t>招标人提供分阶段施工图纸后7个日历天内，中标人向招标人提交造价成果。（根据市造价主管部门相关规定完成工作，并向招标人提交最高限价备案表，如有）</w:t>
      </w:r>
    </w:p>
    <w:p w14:paraId="6D1B5C1F">
      <w:pPr>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shd w:val="clear" w:fill="auto"/>
          <w:lang w:val="en-US" w:eastAsia="zh-CN"/>
        </w:rPr>
      </w:pPr>
      <w:r>
        <w:rPr>
          <w:rFonts w:hint="eastAsia" w:ascii="仿宋" w:hAnsi="仿宋" w:eastAsia="仿宋" w:cs="仿宋"/>
          <w:color w:val="auto"/>
          <w:sz w:val="28"/>
          <w:szCs w:val="28"/>
          <w:highlight w:val="none"/>
          <w:shd w:val="clear" w:fill="auto"/>
        </w:rPr>
        <w:t>本项目不接受联合体投标。</w:t>
      </w:r>
    </w:p>
    <w:p w14:paraId="2E0308F9">
      <w:pPr>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二、申请人的资格要求</w:t>
      </w:r>
    </w:p>
    <w:p w14:paraId="2041697E">
      <w:pPr>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Times New Roman"/>
          <w:color w:val="auto"/>
          <w:sz w:val="28"/>
          <w:szCs w:val="28"/>
          <w:highlight w:val="none"/>
          <w:lang w:val="en-US" w:eastAsia="zh-CN"/>
        </w:rPr>
      </w:pPr>
      <w:bookmarkStart w:id="17" w:name="_Toc28359081"/>
      <w:bookmarkStart w:id="18" w:name="_Toc35393623"/>
      <w:bookmarkStart w:id="19" w:name="_Toc28359004"/>
      <w:bookmarkStart w:id="20" w:name="_Toc35393792"/>
      <w:r>
        <w:rPr>
          <w:rFonts w:hint="eastAsia" w:ascii="仿宋" w:hAnsi="仿宋" w:eastAsia="仿宋" w:cs="Times New Roman"/>
          <w:color w:val="auto"/>
          <w:sz w:val="28"/>
          <w:szCs w:val="28"/>
          <w:highlight w:val="none"/>
        </w:rPr>
        <w:t>1.投标人须具有独立承担民事责任能力，并具有有效的营业执照。</w:t>
      </w:r>
    </w:p>
    <w:p w14:paraId="0BFFEB82">
      <w:pPr>
        <w:pageBreakBefore w:val="0"/>
        <w:widowControl w:val="0"/>
        <w:kinsoku/>
        <w:wordWrap/>
        <w:overflowPunct/>
        <w:topLinePunct w:val="0"/>
        <w:autoSpaceDE/>
        <w:autoSpaceDN/>
        <w:bidi w:val="0"/>
        <w:adjustRightInd/>
        <w:snapToGrid/>
        <w:spacing w:line="520" w:lineRule="exact"/>
        <w:ind w:left="0" w:leftChars="0" w:firstLine="560" w:firstLineChars="200"/>
        <w:textAlignment w:val="auto"/>
        <w:outlineLvl w:val="2"/>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2.项目负责人同时具有工程类高级或以上职称证书和中华人民共和国住房和城乡建设部颁发的注册在投标单位的土木建筑工程专业一级造价工程师注册证书（或原注册造价工程师）。</w:t>
      </w:r>
    </w:p>
    <w:p w14:paraId="394201D2">
      <w:pPr>
        <w:pageBreakBefore w:val="0"/>
        <w:widowControl w:val="0"/>
        <w:kinsoku/>
        <w:wordWrap/>
        <w:overflowPunct/>
        <w:topLinePunct w:val="0"/>
        <w:autoSpaceDE/>
        <w:autoSpaceDN/>
        <w:bidi w:val="0"/>
        <w:adjustRightInd/>
        <w:snapToGrid/>
        <w:spacing w:line="520" w:lineRule="exact"/>
        <w:ind w:left="0" w:leftChars="0" w:firstLine="560" w:firstLineChars="200"/>
        <w:textAlignment w:val="auto"/>
        <w:outlineLvl w:val="2"/>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lang w:val="en-US" w:eastAsia="zh-CN"/>
        </w:rPr>
        <w:t>3</w:t>
      </w:r>
      <w:r>
        <w:rPr>
          <w:rFonts w:hint="eastAsia" w:ascii="仿宋" w:hAnsi="仿宋" w:eastAsia="仿宋" w:cs="Times New Roman"/>
          <w:color w:val="auto"/>
          <w:sz w:val="28"/>
          <w:szCs w:val="28"/>
          <w:highlight w:val="none"/>
        </w:rPr>
        <w:t>.信誉要求：投标人存在以下情形之一的，不得被确定为中标人</w:t>
      </w:r>
      <w:r>
        <w:rPr>
          <w:rFonts w:hint="eastAsia" w:ascii="仿宋" w:hAnsi="仿宋" w:eastAsia="仿宋" w:cs="Times New Roman"/>
          <w:color w:val="auto"/>
          <w:sz w:val="28"/>
          <w:szCs w:val="28"/>
          <w:highlight w:val="none"/>
          <w:lang w:eastAsia="zh-CN"/>
        </w:rPr>
        <w:t>。</w:t>
      </w:r>
    </w:p>
    <w:p w14:paraId="497610C0">
      <w:pPr>
        <w:pageBreakBefore w:val="0"/>
        <w:widowControl w:val="0"/>
        <w:kinsoku/>
        <w:wordWrap/>
        <w:overflowPunct/>
        <w:topLinePunct w:val="0"/>
        <w:autoSpaceDE/>
        <w:autoSpaceDN/>
        <w:bidi w:val="0"/>
        <w:adjustRightInd/>
        <w:snapToGrid/>
        <w:spacing w:line="520" w:lineRule="exact"/>
        <w:ind w:left="0" w:leftChars="0" w:firstLine="560" w:firstLineChars="200"/>
        <w:textAlignment w:val="auto"/>
        <w:outlineLvl w:val="3"/>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①被列入“信用中国”网站“失信被执行人”的;</w:t>
      </w:r>
    </w:p>
    <w:p w14:paraId="2BCAA537">
      <w:pPr>
        <w:pageBreakBefore w:val="0"/>
        <w:widowControl w:val="0"/>
        <w:kinsoku/>
        <w:wordWrap/>
        <w:overflowPunct/>
        <w:topLinePunct w:val="0"/>
        <w:autoSpaceDE/>
        <w:autoSpaceDN/>
        <w:bidi w:val="0"/>
        <w:adjustRightInd/>
        <w:snapToGrid/>
        <w:spacing w:line="520" w:lineRule="exact"/>
        <w:ind w:left="0" w:leftChars="0" w:firstLine="560" w:firstLineChars="200"/>
        <w:textAlignment w:val="auto"/>
        <w:outlineLvl w:val="3"/>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②被列入“信用中国”网站“重大税收违法失信主体”的；</w:t>
      </w:r>
    </w:p>
    <w:p w14:paraId="0C8BEE6E">
      <w:pPr>
        <w:pageBreakBefore w:val="0"/>
        <w:widowControl w:val="0"/>
        <w:kinsoku/>
        <w:wordWrap/>
        <w:overflowPunct/>
        <w:topLinePunct w:val="0"/>
        <w:autoSpaceDE/>
        <w:autoSpaceDN/>
        <w:bidi w:val="0"/>
        <w:adjustRightInd/>
        <w:snapToGrid/>
        <w:spacing w:line="520" w:lineRule="exact"/>
        <w:ind w:left="0" w:leftChars="0" w:firstLine="560" w:firstLineChars="200"/>
        <w:textAlignment w:val="auto"/>
        <w:outlineLvl w:val="3"/>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③被列入“信用中国”网站“拖欠农民工工资失信联合惩戒对象名单”的；</w:t>
      </w:r>
    </w:p>
    <w:p w14:paraId="08846DF6">
      <w:pPr>
        <w:pageBreakBefore w:val="0"/>
        <w:widowControl w:val="0"/>
        <w:kinsoku/>
        <w:wordWrap/>
        <w:overflowPunct/>
        <w:topLinePunct w:val="0"/>
        <w:autoSpaceDE/>
        <w:autoSpaceDN/>
        <w:bidi w:val="0"/>
        <w:adjustRightInd/>
        <w:snapToGrid/>
        <w:spacing w:line="520" w:lineRule="exact"/>
        <w:ind w:left="0" w:leftChars="0" w:firstLine="560" w:firstLineChars="200"/>
        <w:textAlignment w:val="auto"/>
        <w:outlineLvl w:val="3"/>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④被列入“信用中国”网站 “严重失信主体名单”的；</w:t>
      </w:r>
    </w:p>
    <w:p w14:paraId="651FAADA">
      <w:pPr>
        <w:pageBreakBefore w:val="0"/>
        <w:widowControl w:val="0"/>
        <w:kinsoku/>
        <w:wordWrap/>
        <w:overflowPunct/>
        <w:topLinePunct w:val="0"/>
        <w:autoSpaceDE/>
        <w:autoSpaceDN/>
        <w:bidi w:val="0"/>
        <w:adjustRightInd/>
        <w:snapToGrid/>
        <w:spacing w:line="520" w:lineRule="exact"/>
        <w:ind w:left="0" w:leftChars="0" w:firstLine="560" w:firstLineChars="200"/>
        <w:textAlignment w:val="auto"/>
        <w:outlineLvl w:val="3"/>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⑤在“信用中国”网站上披露的仍在公示期的严重失信行为(具体行为类别及判定依据见附件2)的。</w:t>
      </w:r>
    </w:p>
    <w:p w14:paraId="7B86F60D">
      <w:pPr>
        <w:pageBreakBefore w:val="0"/>
        <w:widowControl w:val="0"/>
        <w:kinsoku/>
        <w:wordWrap/>
        <w:overflowPunct/>
        <w:topLinePunct w:val="0"/>
        <w:autoSpaceDE/>
        <w:autoSpaceDN/>
        <w:bidi w:val="0"/>
        <w:adjustRightInd/>
        <w:snapToGrid/>
        <w:spacing w:line="520" w:lineRule="exact"/>
        <w:ind w:left="0" w:leftChars="0" w:firstLine="560" w:firstLineChars="200"/>
        <w:textAlignment w:val="auto"/>
        <w:outlineLvl w:val="3"/>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⑥被列入国家企业信用信息公示系统网站“经营异常名录”或者“严重违法失信名单”的。</w:t>
      </w:r>
    </w:p>
    <w:p w14:paraId="3D46CDEF">
      <w:pPr>
        <w:pageBreakBefore w:val="0"/>
        <w:widowControl w:val="0"/>
        <w:kinsoku/>
        <w:wordWrap/>
        <w:overflowPunct/>
        <w:topLinePunct w:val="0"/>
        <w:autoSpaceDE/>
        <w:autoSpaceDN/>
        <w:bidi w:val="0"/>
        <w:adjustRightInd/>
        <w:snapToGrid/>
        <w:spacing w:line="520" w:lineRule="exact"/>
        <w:ind w:left="0" w:leftChars="0" w:firstLine="560" w:firstLineChars="200"/>
        <w:textAlignment w:val="auto"/>
        <w:outlineLvl w:val="3"/>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⑦前三年有行贿犯罪行为的单位和个人；</w:t>
      </w:r>
    </w:p>
    <w:p w14:paraId="5E206783">
      <w:pPr>
        <w:pageBreakBefore w:val="0"/>
        <w:widowControl w:val="0"/>
        <w:kinsoku/>
        <w:wordWrap/>
        <w:overflowPunct/>
        <w:topLinePunct w:val="0"/>
        <w:autoSpaceDE/>
        <w:autoSpaceDN/>
        <w:bidi w:val="0"/>
        <w:adjustRightInd/>
        <w:snapToGrid/>
        <w:spacing w:line="520" w:lineRule="exact"/>
        <w:ind w:left="0" w:leftChars="0" w:firstLine="560" w:firstLineChars="200"/>
        <w:textAlignment w:val="auto"/>
        <w:outlineLvl w:val="3"/>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⑧被滁州市县两级公管部门及各行业主管部门取消在一定期限内的投标资格且在取消期限内的；</w:t>
      </w:r>
    </w:p>
    <w:p w14:paraId="43B7A21C">
      <w:pPr>
        <w:pageBreakBefore w:val="0"/>
        <w:widowControl w:val="0"/>
        <w:kinsoku/>
        <w:wordWrap/>
        <w:overflowPunct/>
        <w:topLinePunct w:val="0"/>
        <w:autoSpaceDE/>
        <w:autoSpaceDN/>
        <w:bidi w:val="0"/>
        <w:adjustRightInd/>
        <w:snapToGrid/>
        <w:spacing w:line="520" w:lineRule="exact"/>
        <w:ind w:left="0" w:leftChars="0" w:firstLine="560" w:firstLineChars="200"/>
        <w:textAlignment w:val="auto"/>
        <w:outlineLvl w:val="3"/>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⑨因拖欠农民工工资被县级及以上有关行政主管部门限制投标资格且在限制期限内的；</w:t>
      </w:r>
    </w:p>
    <w:p w14:paraId="2279F9FA">
      <w:pPr>
        <w:pageBreakBefore w:val="0"/>
        <w:widowControl w:val="0"/>
        <w:kinsoku/>
        <w:wordWrap/>
        <w:overflowPunct/>
        <w:topLinePunct w:val="0"/>
        <w:autoSpaceDE/>
        <w:autoSpaceDN/>
        <w:bidi w:val="0"/>
        <w:adjustRightInd/>
        <w:snapToGrid/>
        <w:spacing w:line="520" w:lineRule="exact"/>
        <w:ind w:left="0" w:leftChars="0" w:firstLine="560" w:firstLineChars="200"/>
        <w:textAlignment w:val="auto"/>
        <w:outlineLvl w:val="3"/>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6229DA3F">
      <w:pPr>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lang w:val="en-US" w:eastAsia="zh-CN"/>
        </w:rPr>
        <w:t>4</w:t>
      </w:r>
      <w:r>
        <w:rPr>
          <w:rFonts w:hint="eastAsia" w:ascii="仿宋" w:hAnsi="仿宋" w:eastAsia="仿宋" w:cs="Times New Roman"/>
          <w:color w:val="auto"/>
          <w:sz w:val="28"/>
          <w:szCs w:val="28"/>
          <w:highlight w:val="none"/>
        </w:rPr>
        <w:t>.投标人所属分公司、办事处等分支机构存在第</w:t>
      </w:r>
      <w:r>
        <w:rPr>
          <w:rFonts w:hint="eastAsia" w:ascii="仿宋" w:hAnsi="仿宋" w:eastAsia="仿宋" w:cs="Times New Roman"/>
          <w:color w:val="auto"/>
          <w:sz w:val="28"/>
          <w:szCs w:val="28"/>
          <w:highlight w:val="none"/>
          <w:lang w:val="en-US" w:eastAsia="zh-CN"/>
        </w:rPr>
        <w:t>3</w:t>
      </w:r>
      <w:r>
        <w:rPr>
          <w:rFonts w:hint="eastAsia" w:ascii="仿宋" w:hAnsi="仿宋" w:eastAsia="仿宋" w:cs="Times New Roman"/>
          <w:color w:val="auto"/>
          <w:sz w:val="28"/>
          <w:szCs w:val="28"/>
          <w:highlight w:val="none"/>
        </w:rPr>
        <w:t>款信誉要求①-</w:t>
      </w:r>
      <w:r>
        <w:rPr>
          <w:rFonts w:hint="eastAsia" w:ascii="仿宋" w:hAnsi="仿宋" w:eastAsia="仿宋" w:cs="Times New Roman"/>
          <w:color w:val="auto"/>
          <w:sz w:val="28"/>
          <w:szCs w:val="28"/>
          <w:highlight w:val="none"/>
          <w:lang w:val="en-US" w:eastAsia="zh-CN"/>
        </w:rPr>
        <w:t>⑩</w:t>
      </w:r>
      <w:r>
        <w:rPr>
          <w:rFonts w:hint="eastAsia" w:ascii="仿宋" w:hAnsi="仿宋" w:eastAsia="仿宋" w:cs="Times New Roman"/>
          <w:color w:val="auto"/>
          <w:sz w:val="28"/>
          <w:szCs w:val="28"/>
          <w:highlight w:val="none"/>
        </w:rPr>
        <w:t>项情形之一的，接受</w:t>
      </w:r>
      <w:r>
        <w:rPr>
          <w:rFonts w:hint="eastAsia" w:ascii="仿宋" w:hAnsi="仿宋" w:eastAsia="仿宋" w:cs="Times New Roman"/>
          <w:color w:val="auto"/>
          <w:sz w:val="28"/>
          <w:szCs w:val="28"/>
          <w:highlight w:val="none"/>
          <w:lang w:val="en-US" w:eastAsia="zh-CN"/>
        </w:rPr>
        <w:t>其被确定为中标人</w:t>
      </w:r>
      <w:r>
        <w:rPr>
          <w:rFonts w:hint="eastAsia" w:ascii="仿宋" w:hAnsi="仿宋" w:eastAsia="仿宋" w:cs="Times New Roman"/>
          <w:color w:val="auto"/>
          <w:sz w:val="28"/>
          <w:szCs w:val="28"/>
          <w:highlight w:val="none"/>
        </w:rPr>
        <w:t>。</w:t>
      </w:r>
    </w:p>
    <w:p w14:paraId="5376F58B">
      <w:pPr>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备注：第</w:t>
      </w:r>
      <w:r>
        <w:rPr>
          <w:rFonts w:hint="eastAsia" w:ascii="仿宋" w:hAnsi="仿宋" w:eastAsia="仿宋" w:cs="Times New Roman"/>
          <w:color w:val="auto"/>
          <w:sz w:val="28"/>
          <w:szCs w:val="28"/>
          <w:highlight w:val="none"/>
          <w:lang w:val="en-US" w:eastAsia="zh-CN"/>
        </w:rPr>
        <w:t>3、4</w:t>
      </w:r>
      <w:r>
        <w:rPr>
          <w:rFonts w:hint="eastAsia" w:ascii="仿宋" w:hAnsi="仿宋" w:eastAsia="仿宋" w:cs="Times New Roman"/>
          <w:color w:val="auto"/>
          <w:sz w:val="28"/>
          <w:szCs w:val="28"/>
          <w:highlight w:val="none"/>
        </w:rPr>
        <w:t>条按照</w:t>
      </w:r>
      <w:r>
        <w:rPr>
          <w:rFonts w:hint="eastAsia" w:ascii="仿宋" w:hAnsi="仿宋" w:eastAsia="仿宋" w:cs="Times New Roman"/>
          <w:color w:val="auto"/>
          <w:sz w:val="28"/>
          <w:szCs w:val="28"/>
          <w:highlight w:val="none"/>
          <w:lang w:val="en-US" w:eastAsia="zh-CN"/>
        </w:rPr>
        <w:t>附件1</w:t>
      </w:r>
      <w:r>
        <w:rPr>
          <w:rFonts w:hint="eastAsia" w:ascii="仿宋" w:hAnsi="仿宋" w:eastAsia="仿宋" w:cs="Times New Roman"/>
          <w:color w:val="auto"/>
          <w:sz w:val="28"/>
          <w:szCs w:val="28"/>
          <w:highlight w:val="none"/>
        </w:rPr>
        <w:t>“关于联合惩戒失信行为加强信用查询管理的通知”查询或承诺。</w:t>
      </w:r>
    </w:p>
    <w:p w14:paraId="1B340F29">
      <w:pPr>
        <w:keepNext/>
        <w:keepLines/>
        <w:pageBreakBefore w:val="0"/>
        <w:widowControl w:val="0"/>
        <w:kinsoku/>
        <w:wordWrap/>
        <w:overflowPunct/>
        <w:topLinePunct w:val="0"/>
        <w:autoSpaceDE/>
        <w:autoSpaceDN/>
        <w:bidi w:val="0"/>
        <w:adjustRightInd/>
        <w:snapToGrid/>
        <w:spacing w:line="520" w:lineRule="exact"/>
        <w:ind w:left="0" w:leftChars="0" w:firstLine="560" w:firstLineChars="200"/>
        <w:textAlignment w:val="auto"/>
        <w:outlineLvl w:val="1"/>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三、获取招标文件</w:t>
      </w:r>
      <w:bookmarkEnd w:id="17"/>
      <w:bookmarkEnd w:id="18"/>
      <w:bookmarkEnd w:id="19"/>
      <w:bookmarkEnd w:id="20"/>
    </w:p>
    <w:p w14:paraId="178CB829">
      <w:pPr>
        <w:pageBreakBefore w:val="0"/>
        <w:widowControl w:val="0"/>
        <w:kinsoku/>
        <w:wordWrap/>
        <w:overflowPunct/>
        <w:topLinePunct w:val="0"/>
        <w:autoSpaceDE/>
        <w:autoSpaceDN/>
        <w:bidi w:val="0"/>
        <w:adjustRightInd/>
        <w:snapToGrid/>
        <w:spacing w:line="520" w:lineRule="exact"/>
        <w:ind w:left="0" w:leftChars="0" w:firstLine="540"/>
        <w:textAlignment w:val="auto"/>
        <w:rPr>
          <w:rFonts w:hint="eastAsia" w:ascii="仿宋" w:hAnsi="仿宋" w:eastAsia="仿宋" w:cs="宋体"/>
          <w:iCs/>
          <w:color w:val="auto"/>
          <w:sz w:val="28"/>
          <w:szCs w:val="28"/>
          <w:highlight w:val="none"/>
        </w:rPr>
      </w:pPr>
      <w:r>
        <w:rPr>
          <w:rFonts w:hint="eastAsia" w:ascii="仿宋" w:hAnsi="仿宋" w:eastAsia="仿宋" w:cs="宋体"/>
          <w:color w:val="auto"/>
          <w:sz w:val="28"/>
          <w:szCs w:val="28"/>
          <w:highlight w:val="none"/>
        </w:rPr>
        <w:t>时间：</w:t>
      </w:r>
      <w:r>
        <w:rPr>
          <w:rFonts w:hint="eastAsia" w:ascii="仿宋" w:hAnsi="仿宋" w:eastAsia="仿宋" w:cs="宋体"/>
          <w:color w:val="auto"/>
          <w:sz w:val="28"/>
          <w:szCs w:val="28"/>
          <w:highlight w:val="none"/>
          <w:u w:val="single"/>
          <w:lang w:eastAsia="zh-CN"/>
        </w:rPr>
        <w:t>2025年</w:t>
      </w:r>
      <w:r>
        <w:rPr>
          <w:rFonts w:hint="eastAsia" w:ascii="仿宋" w:hAnsi="仿宋" w:eastAsia="仿宋" w:cs="宋体"/>
          <w:color w:val="auto"/>
          <w:sz w:val="28"/>
          <w:szCs w:val="28"/>
          <w:highlight w:val="none"/>
          <w:u w:val="single"/>
          <w:lang w:val="en-US" w:eastAsia="zh-CN"/>
        </w:rPr>
        <w:t>8</w:t>
      </w:r>
      <w:r>
        <w:rPr>
          <w:rFonts w:hint="eastAsia" w:ascii="仿宋" w:hAnsi="仿宋" w:eastAsia="仿宋" w:cs="宋体"/>
          <w:color w:val="auto"/>
          <w:sz w:val="28"/>
          <w:szCs w:val="28"/>
          <w:highlight w:val="none"/>
          <w:u w:val="single"/>
          <w:lang w:eastAsia="zh-CN"/>
        </w:rPr>
        <w:t>月</w:t>
      </w:r>
      <w:r>
        <w:rPr>
          <w:rFonts w:hint="eastAsia" w:ascii="仿宋" w:hAnsi="仿宋" w:eastAsia="仿宋" w:cs="宋体"/>
          <w:color w:val="auto"/>
          <w:sz w:val="28"/>
          <w:szCs w:val="28"/>
          <w:highlight w:val="none"/>
          <w:u w:val="single"/>
          <w:lang w:val="en-US" w:eastAsia="zh-CN"/>
        </w:rPr>
        <w:t>5</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rPr>
        <w:t>202</w:t>
      </w:r>
      <w:r>
        <w:rPr>
          <w:rFonts w:hint="eastAsia" w:ascii="仿宋" w:hAnsi="仿宋" w:eastAsia="仿宋" w:cs="宋体"/>
          <w:color w:val="auto"/>
          <w:sz w:val="28"/>
          <w:szCs w:val="28"/>
          <w:highlight w:val="none"/>
          <w:u w:val="single"/>
          <w:lang w:val="en-US" w:eastAsia="zh-CN"/>
        </w:rPr>
        <w:t>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8</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26</w:t>
      </w:r>
      <w:r>
        <w:rPr>
          <w:rFonts w:hint="eastAsia" w:ascii="仿宋" w:hAnsi="仿宋" w:eastAsia="仿宋" w:cs="宋体"/>
          <w:color w:val="auto"/>
          <w:sz w:val="28"/>
          <w:szCs w:val="28"/>
          <w:highlight w:val="none"/>
          <w:u w:val="single"/>
        </w:rPr>
        <w:t>日</w:t>
      </w:r>
      <w:r>
        <w:rPr>
          <w:rFonts w:hint="eastAsia" w:ascii="仿宋" w:hAnsi="仿宋" w:eastAsia="仿宋" w:cs="宋体"/>
          <w:iCs/>
          <w:color w:val="auto"/>
          <w:sz w:val="28"/>
          <w:szCs w:val="28"/>
          <w:highlight w:val="none"/>
          <w:u w:val="single"/>
        </w:rPr>
        <w:t>（提供期限自本公告发布之日起不得少于5个工作日）</w:t>
      </w:r>
    </w:p>
    <w:p w14:paraId="7A03F9B4">
      <w:pPr>
        <w:pageBreakBefore w:val="0"/>
        <w:widowControl w:val="0"/>
        <w:kinsoku/>
        <w:wordWrap/>
        <w:overflowPunct/>
        <w:topLinePunct w:val="0"/>
        <w:autoSpaceDE/>
        <w:autoSpaceDN/>
        <w:bidi w:val="0"/>
        <w:adjustRightInd/>
        <w:snapToGrid/>
        <w:spacing w:line="520" w:lineRule="exact"/>
        <w:ind w:left="0" w:leftChars="0" w:firstLine="540"/>
        <w:textAlignment w:val="auto"/>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地点：滁州市公共资源交易中心网</w:t>
      </w:r>
    </w:p>
    <w:p w14:paraId="19B91C2C">
      <w:pPr>
        <w:pageBreakBefore w:val="0"/>
        <w:widowControl w:val="0"/>
        <w:kinsoku/>
        <w:wordWrap/>
        <w:overflowPunct/>
        <w:topLinePunct w:val="0"/>
        <w:autoSpaceDE/>
        <w:autoSpaceDN/>
        <w:bidi w:val="0"/>
        <w:adjustRightInd/>
        <w:snapToGrid/>
        <w:spacing w:line="520" w:lineRule="exact"/>
        <w:ind w:left="0" w:leftChars="0" w:firstLine="540"/>
        <w:textAlignment w:val="auto"/>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方式：网上下载</w:t>
      </w:r>
    </w:p>
    <w:p w14:paraId="236CF922">
      <w:pPr>
        <w:pageBreakBefore w:val="0"/>
        <w:widowControl w:val="0"/>
        <w:kinsoku/>
        <w:wordWrap/>
        <w:overflowPunct/>
        <w:topLinePunct w:val="0"/>
        <w:autoSpaceDE/>
        <w:autoSpaceDN/>
        <w:bidi w:val="0"/>
        <w:adjustRightInd/>
        <w:snapToGrid/>
        <w:spacing w:line="520" w:lineRule="exact"/>
        <w:ind w:left="0" w:leftChars="0" w:firstLine="540"/>
        <w:textAlignment w:val="auto"/>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售价：0元</w:t>
      </w:r>
    </w:p>
    <w:p w14:paraId="76973B1F">
      <w:pPr>
        <w:keepNext/>
        <w:keepLines/>
        <w:pageBreakBefore w:val="0"/>
        <w:widowControl w:val="0"/>
        <w:kinsoku/>
        <w:wordWrap/>
        <w:overflowPunct/>
        <w:topLinePunct w:val="0"/>
        <w:autoSpaceDE/>
        <w:autoSpaceDN/>
        <w:bidi w:val="0"/>
        <w:adjustRightInd/>
        <w:snapToGrid/>
        <w:spacing w:line="520" w:lineRule="exact"/>
        <w:ind w:left="0" w:leftChars="0" w:firstLine="560" w:firstLineChars="200"/>
        <w:textAlignment w:val="auto"/>
        <w:outlineLvl w:val="1"/>
        <w:rPr>
          <w:rFonts w:hint="eastAsia" w:ascii="黑体" w:hAnsi="黑体" w:eastAsia="黑体" w:cs="黑体"/>
          <w:color w:val="auto"/>
          <w:sz w:val="28"/>
          <w:szCs w:val="28"/>
          <w:highlight w:val="none"/>
        </w:rPr>
      </w:pPr>
      <w:bookmarkStart w:id="21" w:name="_Toc28359082"/>
      <w:bookmarkStart w:id="22" w:name="_Toc28359005"/>
      <w:bookmarkStart w:id="23" w:name="_Toc35393793"/>
      <w:bookmarkStart w:id="24" w:name="_Toc35393624"/>
      <w:r>
        <w:rPr>
          <w:rFonts w:hint="eastAsia" w:ascii="黑体" w:hAnsi="黑体" w:eastAsia="黑体" w:cs="黑体"/>
          <w:color w:val="auto"/>
          <w:sz w:val="28"/>
          <w:szCs w:val="28"/>
          <w:highlight w:val="none"/>
        </w:rPr>
        <w:t>四、提交投标文件</w:t>
      </w:r>
      <w:bookmarkEnd w:id="21"/>
      <w:bookmarkEnd w:id="22"/>
      <w:r>
        <w:rPr>
          <w:rFonts w:hint="eastAsia" w:ascii="黑体" w:hAnsi="黑体" w:eastAsia="黑体" w:cs="黑体"/>
          <w:color w:val="auto"/>
          <w:sz w:val="28"/>
          <w:szCs w:val="28"/>
          <w:highlight w:val="none"/>
        </w:rPr>
        <w:t>截止时间、开标时间和地点</w:t>
      </w:r>
      <w:bookmarkEnd w:id="23"/>
      <w:bookmarkEnd w:id="24"/>
    </w:p>
    <w:p w14:paraId="6C4122C4">
      <w:pPr>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ascii="仿宋" w:hAnsi="仿宋" w:eastAsia="仿宋"/>
          <w:bCs/>
          <w:iCs/>
          <w:color w:val="auto"/>
          <w:sz w:val="28"/>
          <w:szCs w:val="28"/>
          <w:highlight w:val="none"/>
        </w:rPr>
      </w:pPr>
      <w:bookmarkStart w:id="25" w:name="_Toc35393794"/>
      <w:bookmarkStart w:id="26" w:name="_Toc28359007"/>
      <w:bookmarkStart w:id="27" w:name="_Toc35393625"/>
      <w:bookmarkStart w:id="28" w:name="_Toc28359084"/>
      <w:r>
        <w:rPr>
          <w:rFonts w:hint="eastAsia" w:ascii="仿宋" w:hAnsi="仿宋" w:eastAsia="仿宋"/>
          <w:bCs/>
          <w:color w:val="auto"/>
          <w:sz w:val="28"/>
          <w:szCs w:val="28"/>
          <w:highlight w:val="none"/>
          <w:u w:val="single"/>
        </w:rPr>
        <w:t>202</w:t>
      </w:r>
      <w:r>
        <w:rPr>
          <w:rFonts w:hint="eastAsia" w:ascii="仿宋" w:hAnsi="仿宋" w:eastAsia="仿宋"/>
          <w:bCs/>
          <w:color w:val="auto"/>
          <w:sz w:val="28"/>
          <w:szCs w:val="28"/>
          <w:highlight w:val="none"/>
          <w:u w:val="single"/>
          <w:lang w:val="en-US" w:eastAsia="zh-CN"/>
        </w:rPr>
        <w:t>5</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8</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26</w:t>
      </w:r>
      <w:r>
        <w:rPr>
          <w:rFonts w:hint="eastAsia" w:ascii="仿宋" w:hAnsi="仿宋" w:eastAsia="仿宋"/>
          <w:bCs/>
          <w:color w:val="auto"/>
          <w:sz w:val="28"/>
          <w:szCs w:val="28"/>
          <w:highlight w:val="none"/>
          <w:u w:val="single"/>
        </w:rPr>
        <w:t>日8点00分</w:t>
      </w:r>
      <w:r>
        <w:rPr>
          <w:rFonts w:hint="eastAsia" w:ascii="仿宋" w:hAnsi="仿宋" w:eastAsia="仿宋"/>
          <w:bCs/>
          <w:color w:val="auto"/>
          <w:sz w:val="28"/>
          <w:szCs w:val="28"/>
          <w:highlight w:val="none"/>
        </w:rPr>
        <w:t>（北京时间）</w:t>
      </w:r>
      <w:r>
        <w:rPr>
          <w:rFonts w:hint="eastAsia" w:ascii="仿宋" w:hAnsi="仿宋" w:eastAsia="仿宋" w:cs="宋体"/>
          <w:iCs/>
          <w:color w:val="auto"/>
          <w:sz w:val="28"/>
          <w:szCs w:val="28"/>
          <w:highlight w:val="none"/>
          <w:u w:val="single"/>
        </w:rPr>
        <w:t>（自招标文件开始发出之日起至投标人提交投标文件截止之日止，不得少于20日）</w:t>
      </w:r>
    </w:p>
    <w:p w14:paraId="7743BB94">
      <w:pPr>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地点：滁州市公共资源交易中心</w:t>
      </w:r>
      <w:r>
        <w:rPr>
          <w:rFonts w:hint="eastAsia" w:ascii="仿宋" w:hAnsi="仿宋" w:eastAsia="仿宋"/>
          <w:color w:val="auto"/>
          <w:sz w:val="28"/>
          <w:szCs w:val="28"/>
          <w:highlight w:val="none"/>
          <w:lang w:val="en-US" w:eastAsia="zh-CN"/>
        </w:rPr>
        <w:t>网</w:t>
      </w:r>
    </w:p>
    <w:p w14:paraId="3F15886E">
      <w:pPr>
        <w:keepNext/>
        <w:keepLines/>
        <w:pageBreakBefore w:val="0"/>
        <w:widowControl w:val="0"/>
        <w:kinsoku/>
        <w:wordWrap/>
        <w:overflowPunct/>
        <w:topLinePunct w:val="0"/>
        <w:autoSpaceDE/>
        <w:autoSpaceDN/>
        <w:bidi w:val="0"/>
        <w:adjustRightInd/>
        <w:snapToGrid/>
        <w:spacing w:line="520" w:lineRule="exact"/>
        <w:ind w:left="0" w:leftChars="0" w:firstLine="560" w:firstLineChars="200"/>
        <w:textAlignment w:val="auto"/>
        <w:outlineLvl w:val="1"/>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五、公告期限</w:t>
      </w:r>
      <w:bookmarkEnd w:id="25"/>
      <w:bookmarkEnd w:id="26"/>
      <w:bookmarkEnd w:id="27"/>
      <w:bookmarkEnd w:id="28"/>
    </w:p>
    <w:p w14:paraId="618D9B8D">
      <w:pPr>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自本公告发布之日起5个工作日。</w:t>
      </w:r>
    </w:p>
    <w:p w14:paraId="62D22C7C">
      <w:pPr>
        <w:keepNext/>
        <w:keepLines/>
        <w:pageBreakBefore w:val="0"/>
        <w:widowControl w:val="0"/>
        <w:kinsoku/>
        <w:wordWrap/>
        <w:overflowPunct/>
        <w:topLinePunct w:val="0"/>
        <w:autoSpaceDE/>
        <w:autoSpaceDN/>
        <w:bidi w:val="0"/>
        <w:adjustRightInd/>
        <w:snapToGrid/>
        <w:spacing w:line="520" w:lineRule="exact"/>
        <w:ind w:left="0" w:leftChars="0" w:firstLine="560" w:firstLineChars="200"/>
        <w:textAlignment w:val="auto"/>
        <w:outlineLvl w:val="1"/>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六、</w:t>
      </w:r>
      <w:r>
        <w:rPr>
          <w:rFonts w:hint="eastAsia" w:ascii="黑体" w:hAnsi="黑体" w:eastAsia="黑体" w:cs="黑体"/>
          <w:color w:val="auto"/>
          <w:sz w:val="28"/>
          <w:szCs w:val="28"/>
          <w:highlight w:val="none"/>
        </w:rPr>
        <w:t>投标保证金金额及缴纳账户</w:t>
      </w:r>
    </w:p>
    <w:p w14:paraId="3A50F10C">
      <w:pPr>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Times New Roman"/>
          <w:color w:val="auto"/>
          <w:sz w:val="28"/>
          <w:szCs w:val="28"/>
          <w:highlight w:val="none"/>
        </w:rPr>
      </w:pPr>
      <w:bookmarkStart w:id="29" w:name="_Toc35393626"/>
      <w:bookmarkStart w:id="30" w:name="_Toc35393795"/>
      <w:r>
        <w:rPr>
          <w:rFonts w:hint="eastAsia" w:ascii="仿宋" w:hAnsi="仿宋" w:eastAsia="仿宋" w:cs="Times New Roman"/>
          <w:color w:val="auto"/>
          <w:sz w:val="28"/>
          <w:szCs w:val="28"/>
          <w:highlight w:val="none"/>
        </w:rPr>
        <w:t>投标保证金的金额：</w:t>
      </w:r>
      <w:r>
        <w:rPr>
          <w:rFonts w:hint="eastAsia" w:ascii="仿宋" w:hAnsi="仿宋" w:eastAsia="仿宋" w:cs="Times New Roman"/>
          <w:color w:val="auto"/>
          <w:sz w:val="28"/>
          <w:szCs w:val="28"/>
          <w:highlight w:val="none"/>
          <w:lang w:val="en-US" w:eastAsia="zh-CN"/>
        </w:rPr>
        <w:t>1</w:t>
      </w:r>
      <w:r>
        <w:rPr>
          <w:rFonts w:hint="eastAsia" w:ascii="仿宋" w:hAnsi="仿宋" w:eastAsia="仿宋" w:cs="Times New Roman"/>
          <w:color w:val="auto"/>
          <w:sz w:val="28"/>
          <w:szCs w:val="28"/>
          <w:highlight w:val="none"/>
        </w:rPr>
        <w:t>万元。不要求投标人提交投标保证金。</w:t>
      </w:r>
    </w:p>
    <w:p w14:paraId="2F37654E">
      <w:pPr>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本项目不缴纳投标保证金条款仅针对在投标过程中未违反本招标文件第二章“投标人须知”中第</w:t>
      </w:r>
      <w:r>
        <w:rPr>
          <w:rFonts w:hint="eastAsia" w:ascii="仿宋" w:hAnsi="仿宋" w:eastAsia="仿宋" w:cs="Times New Roman"/>
          <w:color w:val="auto"/>
          <w:sz w:val="28"/>
          <w:szCs w:val="28"/>
          <w:highlight w:val="none"/>
          <w:lang w:val="en-US" w:eastAsia="zh-CN"/>
        </w:rPr>
        <w:t>3.4.4</w:t>
      </w:r>
      <w:r>
        <w:rPr>
          <w:rFonts w:hint="eastAsia" w:ascii="仿宋" w:hAnsi="仿宋" w:eastAsia="仿宋" w:cs="Times New Roman"/>
          <w:color w:val="auto"/>
          <w:sz w:val="28"/>
          <w:szCs w:val="28"/>
          <w:highlight w:val="none"/>
        </w:rPr>
        <w:t>项约定的投标人。如在投标过程中投标人存在本招标文件第二章“投标人须知”中第</w:t>
      </w:r>
      <w:r>
        <w:rPr>
          <w:rFonts w:hint="eastAsia" w:ascii="仿宋" w:hAnsi="仿宋" w:eastAsia="仿宋" w:cs="Times New Roman"/>
          <w:color w:val="auto"/>
          <w:sz w:val="28"/>
          <w:szCs w:val="28"/>
          <w:highlight w:val="none"/>
          <w:lang w:val="en-US" w:eastAsia="zh-CN"/>
        </w:rPr>
        <w:t>3.4.4</w:t>
      </w:r>
      <w:r>
        <w:rPr>
          <w:rFonts w:hint="eastAsia" w:ascii="仿宋" w:hAnsi="仿宋" w:eastAsia="仿宋" w:cs="Times New Roman"/>
          <w:color w:val="auto"/>
          <w:sz w:val="28"/>
          <w:szCs w:val="28"/>
          <w:highlight w:val="none"/>
        </w:rPr>
        <w:t>项约定情形，则无条件按招标人要求的金额、时间、账号缴纳投标保证金。</w:t>
      </w:r>
    </w:p>
    <w:p w14:paraId="5141C17E">
      <w:pPr>
        <w:pStyle w:val="227"/>
        <w:pageBreakBefore w:val="0"/>
        <w:widowControl w:val="0"/>
        <w:kinsoku/>
        <w:wordWrap/>
        <w:overflowPunct/>
        <w:topLinePunct w:val="0"/>
        <w:autoSpaceDE/>
        <w:autoSpaceDN/>
        <w:bidi w:val="0"/>
        <w:adjustRightInd/>
        <w:snapToGrid/>
        <w:spacing w:line="520" w:lineRule="exact"/>
        <w:ind w:left="0" w:leftChars="0"/>
        <w:textAlignment w:val="auto"/>
        <w:rPr>
          <w:color w:val="auto"/>
          <w:highlight w:val="none"/>
        </w:rPr>
      </w:pPr>
      <w:r>
        <w:rPr>
          <w:color w:val="auto"/>
          <w:highlight w:val="none"/>
        </w:rPr>
        <w:t>窗体顶端</w:t>
      </w:r>
    </w:p>
    <w:p w14:paraId="58BBD191">
      <w:pPr>
        <w:pStyle w:val="228"/>
        <w:pageBreakBefore w:val="0"/>
        <w:widowControl w:val="0"/>
        <w:kinsoku/>
        <w:wordWrap/>
        <w:overflowPunct/>
        <w:topLinePunct w:val="0"/>
        <w:autoSpaceDE/>
        <w:autoSpaceDN/>
        <w:bidi w:val="0"/>
        <w:adjustRightInd/>
        <w:snapToGrid/>
        <w:spacing w:line="520" w:lineRule="exact"/>
        <w:ind w:left="0" w:leftChars="0"/>
        <w:textAlignment w:val="auto"/>
        <w:rPr>
          <w:color w:val="auto"/>
          <w:highlight w:val="none"/>
        </w:rPr>
      </w:pPr>
      <w:r>
        <w:rPr>
          <w:rFonts w:hint="eastAsia" w:ascii="仿宋_GB2312" w:hAnsi="仿宋_GB2312" w:eastAsia="仿宋_GB2312" w:cs="仿宋_GB2312"/>
          <w:color w:val="auto"/>
          <w:sz w:val="28"/>
          <w:szCs w:val="28"/>
          <w:highlight w:val="none"/>
        </w:rPr>
        <w:t>投标保证金的金额：</w:t>
      </w:r>
      <w:r>
        <w:rPr>
          <w:rFonts w:hint="eastAsia" w:ascii="仿宋_GB2312" w:hAnsi="仿宋_GB2312" w:eastAsia="仿宋_GB2312" w:cs="仿宋_GB2312"/>
          <w:color w:val="auto"/>
          <w:sz w:val="28"/>
          <w:szCs w:val="28"/>
          <w:highlight w:val="none"/>
          <w:lang w:eastAsia="zh-CN"/>
        </w:rPr>
        <w:t>1</w:t>
      </w:r>
      <w:r>
        <w:rPr>
          <w:rFonts w:hint="eastAsia" w:ascii="仿宋_GB2312" w:hAnsi="仿宋_GB2312" w:eastAsia="仿宋_GB2312" w:cs="仿宋_GB2312"/>
          <w:color w:val="auto"/>
          <w:sz w:val="28"/>
          <w:szCs w:val="28"/>
          <w:highlight w:val="none"/>
          <w:lang w:val="en-US" w:eastAsia="zh-CN"/>
        </w:rPr>
        <w:t>3.2</w:t>
      </w:r>
      <w:r>
        <w:rPr>
          <w:rFonts w:hint="eastAsia" w:ascii="仿宋_GB2312" w:hAnsi="仿宋_GB2312" w:eastAsia="仿宋_GB2312" w:cs="仿宋_GB2312"/>
          <w:color w:val="auto"/>
          <w:sz w:val="28"/>
          <w:szCs w:val="28"/>
          <w:highlight w:val="none"/>
        </w:rPr>
        <w:t>万元</w:t>
      </w:r>
      <w:r>
        <w:rPr>
          <w:color w:val="auto"/>
          <w:highlight w:val="none"/>
        </w:rPr>
        <w:t>窗体底端</w:t>
      </w:r>
    </w:p>
    <w:p w14:paraId="202AF8FF">
      <w:pPr>
        <w:keepNext/>
        <w:keepLines/>
        <w:pageBreakBefore w:val="0"/>
        <w:widowControl w:val="0"/>
        <w:kinsoku/>
        <w:wordWrap/>
        <w:overflowPunct/>
        <w:topLinePunct w:val="0"/>
        <w:autoSpaceDE/>
        <w:autoSpaceDN/>
        <w:bidi w:val="0"/>
        <w:adjustRightInd/>
        <w:snapToGrid/>
        <w:spacing w:line="520" w:lineRule="exact"/>
        <w:ind w:left="0" w:leftChars="0" w:firstLine="560" w:firstLineChars="200"/>
        <w:textAlignment w:val="auto"/>
        <w:outlineLvl w:val="1"/>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七、其他补充事宜</w:t>
      </w:r>
      <w:bookmarkEnd w:id="29"/>
      <w:bookmarkEnd w:id="30"/>
    </w:p>
    <w:p w14:paraId="26325702">
      <w:pPr>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本项目只接受在安徽省公共资源交易市场主体库（http://ggzy.ah.gov.cn/ahggfwpt-zhutiku/dengludengl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 ；（2）CA数字证书有关问题：安徽CA客服400-880-4959、0550-3019013（工作日）,CFCA客服025-66085508 、0550-3801669（工作日）；（3）</w:t>
      </w:r>
      <w:r>
        <w:rPr>
          <w:rFonts w:hint="eastAsia" w:ascii="仿宋" w:hAnsi="仿宋" w:eastAsia="仿宋" w:cs="仿宋"/>
          <w:color w:val="auto"/>
          <w:sz w:val="28"/>
          <w:szCs w:val="28"/>
          <w:highlight w:val="none"/>
          <w:lang w:val="en-US" w:eastAsia="zh-CN"/>
        </w:rPr>
        <w:t>市场主体招标环节和投标环节系统使用问题：0512-58188516（8:00-21:00）、0550-3801701（工作日）</w:t>
      </w:r>
      <w:r>
        <w:rPr>
          <w:rFonts w:hint="eastAsia" w:ascii="仿宋" w:hAnsi="仿宋" w:eastAsia="仿宋" w:cs="仿宋"/>
          <w:color w:val="auto"/>
          <w:sz w:val="28"/>
          <w:szCs w:val="28"/>
          <w:highlight w:val="none"/>
        </w:rPr>
        <w:t>。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14:paraId="2D8ADFE5">
      <w:pPr>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2.请投标人登录滁州市公共资源交易中心网站查看参加本项目的程序（具体操作步骤和程序请参见服务指南&gt;交易须知&gt;投标人填写投标信息、下载文件及网上提问操作手册）。</w:t>
      </w:r>
    </w:p>
    <w:p w14:paraId="73634353">
      <w:pPr>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本项目采用不见面开标(远程解密)方式，开标时投标人无须至开标现场进行解密，开标采取远程解密方式解密投标文件，投标人远程解密方式：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解密时间要求为：从本项目解密程序开始时计时，至完成投标文件解密时间，不得超过60分钟，否则投标文件将被拒绝。</w:t>
      </w:r>
    </w:p>
    <w:p w14:paraId="18371F8B">
      <w:pPr>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4.投标文件格式、内容和制作要求以招标文件为准，投标文件制作工具中提供的相关格式及内容仅供参考，投标企业可根据招标文件要求自行调整。</w:t>
      </w:r>
    </w:p>
    <w:p w14:paraId="20F7A4B3">
      <w:pPr>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投标人提出异议的截止时间及方式：如投标人对招标文件有异议，请于2025年8月16日08时（投标截止10日）前在滁州市公共资源交易中心网电子交易系统中进行异议，具体操作步骤和程序请参见服务指南&gt;交易须知&gt;在线异议、质疑和投诉操作手册。</w:t>
      </w:r>
    </w:p>
    <w:p w14:paraId="54A0CDAA">
      <w:pPr>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6.受理异议的联系人及联系方式：李工0550-3219389、杨韦0550-3519590。</w:t>
      </w:r>
    </w:p>
    <w:p w14:paraId="5AE02ACE">
      <w:pPr>
        <w:keepNext/>
        <w:keepLines/>
        <w:pageBreakBefore w:val="0"/>
        <w:widowControl w:val="0"/>
        <w:kinsoku/>
        <w:wordWrap/>
        <w:overflowPunct/>
        <w:topLinePunct w:val="0"/>
        <w:autoSpaceDE/>
        <w:autoSpaceDN/>
        <w:bidi w:val="0"/>
        <w:adjustRightInd/>
        <w:snapToGrid/>
        <w:spacing w:line="520" w:lineRule="exact"/>
        <w:ind w:left="0" w:leftChars="0" w:firstLine="560" w:firstLineChars="200"/>
        <w:textAlignment w:val="auto"/>
        <w:outlineLvl w:val="1"/>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八、对本次招标提出询问，请按以下方式联系</w:t>
      </w:r>
    </w:p>
    <w:p w14:paraId="70E1EAB1">
      <w:pPr>
        <w:pStyle w:val="7"/>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left"/>
        <w:textAlignment w:val="auto"/>
        <w:outlineLvl w:val="2"/>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1.招标人信息</w:t>
      </w:r>
    </w:p>
    <w:p w14:paraId="2D47260D">
      <w:pPr>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u w:val="single"/>
        </w:rPr>
        <w:t>滁州华城建设开发有限公司</w:t>
      </w:r>
    </w:p>
    <w:p w14:paraId="05662936">
      <w:pPr>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u w:val="single"/>
        </w:rPr>
        <w:t>滁州市全椒路155号</w:t>
      </w:r>
    </w:p>
    <w:p w14:paraId="68C1C5C9">
      <w:pPr>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default" w:ascii="仿宋" w:hAnsi="仿宋" w:eastAsia="仿宋" w:cs="仿宋"/>
          <w:color w:val="auto"/>
          <w:sz w:val="28"/>
          <w:szCs w:val="28"/>
          <w:highlight w:val="none"/>
          <w:u w:val="none"/>
          <w:lang w:val="en-US"/>
        </w:rPr>
      </w:pPr>
      <w:r>
        <w:rPr>
          <w:rFonts w:hint="eastAsia" w:ascii="仿宋" w:hAnsi="仿宋" w:eastAsia="仿宋" w:cs="仿宋"/>
          <w:color w:val="auto"/>
          <w:sz w:val="28"/>
          <w:szCs w:val="28"/>
          <w:highlight w:val="none"/>
        </w:rPr>
        <w:t>联系方式：</w:t>
      </w:r>
      <w:r>
        <w:rPr>
          <w:rFonts w:hint="eastAsia" w:ascii="仿宋" w:hAnsi="仿宋" w:eastAsia="仿宋" w:cs="仿宋"/>
          <w:color w:val="auto"/>
          <w:sz w:val="28"/>
          <w:szCs w:val="28"/>
          <w:highlight w:val="none"/>
          <w:u w:val="single"/>
          <w:lang w:val="en-US" w:eastAsia="zh-CN"/>
        </w:rPr>
        <w:t>0550-3219389、0550-3702981</w:t>
      </w:r>
    </w:p>
    <w:p w14:paraId="56BAC29B">
      <w:pPr>
        <w:pStyle w:val="7"/>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left"/>
        <w:textAlignment w:val="auto"/>
        <w:outlineLvl w:val="2"/>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2.代理机构信息</w:t>
      </w:r>
    </w:p>
    <w:p w14:paraId="1B15FBA6">
      <w:pPr>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u w:val="single"/>
        </w:rPr>
        <w:t>滁州市城投工程咨询管理有限公司</w:t>
      </w:r>
    </w:p>
    <w:p w14:paraId="71ABF4EA">
      <w:pPr>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rPr>
        <w:t>滁州市龙蟠大道109号房产大厦6楼</w:t>
      </w:r>
    </w:p>
    <w:p w14:paraId="0FA4C2F0">
      <w:pPr>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default"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联系方式：</w:t>
      </w:r>
      <w:r>
        <w:rPr>
          <w:rFonts w:hint="eastAsia" w:ascii="仿宋" w:hAnsi="仿宋" w:eastAsia="仿宋" w:cs="仿宋"/>
          <w:color w:val="auto"/>
          <w:sz w:val="28"/>
          <w:szCs w:val="28"/>
          <w:highlight w:val="none"/>
          <w:u w:val="single"/>
        </w:rPr>
        <w:t>0550-</w:t>
      </w:r>
      <w:r>
        <w:rPr>
          <w:rFonts w:hint="eastAsia" w:ascii="仿宋" w:hAnsi="仿宋" w:eastAsia="仿宋" w:cs="仿宋"/>
          <w:color w:val="auto"/>
          <w:sz w:val="28"/>
          <w:szCs w:val="28"/>
          <w:highlight w:val="none"/>
          <w:u w:val="single"/>
          <w:lang w:eastAsia="zh-CN"/>
        </w:rPr>
        <w:t>3519</w:t>
      </w:r>
      <w:r>
        <w:rPr>
          <w:rFonts w:hint="eastAsia" w:ascii="仿宋" w:hAnsi="仿宋" w:eastAsia="仿宋" w:cs="仿宋"/>
          <w:color w:val="auto"/>
          <w:sz w:val="28"/>
          <w:szCs w:val="28"/>
          <w:highlight w:val="none"/>
          <w:u w:val="single"/>
          <w:lang w:val="en-US" w:eastAsia="zh-CN"/>
        </w:rPr>
        <w:t>590/18005501210</w:t>
      </w:r>
    </w:p>
    <w:p w14:paraId="56C87275">
      <w:pPr>
        <w:pStyle w:val="7"/>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left"/>
        <w:textAlignment w:val="auto"/>
        <w:outlineLvl w:val="2"/>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3.项目联系方式</w:t>
      </w:r>
    </w:p>
    <w:p w14:paraId="2756D236">
      <w:pPr>
        <w:pStyle w:val="23"/>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auto"/>
          <w:sz w:val="28"/>
          <w:szCs w:val="28"/>
          <w:highlight w:val="none"/>
          <w:u w:val="single" w:color="auto"/>
        </w:rPr>
      </w:pPr>
      <w:r>
        <w:rPr>
          <w:rFonts w:hint="eastAsia" w:ascii="仿宋" w:hAnsi="仿宋" w:eastAsia="仿宋" w:cs="仿宋"/>
          <w:color w:val="auto"/>
          <w:sz w:val="28"/>
          <w:szCs w:val="28"/>
          <w:highlight w:val="none"/>
        </w:rPr>
        <w:t>项目联系人：</w:t>
      </w:r>
      <w:r>
        <w:rPr>
          <w:rFonts w:hint="eastAsia" w:ascii="仿宋" w:hAnsi="仿宋" w:eastAsia="仿宋" w:cs="仿宋"/>
          <w:color w:val="auto"/>
          <w:kern w:val="2"/>
          <w:sz w:val="28"/>
          <w:szCs w:val="28"/>
          <w:highlight w:val="none"/>
          <w:u w:val="single"/>
          <w:lang w:val="en-US" w:eastAsia="zh-CN" w:bidi="ar-SA"/>
        </w:rPr>
        <w:t xml:space="preserve">李工、杨韦 </w:t>
      </w:r>
    </w:p>
    <w:p w14:paraId="0C7073EF">
      <w:pPr>
        <w:ind w:firstLine="560" w:firstLineChars="200"/>
        <w:rPr>
          <w:rFonts w:hint="eastAsia"/>
          <w:bCs/>
          <w:color w:val="auto"/>
          <w:sz w:val="28"/>
          <w:szCs w:val="28"/>
          <w:highlight w:val="none"/>
        </w:rPr>
      </w:pPr>
      <w:r>
        <w:rPr>
          <w:rFonts w:hint="eastAsia" w:ascii="仿宋" w:hAnsi="仿宋" w:eastAsia="仿宋" w:cs="仿宋"/>
          <w:color w:val="auto"/>
          <w:sz w:val="28"/>
          <w:szCs w:val="28"/>
          <w:highlight w:val="none"/>
        </w:rPr>
        <w:t>电　　 话：</w:t>
      </w:r>
      <w:r>
        <w:rPr>
          <w:rFonts w:hint="eastAsia" w:ascii="仿宋" w:hAnsi="仿宋" w:eastAsia="仿宋" w:cs="仿宋"/>
          <w:color w:val="auto"/>
          <w:kern w:val="2"/>
          <w:sz w:val="28"/>
          <w:szCs w:val="28"/>
          <w:highlight w:val="none"/>
          <w:u w:val="single"/>
          <w:lang w:val="en-US" w:eastAsia="zh-CN" w:bidi="ar-SA"/>
        </w:rPr>
        <w:t>0550-3219389、0550-3</w:t>
      </w:r>
      <w:r>
        <w:rPr>
          <w:rFonts w:hint="eastAsia" w:ascii="仿宋" w:hAnsi="仿宋" w:eastAsia="仿宋" w:cs="仿宋"/>
          <w:color w:val="auto"/>
          <w:sz w:val="28"/>
          <w:szCs w:val="28"/>
          <w:highlight w:val="none"/>
          <w:u w:val="single"/>
          <w:lang w:eastAsia="zh-CN"/>
        </w:rPr>
        <w:t>5195</w:t>
      </w:r>
      <w:r>
        <w:rPr>
          <w:rFonts w:hint="eastAsia" w:ascii="仿宋" w:hAnsi="仿宋" w:eastAsia="仿宋" w:cs="仿宋"/>
          <w:color w:val="auto"/>
          <w:sz w:val="28"/>
          <w:szCs w:val="28"/>
          <w:highlight w:val="none"/>
          <w:u w:val="single"/>
          <w:lang w:val="en-US" w:eastAsia="zh-CN"/>
        </w:rPr>
        <w:t>90/18005501210</w:t>
      </w:r>
    </w:p>
    <w:p w14:paraId="2CC389B1">
      <w:pPr>
        <w:pStyle w:val="26"/>
        <w:rPr>
          <w:rFonts w:hint="eastAsia"/>
          <w:bCs/>
          <w:color w:val="auto"/>
          <w:sz w:val="28"/>
          <w:szCs w:val="28"/>
          <w:highlight w:val="none"/>
        </w:rPr>
      </w:pPr>
    </w:p>
    <w:p w14:paraId="064F40F9">
      <w:pPr>
        <w:pStyle w:val="26"/>
        <w:rPr>
          <w:rFonts w:hint="eastAsia"/>
          <w:bCs/>
          <w:color w:val="auto"/>
          <w:sz w:val="28"/>
          <w:szCs w:val="28"/>
          <w:highlight w:val="none"/>
          <w:lang w:val="en-US" w:eastAsia="zh-CN"/>
        </w:rPr>
      </w:pPr>
    </w:p>
    <w:bookmarkEnd w:id="12"/>
    <w:bookmarkEnd w:id="13"/>
    <w:bookmarkEnd w:id="14"/>
    <w:bookmarkEnd w:id="15"/>
    <w:p w14:paraId="2A0EC4FF">
      <w:pPr>
        <w:rPr>
          <w:rFonts w:hint="eastAsia"/>
          <w:bCs/>
          <w:color w:val="auto"/>
          <w:szCs w:val="32"/>
          <w:highlight w:val="none"/>
        </w:rPr>
      </w:pPr>
      <w:bookmarkStart w:id="31" w:name="_Toc35424883"/>
      <w:bookmarkStart w:id="32" w:name="_Toc152042303"/>
      <w:bookmarkStart w:id="33" w:name="_Toc246996916"/>
      <w:bookmarkStart w:id="34" w:name="_Toc506107267"/>
      <w:bookmarkStart w:id="35" w:name="_Toc144974495"/>
      <w:bookmarkStart w:id="36" w:name="_Toc35425050"/>
      <w:bookmarkStart w:id="37" w:name="_Toc152045527"/>
      <w:bookmarkStart w:id="38" w:name="_Toc324404813"/>
      <w:bookmarkStart w:id="39" w:name="_Toc15058844"/>
      <w:bookmarkStart w:id="40" w:name="_Toc179632544"/>
      <w:bookmarkStart w:id="41" w:name="_Toc247085687"/>
      <w:bookmarkStart w:id="42" w:name="_Toc8504"/>
      <w:bookmarkStart w:id="43" w:name="_Toc246996173"/>
      <w:r>
        <w:rPr>
          <w:rFonts w:hint="eastAsia"/>
          <w:bCs/>
          <w:color w:val="auto"/>
          <w:szCs w:val="32"/>
          <w:highlight w:val="none"/>
        </w:rPr>
        <w:br w:type="page"/>
      </w:r>
    </w:p>
    <w:p w14:paraId="532FCCA9">
      <w:pPr>
        <w:pStyle w:val="43"/>
        <w:spacing w:beforeLines="50" w:afterLines="50" w:line="440" w:lineRule="exact"/>
        <w:rPr>
          <w:bCs/>
          <w:color w:val="auto"/>
          <w:szCs w:val="32"/>
          <w:highlight w:val="none"/>
        </w:rPr>
      </w:pPr>
      <w:r>
        <w:rPr>
          <w:rFonts w:hint="eastAsia"/>
          <w:bCs/>
          <w:color w:val="auto"/>
          <w:szCs w:val="32"/>
          <w:highlight w:val="none"/>
        </w:rPr>
        <w:t>第一章</w:t>
      </w:r>
      <w:r>
        <w:rPr>
          <w:bCs/>
          <w:color w:val="auto"/>
          <w:szCs w:val="32"/>
          <w:highlight w:val="none"/>
        </w:rPr>
        <w:t xml:space="preserve"> </w:t>
      </w:r>
      <w:r>
        <w:rPr>
          <w:rFonts w:hint="eastAsia"/>
          <w:bCs/>
          <w:color w:val="auto"/>
          <w:szCs w:val="32"/>
          <w:highlight w:val="none"/>
        </w:rPr>
        <w:t>投标人须知</w:t>
      </w:r>
      <w:bookmarkEnd w:id="31"/>
      <w:bookmarkEnd w:id="32"/>
      <w:bookmarkEnd w:id="33"/>
      <w:bookmarkEnd w:id="34"/>
      <w:bookmarkEnd w:id="35"/>
      <w:bookmarkEnd w:id="36"/>
      <w:bookmarkEnd w:id="37"/>
      <w:bookmarkEnd w:id="38"/>
      <w:bookmarkEnd w:id="39"/>
      <w:bookmarkEnd w:id="40"/>
      <w:bookmarkEnd w:id="41"/>
      <w:bookmarkEnd w:id="42"/>
      <w:bookmarkEnd w:id="43"/>
    </w:p>
    <w:p w14:paraId="7CE40088">
      <w:pPr>
        <w:spacing w:beforeLines="50" w:afterLines="50" w:line="440" w:lineRule="exact"/>
        <w:jc w:val="center"/>
        <w:rPr>
          <w:b/>
          <w:bCs/>
          <w:color w:val="auto"/>
          <w:sz w:val="28"/>
          <w:szCs w:val="28"/>
          <w:highlight w:val="none"/>
        </w:rPr>
      </w:pPr>
      <w:bookmarkStart w:id="44" w:name="_Toc246996174"/>
      <w:bookmarkStart w:id="45" w:name="_Toc152045528"/>
      <w:bookmarkStart w:id="46" w:name="_Toc246996917"/>
      <w:bookmarkStart w:id="47" w:name="_Toc35424884"/>
      <w:bookmarkStart w:id="48" w:name="_Toc324404814"/>
      <w:bookmarkStart w:id="49" w:name="_Toc144974496"/>
      <w:bookmarkStart w:id="50" w:name="_Toc247085688"/>
      <w:bookmarkStart w:id="51" w:name="_Toc506107268"/>
      <w:bookmarkStart w:id="52" w:name="_Toc15058845"/>
      <w:bookmarkStart w:id="53" w:name="_Toc179632545"/>
      <w:bookmarkStart w:id="54" w:name="_Toc35425051"/>
      <w:bookmarkStart w:id="55" w:name="_Toc152042304"/>
      <w:r>
        <w:rPr>
          <w:rFonts w:hint="eastAsia"/>
          <w:b/>
          <w:bCs/>
          <w:color w:val="auto"/>
          <w:sz w:val="28"/>
          <w:szCs w:val="28"/>
          <w:highlight w:val="none"/>
        </w:rPr>
        <w:t>投标人须知前附表</w:t>
      </w:r>
      <w:bookmarkEnd w:id="44"/>
      <w:bookmarkEnd w:id="45"/>
      <w:bookmarkEnd w:id="46"/>
      <w:bookmarkEnd w:id="47"/>
      <w:bookmarkEnd w:id="48"/>
      <w:bookmarkEnd w:id="49"/>
      <w:bookmarkEnd w:id="50"/>
      <w:bookmarkEnd w:id="51"/>
      <w:bookmarkEnd w:id="52"/>
      <w:bookmarkEnd w:id="53"/>
      <w:bookmarkEnd w:id="54"/>
      <w:bookmarkEnd w:id="55"/>
    </w:p>
    <w:tbl>
      <w:tblPr>
        <w:tblStyle w:val="45"/>
        <w:tblW w:w="10527" w:type="dxa"/>
        <w:jc w:val="center"/>
        <w:tblLayout w:type="fixed"/>
        <w:tblCellMar>
          <w:top w:w="0" w:type="dxa"/>
          <w:left w:w="108" w:type="dxa"/>
          <w:bottom w:w="0" w:type="dxa"/>
          <w:right w:w="108" w:type="dxa"/>
        </w:tblCellMar>
      </w:tblPr>
      <w:tblGrid>
        <w:gridCol w:w="868"/>
        <w:gridCol w:w="910"/>
        <w:gridCol w:w="1220"/>
        <w:gridCol w:w="7529"/>
      </w:tblGrid>
      <w:tr w14:paraId="6E9E2708">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68D77D0B">
            <w:pPr>
              <w:keepNext w:val="0"/>
              <w:keepLines w:val="0"/>
              <w:pageBreakBefore w:val="0"/>
              <w:kinsoku/>
              <w:overflowPunct/>
              <w:autoSpaceDE/>
              <w:autoSpaceDN/>
              <w:bidi w:val="0"/>
              <w:spacing w:line="520" w:lineRule="exact"/>
              <w:jc w:val="center"/>
              <w:textAlignment w:val="auto"/>
              <w:rPr>
                <w:rFonts w:hint="eastAsia" w:asciiTheme="minorEastAsia" w:hAnsiTheme="minorEastAsia" w:eastAsiaTheme="minorEastAsia" w:cstheme="minorEastAsia"/>
                <w:b/>
                <w:color w:val="auto"/>
                <w:sz w:val="21"/>
                <w:szCs w:val="21"/>
                <w:highlight w:val="none"/>
              </w:rPr>
            </w:pPr>
            <w:bookmarkStart w:id="56" w:name="_Toc144974497"/>
            <w:bookmarkStart w:id="57" w:name="_Toc324404815"/>
            <w:bookmarkStart w:id="58" w:name="_Toc152042305"/>
            <w:bookmarkStart w:id="59" w:name="_Toc179632546"/>
            <w:bookmarkStart w:id="60" w:name="_Toc246996918"/>
            <w:bookmarkStart w:id="61" w:name="_Toc506107269"/>
            <w:bookmarkStart w:id="62" w:name="_Toc247085689"/>
            <w:bookmarkStart w:id="63" w:name="_Toc246996175"/>
            <w:bookmarkStart w:id="64" w:name="_Toc152045529"/>
            <w:r>
              <w:rPr>
                <w:rFonts w:hint="eastAsia" w:asciiTheme="minorEastAsia" w:hAnsiTheme="minorEastAsia" w:eastAsiaTheme="minorEastAsia" w:cstheme="minorEastAsia"/>
                <w:b/>
                <w:color w:val="auto"/>
                <w:sz w:val="21"/>
                <w:szCs w:val="21"/>
                <w:highlight w:val="none"/>
              </w:rPr>
              <w:t>序号</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703FEEF7">
            <w:pPr>
              <w:keepNext w:val="0"/>
              <w:keepLines w:val="0"/>
              <w:pageBreakBefore w:val="0"/>
              <w:kinsoku/>
              <w:overflowPunct/>
              <w:autoSpaceDE/>
              <w:autoSpaceDN/>
              <w:bidi w:val="0"/>
              <w:spacing w:line="520" w:lineRule="exact"/>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条  款  名  称</w:t>
            </w:r>
          </w:p>
        </w:tc>
        <w:tc>
          <w:tcPr>
            <w:tcW w:w="7529" w:type="dxa"/>
            <w:tcBorders>
              <w:top w:val="single" w:color="auto" w:sz="4" w:space="0"/>
              <w:left w:val="single" w:color="auto" w:sz="4" w:space="0"/>
              <w:bottom w:val="single" w:color="auto" w:sz="4" w:space="0"/>
              <w:right w:val="single" w:color="auto" w:sz="4" w:space="0"/>
            </w:tcBorders>
            <w:vAlign w:val="center"/>
          </w:tcPr>
          <w:p w14:paraId="72719BBB">
            <w:pPr>
              <w:keepNext w:val="0"/>
              <w:keepLines w:val="0"/>
              <w:pageBreakBefore w:val="0"/>
              <w:kinsoku/>
              <w:overflowPunct/>
              <w:autoSpaceDE/>
              <w:autoSpaceDN/>
              <w:bidi w:val="0"/>
              <w:spacing w:line="520" w:lineRule="exact"/>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编  列  内  容</w:t>
            </w:r>
          </w:p>
        </w:tc>
      </w:tr>
      <w:tr w14:paraId="5B468A51">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14:paraId="4C1440B4">
            <w:pPr>
              <w:keepNext w:val="0"/>
              <w:keepLines w:val="0"/>
              <w:pageBreakBefore w:val="0"/>
              <w:kinsoku/>
              <w:overflowPunct/>
              <w:autoSpaceDE/>
              <w:autoSpaceDN/>
              <w:bidi w:val="0"/>
              <w:spacing w:line="52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57A1A246">
            <w:pPr>
              <w:keepNext w:val="0"/>
              <w:keepLines w:val="0"/>
              <w:pageBreakBefore w:val="0"/>
              <w:kinsoku/>
              <w:overflowPunct/>
              <w:autoSpaceDE/>
              <w:autoSpaceDN/>
              <w:bidi w:val="0"/>
              <w:spacing w:line="52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招标人</w:t>
            </w:r>
          </w:p>
        </w:tc>
        <w:tc>
          <w:tcPr>
            <w:tcW w:w="7529" w:type="dxa"/>
            <w:tcBorders>
              <w:top w:val="single" w:color="auto" w:sz="4" w:space="0"/>
              <w:left w:val="single" w:color="auto" w:sz="4" w:space="0"/>
              <w:bottom w:val="single" w:color="auto" w:sz="4" w:space="0"/>
              <w:right w:val="single" w:color="auto" w:sz="4" w:space="0"/>
            </w:tcBorders>
            <w:vAlign w:val="center"/>
          </w:tcPr>
          <w:p w14:paraId="45AEE814">
            <w:pPr>
              <w:pStyle w:val="41"/>
              <w:keepNext w:val="0"/>
              <w:keepLines w:val="0"/>
              <w:pageBreakBefore w:val="0"/>
              <w:kinsoku/>
              <w:overflowPunct/>
              <w:autoSpaceDE/>
              <w:autoSpaceDN/>
              <w:bidi w:val="0"/>
              <w:spacing w:beforeAutospacing="0" w:afterAutospacing="0" w:line="520" w:lineRule="exact"/>
              <w:textAlignment w:val="auto"/>
              <w:rPr>
                <w:rFonts w:hint="eastAsia" w:asciiTheme="minorEastAsia" w:hAnsiTheme="minorEastAsia" w:eastAsiaTheme="minorEastAsia" w:cstheme="minorEastAsia"/>
                <w:color w:val="auto"/>
                <w:kern w:val="2"/>
                <w:sz w:val="21"/>
                <w:szCs w:val="21"/>
                <w:highlight w:val="none"/>
                <w:lang w:val="en-US"/>
              </w:rPr>
            </w:pPr>
            <w:r>
              <w:rPr>
                <w:rFonts w:hint="eastAsia" w:asciiTheme="minorEastAsia" w:hAnsiTheme="minorEastAsia" w:eastAsiaTheme="minorEastAsia" w:cstheme="minorEastAsia"/>
                <w:color w:val="auto"/>
                <w:sz w:val="21"/>
                <w:szCs w:val="21"/>
                <w:highlight w:val="none"/>
              </w:rPr>
              <w:t>见招标公告</w:t>
            </w:r>
          </w:p>
        </w:tc>
      </w:tr>
      <w:tr w14:paraId="7CC58317">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14:paraId="3B1F9BAD">
            <w:pPr>
              <w:keepNext w:val="0"/>
              <w:keepLines w:val="0"/>
              <w:pageBreakBefore w:val="0"/>
              <w:kinsoku/>
              <w:overflowPunct/>
              <w:autoSpaceDE/>
              <w:autoSpaceDN/>
              <w:bidi w:val="0"/>
              <w:spacing w:line="52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43B06CA3">
            <w:pPr>
              <w:keepNext w:val="0"/>
              <w:keepLines w:val="0"/>
              <w:pageBreakBefore w:val="0"/>
              <w:kinsoku/>
              <w:overflowPunct/>
              <w:autoSpaceDE/>
              <w:autoSpaceDN/>
              <w:bidi w:val="0"/>
              <w:spacing w:line="52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招标代理机构</w:t>
            </w:r>
          </w:p>
        </w:tc>
        <w:tc>
          <w:tcPr>
            <w:tcW w:w="7529" w:type="dxa"/>
            <w:tcBorders>
              <w:top w:val="single" w:color="auto" w:sz="4" w:space="0"/>
              <w:left w:val="single" w:color="auto" w:sz="4" w:space="0"/>
              <w:bottom w:val="single" w:color="auto" w:sz="4" w:space="0"/>
              <w:right w:val="single" w:color="auto" w:sz="4" w:space="0"/>
            </w:tcBorders>
            <w:vAlign w:val="center"/>
          </w:tcPr>
          <w:p w14:paraId="20A093D4">
            <w:pPr>
              <w:keepNext w:val="0"/>
              <w:keepLines w:val="0"/>
              <w:pageBreakBefore w:val="0"/>
              <w:kinsoku/>
              <w:overflowPunct/>
              <w:autoSpaceDE/>
              <w:autoSpaceDN/>
              <w:bidi w:val="0"/>
              <w:spacing w:line="5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见招标公告</w:t>
            </w:r>
          </w:p>
        </w:tc>
      </w:tr>
      <w:tr w14:paraId="79A2AD68">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050EEE62">
            <w:pPr>
              <w:keepNext w:val="0"/>
              <w:keepLines w:val="0"/>
              <w:pageBreakBefore w:val="0"/>
              <w:kinsoku/>
              <w:overflowPunct/>
              <w:autoSpaceDE/>
              <w:autoSpaceDN/>
              <w:bidi w:val="0"/>
              <w:spacing w:line="52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3D1B7CB8">
            <w:pPr>
              <w:keepNext w:val="0"/>
              <w:keepLines w:val="0"/>
              <w:pageBreakBefore w:val="0"/>
              <w:kinsoku/>
              <w:overflowPunct/>
              <w:autoSpaceDE/>
              <w:autoSpaceDN/>
              <w:bidi w:val="0"/>
              <w:spacing w:line="52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项目名称</w:t>
            </w:r>
          </w:p>
        </w:tc>
        <w:tc>
          <w:tcPr>
            <w:tcW w:w="7529" w:type="dxa"/>
            <w:tcBorders>
              <w:top w:val="single" w:color="auto" w:sz="4" w:space="0"/>
              <w:left w:val="single" w:color="auto" w:sz="4" w:space="0"/>
              <w:bottom w:val="single" w:color="auto" w:sz="4" w:space="0"/>
              <w:right w:val="single" w:color="auto" w:sz="4" w:space="0"/>
            </w:tcBorders>
            <w:vAlign w:val="center"/>
          </w:tcPr>
          <w:p w14:paraId="5C578515">
            <w:pPr>
              <w:keepNext w:val="0"/>
              <w:keepLines w:val="0"/>
              <w:pageBreakBefore w:val="0"/>
              <w:kinsoku/>
              <w:overflowPunct/>
              <w:autoSpaceDE/>
              <w:autoSpaceDN/>
              <w:bidi w:val="0"/>
              <w:spacing w:line="520" w:lineRule="exact"/>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rPr>
              <w:t>见招标公告</w:t>
            </w:r>
          </w:p>
        </w:tc>
      </w:tr>
      <w:tr w14:paraId="3C4CFBEF">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71F84569">
            <w:pPr>
              <w:keepNext w:val="0"/>
              <w:keepLines w:val="0"/>
              <w:pageBreakBefore w:val="0"/>
              <w:kinsoku/>
              <w:overflowPunct/>
              <w:autoSpaceDE/>
              <w:autoSpaceDN/>
              <w:bidi w:val="0"/>
              <w:spacing w:line="52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4A977558">
            <w:pPr>
              <w:keepNext w:val="0"/>
              <w:keepLines w:val="0"/>
              <w:pageBreakBefore w:val="0"/>
              <w:kinsoku/>
              <w:overflowPunct/>
              <w:autoSpaceDE/>
              <w:autoSpaceDN/>
              <w:bidi w:val="0"/>
              <w:spacing w:line="52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建设地点</w:t>
            </w:r>
          </w:p>
        </w:tc>
        <w:tc>
          <w:tcPr>
            <w:tcW w:w="7529" w:type="dxa"/>
            <w:tcBorders>
              <w:top w:val="single" w:color="auto" w:sz="4" w:space="0"/>
              <w:left w:val="single" w:color="auto" w:sz="4" w:space="0"/>
              <w:bottom w:val="single" w:color="auto" w:sz="4" w:space="0"/>
              <w:right w:val="single" w:color="auto" w:sz="4" w:space="0"/>
            </w:tcBorders>
            <w:vAlign w:val="center"/>
          </w:tcPr>
          <w:p w14:paraId="701212D4">
            <w:pPr>
              <w:keepNext w:val="0"/>
              <w:keepLines w:val="0"/>
              <w:pageBreakBefore w:val="0"/>
              <w:kinsoku/>
              <w:overflowPunct/>
              <w:autoSpaceDE/>
              <w:autoSpaceDN/>
              <w:bidi w:val="0"/>
              <w:spacing w:line="520" w:lineRule="exac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滁州市内</w:t>
            </w:r>
          </w:p>
        </w:tc>
      </w:tr>
      <w:tr w14:paraId="2E17CC3E">
        <w:tblPrEx>
          <w:tblCellMar>
            <w:top w:w="0" w:type="dxa"/>
            <w:left w:w="108" w:type="dxa"/>
            <w:bottom w:w="0" w:type="dxa"/>
            <w:right w:w="108" w:type="dxa"/>
          </w:tblCellMar>
        </w:tblPrEx>
        <w:trPr>
          <w:trHeight w:val="555"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59EB0911">
            <w:pPr>
              <w:keepNext w:val="0"/>
              <w:keepLines w:val="0"/>
              <w:pageBreakBefore w:val="0"/>
              <w:kinsoku/>
              <w:overflowPunct/>
              <w:autoSpaceDE/>
              <w:autoSpaceDN/>
              <w:bidi w:val="0"/>
              <w:spacing w:line="52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28048166">
            <w:pPr>
              <w:keepNext w:val="0"/>
              <w:keepLines w:val="0"/>
              <w:pageBreakBefore w:val="0"/>
              <w:kinsoku/>
              <w:overflowPunct/>
              <w:autoSpaceDE/>
              <w:autoSpaceDN/>
              <w:bidi w:val="0"/>
              <w:spacing w:line="52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资金来源及比例</w:t>
            </w:r>
          </w:p>
        </w:tc>
        <w:tc>
          <w:tcPr>
            <w:tcW w:w="7529" w:type="dxa"/>
            <w:tcBorders>
              <w:top w:val="single" w:color="auto" w:sz="4" w:space="0"/>
              <w:left w:val="single" w:color="auto" w:sz="4" w:space="0"/>
              <w:bottom w:val="single" w:color="auto" w:sz="4" w:space="0"/>
              <w:right w:val="single" w:color="auto" w:sz="4" w:space="0"/>
            </w:tcBorders>
            <w:vAlign w:val="center"/>
          </w:tcPr>
          <w:p w14:paraId="47B56FE9">
            <w:pPr>
              <w:keepNext w:val="0"/>
              <w:keepLines w:val="0"/>
              <w:pageBreakBefore w:val="0"/>
              <w:kinsoku/>
              <w:overflowPunct/>
              <w:autoSpaceDE/>
              <w:autoSpaceDN/>
              <w:bidi w:val="0"/>
              <w:spacing w:line="5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资金来源：</w:t>
            </w:r>
            <w:r>
              <w:rPr>
                <w:rFonts w:hint="eastAsia" w:asciiTheme="minorEastAsia" w:hAnsiTheme="minorEastAsia" w:eastAsiaTheme="minorEastAsia" w:cstheme="minorEastAsia"/>
                <w:color w:val="auto"/>
                <w:sz w:val="21"/>
                <w:szCs w:val="21"/>
                <w:highlight w:val="none"/>
                <w:lang w:val="en-US" w:eastAsia="zh-CN"/>
              </w:rPr>
              <w:t>自筹及财政资金</w:t>
            </w:r>
            <w:r>
              <w:rPr>
                <w:rFonts w:hint="eastAsia" w:asciiTheme="minorEastAsia" w:hAnsiTheme="minorEastAsia" w:eastAsiaTheme="minorEastAsia" w:cstheme="minorEastAsia"/>
                <w:color w:val="auto"/>
                <w:sz w:val="21"/>
                <w:szCs w:val="21"/>
                <w:highlight w:val="none"/>
              </w:rPr>
              <w:t>；比例：100%</w:t>
            </w:r>
          </w:p>
        </w:tc>
      </w:tr>
      <w:tr w14:paraId="440AE1CB">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14:paraId="1C5704DB">
            <w:pPr>
              <w:keepNext w:val="0"/>
              <w:keepLines w:val="0"/>
              <w:pageBreakBefore w:val="0"/>
              <w:kinsoku/>
              <w:overflowPunct/>
              <w:autoSpaceDE/>
              <w:autoSpaceDN/>
              <w:bidi w:val="0"/>
              <w:spacing w:line="52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48EB15C7">
            <w:pPr>
              <w:keepNext w:val="0"/>
              <w:keepLines w:val="0"/>
              <w:pageBreakBefore w:val="0"/>
              <w:kinsoku/>
              <w:overflowPunct/>
              <w:autoSpaceDE/>
              <w:autoSpaceDN/>
              <w:bidi w:val="0"/>
              <w:spacing w:line="52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招标范围</w:t>
            </w:r>
          </w:p>
        </w:tc>
        <w:tc>
          <w:tcPr>
            <w:tcW w:w="7529" w:type="dxa"/>
            <w:tcBorders>
              <w:top w:val="single" w:color="auto" w:sz="4" w:space="0"/>
              <w:left w:val="single" w:color="auto" w:sz="4" w:space="0"/>
              <w:bottom w:val="single" w:color="auto" w:sz="4" w:space="0"/>
              <w:right w:val="single" w:color="auto" w:sz="4" w:space="0"/>
            </w:tcBorders>
            <w:vAlign w:val="center"/>
          </w:tcPr>
          <w:p w14:paraId="0F295402">
            <w:pPr>
              <w:keepNext w:val="0"/>
              <w:keepLines w:val="0"/>
              <w:pageBreakBefore w:val="0"/>
              <w:kinsoku/>
              <w:overflowPunct/>
              <w:autoSpaceDE/>
              <w:autoSpaceDN/>
              <w:bidi w:val="0"/>
              <w:spacing w:line="520" w:lineRule="exact"/>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详见招标公告</w:t>
            </w:r>
          </w:p>
        </w:tc>
      </w:tr>
      <w:tr w14:paraId="25441842">
        <w:tblPrEx>
          <w:tblCellMar>
            <w:top w:w="0" w:type="dxa"/>
            <w:left w:w="108" w:type="dxa"/>
            <w:bottom w:w="0" w:type="dxa"/>
            <w:right w:w="108" w:type="dxa"/>
          </w:tblCellMar>
        </w:tblPrEx>
        <w:trPr>
          <w:trHeight w:val="496"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2021DFAC">
            <w:pPr>
              <w:keepNext w:val="0"/>
              <w:keepLines w:val="0"/>
              <w:pageBreakBefore w:val="0"/>
              <w:kinsoku/>
              <w:overflowPunct/>
              <w:autoSpaceDE/>
              <w:autoSpaceDN/>
              <w:bidi w:val="0"/>
              <w:spacing w:line="52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35142363">
            <w:pPr>
              <w:keepNext w:val="0"/>
              <w:keepLines w:val="0"/>
              <w:pageBreakBefore w:val="0"/>
              <w:kinsoku/>
              <w:overflowPunct/>
              <w:autoSpaceDE/>
              <w:autoSpaceDN/>
              <w:bidi w:val="0"/>
              <w:spacing w:line="52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评标办法</w:t>
            </w:r>
          </w:p>
        </w:tc>
        <w:tc>
          <w:tcPr>
            <w:tcW w:w="7529" w:type="dxa"/>
            <w:tcBorders>
              <w:top w:val="single" w:color="auto" w:sz="4" w:space="0"/>
              <w:left w:val="single" w:color="auto" w:sz="4" w:space="0"/>
              <w:bottom w:val="single" w:color="auto" w:sz="4" w:space="0"/>
              <w:right w:val="single" w:color="auto" w:sz="4" w:space="0"/>
            </w:tcBorders>
            <w:vAlign w:val="center"/>
          </w:tcPr>
          <w:p w14:paraId="7EF2D560">
            <w:pPr>
              <w:pStyle w:val="120"/>
              <w:keepNext w:val="0"/>
              <w:keepLines w:val="0"/>
              <w:pageBreakBefore w:val="0"/>
              <w:kinsoku/>
              <w:overflowPunct/>
              <w:autoSpaceDE/>
              <w:autoSpaceDN/>
              <w:bidi w:val="0"/>
              <w:spacing w:line="5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综合评估法</w:t>
            </w:r>
          </w:p>
        </w:tc>
      </w:tr>
      <w:tr w14:paraId="1285E4F2">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14:paraId="1461589C">
            <w:pPr>
              <w:keepNext w:val="0"/>
              <w:keepLines w:val="0"/>
              <w:pageBreakBefore w:val="0"/>
              <w:kinsoku/>
              <w:overflowPunct/>
              <w:autoSpaceDE/>
              <w:autoSpaceDN/>
              <w:bidi w:val="0"/>
              <w:spacing w:line="52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3350A237">
            <w:pPr>
              <w:keepNext w:val="0"/>
              <w:keepLines w:val="0"/>
              <w:pageBreakBefore w:val="0"/>
              <w:kinsoku/>
              <w:overflowPunct/>
              <w:autoSpaceDE/>
              <w:autoSpaceDN/>
              <w:bidi w:val="0"/>
              <w:spacing w:line="52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工期</w:t>
            </w:r>
          </w:p>
        </w:tc>
        <w:tc>
          <w:tcPr>
            <w:tcW w:w="7529" w:type="dxa"/>
            <w:tcBorders>
              <w:top w:val="single" w:color="auto" w:sz="4" w:space="0"/>
              <w:left w:val="single" w:color="auto" w:sz="4" w:space="0"/>
              <w:bottom w:val="single" w:color="auto" w:sz="4" w:space="0"/>
              <w:right w:val="single" w:color="auto" w:sz="4" w:space="0"/>
            </w:tcBorders>
            <w:vAlign w:val="center"/>
          </w:tcPr>
          <w:p w14:paraId="1FF1E9AB">
            <w:pPr>
              <w:keepNext w:val="0"/>
              <w:keepLines w:val="0"/>
              <w:pageBreakBefore w:val="0"/>
              <w:kinsoku/>
              <w:overflowPunct/>
              <w:autoSpaceDE/>
              <w:autoSpaceDN/>
              <w:bidi w:val="0"/>
              <w:spacing w:line="520" w:lineRule="exac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1.招标人提供分阶段施工图纸后7个日历天内，中标人向招标人提交造价成果。（根据市造价主管部门相关规定完成工作，并向招标人提交最高限价备案表</w:t>
            </w:r>
            <w:r>
              <w:rPr>
                <w:rFonts w:hint="eastAsia" w:asciiTheme="minorEastAsia" w:hAnsiTheme="minorEastAsia" w:eastAsiaTheme="minorEastAsia" w:cstheme="minorEastAsia"/>
                <w:color w:val="auto"/>
                <w:sz w:val="21"/>
                <w:szCs w:val="21"/>
                <w:highlight w:val="none"/>
                <w:lang w:val="en-US" w:eastAsia="zh-CN"/>
              </w:rPr>
              <w:t>，如有</w:t>
            </w:r>
            <w:r>
              <w:rPr>
                <w:rFonts w:hint="eastAsia" w:asciiTheme="minorEastAsia" w:hAnsiTheme="minorEastAsia" w:eastAsiaTheme="minorEastAsia" w:cstheme="minorEastAsia"/>
                <w:color w:val="auto"/>
                <w:sz w:val="21"/>
                <w:szCs w:val="21"/>
                <w:highlight w:val="none"/>
                <w:lang w:val="en-US" w:eastAsia="zh-CN"/>
              </w:rPr>
              <w:t>）</w:t>
            </w:r>
          </w:p>
          <w:p w14:paraId="5BE9B86C">
            <w:pPr>
              <w:keepNext w:val="0"/>
              <w:keepLines w:val="0"/>
              <w:pageBreakBefore w:val="0"/>
              <w:kinsoku/>
              <w:overflowPunct/>
              <w:autoSpaceDE/>
              <w:autoSpaceDN/>
              <w:bidi w:val="0"/>
              <w:spacing w:line="520" w:lineRule="exac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2.服务期计算节点：</w:t>
            </w:r>
          </w:p>
          <w:p w14:paraId="5BB92194">
            <w:pPr>
              <w:keepNext w:val="0"/>
              <w:keepLines w:val="0"/>
              <w:pageBreakBefore w:val="0"/>
              <w:kinsoku/>
              <w:overflowPunct/>
              <w:autoSpaceDE/>
              <w:autoSpaceDN/>
              <w:bidi w:val="0"/>
              <w:spacing w:line="520" w:lineRule="exac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2.1中标人接收图纸与送达成果时间均在一张联系单上注明，此类联系单作为请款资料附件。</w:t>
            </w:r>
          </w:p>
          <w:p w14:paraId="4F6374A8">
            <w:pPr>
              <w:keepNext w:val="0"/>
              <w:keepLines w:val="0"/>
              <w:pageBreakBefore w:val="0"/>
              <w:kinsoku/>
              <w:overflowPunct/>
              <w:autoSpaceDE/>
              <w:autoSpaceDN/>
              <w:bidi w:val="0"/>
              <w:spacing w:line="520" w:lineRule="exac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2.2因中标人原因逾期提交成果的，每次处罚2000元，在请款申请中直接注明兑现。</w:t>
            </w:r>
          </w:p>
          <w:p w14:paraId="20FB3E70">
            <w:pPr>
              <w:keepNext w:val="0"/>
              <w:keepLines w:val="0"/>
              <w:pageBreakBefore w:val="0"/>
              <w:kinsoku/>
              <w:overflowPunct/>
              <w:autoSpaceDE/>
              <w:autoSpaceDN/>
              <w:bidi w:val="0"/>
              <w:spacing w:line="520" w:lineRule="exac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2.3因施工单位或招标人原因可延期交付造价成果，但须由招标人在联系单上予以说明。</w:t>
            </w:r>
          </w:p>
          <w:p w14:paraId="6C727A4B">
            <w:pPr>
              <w:keepNext w:val="0"/>
              <w:keepLines w:val="0"/>
              <w:pageBreakBefore w:val="0"/>
              <w:kinsoku/>
              <w:overflowPunct/>
              <w:autoSpaceDE/>
              <w:autoSpaceDN/>
              <w:bidi w:val="0"/>
              <w:spacing w:line="5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注：建设期约</w:t>
            </w:r>
            <w:r>
              <w:rPr>
                <w:rFonts w:hint="eastAsia" w:asciiTheme="minorEastAsia" w:hAnsiTheme="minorEastAsia" w:eastAsiaTheme="minorEastAsia" w:cstheme="minorEastAsia"/>
                <w:color w:val="auto"/>
                <w:sz w:val="21"/>
                <w:szCs w:val="21"/>
                <w:highlight w:val="none"/>
                <w:u w:val="single"/>
                <w:lang w:val="en-US" w:eastAsia="zh-CN"/>
              </w:rPr>
              <w:t xml:space="preserve"> 7  </w:t>
            </w:r>
            <w:r>
              <w:rPr>
                <w:rFonts w:hint="eastAsia" w:asciiTheme="minorEastAsia" w:hAnsiTheme="minorEastAsia" w:eastAsiaTheme="minorEastAsia" w:cstheme="minorEastAsia"/>
                <w:color w:val="auto"/>
                <w:sz w:val="21"/>
                <w:szCs w:val="21"/>
                <w:highlight w:val="none"/>
                <w:lang w:val="en-US" w:eastAsia="zh-CN"/>
              </w:rPr>
              <w:t>个日历天，仅用于投标文件制作系统里填写工期，不作为评审标准</w:t>
            </w:r>
          </w:p>
        </w:tc>
      </w:tr>
      <w:tr w14:paraId="0DB76BB7">
        <w:tblPrEx>
          <w:tblCellMar>
            <w:top w:w="0" w:type="dxa"/>
            <w:left w:w="108" w:type="dxa"/>
            <w:bottom w:w="0" w:type="dxa"/>
            <w:right w:w="108" w:type="dxa"/>
          </w:tblCellMar>
        </w:tblPrEx>
        <w:trPr>
          <w:trHeight w:val="805" w:hRule="atLeast"/>
          <w:jc w:val="center"/>
        </w:trPr>
        <w:tc>
          <w:tcPr>
            <w:tcW w:w="868" w:type="dxa"/>
            <w:vMerge w:val="restart"/>
            <w:tcBorders>
              <w:top w:val="single" w:color="auto" w:sz="4" w:space="0"/>
              <w:left w:val="single" w:color="auto" w:sz="4" w:space="0"/>
              <w:right w:val="single" w:color="auto" w:sz="4" w:space="0"/>
            </w:tcBorders>
            <w:vAlign w:val="center"/>
          </w:tcPr>
          <w:p w14:paraId="7D5FB75C">
            <w:pPr>
              <w:keepNext w:val="0"/>
              <w:keepLines w:val="0"/>
              <w:pageBreakBefore w:val="0"/>
              <w:kinsoku/>
              <w:overflowPunct/>
              <w:autoSpaceDE/>
              <w:autoSpaceDN/>
              <w:bidi w:val="0"/>
              <w:spacing w:line="52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6E37D754">
            <w:pPr>
              <w:keepNext w:val="0"/>
              <w:keepLines w:val="0"/>
              <w:pageBreakBefore w:val="0"/>
              <w:kinsoku/>
              <w:overflowPunct/>
              <w:autoSpaceDE/>
              <w:autoSpaceDN/>
              <w:bidi w:val="0"/>
              <w:spacing w:line="52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投标人资质条件、能力和信誉</w:t>
            </w:r>
          </w:p>
        </w:tc>
        <w:tc>
          <w:tcPr>
            <w:tcW w:w="7529" w:type="dxa"/>
            <w:tcBorders>
              <w:top w:val="single" w:color="auto" w:sz="4" w:space="0"/>
              <w:left w:val="single" w:color="auto" w:sz="4" w:space="0"/>
              <w:bottom w:val="single" w:color="auto" w:sz="4" w:space="0"/>
              <w:right w:val="single" w:color="auto" w:sz="4" w:space="0"/>
            </w:tcBorders>
            <w:vAlign w:val="center"/>
          </w:tcPr>
          <w:p w14:paraId="2EA4E634">
            <w:pPr>
              <w:pStyle w:val="2"/>
              <w:keepNext w:val="0"/>
              <w:keepLines w:val="0"/>
              <w:pageBreakBefore w:val="0"/>
              <w:kinsoku/>
              <w:overflowPunct/>
              <w:autoSpaceDE/>
              <w:autoSpaceDN/>
              <w:bidi w:val="0"/>
              <w:spacing w:line="520" w:lineRule="exact"/>
              <w:ind w:left="0" w:leftChars="0" w:firstLine="0" w:firstLineChars="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详见招标公告</w:t>
            </w:r>
          </w:p>
        </w:tc>
      </w:tr>
      <w:tr w14:paraId="20917263">
        <w:tblPrEx>
          <w:tblCellMar>
            <w:top w:w="0" w:type="dxa"/>
            <w:left w:w="108" w:type="dxa"/>
            <w:bottom w:w="0" w:type="dxa"/>
            <w:right w:w="108" w:type="dxa"/>
          </w:tblCellMar>
        </w:tblPrEx>
        <w:trPr>
          <w:trHeight w:val="575" w:hRule="atLeast"/>
          <w:jc w:val="center"/>
        </w:trPr>
        <w:tc>
          <w:tcPr>
            <w:tcW w:w="868" w:type="dxa"/>
            <w:vMerge w:val="continue"/>
            <w:tcBorders>
              <w:left w:val="single" w:color="auto" w:sz="4" w:space="0"/>
              <w:bottom w:val="single" w:color="auto" w:sz="4" w:space="0"/>
              <w:right w:val="single" w:color="auto" w:sz="4" w:space="0"/>
            </w:tcBorders>
            <w:vAlign w:val="center"/>
          </w:tcPr>
          <w:p w14:paraId="0497E880">
            <w:pPr>
              <w:keepNext w:val="0"/>
              <w:keepLines w:val="0"/>
              <w:pageBreakBefore w:val="0"/>
              <w:kinsoku/>
              <w:overflowPunct/>
              <w:autoSpaceDE/>
              <w:autoSpaceDN/>
              <w:bidi w:val="0"/>
              <w:spacing w:line="520" w:lineRule="exact"/>
              <w:jc w:val="center"/>
              <w:textAlignment w:val="auto"/>
              <w:rPr>
                <w:rFonts w:hint="eastAsia" w:asciiTheme="minorEastAsia" w:hAnsiTheme="minorEastAsia" w:eastAsiaTheme="minorEastAsia" w:cstheme="minorEastAsia"/>
                <w:color w:val="auto"/>
                <w:sz w:val="21"/>
                <w:szCs w:val="21"/>
                <w:highlight w:val="none"/>
              </w:rPr>
            </w:pP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587066A4">
            <w:pPr>
              <w:keepNext w:val="0"/>
              <w:keepLines w:val="0"/>
              <w:pageBreakBefore w:val="0"/>
              <w:kinsoku/>
              <w:overflowPunct/>
              <w:autoSpaceDE/>
              <w:autoSpaceDN/>
              <w:bidi w:val="0"/>
              <w:spacing w:line="52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招标文件发布时间：</w:t>
            </w:r>
          </w:p>
        </w:tc>
        <w:tc>
          <w:tcPr>
            <w:tcW w:w="7529" w:type="dxa"/>
            <w:tcBorders>
              <w:top w:val="single" w:color="auto" w:sz="4" w:space="0"/>
              <w:left w:val="single" w:color="auto" w:sz="4" w:space="0"/>
              <w:bottom w:val="single" w:color="auto" w:sz="4" w:space="0"/>
              <w:right w:val="single" w:color="auto" w:sz="4" w:space="0"/>
            </w:tcBorders>
            <w:vAlign w:val="center"/>
          </w:tcPr>
          <w:p w14:paraId="3367A798">
            <w:pPr>
              <w:keepNext w:val="0"/>
              <w:keepLines w:val="0"/>
              <w:pageBreakBefore w:val="0"/>
              <w:kinsoku/>
              <w:overflowPunct/>
              <w:autoSpaceDE/>
              <w:autoSpaceDN/>
              <w:bidi w:val="0"/>
              <w:spacing w:line="520" w:lineRule="exac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详见招标公告</w:t>
            </w:r>
          </w:p>
        </w:tc>
      </w:tr>
      <w:tr w14:paraId="0744B0E7">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14:paraId="4D0503C1">
            <w:pPr>
              <w:keepNext w:val="0"/>
              <w:keepLines w:val="0"/>
              <w:pageBreakBefore w:val="0"/>
              <w:kinsoku/>
              <w:overflowPunct/>
              <w:autoSpaceDE/>
              <w:autoSpaceDN/>
              <w:bidi w:val="0"/>
              <w:spacing w:line="52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796ED618">
            <w:pPr>
              <w:keepNext w:val="0"/>
              <w:keepLines w:val="0"/>
              <w:pageBreakBefore w:val="0"/>
              <w:kinsoku/>
              <w:overflowPunct/>
              <w:autoSpaceDE/>
              <w:autoSpaceDN/>
              <w:bidi w:val="0"/>
              <w:spacing w:line="520" w:lineRule="exact"/>
              <w:jc w:val="center"/>
              <w:textAlignment w:val="auto"/>
              <w:rPr>
                <w:rFonts w:hint="eastAsia" w:asciiTheme="minorEastAsia" w:hAnsiTheme="minorEastAsia" w:eastAsiaTheme="minorEastAsia" w:cstheme="minorEastAsia"/>
                <w:color w:val="auto"/>
                <w:spacing w:val="-4"/>
                <w:kern w:val="0"/>
                <w:sz w:val="21"/>
                <w:szCs w:val="21"/>
                <w:highlight w:val="none"/>
              </w:rPr>
            </w:pPr>
            <w:r>
              <w:rPr>
                <w:rFonts w:hint="eastAsia" w:asciiTheme="minorEastAsia" w:hAnsiTheme="minorEastAsia" w:eastAsiaTheme="minorEastAsia" w:cstheme="minorEastAsia"/>
                <w:color w:val="auto"/>
                <w:spacing w:val="-4"/>
                <w:kern w:val="0"/>
                <w:sz w:val="21"/>
                <w:szCs w:val="21"/>
                <w:highlight w:val="none"/>
              </w:rPr>
              <w:t>踏勘现场</w:t>
            </w:r>
          </w:p>
        </w:tc>
        <w:tc>
          <w:tcPr>
            <w:tcW w:w="7529" w:type="dxa"/>
            <w:tcBorders>
              <w:top w:val="single" w:color="auto" w:sz="4" w:space="0"/>
              <w:left w:val="single" w:color="auto" w:sz="4" w:space="0"/>
              <w:bottom w:val="single" w:color="auto" w:sz="4" w:space="0"/>
              <w:right w:val="single" w:color="auto" w:sz="4" w:space="0"/>
            </w:tcBorders>
            <w:vAlign w:val="center"/>
          </w:tcPr>
          <w:p w14:paraId="0C327953">
            <w:pPr>
              <w:pStyle w:val="18"/>
              <w:keepNext w:val="0"/>
              <w:keepLines w:val="0"/>
              <w:pageBreakBefore w:val="0"/>
              <w:kinsoku/>
              <w:overflowPunct/>
              <w:topLinePunct/>
              <w:autoSpaceDE/>
              <w:autoSpaceDN/>
              <w:bidi w:val="0"/>
              <w:spacing w:line="520" w:lineRule="exact"/>
              <w:textAlignment w:val="auto"/>
              <w:rPr>
                <w:rFonts w:hint="eastAsia" w:asciiTheme="minorEastAsia" w:hAnsiTheme="minorEastAsia" w:eastAsiaTheme="minorEastAsia" w:cstheme="minorEastAsia"/>
                <w:color w:val="auto"/>
                <w:spacing w:val="-4"/>
                <w:kern w:val="0"/>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pacing w:val="-4"/>
                <w:kern w:val="0"/>
                <w:sz w:val="21"/>
                <w:szCs w:val="21"/>
                <w:highlight w:val="none"/>
              </w:rPr>
              <w:t>不组织，投标人自行组织踏勘现场</w:t>
            </w:r>
            <w:r>
              <w:rPr>
                <w:rFonts w:hint="eastAsia" w:asciiTheme="minorEastAsia" w:hAnsiTheme="minorEastAsia" w:eastAsiaTheme="minorEastAsia" w:cstheme="minorEastAsia"/>
                <w:color w:val="auto"/>
                <w:sz w:val="21"/>
                <w:szCs w:val="21"/>
                <w:highlight w:val="none"/>
              </w:rPr>
              <w:t>；□组织</w:t>
            </w:r>
          </w:p>
        </w:tc>
      </w:tr>
      <w:tr w14:paraId="3081DAAD">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14:paraId="66B05F1A">
            <w:pPr>
              <w:keepNext w:val="0"/>
              <w:keepLines w:val="0"/>
              <w:pageBreakBefore w:val="0"/>
              <w:kinsoku/>
              <w:overflowPunct/>
              <w:autoSpaceDE/>
              <w:autoSpaceDN/>
              <w:bidi w:val="0"/>
              <w:spacing w:line="52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595C5C99">
            <w:pPr>
              <w:keepNext w:val="0"/>
              <w:keepLines w:val="0"/>
              <w:pageBreakBefore w:val="0"/>
              <w:kinsoku/>
              <w:overflowPunct/>
              <w:autoSpaceDE/>
              <w:autoSpaceDN/>
              <w:bidi w:val="0"/>
              <w:spacing w:line="520" w:lineRule="exact"/>
              <w:jc w:val="center"/>
              <w:textAlignment w:val="auto"/>
              <w:rPr>
                <w:rFonts w:hint="eastAsia" w:asciiTheme="minorEastAsia" w:hAnsiTheme="minorEastAsia" w:eastAsiaTheme="minorEastAsia" w:cstheme="minorEastAsia"/>
                <w:color w:val="auto"/>
                <w:spacing w:val="-4"/>
                <w:kern w:val="0"/>
                <w:sz w:val="21"/>
                <w:szCs w:val="21"/>
                <w:highlight w:val="none"/>
              </w:rPr>
            </w:pPr>
            <w:r>
              <w:rPr>
                <w:rFonts w:hint="eastAsia" w:asciiTheme="minorEastAsia" w:hAnsiTheme="minorEastAsia" w:eastAsiaTheme="minorEastAsia" w:cstheme="minorEastAsia"/>
                <w:color w:val="auto"/>
                <w:spacing w:val="-4"/>
                <w:kern w:val="0"/>
                <w:sz w:val="21"/>
                <w:szCs w:val="21"/>
                <w:highlight w:val="none"/>
              </w:rPr>
              <w:t>投标预备会</w:t>
            </w:r>
          </w:p>
        </w:tc>
        <w:tc>
          <w:tcPr>
            <w:tcW w:w="7529" w:type="dxa"/>
            <w:tcBorders>
              <w:top w:val="single" w:color="auto" w:sz="4" w:space="0"/>
              <w:left w:val="single" w:color="auto" w:sz="4" w:space="0"/>
              <w:bottom w:val="single" w:color="auto" w:sz="4" w:space="0"/>
              <w:right w:val="single" w:color="auto" w:sz="4" w:space="0"/>
            </w:tcBorders>
            <w:vAlign w:val="center"/>
          </w:tcPr>
          <w:p w14:paraId="0D19719A">
            <w:pPr>
              <w:pStyle w:val="18"/>
              <w:keepNext w:val="0"/>
              <w:keepLines w:val="0"/>
              <w:pageBreakBefore w:val="0"/>
              <w:kinsoku/>
              <w:overflowPunct/>
              <w:topLinePunct/>
              <w:autoSpaceDE/>
              <w:autoSpaceDN/>
              <w:bidi w:val="0"/>
              <w:spacing w:line="520" w:lineRule="exact"/>
              <w:textAlignment w:val="auto"/>
              <w:rPr>
                <w:rFonts w:hint="eastAsia" w:asciiTheme="minorEastAsia" w:hAnsiTheme="minorEastAsia" w:eastAsiaTheme="minorEastAsia" w:cstheme="minorEastAsia"/>
                <w:color w:val="auto"/>
                <w:spacing w:val="-4"/>
                <w:kern w:val="0"/>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pacing w:val="-4"/>
                <w:kern w:val="0"/>
                <w:sz w:val="21"/>
                <w:szCs w:val="21"/>
                <w:highlight w:val="none"/>
              </w:rPr>
              <w:t>不召开</w:t>
            </w:r>
            <w:r>
              <w:rPr>
                <w:rFonts w:hint="eastAsia" w:asciiTheme="minorEastAsia" w:hAnsiTheme="minorEastAsia" w:eastAsiaTheme="minorEastAsia" w:cstheme="minorEastAsia"/>
                <w:color w:val="auto"/>
                <w:sz w:val="21"/>
                <w:szCs w:val="21"/>
                <w:highlight w:val="none"/>
              </w:rPr>
              <w:t>；□召开</w:t>
            </w:r>
          </w:p>
        </w:tc>
      </w:tr>
      <w:tr w14:paraId="15F7E7FD">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14:paraId="3A2E5EAB">
            <w:pPr>
              <w:keepNext w:val="0"/>
              <w:keepLines w:val="0"/>
              <w:pageBreakBefore w:val="0"/>
              <w:kinsoku/>
              <w:overflowPunct/>
              <w:autoSpaceDE/>
              <w:autoSpaceDN/>
              <w:bidi w:val="0"/>
              <w:spacing w:line="52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2AB86FA4">
            <w:pPr>
              <w:keepNext w:val="0"/>
              <w:keepLines w:val="0"/>
              <w:pageBreakBefore w:val="0"/>
              <w:kinsoku/>
              <w:overflowPunct/>
              <w:autoSpaceDE/>
              <w:autoSpaceDN/>
              <w:bidi w:val="0"/>
              <w:spacing w:line="52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投标人提出问题的截止时间及方式</w:t>
            </w:r>
          </w:p>
        </w:tc>
        <w:tc>
          <w:tcPr>
            <w:tcW w:w="7529" w:type="dxa"/>
            <w:tcBorders>
              <w:top w:val="single" w:color="auto" w:sz="4" w:space="0"/>
              <w:left w:val="single" w:color="auto" w:sz="4" w:space="0"/>
              <w:bottom w:val="single" w:color="auto" w:sz="4" w:space="0"/>
              <w:right w:val="single" w:color="auto" w:sz="4" w:space="0"/>
            </w:tcBorders>
            <w:vAlign w:val="center"/>
          </w:tcPr>
          <w:p w14:paraId="0975C0A0">
            <w:pPr>
              <w:keepNext w:val="0"/>
              <w:keepLines w:val="0"/>
              <w:pageBreakBefore w:val="0"/>
              <w:kinsoku/>
              <w:wordWrap w:val="0"/>
              <w:overflowPunct/>
              <w:autoSpaceDE/>
              <w:autoSpaceDN/>
              <w:bidi w:val="0"/>
              <w:spacing w:line="52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如投标人对招标文件有疑问，请于</w:t>
            </w:r>
            <w:r>
              <w:rPr>
                <w:rFonts w:hint="eastAsia" w:asciiTheme="minorEastAsia" w:hAnsiTheme="minorEastAsia" w:eastAsiaTheme="minorEastAsia" w:cstheme="minorEastAsia"/>
                <w:b/>
                <w:bCs/>
                <w:color w:val="auto"/>
                <w:kern w:val="0"/>
                <w:sz w:val="21"/>
                <w:szCs w:val="21"/>
                <w:highlight w:val="none"/>
              </w:rPr>
              <w:t>202</w:t>
            </w:r>
            <w:r>
              <w:rPr>
                <w:rFonts w:hint="eastAsia" w:asciiTheme="minorEastAsia" w:hAnsiTheme="minorEastAsia" w:eastAsiaTheme="minorEastAsia" w:cstheme="minorEastAsia"/>
                <w:b/>
                <w:bCs/>
                <w:color w:val="auto"/>
                <w:kern w:val="0"/>
                <w:sz w:val="21"/>
                <w:szCs w:val="21"/>
                <w:highlight w:val="none"/>
                <w:lang w:val="en-US" w:eastAsia="zh-CN"/>
              </w:rPr>
              <w:t>5</w:t>
            </w:r>
            <w:r>
              <w:rPr>
                <w:rFonts w:hint="eastAsia" w:asciiTheme="minorEastAsia" w:hAnsiTheme="minorEastAsia" w:eastAsiaTheme="minorEastAsia" w:cstheme="minorEastAsia"/>
                <w:b/>
                <w:bCs/>
                <w:color w:val="auto"/>
                <w:sz w:val="21"/>
                <w:szCs w:val="21"/>
                <w:highlight w:val="none"/>
              </w:rPr>
              <w:t>年</w:t>
            </w:r>
            <w:r>
              <w:rPr>
                <w:rFonts w:hint="eastAsia" w:asciiTheme="minorEastAsia" w:hAnsiTheme="minorEastAsia" w:eastAsiaTheme="minorEastAsia" w:cstheme="minorEastAsia"/>
                <w:b/>
                <w:bCs/>
                <w:color w:val="auto"/>
                <w:sz w:val="21"/>
                <w:szCs w:val="21"/>
                <w:highlight w:val="none"/>
                <w:lang w:val="en-US" w:eastAsia="zh-CN"/>
              </w:rPr>
              <w:t>8</w:t>
            </w:r>
            <w:r>
              <w:rPr>
                <w:rFonts w:hint="eastAsia" w:asciiTheme="minorEastAsia" w:hAnsiTheme="minorEastAsia" w:eastAsiaTheme="minorEastAsia" w:cstheme="minorEastAsia"/>
                <w:b/>
                <w:bCs/>
                <w:color w:val="auto"/>
                <w:sz w:val="21"/>
                <w:szCs w:val="21"/>
                <w:highlight w:val="none"/>
              </w:rPr>
              <w:t>月</w:t>
            </w:r>
            <w:r>
              <w:rPr>
                <w:rFonts w:hint="eastAsia" w:asciiTheme="minorEastAsia" w:hAnsiTheme="minorEastAsia" w:eastAsiaTheme="minorEastAsia" w:cstheme="minorEastAsia"/>
                <w:b/>
                <w:bCs/>
                <w:color w:val="auto"/>
                <w:sz w:val="21"/>
                <w:szCs w:val="21"/>
                <w:highlight w:val="none"/>
                <w:lang w:val="en-US" w:eastAsia="zh-CN"/>
              </w:rPr>
              <w:t>16</w:t>
            </w:r>
            <w:r>
              <w:rPr>
                <w:rFonts w:hint="eastAsia" w:asciiTheme="minorEastAsia" w:hAnsiTheme="minorEastAsia" w:eastAsiaTheme="minorEastAsia" w:cstheme="minorEastAsia"/>
                <w:b/>
                <w:bCs/>
                <w:color w:val="auto"/>
                <w:sz w:val="21"/>
                <w:szCs w:val="21"/>
                <w:highlight w:val="none"/>
              </w:rPr>
              <w:t>日</w:t>
            </w:r>
            <w:r>
              <w:rPr>
                <w:rFonts w:hint="eastAsia" w:asciiTheme="minorEastAsia" w:hAnsiTheme="minorEastAsia" w:eastAsiaTheme="minorEastAsia" w:cstheme="minorEastAsia"/>
                <w:b/>
                <w:bCs/>
                <w:color w:val="auto"/>
                <w:sz w:val="21"/>
                <w:szCs w:val="21"/>
                <w:highlight w:val="none"/>
                <w:lang w:val="en-US" w:eastAsia="zh-CN"/>
              </w:rPr>
              <w:t>8</w:t>
            </w:r>
            <w:r>
              <w:rPr>
                <w:rFonts w:hint="eastAsia" w:asciiTheme="minorEastAsia" w:hAnsiTheme="minorEastAsia" w:eastAsiaTheme="minorEastAsia" w:cstheme="minorEastAsia"/>
                <w:b/>
                <w:bCs/>
                <w:color w:val="auto"/>
                <w:sz w:val="21"/>
                <w:szCs w:val="21"/>
                <w:highlight w:val="none"/>
              </w:rPr>
              <w:t>时</w:t>
            </w:r>
            <w:r>
              <w:rPr>
                <w:rFonts w:hint="eastAsia" w:asciiTheme="minorEastAsia" w:hAnsiTheme="minorEastAsia" w:eastAsiaTheme="minorEastAsia" w:cstheme="minorEastAsia"/>
                <w:color w:val="auto"/>
                <w:sz w:val="21"/>
                <w:szCs w:val="21"/>
                <w:highlight w:val="none"/>
              </w:rPr>
              <w:t>（投标截止10 日）</w:t>
            </w:r>
            <w:r>
              <w:rPr>
                <w:rFonts w:hint="eastAsia" w:asciiTheme="minorEastAsia" w:hAnsiTheme="minorEastAsia" w:eastAsiaTheme="minorEastAsia" w:cstheme="minorEastAsia"/>
                <w:color w:val="auto"/>
                <w:kern w:val="0"/>
                <w:sz w:val="21"/>
                <w:szCs w:val="21"/>
                <w:highlight w:val="none"/>
              </w:rPr>
              <w:t>前在滁州市公共资源交易中心网电子交易系统中进行异议，具体操作步骤和程序请参见服务指南&gt;交易须知&gt;在线异议、质疑和投诉操作手册。</w:t>
            </w:r>
          </w:p>
        </w:tc>
      </w:tr>
      <w:tr w14:paraId="0A04FE7D">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14:paraId="0BDAC887">
            <w:pPr>
              <w:keepNext w:val="0"/>
              <w:keepLines w:val="0"/>
              <w:pageBreakBefore w:val="0"/>
              <w:kinsoku/>
              <w:overflowPunct/>
              <w:autoSpaceDE/>
              <w:autoSpaceDN/>
              <w:bidi w:val="0"/>
              <w:spacing w:line="52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6983C786">
            <w:pPr>
              <w:keepNext w:val="0"/>
              <w:keepLines w:val="0"/>
              <w:pageBreakBefore w:val="0"/>
              <w:kinsoku/>
              <w:overflowPunct/>
              <w:autoSpaceDE/>
              <w:autoSpaceDN/>
              <w:bidi w:val="0"/>
              <w:spacing w:line="52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招标人澄清的时间及方式</w:t>
            </w:r>
          </w:p>
        </w:tc>
        <w:tc>
          <w:tcPr>
            <w:tcW w:w="7529" w:type="dxa"/>
            <w:tcBorders>
              <w:top w:val="single" w:color="auto" w:sz="4" w:space="0"/>
              <w:left w:val="single" w:color="auto" w:sz="4" w:space="0"/>
              <w:bottom w:val="single" w:color="auto" w:sz="4" w:space="0"/>
              <w:right w:val="single" w:color="auto" w:sz="4" w:space="0"/>
            </w:tcBorders>
            <w:vAlign w:val="center"/>
          </w:tcPr>
          <w:p w14:paraId="055D5A60">
            <w:pPr>
              <w:keepNext w:val="0"/>
              <w:keepLines w:val="0"/>
              <w:pageBreakBefore w:val="0"/>
              <w:kinsoku/>
              <w:overflowPunct/>
              <w:autoSpaceDE/>
              <w:autoSpaceDN/>
              <w:bidi w:val="0"/>
              <w:spacing w:line="5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202</w:t>
            </w:r>
            <w:r>
              <w:rPr>
                <w:rFonts w:hint="eastAsia" w:asciiTheme="minorEastAsia" w:hAnsiTheme="minorEastAsia" w:eastAsiaTheme="minorEastAsia" w:cstheme="minorEastAsia"/>
                <w:b/>
                <w:bCs/>
                <w:color w:val="auto"/>
                <w:sz w:val="21"/>
                <w:szCs w:val="21"/>
                <w:highlight w:val="none"/>
                <w:lang w:val="en-US" w:eastAsia="zh-CN"/>
              </w:rPr>
              <w:t>5</w:t>
            </w:r>
            <w:r>
              <w:rPr>
                <w:rFonts w:hint="eastAsia" w:asciiTheme="minorEastAsia" w:hAnsiTheme="minorEastAsia" w:eastAsiaTheme="minorEastAsia" w:cstheme="minorEastAsia"/>
                <w:b/>
                <w:bCs/>
                <w:color w:val="auto"/>
                <w:sz w:val="21"/>
                <w:szCs w:val="21"/>
                <w:highlight w:val="none"/>
              </w:rPr>
              <w:t>年</w:t>
            </w:r>
            <w:r>
              <w:rPr>
                <w:rFonts w:hint="eastAsia" w:asciiTheme="minorEastAsia" w:hAnsiTheme="minorEastAsia" w:eastAsiaTheme="minorEastAsia" w:cstheme="minorEastAsia"/>
                <w:b/>
                <w:bCs/>
                <w:color w:val="auto"/>
                <w:sz w:val="21"/>
                <w:szCs w:val="21"/>
                <w:highlight w:val="none"/>
                <w:lang w:val="en-US" w:eastAsia="zh-CN"/>
              </w:rPr>
              <w:t>8</w:t>
            </w:r>
            <w:r>
              <w:rPr>
                <w:rFonts w:hint="eastAsia" w:asciiTheme="minorEastAsia" w:hAnsiTheme="minorEastAsia" w:eastAsiaTheme="minorEastAsia" w:cstheme="minorEastAsia"/>
                <w:b/>
                <w:bCs/>
                <w:color w:val="auto"/>
                <w:sz w:val="21"/>
                <w:szCs w:val="21"/>
                <w:highlight w:val="none"/>
              </w:rPr>
              <w:t>月</w:t>
            </w:r>
            <w:r>
              <w:rPr>
                <w:rFonts w:hint="eastAsia" w:asciiTheme="minorEastAsia" w:hAnsiTheme="minorEastAsia" w:eastAsiaTheme="minorEastAsia" w:cstheme="minorEastAsia"/>
                <w:b/>
                <w:bCs/>
                <w:color w:val="auto"/>
                <w:sz w:val="21"/>
                <w:szCs w:val="21"/>
                <w:highlight w:val="none"/>
                <w:lang w:val="en-US" w:eastAsia="zh-CN"/>
              </w:rPr>
              <w:t>18</w:t>
            </w:r>
            <w:r>
              <w:rPr>
                <w:rFonts w:hint="eastAsia" w:asciiTheme="minorEastAsia" w:hAnsiTheme="minorEastAsia" w:eastAsiaTheme="minorEastAsia" w:cstheme="minorEastAsia"/>
                <w:b/>
                <w:bCs/>
                <w:color w:val="auto"/>
                <w:sz w:val="21"/>
                <w:szCs w:val="21"/>
                <w:highlight w:val="none"/>
              </w:rPr>
              <w:t>日17时前</w:t>
            </w:r>
            <w:r>
              <w:rPr>
                <w:rFonts w:hint="eastAsia" w:asciiTheme="minorEastAsia" w:hAnsiTheme="minorEastAsia" w:eastAsiaTheme="minorEastAsia" w:cstheme="minorEastAsia"/>
                <w:color w:val="auto"/>
                <w:kern w:val="0"/>
                <w:sz w:val="21"/>
                <w:szCs w:val="21"/>
                <w:highlight w:val="none"/>
              </w:rPr>
              <w:t>在滁州市公共资源交易中心网站</w:t>
            </w:r>
            <w:r>
              <w:rPr>
                <w:rFonts w:hint="eastAsia" w:asciiTheme="minorEastAsia" w:hAnsiTheme="minorEastAsia" w:eastAsiaTheme="minorEastAsia" w:cstheme="minorEastAsia"/>
                <w:color w:val="auto"/>
                <w:sz w:val="21"/>
                <w:szCs w:val="21"/>
                <w:highlight w:val="none"/>
              </w:rPr>
              <w:t xml:space="preserve"> “答疑澄清文件”栏目予以公告</w:t>
            </w:r>
            <w:r>
              <w:rPr>
                <w:rFonts w:hint="eastAsia" w:asciiTheme="minorEastAsia" w:hAnsiTheme="minorEastAsia" w:eastAsiaTheme="minorEastAsia" w:cstheme="minorEastAsia"/>
                <w:color w:val="auto"/>
                <w:kern w:val="0"/>
                <w:sz w:val="21"/>
                <w:szCs w:val="21"/>
                <w:highlight w:val="none"/>
              </w:rPr>
              <w:t>。</w:t>
            </w:r>
          </w:p>
        </w:tc>
      </w:tr>
      <w:tr w14:paraId="3A6D5DE6">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14:paraId="07DA7FB4">
            <w:pPr>
              <w:keepNext w:val="0"/>
              <w:keepLines w:val="0"/>
              <w:pageBreakBefore w:val="0"/>
              <w:kinsoku/>
              <w:overflowPunct/>
              <w:autoSpaceDE/>
              <w:autoSpaceDN/>
              <w:bidi w:val="0"/>
              <w:spacing w:line="52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15</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34F0F47D">
            <w:pPr>
              <w:keepNext w:val="0"/>
              <w:keepLines w:val="0"/>
              <w:pageBreakBefore w:val="0"/>
              <w:kinsoku/>
              <w:overflowPunct/>
              <w:autoSpaceDE/>
              <w:autoSpaceDN/>
              <w:bidi w:val="0"/>
              <w:spacing w:line="52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构成招标文件的其他材料</w:t>
            </w:r>
          </w:p>
        </w:tc>
        <w:tc>
          <w:tcPr>
            <w:tcW w:w="7529" w:type="dxa"/>
            <w:tcBorders>
              <w:top w:val="single" w:color="auto" w:sz="4" w:space="0"/>
              <w:left w:val="single" w:color="auto" w:sz="4" w:space="0"/>
              <w:bottom w:val="single" w:color="auto" w:sz="4" w:space="0"/>
              <w:right w:val="single" w:color="auto" w:sz="4" w:space="0"/>
            </w:tcBorders>
            <w:vAlign w:val="center"/>
          </w:tcPr>
          <w:p w14:paraId="39630647">
            <w:pPr>
              <w:keepNext w:val="0"/>
              <w:keepLines w:val="0"/>
              <w:pageBreakBefore w:val="0"/>
              <w:kinsoku/>
              <w:overflowPunct/>
              <w:autoSpaceDE/>
              <w:autoSpaceDN/>
              <w:bidi w:val="0"/>
              <w:spacing w:line="5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本工程招标澄清答疑文件等。</w:t>
            </w:r>
          </w:p>
        </w:tc>
      </w:tr>
      <w:tr w14:paraId="34AC3AC2">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14:paraId="31524E1C">
            <w:pPr>
              <w:keepNext w:val="0"/>
              <w:keepLines w:val="0"/>
              <w:pageBreakBefore w:val="0"/>
              <w:kinsoku/>
              <w:overflowPunct/>
              <w:autoSpaceDE/>
              <w:autoSpaceDN/>
              <w:bidi w:val="0"/>
              <w:spacing w:line="52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17</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310A63A5">
            <w:pPr>
              <w:keepNext w:val="0"/>
              <w:keepLines w:val="0"/>
              <w:pageBreakBefore w:val="0"/>
              <w:kinsoku/>
              <w:overflowPunct/>
              <w:autoSpaceDE/>
              <w:autoSpaceDN/>
              <w:bidi w:val="0"/>
              <w:spacing w:line="52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最高投标限价（费率）</w:t>
            </w:r>
          </w:p>
        </w:tc>
        <w:tc>
          <w:tcPr>
            <w:tcW w:w="7529" w:type="dxa"/>
            <w:tcBorders>
              <w:top w:val="single" w:color="auto" w:sz="4" w:space="0"/>
              <w:left w:val="single" w:color="auto" w:sz="4" w:space="0"/>
              <w:bottom w:val="single" w:color="auto" w:sz="4" w:space="0"/>
              <w:right w:val="single" w:color="auto" w:sz="4" w:space="0"/>
            </w:tcBorders>
            <w:vAlign w:val="center"/>
          </w:tcPr>
          <w:p w14:paraId="0B90845B">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1.最高限价为：1.16‰。投标报价不得高于最高限价，否则按无效标处理。</w:t>
            </w:r>
          </w:p>
          <w:p w14:paraId="473691DC">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u w:val="none"/>
                <w:lang w:val="en-US" w:eastAsia="zh-CN"/>
              </w:rPr>
              <w:t>注：报投标报价费率小数点后最多保留两位，如填报多位小数的，按小数点后第三位四舍五入修正投标报价费率（如：某投标报价费率为</w:t>
            </w:r>
            <w:r>
              <w:rPr>
                <w:rFonts w:hint="eastAsia" w:asciiTheme="minorEastAsia" w:hAnsiTheme="minorEastAsia" w:eastAsiaTheme="minorEastAsia" w:cstheme="minorEastAsia"/>
                <w:b/>
                <w:bCs/>
                <w:color w:val="auto"/>
                <w:sz w:val="21"/>
                <w:szCs w:val="21"/>
                <w:highlight w:val="none"/>
                <w:lang w:val="en-US" w:eastAsia="zh-CN"/>
              </w:rPr>
              <w:t>0.823‰</w:t>
            </w:r>
            <w:r>
              <w:rPr>
                <w:rFonts w:hint="eastAsia" w:asciiTheme="minorEastAsia" w:hAnsiTheme="minorEastAsia" w:eastAsiaTheme="minorEastAsia" w:cstheme="minorEastAsia"/>
                <w:b/>
                <w:bCs/>
                <w:color w:val="auto"/>
                <w:sz w:val="21"/>
                <w:szCs w:val="21"/>
                <w:highlight w:val="none"/>
                <w:u w:val="none"/>
                <w:lang w:val="en-US" w:eastAsia="zh-CN"/>
              </w:rPr>
              <w:t xml:space="preserve">，则修正为 </w:t>
            </w:r>
            <w:r>
              <w:rPr>
                <w:rFonts w:hint="eastAsia" w:asciiTheme="minorEastAsia" w:hAnsiTheme="minorEastAsia" w:eastAsiaTheme="minorEastAsia" w:cstheme="minorEastAsia"/>
                <w:b/>
                <w:bCs/>
                <w:color w:val="auto"/>
                <w:sz w:val="21"/>
                <w:szCs w:val="21"/>
                <w:highlight w:val="none"/>
                <w:lang w:val="en-US" w:eastAsia="zh-CN"/>
              </w:rPr>
              <w:t>0.82‰</w:t>
            </w:r>
            <w:r>
              <w:rPr>
                <w:rFonts w:hint="eastAsia" w:asciiTheme="minorEastAsia" w:hAnsiTheme="minorEastAsia" w:eastAsiaTheme="minorEastAsia" w:cstheme="minorEastAsia"/>
                <w:b/>
                <w:bCs/>
                <w:color w:val="auto"/>
                <w:sz w:val="21"/>
                <w:szCs w:val="21"/>
                <w:highlight w:val="none"/>
                <w:u w:val="none"/>
                <w:lang w:val="en-US" w:eastAsia="zh-CN"/>
              </w:rPr>
              <w:t>；某投标报价费率为</w:t>
            </w:r>
            <w:r>
              <w:rPr>
                <w:rFonts w:hint="eastAsia" w:asciiTheme="minorEastAsia" w:hAnsiTheme="minorEastAsia" w:eastAsiaTheme="minorEastAsia" w:cstheme="minorEastAsia"/>
                <w:b/>
                <w:bCs/>
                <w:color w:val="auto"/>
                <w:sz w:val="21"/>
                <w:szCs w:val="21"/>
                <w:highlight w:val="none"/>
                <w:lang w:val="en-US" w:eastAsia="zh-CN"/>
              </w:rPr>
              <w:t>0.826‰</w:t>
            </w:r>
            <w:r>
              <w:rPr>
                <w:rFonts w:hint="eastAsia" w:asciiTheme="minorEastAsia" w:hAnsiTheme="minorEastAsia" w:eastAsiaTheme="minorEastAsia" w:cstheme="minorEastAsia"/>
                <w:b/>
                <w:bCs/>
                <w:color w:val="auto"/>
                <w:sz w:val="21"/>
                <w:szCs w:val="21"/>
                <w:highlight w:val="none"/>
                <w:u w:val="none"/>
                <w:lang w:val="en-US" w:eastAsia="zh-CN"/>
              </w:rPr>
              <w:t>，则修正为0.83‰）。</w:t>
            </w:r>
          </w:p>
          <w:p w14:paraId="61ECDBEF">
            <w:pPr>
              <w:pStyle w:val="2"/>
              <w:keepNext w:val="0"/>
              <w:keepLines w:val="0"/>
              <w:pageBreakBefore w:val="0"/>
              <w:numPr>
                <w:ilvl w:val="0"/>
                <w:numId w:val="0"/>
              </w:numPr>
              <w:kinsoku/>
              <w:overflowPunct/>
              <w:autoSpaceDE/>
              <w:autoSpaceDN/>
              <w:bidi w:val="0"/>
              <w:spacing w:line="520" w:lineRule="exact"/>
              <w:ind w:left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val="0"/>
                <w:bCs w:val="0"/>
                <w:color w:val="auto"/>
                <w:kern w:val="2"/>
                <w:sz w:val="21"/>
                <w:szCs w:val="21"/>
                <w:highlight w:val="none"/>
                <w:lang w:val="en-US" w:eastAsia="zh-CN" w:bidi="ar-SA"/>
              </w:rPr>
              <w:t>2.中标费率不予调整，无论任何原因导致的工期延长，委托人均不再增加服务费用，招标人不再另行支付其他任何费用。</w:t>
            </w:r>
          </w:p>
        </w:tc>
      </w:tr>
      <w:tr w14:paraId="43C8E04B">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14:paraId="1659C109">
            <w:pPr>
              <w:keepNext w:val="0"/>
              <w:keepLines w:val="0"/>
              <w:pageBreakBefore w:val="0"/>
              <w:kinsoku/>
              <w:overflowPunct/>
              <w:autoSpaceDE/>
              <w:autoSpaceDN/>
              <w:bidi w:val="0"/>
              <w:spacing w:line="52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18</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1E8988F0">
            <w:pPr>
              <w:keepNext w:val="0"/>
              <w:keepLines w:val="0"/>
              <w:pageBreakBefore w:val="0"/>
              <w:kinsoku/>
              <w:overflowPunct/>
              <w:autoSpaceDE/>
              <w:autoSpaceDN/>
              <w:bidi w:val="0"/>
              <w:spacing w:line="52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投标有效期</w:t>
            </w:r>
          </w:p>
        </w:tc>
        <w:tc>
          <w:tcPr>
            <w:tcW w:w="7529" w:type="dxa"/>
            <w:tcBorders>
              <w:top w:val="single" w:color="auto" w:sz="4" w:space="0"/>
              <w:left w:val="single" w:color="auto" w:sz="4" w:space="0"/>
              <w:bottom w:val="single" w:color="auto" w:sz="4" w:space="0"/>
              <w:right w:val="single" w:color="auto" w:sz="4" w:space="0"/>
            </w:tcBorders>
            <w:vAlign w:val="center"/>
          </w:tcPr>
          <w:p w14:paraId="0031D10B">
            <w:pPr>
              <w:keepNext w:val="0"/>
              <w:keepLines w:val="0"/>
              <w:pageBreakBefore w:val="0"/>
              <w:kinsoku/>
              <w:overflowPunct/>
              <w:autoSpaceDE/>
              <w:autoSpaceDN/>
              <w:bidi w:val="0"/>
              <w:spacing w:line="5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投标有效期为</w:t>
            </w:r>
            <w:r>
              <w:rPr>
                <w:rFonts w:hint="eastAsia" w:asciiTheme="minorEastAsia" w:hAnsiTheme="minorEastAsia" w:eastAsiaTheme="minorEastAsia" w:cstheme="minorEastAsia"/>
                <w:color w:val="auto"/>
                <w:sz w:val="21"/>
                <w:szCs w:val="21"/>
                <w:highlight w:val="none"/>
                <w:u w:val="single"/>
              </w:rPr>
              <w:t xml:space="preserve"> 90</w:t>
            </w:r>
            <w:r>
              <w:rPr>
                <w:rFonts w:hint="eastAsia" w:asciiTheme="minorEastAsia" w:hAnsiTheme="minorEastAsia" w:eastAsiaTheme="minorEastAsia" w:cstheme="minorEastAsia"/>
                <w:color w:val="auto"/>
                <w:sz w:val="21"/>
                <w:szCs w:val="21"/>
                <w:highlight w:val="none"/>
              </w:rPr>
              <w:t>日历天（从投标截止之日算起）。在此期限内，凡符合本招标文件要求的投标文件均保持有效。</w:t>
            </w:r>
          </w:p>
        </w:tc>
      </w:tr>
      <w:tr w14:paraId="4D302DC9">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14:paraId="3706685D">
            <w:pPr>
              <w:keepNext w:val="0"/>
              <w:keepLines w:val="0"/>
              <w:pageBreakBefore w:val="0"/>
              <w:kinsoku/>
              <w:overflowPunct/>
              <w:autoSpaceDE/>
              <w:autoSpaceDN/>
              <w:bidi w:val="0"/>
              <w:spacing w:line="52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19</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4EC96DDD">
            <w:pPr>
              <w:keepNext w:val="0"/>
              <w:keepLines w:val="0"/>
              <w:pageBreakBefore w:val="0"/>
              <w:kinsoku/>
              <w:overflowPunct/>
              <w:autoSpaceDE/>
              <w:autoSpaceDN/>
              <w:bidi w:val="0"/>
              <w:spacing w:line="52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投标保证金</w:t>
            </w:r>
          </w:p>
        </w:tc>
        <w:tc>
          <w:tcPr>
            <w:tcW w:w="7529" w:type="dxa"/>
            <w:tcBorders>
              <w:top w:val="single" w:color="auto" w:sz="4" w:space="0"/>
              <w:left w:val="single" w:color="auto" w:sz="4" w:space="0"/>
              <w:bottom w:val="single" w:color="auto" w:sz="4" w:space="0"/>
              <w:right w:val="single" w:color="auto" w:sz="4" w:space="0"/>
            </w:tcBorders>
            <w:vAlign w:val="center"/>
          </w:tcPr>
          <w:p w14:paraId="120FA5C1">
            <w:pPr>
              <w:keepNext w:val="0"/>
              <w:keepLines w:val="0"/>
              <w:pageBreakBefore w:val="0"/>
              <w:kinsoku/>
              <w:overflowPunct/>
              <w:autoSpaceDE/>
              <w:autoSpaceDN/>
              <w:bidi w:val="0"/>
              <w:spacing w:line="5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详见招标公告</w:t>
            </w:r>
          </w:p>
        </w:tc>
      </w:tr>
      <w:tr w14:paraId="367E62EE">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14:paraId="2F60D71F">
            <w:pPr>
              <w:keepNext w:val="0"/>
              <w:keepLines w:val="0"/>
              <w:pageBreakBefore w:val="0"/>
              <w:kinsoku/>
              <w:overflowPunct/>
              <w:autoSpaceDE/>
              <w:autoSpaceDN/>
              <w:bidi w:val="0"/>
              <w:spacing w:line="52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20</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34704AC2">
            <w:pPr>
              <w:keepNext w:val="0"/>
              <w:keepLines w:val="0"/>
              <w:pageBreakBefore w:val="0"/>
              <w:kinsoku/>
              <w:overflowPunct/>
              <w:autoSpaceDE/>
              <w:autoSpaceDN/>
              <w:bidi w:val="0"/>
              <w:spacing w:line="52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签字或盖章要求</w:t>
            </w:r>
          </w:p>
        </w:tc>
        <w:tc>
          <w:tcPr>
            <w:tcW w:w="7529" w:type="dxa"/>
            <w:tcBorders>
              <w:top w:val="single" w:color="auto" w:sz="4" w:space="0"/>
              <w:left w:val="single" w:color="auto" w:sz="4" w:space="0"/>
              <w:bottom w:val="single" w:color="auto" w:sz="4" w:space="0"/>
              <w:right w:val="single" w:color="auto" w:sz="4" w:space="0"/>
            </w:tcBorders>
            <w:vAlign w:val="center"/>
          </w:tcPr>
          <w:p w14:paraId="712F2CD0">
            <w:pPr>
              <w:keepNext w:val="0"/>
              <w:keepLines w:val="0"/>
              <w:pageBreakBefore w:val="0"/>
              <w:kinsoku/>
              <w:overflowPunct/>
              <w:autoSpaceDE/>
              <w:autoSpaceDN/>
              <w:bidi w:val="0"/>
              <w:spacing w:line="5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电子投标文件须按格式文件要求签字或盖章（电子签章），招标文件格式中要求“签章”部位，指电子签章或盖章后扫描上传均可。否则经评委会一致认定后，按照无效投标处理。</w:t>
            </w:r>
          </w:p>
        </w:tc>
      </w:tr>
      <w:tr w14:paraId="297D128A">
        <w:tblPrEx>
          <w:tblCellMar>
            <w:top w:w="0" w:type="dxa"/>
            <w:left w:w="108" w:type="dxa"/>
            <w:bottom w:w="0" w:type="dxa"/>
            <w:right w:w="108" w:type="dxa"/>
          </w:tblCellMar>
        </w:tblPrEx>
        <w:trPr>
          <w:trHeight w:val="2094"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4635336C">
            <w:pPr>
              <w:keepNext w:val="0"/>
              <w:keepLines w:val="0"/>
              <w:pageBreakBefore w:val="0"/>
              <w:kinsoku/>
              <w:overflowPunct/>
              <w:autoSpaceDE/>
              <w:autoSpaceDN/>
              <w:bidi w:val="0"/>
              <w:spacing w:line="52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21</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269D85D6">
            <w:pPr>
              <w:keepNext w:val="0"/>
              <w:keepLines w:val="0"/>
              <w:pageBreakBefore w:val="0"/>
              <w:kinsoku/>
              <w:overflowPunct/>
              <w:autoSpaceDE/>
              <w:autoSpaceDN/>
              <w:bidi w:val="0"/>
              <w:spacing w:line="52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投标文件份数</w:t>
            </w:r>
          </w:p>
        </w:tc>
        <w:tc>
          <w:tcPr>
            <w:tcW w:w="7529" w:type="dxa"/>
            <w:tcBorders>
              <w:top w:val="single" w:color="auto" w:sz="4" w:space="0"/>
              <w:left w:val="single" w:color="auto" w:sz="4" w:space="0"/>
              <w:bottom w:val="single" w:color="auto" w:sz="4" w:space="0"/>
              <w:right w:val="single" w:color="auto" w:sz="4" w:space="0"/>
            </w:tcBorders>
            <w:vAlign w:val="center"/>
          </w:tcPr>
          <w:p w14:paraId="26D50FDC">
            <w:pPr>
              <w:keepNext w:val="0"/>
              <w:keepLines w:val="0"/>
              <w:pageBreakBefore w:val="0"/>
              <w:kinsoku/>
              <w:overflowPunct/>
              <w:autoSpaceDE/>
              <w:autoSpaceDN/>
              <w:bidi w:val="0"/>
              <w:spacing w:line="5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网上递交的电子投标文件：一份，加密电子投标文件应在投标截止时间前通过交易中心电子交易系统上传。</w:t>
            </w:r>
          </w:p>
          <w:p w14:paraId="418F7368">
            <w:pPr>
              <w:pStyle w:val="2"/>
              <w:keepNext w:val="0"/>
              <w:keepLines w:val="0"/>
              <w:pageBreakBefore w:val="0"/>
              <w:kinsoku/>
              <w:overflowPunct/>
              <w:autoSpaceDE/>
              <w:autoSpaceDN/>
              <w:bidi w:val="0"/>
              <w:spacing w:line="520" w:lineRule="exact"/>
              <w:ind w:left="0" w:leftChars="0"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kern w:val="0"/>
                <w:sz w:val="21"/>
                <w:szCs w:val="21"/>
                <w:highlight w:val="none"/>
              </w:rPr>
              <w:t>（投标人中标后须递交与网上电子投标文件完全一致的纸质版投标文件，并按要求加盖公章；份数：正本</w:t>
            </w:r>
            <w:r>
              <w:rPr>
                <w:rFonts w:hint="eastAsia" w:asciiTheme="minorEastAsia" w:hAnsiTheme="minorEastAsia" w:eastAsiaTheme="minorEastAsia" w:cstheme="minorEastAsia"/>
                <w:b/>
                <w:color w:val="auto"/>
                <w:kern w:val="0"/>
                <w:sz w:val="21"/>
                <w:szCs w:val="21"/>
                <w:highlight w:val="none"/>
                <w:u w:val="single"/>
              </w:rPr>
              <w:t xml:space="preserve"> 1 </w:t>
            </w:r>
            <w:r>
              <w:rPr>
                <w:rFonts w:hint="eastAsia" w:asciiTheme="minorEastAsia" w:hAnsiTheme="minorEastAsia" w:eastAsiaTheme="minorEastAsia" w:cstheme="minorEastAsia"/>
                <w:b/>
                <w:color w:val="auto"/>
                <w:kern w:val="0"/>
                <w:sz w:val="21"/>
                <w:szCs w:val="21"/>
                <w:highlight w:val="none"/>
              </w:rPr>
              <w:t>份，副本</w:t>
            </w:r>
            <w:r>
              <w:rPr>
                <w:rFonts w:hint="eastAsia" w:asciiTheme="minorEastAsia" w:hAnsiTheme="minorEastAsia" w:eastAsiaTheme="minorEastAsia" w:cstheme="minorEastAsia"/>
                <w:b/>
                <w:color w:val="auto"/>
                <w:kern w:val="0"/>
                <w:sz w:val="21"/>
                <w:szCs w:val="21"/>
                <w:highlight w:val="none"/>
                <w:u w:val="single"/>
              </w:rPr>
              <w:t xml:space="preserve"> </w:t>
            </w:r>
            <w:r>
              <w:rPr>
                <w:rFonts w:hint="eastAsia" w:asciiTheme="minorEastAsia" w:hAnsiTheme="minorEastAsia" w:eastAsiaTheme="minorEastAsia" w:cstheme="minorEastAsia"/>
                <w:b/>
                <w:color w:val="auto"/>
                <w:kern w:val="0"/>
                <w:sz w:val="21"/>
                <w:szCs w:val="21"/>
                <w:highlight w:val="none"/>
                <w:u w:val="single"/>
                <w:lang w:val="en-US" w:eastAsia="zh-CN"/>
              </w:rPr>
              <w:t>2</w:t>
            </w:r>
            <w:r>
              <w:rPr>
                <w:rFonts w:hint="eastAsia" w:asciiTheme="minorEastAsia" w:hAnsiTheme="minorEastAsia" w:eastAsiaTheme="minorEastAsia" w:cstheme="minorEastAsia"/>
                <w:b/>
                <w:color w:val="auto"/>
                <w:kern w:val="0"/>
                <w:sz w:val="21"/>
                <w:szCs w:val="21"/>
                <w:highlight w:val="none"/>
                <w:u w:val="single"/>
              </w:rPr>
              <w:t xml:space="preserve"> </w:t>
            </w:r>
            <w:r>
              <w:rPr>
                <w:rFonts w:hint="eastAsia" w:asciiTheme="minorEastAsia" w:hAnsiTheme="minorEastAsia" w:eastAsiaTheme="minorEastAsia" w:cstheme="minorEastAsia"/>
                <w:b/>
                <w:color w:val="auto"/>
                <w:kern w:val="0"/>
                <w:sz w:val="21"/>
                <w:szCs w:val="21"/>
                <w:highlight w:val="none"/>
              </w:rPr>
              <w:t>份；中标</w:t>
            </w:r>
            <w:r>
              <w:rPr>
                <w:rFonts w:hint="eastAsia" w:asciiTheme="minorEastAsia" w:hAnsiTheme="minorEastAsia" w:eastAsiaTheme="minorEastAsia" w:cstheme="minorEastAsia"/>
                <w:b/>
                <w:color w:val="auto"/>
                <w:kern w:val="0"/>
                <w:sz w:val="21"/>
                <w:szCs w:val="21"/>
                <w:highlight w:val="none"/>
                <w:lang w:val="en-US" w:eastAsia="zh-CN"/>
              </w:rPr>
              <w:t>人</w:t>
            </w:r>
            <w:r>
              <w:rPr>
                <w:rFonts w:hint="eastAsia" w:asciiTheme="minorEastAsia" w:hAnsiTheme="minorEastAsia" w:eastAsiaTheme="minorEastAsia" w:cstheme="minorEastAsia"/>
                <w:b/>
                <w:color w:val="auto"/>
                <w:kern w:val="0"/>
                <w:sz w:val="21"/>
                <w:szCs w:val="21"/>
                <w:highlight w:val="none"/>
              </w:rPr>
              <w:t>领取中标通知书时，一并递交给招标代理机构）。</w:t>
            </w:r>
          </w:p>
        </w:tc>
      </w:tr>
      <w:tr w14:paraId="214F90E9">
        <w:tblPrEx>
          <w:tblCellMar>
            <w:top w:w="0" w:type="dxa"/>
            <w:left w:w="108" w:type="dxa"/>
            <w:bottom w:w="0" w:type="dxa"/>
            <w:right w:w="108" w:type="dxa"/>
          </w:tblCellMar>
        </w:tblPrEx>
        <w:trPr>
          <w:trHeight w:val="510" w:hRule="atLeast"/>
          <w:jc w:val="center"/>
        </w:trPr>
        <w:tc>
          <w:tcPr>
            <w:tcW w:w="868" w:type="dxa"/>
            <w:vMerge w:val="restart"/>
            <w:tcBorders>
              <w:left w:val="single" w:color="auto" w:sz="4" w:space="0"/>
              <w:right w:val="single" w:color="auto" w:sz="4" w:space="0"/>
            </w:tcBorders>
            <w:vAlign w:val="center"/>
          </w:tcPr>
          <w:p w14:paraId="294DAEEF">
            <w:pPr>
              <w:keepNext w:val="0"/>
              <w:keepLines w:val="0"/>
              <w:pageBreakBefore w:val="0"/>
              <w:kinsoku/>
              <w:overflowPunct/>
              <w:autoSpaceDE/>
              <w:autoSpaceDN/>
              <w:bidi w:val="0"/>
              <w:spacing w:line="52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22</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3DDB55BA">
            <w:pPr>
              <w:keepNext w:val="0"/>
              <w:keepLines w:val="0"/>
              <w:pageBreakBefore w:val="0"/>
              <w:kinsoku/>
              <w:overflowPunct/>
              <w:autoSpaceDE/>
              <w:autoSpaceDN/>
              <w:bidi w:val="0"/>
              <w:spacing w:line="52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投标截止时间</w:t>
            </w:r>
          </w:p>
        </w:tc>
        <w:tc>
          <w:tcPr>
            <w:tcW w:w="7529" w:type="dxa"/>
            <w:tcBorders>
              <w:top w:val="single" w:color="auto" w:sz="4" w:space="0"/>
              <w:left w:val="single" w:color="auto" w:sz="4" w:space="0"/>
              <w:bottom w:val="single" w:color="auto" w:sz="4" w:space="0"/>
              <w:right w:val="single" w:color="auto" w:sz="4" w:space="0"/>
            </w:tcBorders>
            <w:vAlign w:val="center"/>
          </w:tcPr>
          <w:p w14:paraId="4F65D5EB">
            <w:pPr>
              <w:keepNext w:val="0"/>
              <w:keepLines w:val="0"/>
              <w:pageBreakBefore w:val="0"/>
              <w:kinsoku/>
              <w:overflowPunct/>
              <w:autoSpaceDE/>
              <w:autoSpaceDN/>
              <w:bidi w:val="0"/>
              <w:spacing w:line="5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pacing w:val="-4"/>
                <w:kern w:val="0"/>
                <w:sz w:val="21"/>
                <w:szCs w:val="21"/>
                <w:highlight w:val="none"/>
              </w:rPr>
              <w:t>202</w:t>
            </w:r>
            <w:r>
              <w:rPr>
                <w:rFonts w:hint="eastAsia" w:asciiTheme="minorEastAsia" w:hAnsiTheme="minorEastAsia" w:eastAsiaTheme="minorEastAsia" w:cstheme="minorEastAsia"/>
                <w:b/>
                <w:color w:val="auto"/>
                <w:spacing w:val="-4"/>
                <w:kern w:val="0"/>
                <w:sz w:val="21"/>
                <w:szCs w:val="21"/>
                <w:highlight w:val="none"/>
                <w:lang w:val="en-US" w:eastAsia="zh-CN"/>
              </w:rPr>
              <w:t>5</w:t>
            </w:r>
            <w:r>
              <w:rPr>
                <w:rFonts w:hint="eastAsia" w:asciiTheme="minorEastAsia" w:hAnsiTheme="minorEastAsia" w:eastAsiaTheme="minorEastAsia" w:cstheme="minorEastAsia"/>
                <w:b/>
                <w:color w:val="auto"/>
                <w:spacing w:val="-4"/>
                <w:kern w:val="0"/>
                <w:sz w:val="21"/>
                <w:szCs w:val="21"/>
                <w:highlight w:val="none"/>
              </w:rPr>
              <w:t>年</w:t>
            </w:r>
            <w:r>
              <w:rPr>
                <w:rFonts w:hint="eastAsia" w:asciiTheme="minorEastAsia" w:hAnsiTheme="minorEastAsia" w:eastAsiaTheme="minorEastAsia" w:cstheme="minorEastAsia"/>
                <w:b/>
                <w:color w:val="auto"/>
                <w:spacing w:val="-4"/>
                <w:kern w:val="0"/>
                <w:sz w:val="21"/>
                <w:szCs w:val="21"/>
                <w:highlight w:val="none"/>
                <w:lang w:val="en-US" w:eastAsia="zh-CN"/>
              </w:rPr>
              <w:t>8</w:t>
            </w:r>
            <w:r>
              <w:rPr>
                <w:rFonts w:hint="eastAsia" w:asciiTheme="minorEastAsia" w:hAnsiTheme="minorEastAsia" w:eastAsiaTheme="minorEastAsia" w:cstheme="minorEastAsia"/>
                <w:b/>
                <w:color w:val="auto"/>
                <w:spacing w:val="-4"/>
                <w:kern w:val="0"/>
                <w:sz w:val="21"/>
                <w:szCs w:val="21"/>
                <w:highlight w:val="none"/>
              </w:rPr>
              <w:t>月</w:t>
            </w:r>
            <w:r>
              <w:rPr>
                <w:rFonts w:hint="eastAsia" w:asciiTheme="minorEastAsia" w:hAnsiTheme="minorEastAsia" w:eastAsiaTheme="minorEastAsia" w:cstheme="minorEastAsia"/>
                <w:b/>
                <w:color w:val="auto"/>
                <w:spacing w:val="-4"/>
                <w:kern w:val="0"/>
                <w:sz w:val="21"/>
                <w:szCs w:val="21"/>
                <w:highlight w:val="none"/>
                <w:lang w:val="en-US" w:eastAsia="zh-CN"/>
              </w:rPr>
              <w:t>26</w:t>
            </w:r>
            <w:r>
              <w:rPr>
                <w:rFonts w:hint="eastAsia" w:asciiTheme="minorEastAsia" w:hAnsiTheme="minorEastAsia" w:eastAsiaTheme="minorEastAsia" w:cstheme="minorEastAsia"/>
                <w:b/>
                <w:color w:val="auto"/>
                <w:spacing w:val="-4"/>
                <w:kern w:val="0"/>
                <w:sz w:val="21"/>
                <w:szCs w:val="21"/>
                <w:highlight w:val="none"/>
              </w:rPr>
              <w:t>日08时</w:t>
            </w:r>
            <w:r>
              <w:rPr>
                <w:rFonts w:hint="eastAsia" w:asciiTheme="minorEastAsia" w:hAnsiTheme="minorEastAsia" w:eastAsiaTheme="minorEastAsia" w:cstheme="minorEastAsia"/>
                <w:b/>
                <w:color w:val="auto"/>
                <w:spacing w:val="-4"/>
                <w:kern w:val="0"/>
                <w:sz w:val="21"/>
                <w:szCs w:val="21"/>
                <w:highlight w:val="none"/>
                <w:lang w:val="en-US" w:eastAsia="zh-CN"/>
              </w:rPr>
              <w:t>00</w:t>
            </w:r>
            <w:r>
              <w:rPr>
                <w:rFonts w:hint="eastAsia" w:asciiTheme="minorEastAsia" w:hAnsiTheme="minorEastAsia" w:eastAsiaTheme="minorEastAsia" w:cstheme="minorEastAsia"/>
                <w:b/>
                <w:color w:val="auto"/>
                <w:spacing w:val="-4"/>
                <w:kern w:val="0"/>
                <w:sz w:val="21"/>
                <w:szCs w:val="21"/>
                <w:highlight w:val="none"/>
              </w:rPr>
              <w:t>分（北京时间）</w:t>
            </w:r>
          </w:p>
        </w:tc>
      </w:tr>
      <w:tr w14:paraId="579321F6">
        <w:tblPrEx>
          <w:tblCellMar>
            <w:top w:w="0" w:type="dxa"/>
            <w:left w:w="108" w:type="dxa"/>
            <w:bottom w:w="0" w:type="dxa"/>
            <w:right w:w="108" w:type="dxa"/>
          </w:tblCellMar>
        </w:tblPrEx>
        <w:trPr>
          <w:jc w:val="center"/>
        </w:trPr>
        <w:tc>
          <w:tcPr>
            <w:tcW w:w="868" w:type="dxa"/>
            <w:vMerge w:val="continue"/>
            <w:tcBorders>
              <w:left w:val="single" w:color="auto" w:sz="4" w:space="0"/>
              <w:right w:val="single" w:color="auto" w:sz="4" w:space="0"/>
            </w:tcBorders>
            <w:vAlign w:val="center"/>
          </w:tcPr>
          <w:p w14:paraId="4897A142">
            <w:pPr>
              <w:keepNext w:val="0"/>
              <w:keepLines w:val="0"/>
              <w:pageBreakBefore w:val="0"/>
              <w:kinsoku/>
              <w:overflowPunct/>
              <w:autoSpaceDE/>
              <w:autoSpaceDN/>
              <w:bidi w:val="0"/>
              <w:spacing w:line="520" w:lineRule="exact"/>
              <w:jc w:val="center"/>
              <w:textAlignment w:val="auto"/>
              <w:rPr>
                <w:rFonts w:hint="eastAsia" w:asciiTheme="minorEastAsia" w:hAnsiTheme="minorEastAsia" w:eastAsiaTheme="minorEastAsia" w:cstheme="minorEastAsia"/>
                <w:color w:val="auto"/>
                <w:sz w:val="21"/>
                <w:szCs w:val="21"/>
                <w:highlight w:val="none"/>
              </w:rPr>
            </w:pP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65BC2CB2">
            <w:pPr>
              <w:keepNext w:val="0"/>
              <w:keepLines w:val="0"/>
              <w:pageBreakBefore w:val="0"/>
              <w:kinsoku/>
              <w:overflowPunct/>
              <w:autoSpaceDE/>
              <w:autoSpaceDN/>
              <w:bidi w:val="0"/>
              <w:spacing w:line="52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解密截止时间</w:t>
            </w:r>
          </w:p>
        </w:tc>
        <w:tc>
          <w:tcPr>
            <w:tcW w:w="7529" w:type="dxa"/>
            <w:tcBorders>
              <w:top w:val="single" w:color="auto" w:sz="4" w:space="0"/>
              <w:left w:val="single" w:color="auto" w:sz="4" w:space="0"/>
              <w:bottom w:val="single" w:color="auto" w:sz="4" w:space="0"/>
              <w:right w:val="single" w:color="auto" w:sz="4" w:space="0"/>
            </w:tcBorders>
            <w:vAlign w:val="center"/>
          </w:tcPr>
          <w:p w14:paraId="7E2F13C5">
            <w:pPr>
              <w:keepNext w:val="0"/>
              <w:keepLines w:val="0"/>
              <w:pageBreakBefore w:val="0"/>
              <w:kinsoku/>
              <w:wordWrap w:val="0"/>
              <w:overflowPunct/>
              <w:autoSpaceDE/>
              <w:autoSpaceDN/>
              <w:bidi w:val="0"/>
              <w:spacing w:line="5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1、解密程序开始后60分钟内（以本项目网上招投标系统解密倒计时为准）。</w:t>
            </w:r>
          </w:p>
          <w:p w14:paraId="7D298C44">
            <w:pPr>
              <w:keepNext w:val="0"/>
              <w:keepLines w:val="0"/>
              <w:pageBreakBefore w:val="0"/>
              <w:kinsoku/>
              <w:wordWrap w:val="0"/>
              <w:overflowPunct/>
              <w:autoSpaceDE/>
              <w:autoSpaceDN/>
              <w:bidi w:val="0"/>
              <w:spacing w:line="5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2、解密时间为</w:t>
            </w:r>
            <w:r>
              <w:rPr>
                <w:rFonts w:hint="eastAsia" w:asciiTheme="minorEastAsia" w:hAnsiTheme="minorEastAsia" w:eastAsiaTheme="minorEastAsia" w:cstheme="minorEastAsia"/>
                <w:b/>
                <w:color w:val="auto"/>
                <w:kern w:val="0"/>
                <w:sz w:val="21"/>
                <w:szCs w:val="21"/>
                <w:highlight w:val="none"/>
              </w:rPr>
              <w:t>202</w:t>
            </w:r>
            <w:r>
              <w:rPr>
                <w:rFonts w:hint="eastAsia" w:asciiTheme="minorEastAsia" w:hAnsiTheme="minorEastAsia" w:eastAsiaTheme="minorEastAsia" w:cstheme="minorEastAsia"/>
                <w:b/>
                <w:color w:val="auto"/>
                <w:kern w:val="0"/>
                <w:sz w:val="21"/>
                <w:szCs w:val="21"/>
                <w:highlight w:val="none"/>
                <w:lang w:val="en-US" w:eastAsia="zh-CN"/>
              </w:rPr>
              <w:t>5</w:t>
            </w:r>
            <w:r>
              <w:rPr>
                <w:rFonts w:hint="eastAsia" w:asciiTheme="minorEastAsia" w:hAnsiTheme="minorEastAsia" w:eastAsiaTheme="minorEastAsia" w:cstheme="minorEastAsia"/>
                <w:b/>
                <w:color w:val="auto"/>
                <w:kern w:val="0"/>
                <w:sz w:val="21"/>
                <w:szCs w:val="21"/>
                <w:highlight w:val="none"/>
              </w:rPr>
              <w:t>年</w:t>
            </w:r>
            <w:r>
              <w:rPr>
                <w:rFonts w:hint="eastAsia" w:asciiTheme="minorEastAsia" w:hAnsiTheme="minorEastAsia" w:eastAsiaTheme="minorEastAsia" w:cstheme="minorEastAsia"/>
                <w:b/>
                <w:color w:val="auto"/>
                <w:kern w:val="0"/>
                <w:sz w:val="21"/>
                <w:szCs w:val="21"/>
                <w:highlight w:val="none"/>
                <w:lang w:val="en-US" w:eastAsia="zh-CN"/>
              </w:rPr>
              <w:t>8</w:t>
            </w:r>
            <w:r>
              <w:rPr>
                <w:rFonts w:hint="eastAsia" w:asciiTheme="minorEastAsia" w:hAnsiTheme="minorEastAsia" w:eastAsiaTheme="minorEastAsia" w:cstheme="minorEastAsia"/>
                <w:b/>
                <w:color w:val="auto"/>
                <w:kern w:val="0"/>
                <w:sz w:val="21"/>
                <w:szCs w:val="21"/>
                <w:highlight w:val="none"/>
              </w:rPr>
              <w:t>月</w:t>
            </w:r>
            <w:r>
              <w:rPr>
                <w:rFonts w:hint="eastAsia" w:asciiTheme="minorEastAsia" w:hAnsiTheme="minorEastAsia" w:eastAsiaTheme="minorEastAsia" w:cstheme="minorEastAsia"/>
                <w:b/>
                <w:color w:val="auto"/>
                <w:kern w:val="0"/>
                <w:sz w:val="21"/>
                <w:szCs w:val="21"/>
                <w:highlight w:val="none"/>
                <w:lang w:val="en-US" w:eastAsia="zh-CN"/>
              </w:rPr>
              <w:t>26</w:t>
            </w:r>
            <w:r>
              <w:rPr>
                <w:rFonts w:hint="eastAsia" w:asciiTheme="minorEastAsia" w:hAnsiTheme="minorEastAsia" w:eastAsiaTheme="minorEastAsia" w:cstheme="minorEastAsia"/>
                <w:b/>
                <w:color w:val="auto"/>
                <w:kern w:val="0"/>
                <w:sz w:val="21"/>
                <w:szCs w:val="21"/>
                <w:highlight w:val="none"/>
              </w:rPr>
              <w:t>日8时</w:t>
            </w:r>
            <w:r>
              <w:rPr>
                <w:rFonts w:hint="eastAsia" w:asciiTheme="minorEastAsia" w:hAnsiTheme="minorEastAsia" w:eastAsiaTheme="minorEastAsia" w:cstheme="minorEastAsia"/>
                <w:b/>
                <w:color w:val="auto"/>
                <w:kern w:val="0"/>
                <w:sz w:val="21"/>
                <w:szCs w:val="21"/>
                <w:highlight w:val="none"/>
                <w:lang w:val="en-US" w:eastAsia="zh-CN"/>
              </w:rPr>
              <w:t>00</w:t>
            </w:r>
            <w:r>
              <w:rPr>
                <w:rFonts w:hint="eastAsia" w:asciiTheme="minorEastAsia" w:hAnsiTheme="minorEastAsia" w:eastAsiaTheme="minorEastAsia" w:cstheme="minorEastAsia"/>
                <w:b/>
                <w:color w:val="auto"/>
                <w:kern w:val="0"/>
                <w:sz w:val="21"/>
                <w:szCs w:val="21"/>
                <w:highlight w:val="none"/>
              </w:rPr>
              <w:t>分</w:t>
            </w:r>
            <w:r>
              <w:rPr>
                <w:rFonts w:hint="eastAsia" w:asciiTheme="minorEastAsia" w:hAnsiTheme="minorEastAsia" w:eastAsiaTheme="minorEastAsia" w:cstheme="minorEastAsia"/>
                <w:b/>
                <w:color w:val="auto"/>
                <w:sz w:val="21"/>
                <w:szCs w:val="21"/>
                <w:highlight w:val="none"/>
              </w:rPr>
              <w:t>至</w:t>
            </w:r>
            <w:bookmarkStart w:id="65" w:name="_Toc35424885"/>
            <w:r>
              <w:rPr>
                <w:rFonts w:hint="eastAsia" w:asciiTheme="minorEastAsia" w:hAnsiTheme="minorEastAsia" w:eastAsiaTheme="minorEastAsia" w:cstheme="minorEastAsia"/>
                <w:b/>
                <w:color w:val="auto"/>
                <w:kern w:val="0"/>
                <w:sz w:val="21"/>
                <w:szCs w:val="21"/>
                <w:highlight w:val="none"/>
              </w:rPr>
              <w:t>202</w:t>
            </w:r>
            <w:r>
              <w:rPr>
                <w:rFonts w:hint="eastAsia" w:asciiTheme="minorEastAsia" w:hAnsiTheme="minorEastAsia" w:eastAsiaTheme="minorEastAsia" w:cstheme="minorEastAsia"/>
                <w:b/>
                <w:color w:val="auto"/>
                <w:kern w:val="0"/>
                <w:sz w:val="21"/>
                <w:szCs w:val="21"/>
                <w:highlight w:val="none"/>
                <w:lang w:val="en-US" w:eastAsia="zh-CN"/>
              </w:rPr>
              <w:t>5</w:t>
            </w:r>
            <w:r>
              <w:rPr>
                <w:rFonts w:hint="eastAsia" w:asciiTheme="minorEastAsia" w:hAnsiTheme="minorEastAsia" w:eastAsiaTheme="minorEastAsia" w:cstheme="minorEastAsia"/>
                <w:b/>
                <w:color w:val="auto"/>
                <w:kern w:val="0"/>
                <w:sz w:val="21"/>
                <w:szCs w:val="21"/>
                <w:highlight w:val="none"/>
              </w:rPr>
              <w:t>年</w:t>
            </w:r>
            <w:r>
              <w:rPr>
                <w:rFonts w:hint="eastAsia" w:asciiTheme="minorEastAsia" w:hAnsiTheme="minorEastAsia" w:eastAsiaTheme="minorEastAsia" w:cstheme="minorEastAsia"/>
                <w:b/>
                <w:color w:val="auto"/>
                <w:kern w:val="0"/>
                <w:sz w:val="21"/>
                <w:szCs w:val="21"/>
                <w:highlight w:val="none"/>
                <w:lang w:val="en-US" w:eastAsia="zh-CN"/>
              </w:rPr>
              <w:t>8</w:t>
            </w:r>
            <w:r>
              <w:rPr>
                <w:rFonts w:hint="eastAsia" w:asciiTheme="minorEastAsia" w:hAnsiTheme="minorEastAsia" w:eastAsiaTheme="minorEastAsia" w:cstheme="minorEastAsia"/>
                <w:b/>
                <w:color w:val="auto"/>
                <w:kern w:val="0"/>
                <w:sz w:val="21"/>
                <w:szCs w:val="21"/>
                <w:highlight w:val="none"/>
              </w:rPr>
              <w:t>月</w:t>
            </w:r>
            <w:r>
              <w:rPr>
                <w:rFonts w:hint="eastAsia" w:asciiTheme="minorEastAsia" w:hAnsiTheme="minorEastAsia" w:eastAsiaTheme="minorEastAsia" w:cstheme="minorEastAsia"/>
                <w:b/>
                <w:color w:val="auto"/>
                <w:kern w:val="0"/>
                <w:sz w:val="21"/>
                <w:szCs w:val="21"/>
                <w:highlight w:val="none"/>
                <w:lang w:val="en-US" w:eastAsia="zh-CN"/>
              </w:rPr>
              <w:t>26</w:t>
            </w:r>
            <w:r>
              <w:rPr>
                <w:rFonts w:hint="eastAsia" w:asciiTheme="minorEastAsia" w:hAnsiTheme="minorEastAsia" w:eastAsiaTheme="minorEastAsia" w:cstheme="minorEastAsia"/>
                <w:b/>
                <w:color w:val="auto"/>
                <w:kern w:val="0"/>
                <w:sz w:val="21"/>
                <w:szCs w:val="21"/>
                <w:highlight w:val="none"/>
              </w:rPr>
              <w:t>日9时</w:t>
            </w:r>
            <w:r>
              <w:rPr>
                <w:rFonts w:hint="eastAsia" w:asciiTheme="minorEastAsia" w:hAnsiTheme="minorEastAsia" w:eastAsiaTheme="minorEastAsia" w:cstheme="minorEastAsia"/>
                <w:b/>
                <w:color w:val="auto"/>
                <w:kern w:val="0"/>
                <w:sz w:val="21"/>
                <w:szCs w:val="21"/>
                <w:highlight w:val="none"/>
                <w:lang w:val="en-US" w:eastAsia="zh-CN"/>
              </w:rPr>
              <w:t>00</w:t>
            </w:r>
            <w:r>
              <w:rPr>
                <w:rFonts w:hint="eastAsia" w:asciiTheme="minorEastAsia" w:hAnsiTheme="minorEastAsia" w:eastAsiaTheme="minorEastAsia" w:cstheme="minorEastAsia"/>
                <w:b/>
                <w:color w:val="auto"/>
                <w:kern w:val="0"/>
                <w:sz w:val="21"/>
                <w:szCs w:val="21"/>
                <w:highlight w:val="none"/>
              </w:rPr>
              <w:t>分</w:t>
            </w:r>
            <w:bookmarkEnd w:id="65"/>
          </w:p>
        </w:tc>
      </w:tr>
      <w:tr w14:paraId="19F8AF21">
        <w:tblPrEx>
          <w:tblCellMar>
            <w:top w:w="0" w:type="dxa"/>
            <w:left w:w="108" w:type="dxa"/>
            <w:bottom w:w="0" w:type="dxa"/>
            <w:right w:w="108" w:type="dxa"/>
          </w:tblCellMar>
        </w:tblPrEx>
        <w:trPr>
          <w:jc w:val="center"/>
        </w:trPr>
        <w:tc>
          <w:tcPr>
            <w:tcW w:w="868" w:type="dxa"/>
            <w:vMerge w:val="continue"/>
            <w:tcBorders>
              <w:left w:val="single" w:color="auto" w:sz="4" w:space="0"/>
              <w:right w:val="single" w:color="auto" w:sz="4" w:space="0"/>
            </w:tcBorders>
            <w:vAlign w:val="center"/>
          </w:tcPr>
          <w:p w14:paraId="4D907AD3">
            <w:pPr>
              <w:keepNext w:val="0"/>
              <w:keepLines w:val="0"/>
              <w:pageBreakBefore w:val="0"/>
              <w:kinsoku/>
              <w:overflowPunct/>
              <w:autoSpaceDE/>
              <w:autoSpaceDN/>
              <w:bidi w:val="0"/>
              <w:spacing w:line="520" w:lineRule="exact"/>
              <w:jc w:val="center"/>
              <w:textAlignment w:val="auto"/>
              <w:rPr>
                <w:rFonts w:hint="eastAsia" w:asciiTheme="minorEastAsia" w:hAnsiTheme="minorEastAsia" w:eastAsiaTheme="minorEastAsia" w:cstheme="minorEastAsia"/>
                <w:color w:val="auto"/>
                <w:sz w:val="21"/>
                <w:szCs w:val="21"/>
                <w:highlight w:val="none"/>
              </w:rPr>
            </w:pP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4CFA4496">
            <w:pPr>
              <w:keepNext w:val="0"/>
              <w:keepLines w:val="0"/>
              <w:pageBreakBefore w:val="0"/>
              <w:kinsoku/>
              <w:overflowPunct/>
              <w:autoSpaceDE/>
              <w:autoSpaceDN/>
              <w:bidi w:val="0"/>
              <w:spacing w:line="52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递交投标文件地点</w:t>
            </w:r>
          </w:p>
        </w:tc>
        <w:tc>
          <w:tcPr>
            <w:tcW w:w="7529" w:type="dxa"/>
            <w:tcBorders>
              <w:top w:val="single" w:color="auto" w:sz="4" w:space="0"/>
              <w:left w:val="single" w:color="auto" w:sz="4" w:space="0"/>
              <w:bottom w:val="single" w:color="auto" w:sz="4" w:space="0"/>
              <w:right w:val="single" w:color="auto" w:sz="4" w:space="0"/>
            </w:tcBorders>
            <w:vAlign w:val="center"/>
          </w:tcPr>
          <w:p w14:paraId="035D7C66">
            <w:pPr>
              <w:keepNext w:val="0"/>
              <w:keepLines w:val="0"/>
              <w:pageBreakBefore w:val="0"/>
              <w:kinsoku/>
              <w:overflowPunct/>
              <w:autoSpaceDE/>
              <w:autoSpaceDN/>
              <w:bidi w:val="0"/>
              <w:adjustRightInd w:val="0"/>
              <w:snapToGrid w:val="0"/>
              <w:spacing w:line="5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加密的电子投标文件：必须在投标截止时间前网上递交。</w:t>
            </w:r>
          </w:p>
          <w:p w14:paraId="34C2201D">
            <w:pPr>
              <w:keepNext w:val="0"/>
              <w:keepLines w:val="0"/>
              <w:pageBreakBefore w:val="0"/>
              <w:kinsoku/>
              <w:overflowPunct/>
              <w:autoSpaceDE/>
              <w:autoSpaceDN/>
              <w:bidi w:val="0"/>
              <w:spacing w:line="5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(本项目采取远程解密方式，投标人无需递交电子光盘)</w:t>
            </w:r>
          </w:p>
        </w:tc>
      </w:tr>
      <w:tr w14:paraId="5A4F95FB">
        <w:tblPrEx>
          <w:tblCellMar>
            <w:top w:w="0" w:type="dxa"/>
            <w:left w:w="108" w:type="dxa"/>
            <w:bottom w:w="0" w:type="dxa"/>
            <w:right w:w="108" w:type="dxa"/>
          </w:tblCellMar>
        </w:tblPrEx>
        <w:trPr>
          <w:jc w:val="center"/>
        </w:trPr>
        <w:tc>
          <w:tcPr>
            <w:tcW w:w="868" w:type="dxa"/>
            <w:vMerge w:val="continue"/>
            <w:tcBorders>
              <w:left w:val="single" w:color="auto" w:sz="4" w:space="0"/>
              <w:right w:val="single" w:color="auto" w:sz="4" w:space="0"/>
            </w:tcBorders>
            <w:vAlign w:val="center"/>
          </w:tcPr>
          <w:p w14:paraId="1FD44157">
            <w:pPr>
              <w:keepNext w:val="0"/>
              <w:keepLines w:val="0"/>
              <w:pageBreakBefore w:val="0"/>
              <w:kinsoku/>
              <w:overflowPunct/>
              <w:autoSpaceDE/>
              <w:autoSpaceDN/>
              <w:bidi w:val="0"/>
              <w:spacing w:line="520" w:lineRule="exact"/>
              <w:jc w:val="center"/>
              <w:textAlignment w:val="auto"/>
              <w:rPr>
                <w:rFonts w:hint="eastAsia" w:asciiTheme="minorEastAsia" w:hAnsiTheme="minorEastAsia" w:eastAsiaTheme="minorEastAsia" w:cstheme="minorEastAsia"/>
                <w:color w:val="auto"/>
                <w:sz w:val="21"/>
                <w:szCs w:val="21"/>
                <w:highlight w:val="none"/>
              </w:rPr>
            </w:pP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6A8C0A12">
            <w:pPr>
              <w:keepNext w:val="0"/>
              <w:keepLines w:val="0"/>
              <w:pageBreakBefore w:val="0"/>
              <w:kinsoku/>
              <w:overflowPunct/>
              <w:autoSpaceDE/>
              <w:autoSpaceDN/>
              <w:bidi w:val="0"/>
              <w:spacing w:line="52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开标时间及地点</w:t>
            </w:r>
          </w:p>
        </w:tc>
        <w:tc>
          <w:tcPr>
            <w:tcW w:w="7529" w:type="dxa"/>
            <w:tcBorders>
              <w:top w:val="single" w:color="auto" w:sz="4" w:space="0"/>
              <w:left w:val="single" w:color="auto" w:sz="4" w:space="0"/>
              <w:bottom w:val="single" w:color="auto" w:sz="4" w:space="0"/>
              <w:right w:val="single" w:color="auto" w:sz="4" w:space="0"/>
            </w:tcBorders>
            <w:vAlign w:val="center"/>
          </w:tcPr>
          <w:p w14:paraId="0F9FC25D">
            <w:pPr>
              <w:keepNext w:val="0"/>
              <w:keepLines w:val="0"/>
              <w:pageBreakBefore w:val="0"/>
              <w:kinsoku/>
              <w:overflowPunct/>
              <w:autoSpaceDE/>
              <w:autoSpaceDN/>
              <w:bidi w:val="0"/>
              <w:spacing w:line="5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开标时间：同投标截止时间</w:t>
            </w:r>
          </w:p>
          <w:p w14:paraId="383EE48C">
            <w:pPr>
              <w:keepNext w:val="0"/>
              <w:keepLines w:val="0"/>
              <w:pageBreakBefore w:val="0"/>
              <w:kinsoku/>
              <w:overflowPunct/>
              <w:autoSpaceDE/>
              <w:autoSpaceDN/>
              <w:bidi w:val="0"/>
              <w:spacing w:line="5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开标地点：滁州市公共资源交易中心(滁州市龙蟠大道109号房产大厦二楼)</w:t>
            </w:r>
          </w:p>
        </w:tc>
      </w:tr>
      <w:tr w14:paraId="72C0E83A">
        <w:tblPrEx>
          <w:tblCellMar>
            <w:top w:w="0" w:type="dxa"/>
            <w:left w:w="108" w:type="dxa"/>
            <w:bottom w:w="0" w:type="dxa"/>
            <w:right w:w="108" w:type="dxa"/>
          </w:tblCellMar>
        </w:tblPrEx>
        <w:trPr>
          <w:trHeight w:val="557" w:hRule="atLeast"/>
          <w:jc w:val="center"/>
        </w:trPr>
        <w:tc>
          <w:tcPr>
            <w:tcW w:w="868" w:type="dxa"/>
            <w:vMerge w:val="continue"/>
            <w:tcBorders>
              <w:left w:val="single" w:color="auto" w:sz="4" w:space="0"/>
              <w:right w:val="single" w:color="auto" w:sz="4" w:space="0"/>
            </w:tcBorders>
            <w:vAlign w:val="center"/>
          </w:tcPr>
          <w:p w14:paraId="6646A725">
            <w:pPr>
              <w:keepNext w:val="0"/>
              <w:keepLines w:val="0"/>
              <w:pageBreakBefore w:val="0"/>
              <w:kinsoku/>
              <w:overflowPunct/>
              <w:autoSpaceDE/>
              <w:autoSpaceDN/>
              <w:bidi w:val="0"/>
              <w:spacing w:line="520" w:lineRule="exact"/>
              <w:jc w:val="center"/>
              <w:textAlignment w:val="auto"/>
              <w:rPr>
                <w:rFonts w:hint="eastAsia" w:asciiTheme="minorEastAsia" w:hAnsiTheme="minorEastAsia" w:eastAsiaTheme="minorEastAsia" w:cstheme="minorEastAsia"/>
                <w:color w:val="auto"/>
                <w:sz w:val="21"/>
                <w:szCs w:val="21"/>
                <w:highlight w:val="none"/>
              </w:rPr>
            </w:pP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6E53BE0D">
            <w:pPr>
              <w:keepNext w:val="0"/>
              <w:keepLines w:val="0"/>
              <w:pageBreakBefore w:val="0"/>
              <w:kinsoku/>
              <w:overflowPunct/>
              <w:autoSpaceDE/>
              <w:autoSpaceDN/>
              <w:bidi w:val="0"/>
              <w:spacing w:line="52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开标顺序</w:t>
            </w:r>
          </w:p>
        </w:tc>
        <w:tc>
          <w:tcPr>
            <w:tcW w:w="7529" w:type="dxa"/>
            <w:tcBorders>
              <w:top w:val="single" w:color="auto" w:sz="4" w:space="0"/>
              <w:left w:val="single" w:color="auto" w:sz="4" w:space="0"/>
              <w:bottom w:val="single" w:color="auto" w:sz="4" w:space="0"/>
              <w:right w:val="single" w:color="auto" w:sz="4" w:space="0"/>
            </w:tcBorders>
            <w:vAlign w:val="center"/>
          </w:tcPr>
          <w:p w14:paraId="1D520F26">
            <w:pPr>
              <w:keepNext w:val="0"/>
              <w:keepLines w:val="0"/>
              <w:pageBreakBefore w:val="0"/>
              <w:kinsoku/>
              <w:overflowPunct/>
              <w:autoSpaceDE/>
              <w:autoSpaceDN/>
              <w:bidi w:val="0"/>
              <w:spacing w:line="5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开标顺序：解密电子投标文件后，由评标委员会评审。</w:t>
            </w:r>
          </w:p>
        </w:tc>
      </w:tr>
      <w:tr w14:paraId="7AD76A75">
        <w:tblPrEx>
          <w:tblCellMar>
            <w:top w:w="0" w:type="dxa"/>
            <w:left w:w="108" w:type="dxa"/>
            <w:bottom w:w="0" w:type="dxa"/>
            <w:right w:w="108" w:type="dxa"/>
          </w:tblCellMar>
        </w:tblPrEx>
        <w:trPr>
          <w:trHeight w:val="488"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55AE32D0">
            <w:pPr>
              <w:keepNext w:val="0"/>
              <w:keepLines w:val="0"/>
              <w:pageBreakBefore w:val="0"/>
              <w:kinsoku/>
              <w:overflowPunct/>
              <w:autoSpaceDE/>
              <w:autoSpaceDN/>
              <w:bidi w:val="0"/>
              <w:spacing w:line="52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23</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3A536BA1">
            <w:pPr>
              <w:keepNext w:val="0"/>
              <w:keepLines w:val="0"/>
              <w:pageBreakBefore w:val="0"/>
              <w:kinsoku/>
              <w:overflowPunct/>
              <w:autoSpaceDE/>
              <w:autoSpaceDN/>
              <w:bidi w:val="0"/>
              <w:spacing w:line="52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评标委员会的组建</w:t>
            </w:r>
          </w:p>
        </w:tc>
        <w:tc>
          <w:tcPr>
            <w:tcW w:w="7529" w:type="dxa"/>
            <w:tcBorders>
              <w:top w:val="single" w:color="auto" w:sz="4" w:space="0"/>
              <w:left w:val="single" w:color="auto" w:sz="4" w:space="0"/>
              <w:bottom w:val="single" w:color="auto" w:sz="4" w:space="0"/>
              <w:right w:val="single" w:color="auto" w:sz="4" w:space="0"/>
            </w:tcBorders>
            <w:vAlign w:val="center"/>
          </w:tcPr>
          <w:p w14:paraId="13463EAC">
            <w:pPr>
              <w:keepNext w:val="0"/>
              <w:keepLines w:val="0"/>
              <w:pageBreakBefore w:val="0"/>
              <w:kinsoku/>
              <w:wordWrap w:val="0"/>
              <w:overflowPunct/>
              <w:autoSpaceDE/>
              <w:autoSpaceDN/>
              <w:bidi w:val="0"/>
              <w:spacing w:line="520" w:lineRule="exac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评标委员会构成：</w:t>
            </w:r>
            <w:r>
              <w:rPr>
                <w:rFonts w:hint="eastAsia" w:asciiTheme="minorEastAsia" w:hAnsiTheme="minorEastAsia" w:eastAsiaTheme="minorEastAsia" w:cstheme="minorEastAsia"/>
                <w:b/>
                <w:bCs/>
                <w:color w:val="auto"/>
                <w:sz w:val="21"/>
                <w:szCs w:val="21"/>
                <w:highlight w:val="none"/>
                <w:u w:val="none"/>
                <w:lang w:val="en-US" w:eastAsia="zh-CN"/>
              </w:rPr>
              <w:t>5人，其中招标人代表0人，评标专家5人</w:t>
            </w:r>
          </w:p>
          <w:p w14:paraId="6DC4E8BB">
            <w:pPr>
              <w:keepNext w:val="0"/>
              <w:keepLines w:val="0"/>
              <w:pageBreakBefore w:val="0"/>
              <w:kinsoku/>
              <w:overflowPunct/>
              <w:autoSpaceDE/>
              <w:autoSpaceDN/>
              <w:bidi w:val="0"/>
              <w:spacing w:line="5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评标专家确定方式：专家评委由招标人在开标前从专家库中随机抽取。</w:t>
            </w:r>
          </w:p>
        </w:tc>
      </w:tr>
      <w:tr w14:paraId="37D63B7F">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14:paraId="00F4B642">
            <w:pPr>
              <w:keepNext w:val="0"/>
              <w:keepLines w:val="0"/>
              <w:pageBreakBefore w:val="0"/>
              <w:kinsoku/>
              <w:overflowPunct/>
              <w:autoSpaceDE/>
              <w:autoSpaceDN/>
              <w:bidi w:val="0"/>
              <w:spacing w:line="520" w:lineRule="exact"/>
              <w:jc w:val="center"/>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24</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3874A2AF">
            <w:pPr>
              <w:keepNext w:val="0"/>
              <w:keepLines w:val="0"/>
              <w:pageBreakBefore w:val="0"/>
              <w:kinsoku/>
              <w:overflowPunct/>
              <w:autoSpaceDE/>
              <w:autoSpaceDN/>
              <w:bidi w:val="0"/>
              <w:spacing w:line="520" w:lineRule="exact"/>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是否授权评标委员会确定中标候选人</w:t>
            </w:r>
          </w:p>
        </w:tc>
        <w:tc>
          <w:tcPr>
            <w:tcW w:w="7529" w:type="dxa"/>
            <w:tcBorders>
              <w:top w:val="single" w:color="auto" w:sz="4" w:space="0"/>
              <w:left w:val="single" w:color="auto" w:sz="4" w:space="0"/>
              <w:bottom w:val="single" w:color="auto" w:sz="4" w:space="0"/>
              <w:right w:val="single" w:color="auto" w:sz="4" w:space="0"/>
            </w:tcBorders>
            <w:vAlign w:val="center"/>
          </w:tcPr>
          <w:p w14:paraId="5938A712">
            <w:pPr>
              <w:keepNext w:val="0"/>
              <w:keepLines w:val="0"/>
              <w:pageBreakBefore w:val="0"/>
              <w:kinsoku/>
              <w:overflowPunct/>
              <w:autoSpaceDE/>
              <w:autoSpaceDN/>
              <w:bidi w:val="0"/>
              <w:spacing w:line="520" w:lineRule="exac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是，推荐的中标候选人数：</w:t>
            </w:r>
            <w:r>
              <w:rPr>
                <w:rFonts w:hint="eastAsia" w:asciiTheme="minorEastAsia" w:hAnsiTheme="minorEastAsia" w:eastAsiaTheme="minorEastAsia" w:cstheme="minorEastAsia"/>
                <w:bCs/>
                <w:color w:val="auto"/>
                <w:sz w:val="21"/>
                <w:szCs w:val="21"/>
                <w:highlight w:val="none"/>
                <w:lang w:val="en-US" w:eastAsia="zh-CN"/>
              </w:rPr>
              <w:t>2</w:t>
            </w:r>
            <w:r>
              <w:rPr>
                <w:rFonts w:hint="eastAsia" w:asciiTheme="minorEastAsia" w:hAnsiTheme="minorEastAsia" w:eastAsiaTheme="minorEastAsia" w:cstheme="minorEastAsia"/>
                <w:bCs/>
                <w:color w:val="auto"/>
                <w:sz w:val="21"/>
                <w:szCs w:val="21"/>
                <w:highlight w:val="none"/>
              </w:rPr>
              <w:t>名，并标明排序。</w:t>
            </w:r>
          </w:p>
        </w:tc>
      </w:tr>
      <w:tr w14:paraId="1A2C39D2">
        <w:tblPrEx>
          <w:tblCellMar>
            <w:top w:w="0" w:type="dxa"/>
            <w:left w:w="108" w:type="dxa"/>
            <w:bottom w:w="0" w:type="dxa"/>
            <w:right w:w="108" w:type="dxa"/>
          </w:tblCellMar>
        </w:tblPrEx>
        <w:trPr>
          <w:jc w:val="center"/>
        </w:trPr>
        <w:tc>
          <w:tcPr>
            <w:tcW w:w="868" w:type="dxa"/>
            <w:tcBorders>
              <w:top w:val="single" w:color="auto" w:sz="4" w:space="0"/>
              <w:left w:val="single" w:color="auto" w:sz="4" w:space="0"/>
              <w:right w:val="single" w:color="auto" w:sz="4" w:space="0"/>
            </w:tcBorders>
            <w:vAlign w:val="center"/>
          </w:tcPr>
          <w:p w14:paraId="0DF8399B">
            <w:pPr>
              <w:keepNext w:val="0"/>
              <w:keepLines w:val="0"/>
              <w:pageBreakBefore w:val="0"/>
              <w:kinsoku/>
              <w:overflowPunct/>
              <w:autoSpaceDE/>
              <w:autoSpaceDN/>
              <w:bidi w:val="0"/>
              <w:spacing w:line="52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25</w:t>
            </w:r>
          </w:p>
        </w:tc>
        <w:tc>
          <w:tcPr>
            <w:tcW w:w="2130" w:type="dxa"/>
            <w:gridSpan w:val="2"/>
            <w:tcBorders>
              <w:top w:val="single" w:color="auto" w:sz="4" w:space="0"/>
              <w:left w:val="single" w:color="auto" w:sz="4" w:space="0"/>
              <w:right w:val="single" w:color="auto" w:sz="4" w:space="0"/>
            </w:tcBorders>
            <w:vAlign w:val="center"/>
          </w:tcPr>
          <w:p w14:paraId="30227472">
            <w:pPr>
              <w:keepNext w:val="0"/>
              <w:keepLines w:val="0"/>
              <w:pageBreakBefore w:val="0"/>
              <w:kinsoku/>
              <w:overflowPunct/>
              <w:autoSpaceDE/>
              <w:autoSpaceDN/>
              <w:bidi w:val="0"/>
              <w:adjustRightInd w:val="0"/>
              <w:snapToGrid w:val="0"/>
              <w:spacing w:line="52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中标候选人公示媒介及期限</w:t>
            </w:r>
          </w:p>
        </w:tc>
        <w:tc>
          <w:tcPr>
            <w:tcW w:w="7529" w:type="dxa"/>
            <w:tcBorders>
              <w:top w:val="single" w:color="auto" w:sz="4" w:space="0"/>
              <w:left w:val="single" w:color="auto" w:sz="4" w:space="0"/>
              <w:right w:val="single" w:color="auto" w:sz="4" w:space="0"/>
            </w:tcBorders>
            <w:vAlign w:val="center"/>
          </w:tcPr>
          <w:p w14:paraId="3E7F7041">
            <w:pPr>
              <w:keepNext w:val="0"/>
              <w:keepLines w:val="0"/>
              <w:pageBreakBefore w:val="0"/>
              <w:widowControl/>
              <w:kinsoku/>
              <w:overflowPunct/>
              <w:autoSpaceDE/>
              <w:autoSpaceDN/>
              <w:bidi w:val="0"/>
              <w:adjustRightInd w:val="0"/>
              <w:snapToGrid w:val="0"/>
              <w:spacing w:line="52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公示媒介：同招标公告发布媒介</w:t>
            </w:r>
          </w:p>
          <w:p w14:paraId="2C5B649B">
            <w:pPr>
              <w:keepNext w:val="0"/>
              <w:keepLines w:val="0"/>
              <w:pageBreakBefore w:val="0"/>
              <w:widowControl/>
              <w:kinsoku/>
              <w:overflowPunct/>
              <w:autoSpaceDE/>
              <w:autoSpaceDN/>
              <w:bidi w:val="0"/>
              <w:adjustRightInd w:val="0"/>
              <w:snapToGrid w:val="0"/>
              <w:spacing w:line="52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公示期限：公示发布次日起3日（如公示第三日为休息日或节假日，则顺延至休息日或节假日后第一个工作日）</w:t>
            </w:r>
          </w:p>
        </w:tc>
      </w:tr>
      <w:tr w14:paraId="0AE50A81">
        <w:tblPrEx>
          <w:tblCellMar>
            <w:top w:w="0" w:type="dxa"/>
            <w:left w:w="108" w:type="dxa"/>
            <w:bottom w:w="0" w:type="dxa"/>
            <w:right w:w="108" w:type="dxa"/>
          </w:tblCellMar>
        </w:tblPrEx>
        <w:trPr>
          <w:jc w:val="center"/>
        </w:trPr>
        <w:tc>
          <w:tcPr>
            <w:tcW w:w="868" w:type="dxa"/>
            <w:tcBorders>
              <w:top w:val="single" w:color="auto" w:sz="4" w:space="0"/>
              <w:left w:val="single" w:color="auto" w:sz="4" w:space="0"/>
              <w:right w:val="single" w:color="auto" w:sz="4" w:space="0"/>
            </w:tcBorders>
            <w:vAlign w:val="center"/>
          </w:tcPr>
          <w:p w14:paraId="33D56448">
            <w:pPr>
              <w:keepNext w:val="0"/>
              <w:keepLines w:val="0"/>
              <w:pageBreakBefore w:val="0"/>
              <w:kinsoku/>
              <w:overflowPunct/>
              <w:autoSpaceDE/>
              <w:autoSpaceDN/>
              <w:bidi w:val="0"/>
              <w:spacing w:line="52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26</w:t>
            </w:r>
          </w:p>
        </w:tc>
        <w:tc>
          <w:tcPr>
            <w:tcW w:w="2130" w:type="dxa"/>
            <w:gridSpan w:val="2"/>
            <w:tcBorders>
              <w:top w:val="single" w:color="auto" w:sz="4" w:space="0"/>
              <w:left w:val="single" w:color="auto" w:sz="4" w:space="0"/>
              <w:right w:val="single" w:color="auto" w:sz="4" w:space="0"/>
            </w:tcBorders>
            <w:vAlign w:val="center"/>
          </w:tcPr>
          <w:p w14:paraId="5B23E2D1">
            <w:pPr>
              <w:keepNext w:val="0"/>
              <w:keepLines w:val="0"/>
              <w:pageBreakBefore w:val="0"/>
              <w:kinsoku/>
              <w:overflowPunct/>
              <w:autoSpaceDE/>
              <w:autoSpaceDN/>
              <w:bidi w:val="0"/>
              <w:adjustRightInd w:val="0"/>
              <w:snapToGrid w:val="0"/>
              <w:spacing w:line="52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是否授权评标委员会确定中标人</w:t>
            </w:r>
          </w:p>
        </w:tc>
        <w:tc>
          <w:tcPr>
            <w:tcW w:w="7529" w:type="dxa"/>
            <w:tcBorders>
              <w:top w:val="single" w:color="auto" w:sz="4" w:space="0"/>
              <w:left w:val="single" w:color="auto" w:sz="4" w:space="0"/>
              <w:right w:val="single" w:color="auto" w:sz="4" w:space="0"/>
            </w:tcBorders>
            <w:vAlign w:val="center"/>
          </w:tcPr>
          <w:p w14:paraId="3ABD3DB3">
            <w:pPr>
              <w:keepNext w:val="0"/>
              <w:keepLines w:val="0"/>
              <w:pageBreakBefore w:val="0"/>
              <w:widowControl/>
              <w:kinsoku/>
              <w:overflowPunct/>
              <w:autoSpaceDE/>
              <w:autoSpaceDN/>
              <w:bidi w:val="0"/>
              <w:adjustRightInd w:val="0"/>
              <w:snapToGrid w:val="0"/>
              <w:spacing w:line="520" w:lineRule="exact"/>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否</w:t>
            </w:r>
          </w:p>
        </w:tc>
      </w:tr>
      <w:tr w14:paraId="63291BE4">
        <w:tblPrEx>
          <w:tblCellMar>
            <w:top w:w="0" w:type="dxa"/>
            <w:left w:w="108" w:type="dxa"/>
            <w:bottom w:w="0" w:type="dxa"/>
            <w:right w:w="108" w:type="dxa"/>
          </w:tblCellMar>
        </w:tblPrEx>
        <w:trPr>
          <w:jc w:val="center"/>
        </w:trPr>
        <w:tc>
          <w:tcPr>
            <w:tcW w:w="868" w:type="dxa"/>
            <w:tcBorders>
              <w:top w:val="single" w:color="auto" w:sz="4" w:space="0"/>
              <w:left w:val="single" w:color="auto" w:sz="4" w:space="0"/>
              <w:right w:val="single" w:color="auto" w:sz="4" w:space="0"/>
            </w:tcBorders>
            <w:vAlign w:val="center"/>
          </w:tcPr>
          <w:p w14:paraId="3CA056BA">
            <w:pPr>
              <w:keepNext w:val="0"/>
              <w:keepLines w:val="0"/>
              <w:pageBreakBefore w:val="0"/>
              <w:kinsoku/>
              <w:overflowPunct/>
              <w:autoSpaceDE/>
              <w:autoSpaceDN/>
              <w:bidi w:val="0"/>
              <w:spacing w:line="52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27</w:t>
            </w:r>
          </w:p>
        </w:tc>
        <w:tc>
          <w:tcPr>
            <w:tcW w:w="2130" w:type="dxa"/>
            <w:gridSpan w:val="2"/>
            <w:tcBorders>
              <w:top w:val="single" w:color="auto" w:sz="4" w:space="0"/>
              <w:left w:val="single" w:color="auto" w:sz="4" w:space="0"/>
              <w:right w:val="single" w:color="auto" w:sz="4" w:space="0"/>
            </w:tcBorders>
            <w:vAlign w:val="center"/>
          </w:tcPr>
          <w:p w14:paraId="4B1073F2">
            <w:pPr>
              <w:keepNext w:val="0"/>
              <w:keepLines w:val="0"/>
              <w:pageBreakBefore w:val="0"/>
              <w:kinsoku/>
              <w:overflowPunct/>
              <w:autoSpaceDE/>
              <w:autoSpaceDN/>
              <w:bidi w:val="0"/>
              <w:adjustRightInd w:val="0"/>
              <w:snapToGrid w:val="0"/>
              <w:spacing w:line="52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中标结果公示媒介</w:t>
            </w:r>
          </w:p>
        </w:tc>
        <w:tc>
          <w:tcPr>
            <w:tcW w:w="7529" w:type="dxa"/>
            <w:tcBorders>
              <w:top w:val="single" w:color="auto" w:sz="4" w:space="0"/>
              <w:left w:val="single" w:color="auto" w:sz="4" w:space="0"/>
              <w:right w:val="single" w:color="auto" w:sz="4" w:space="0"/>
            </w:tcBorders>
            <w:vAlign w:val="center"/>
          </w:tcPr>
          <w:p w14:paraId="41B295D5">
            <w:pPr>
              <w:keepNext w:val="0"/>
              <w:keepLines w:val="0"/>
              <w:pageBreakBefore w:val="0"/>
              <w:widowControl/>
              <w:kinsoku/>
              <w:overflowPunct/>
              <w:autoSpaceDE/>
              <w:autoSpaceDN/>
              <w:bidi w:val="0"/>
              <w:adjustRightInd w:val="0"/>
              <w:snapToGrid w:val="0"/>
              <w:spacing w:line="52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公示媒介：同招标公告发布媒介；</w:t>
            </w:r>
          </w:p>
          <w:p w14:paraId="5EBA81CE">
            <w:pPr>
              <w:keepNext w:val="0"/>
              <w:keepLines w:val="0"/>
              <w:pageBreakBefore w:val="0"/>
              <w:widowControl/>
              <w:kinsoku/>
              <w:overflowPunct/>
              <w:autoSpaceDE/>
              <w:autoSpaceDN/>
              <w:bidi w:val="0"/>
              <w:adjustRightInd w:val="0"/>
              <w:snapToGrid w:val="0"/>
              <w:spacing w:line="520" w:lineRule="exact"/>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公示期限：1日</w:t>
            </w:r>
          </w:p>
        </w:tc>
      </w:tr>
      <w:tr w14:paraId="1314FC43">
        <w:tblPrEx>
          <w:tblCellMar>
            <w:top w:w="0" w:type="dxa"/>
            <w:left w:w="108" w:type="dxa"/>
            <w:bottom w:w="0" w:type="dxa"/>
            <w:right w:w="108" w:type="dxa"/>
          </w:tblCellMar>
        </w:tblPrEx>
        <w:trPr>
          <w:jc w:val="center"/>
        </w:trPr>
        <w:tc>
          <w:tcPr>
            <w:tcW w:w="868" w:type="dxa"/>
            <w:tcBorders>
              <w:top w:val="single" w:color="auto" w:sz="4" w:space="0"/>
              <w:left w:val="single" w:color="auto" w:sz="4" w:space="0"/>
              <w:right w:val="single" w:color="auto" w:sz="4" w:space="0"/>
            </w:tcBorders>
            <w:vAlign w:val="center"/>
          </w:tcPr>
          <w:p w14:paraId="0CAD511D">
            <w:pPr>
              <w:keepNext w:val="0"/>
              <w:keepLines w:val="0"/>
              <w:pageBreakBefore w:val="0"/>
              <w:kinsoku/>
              <w:overflowPunct/>
              <w:autoSpaceDE/>
              <w:autoSpaceDN/>
              <w:bidi w:val="0"/>
              <w:spacing w:line="52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28</w:t>
            </w:r>
          </w:p>
        </w:tc>
        <w:tc>
          <w:tcPr>
            <w:tcW w:w="2130" w:type="dxa"/>
            <w:gridSpan w:val="2"/>
            <w:tcBorders>
              <w:top w:val="single" w:color="auto" w:sz="4" w:space="0"/>
              <w:left w:val="single" w:color="auto" w:sz="4" w:space="0"/>
              <w:right w:val="single" w:color="auto" w:sz="4" w:space="0"/>
            </w:tcBorders>
            <w:vAlign w:val="center"/>
          </w:tcPr>
          <w:p w14:paraId="00986C5B">
            <w:pPr>
              <w:keepNext w:val="0"/>
              <w:keepLines w:val="0"/>
              <w:pageBreakBefore w:val="0"/>
              <w:kinsoku/>
              <w:wordWrap/>
              <w:overflowPunct/>
              <w:autoSpaceDE/>
              <w:autoSpaceDN/>
              <w:bidi w:val="0"/>
              <w:adjustRightInd w:val="0"/>
              <w:snapToGrid w:val="0"/>
              <w:spacing w:line="520" w:lineRule="exac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中标通知书发出形式</w:t>
            </w:r>
          </w:p>
        </w:tc>
        <w:tc>
          <w:tcPr>
            <w:tcW w:w="7529" w:type="dxa"/>
            <w:tcBorders>
              <w:top w:val="single" w:color="auto" w:sz="4" w:space="0"/>
              <w:left w:val="single" w:color="auto" w:sz="4" w:space="0"/>
              <w:right w:val="single" w:color="auto" w:sz="4" w:space="0"/>
            </w:tcBorders>
            <w:vAlign w:val="center"/>
          </w:tcPr>
          <w:p w14:paraId="020A58C5">
            <w:pPr>
              <w:keepNext w:val="0"/>
              <w:keepLines w:val="0"/>
              <w:pageBreakBefore w:val="0"/>
              <w:widowControl/>
              <w:kinsoku/>
              <w:wordWrap/>
              <w:overflowPunct/>
              <w:autoSpaceDE/>
              <w:autoSpaceDN/>
              <w:bidi w:val="0"/>
              <w:adjustRightInd w:val="0"/>
              <w:snapToGrid w:val="0"/>
              <w:spacing w:line="520" w:lineRule="exac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数据电文</w:t>
            </w:r>
          </w:p>
        </w:tc>
      </w:tr>
      <w:tr w14:paraId="7C747C0B">
        <w:tblPrEx>
          <w:tblCellMar>
            <w:top w:w="0" w:type="dxa"/>
            <w:left w:w="108" w:type="dxa"/>
            <w:bottom w:w="0" w:type="dxa"/>
            <w:right w:w="108" w:type="dxa"/>
          </w:tblCellMar>
        </w:tblPrEx>
        <w:trPr>
          <w:trHeight w:val="97"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29136B1F">
            <w:pPr>
              <w:keepNext w:val="0"/>
              <w:keepLines w:val="0"/>
              <w:pageBreakBefore w:val="0"/>
              <w:kinsoku/>
              <w:overflowPunct/>
              <w:autoSpaceDE/>
              <w:autoSpaceDN/>
              <w:bidi w:val="0"/>
              <w:spacing w:line="52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29</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49DFC78D">
            <w:pPr>
              <w:keepNext w:val="0"/>
              <w:keepLines w:val="0"/>
              <w:pageBreakBefore w:val="0"/>
              <w:kinsoku/>
              <w:overflowPunct/>
              <w:autoSpaceDE/>
              <w:autoSpaceDN/>
              <w:bidi w:val="0"/>
              <w:spacing w:line="52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履约担保</w:t>
            </w:r>
          </w:p>
        </w:tc>
        <w:tc>
          <w:tcPr>
            <w:tcW w:w="7529" w:type="dxa"/>
            <w:tcBorders>
              <w:top w:val="single" w:color="auto" w:sz="4" w:space="0"/>
              <w:left w:val="single" w:color="auto" w:sz="4" w:space="0"/>
              <w:bottom w:val="single" w:color="auto" w:sz="4" w:space="0"/>
              <w:right w:val="single" w:color="auto" w:sz="4" w:space="0"/>
            </w:tcBorders>
            <w:vAlign w:val="center"/>
          </w:tcPr>
          <w:p w14:paraId="6807BF89">
            <w:pPr>
              <w:keepNext w:val="0"/>
              <w:keepLines w:val="0"/>
              <w:pageBreakBefore w:val="0"/>
              <w:kinsoku/>
              <w:overflowPunct/>
              <w:autoSpaceDE/>
              <w:autoSpaceDN/>
              <w:bidi w:val="0"/>
              <w:spacing w:line="520" w:lineRule="exac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不收取</w:t>
            </w:r>
          </w:p>
        </w:tc>
      </w:tr>
      <w:tr w14:paraId="1A738413">
        <w:tblPrEx>
          <w:tblCellMar>
            <w:top w:w="0" w:type="dxa"/>
            <w:left w:w="108" w:type="dxa"/>
            <w:bottom w:w="0" w:type="dxa"/>
            <w:right w:w="108" w:type="dxa"/>
          </w:tblCellMar>
        </w:tblPrEx>
        <w:trPr>
          <w:trHeight w:val="97"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4F2B416C">
            <w:pPr>
              <w:keepNext w:val="0"/>
              <w:keepLines w:val="0"/>
              <w:pageBreakBefore w:val="0"/>
              <w:kinsoku/>
              <w:overflowPunct/>
              <w:autoSpaceDE/>
              <w:autoSpaceDN/>
              <w:bidi w:val="0"/>
              <w:spacing w:line="52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30</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38D5393C">
            <w:pPr>
              <w:keepNext w:val="0"/>
              <w:keepLines w:val="0"/>
              <w:pageBreakBefore w:val="0"/>
              <w:kinsoku/>
              <w:overflowPunct/>
              <w:autoSpaceDE/>
              <w:autoSpaceDN/>
              <w:bidi w:val="0"/>
              <w:adjustRightInd w:val="0"/>
              <w:snapToGrid w:val="0"/>
              <w:spacing w:line="52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签订合同</w:t>
            </w:r>
          </w:p>
        </w:tc>
        <w:tc>
          <w:tcPr>
            <w:tcW w:w="7529" w:type="dxa"/>
            <w:tcBorders>
              <w:top w:val="single" w:color="auto" w:sz="4" w:space="0"/>
              <w:left w:val="single" w:color="auto" w:sz="4" w:space="0"/>
              <w:bottom w:val="single" w:color="auto" w:sz="4" w:space="0"/>
              <w:right w:val="single" w:color="auto" w:sz="4" w:space="0"/>
            </w:tcBorders>
            <w:vAlign w:val="top"/>
          </w:tcPr>
          <w:p w14:paraId="1E208699">
            <w:pPr>
              <w:keepNext w:val="0"/>
              <w:keepLines w:val="0"/>
              <w:pageBreakBefore w:val="0"/>
              <w:kinsoku/>
              <w:overflowPunct/>
              <w:autoSpaceDE/>
              <w:autoSpaceDN/>
              <w:bidi w:val="0"/>
              <w:adjustRightInd w:val="0"/>
              <w:snapToGrid w:val="0"/>
              <w:spacing w:line="520" w:lineRule="exac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中标通知书发出之日起，3个日历天内应委派代表与招标人联系办理履约担保并商讨书面合同签订等事宜；30个日历天内足额交纳履约保证金（投标保证金不能转为履约保证金）并根据招标文件和中标人的投标文件订立书面合同。中标人无正当理由拒签合同的，招标人将依据招投标相关法律法规进行处理；给招标人造成的损失，中标人还应当予以赔偿。</w:t>
            </w:r>
          </w:p>
        </w:tc>
      </w:tr>
      <w:tr w14:paraId="5C8B4C92">
        <w:tblPrEx>
          <w:tblCellMar>
            <w:top w:w="0" w:type="dxa"/>
            <w:left w:w="108" w:type="dxa"/>
            <w:bottom w:w="0" w:type="dxa"/>
            <w:right w:w="108" w:type="dxa"/>
          </w:tblCellMar>
        </w:tblPrEx>
        <w:trPr>
          <w:trHeight w:val="90" w:hRule="atLeast"/>
          <w:jc w:val="center"/>
        </w:trPr>
        <w:tc>
          <w:tcPr>
            <w:tcW w:w="10527" w:type="dxa"/>
            <w:gridSpan w:val="4"/>
            <w:tcBorders>
              <w:top w:val="single" w:color="auto" w:sz="4" w:space="0"/>
              <w:left w:val="single" w:color="auto" w:sz="4" w:space="0"/>
              <w:bottom w:val="single" w:color="auto" w:sz="4" w:space="0"/>
              <w:right w:val="single" w:color="auto" w:sz="4" w:space="0"/>
            </w:tcBorders>
            <w:vAlign w:val="center"/>
          </w:tcPr>
          <w:p w14:paraId="22A6DE59">
            <w:pPr>
              <w:keepNext w:val="0"/>
              <w:keepLines w:val="0"/>
              <w:pageBreakBefore w:val="0"/>
              <w:kinsoku/>
              <w:overflowPunct/>
              <w:autoSpaceDE/>
              <w:autoSpaceDN/>
              <w:bidi w:val="0"/>
              <w:spacing w:line="52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需要补充的其他内容</w:t>
            </w:r>
          </w:p>
        </w:tc>
      </w:tr>
      <w:tr w14:paraId="0EAA8378">
        <w:tblPrEx>
          <w:tblCellMar>
            <w:top w:w="0" w:type="dxa"/>
            <w:left w:w="108" w:type="dxa"/>
            <w:bottom w:w="0" w:type="dxa"/>
            <w:right w:w="108" w:type="dxa"/>
          </w:tblCellMar>
        </w:tblPrEx>
        <w:trPr>
          <w:trHeight w:val="90" w:hRule="atLeast"/>
          <w:jc w:val="center"/>
        </w:trPr>
        <w:tc>
          <w:tcPr>
            <w:tcW w:w="1778" w:type="dxa"/>
            <w:gridSpan w:val="2"/>
            <w:tcBorders>
              <w:top w:val="single" w:color="auto" w:sz="4" w:space="0"/>
              <w:left w:val="single" w:color="auto" w:sz="4" w:space="0"/>
              <w:bottom w:val="single" w:color="auto" w:sz="4" w:space="0"/>
              <w:right w:val="single" w:color="auto" w:sz="4" w:space="0"/>
            </w:tcBorders>
            <w:vAlign w:val="center"/>
          </w:tcPr>
          <w:p w14:paraId="1763174F">
            <w:pPr>
              <w:keepNext w:val="0"/>
              <w:keepLines w:val="0"/>
              <w:pageBreakBefore w:val="0"/>
              <w:kinsoku/>
              <w:overflowPunct/>
              <w:autoSpaceDE/>
              <w:autoSpaceDN/>
              <w:bidi w:val="0"/>
              <w:spacing w:line="52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电子招标投标</w:t>
            </w:r>
          </w:p>
        </w:tc>
        <w:tc>
          <w:tcPr>
            <w:tcW w:w="8749" w:type="dxa"/>
            <w:gridSpan w:val="2"/>
            <w:tcBorders>
              <w:top w:val="single" w:color="auto" w:sz="4" w:space="0"/>
              <w:left w:val="single" w:color="auto" w:sz="4" w:space="0"/>
              <w:bottom w:val="single" w:color="auto" w:sz="4" w:space="0"/>
              <w:right w:val="single" w:color="auto" w:sz="4" w:space="0"/>
            </w:tcBorders>
            <w:vAlign w:val="center"/>
          </w:tcPr>
          <w:p w14:paraId="3D0923B4">
            <w:pPr>
              <w:keepNext w:val="0"/>
              <w:keepLines w:val="0"/>
              <w:pageBreakBefore w:val="0"/>
              <w:kinsoku/>
              <w:overflowPunct/>
              <w:autoSpaceDE/>
              <w:autoSpaceDN/>
              <w:bidi w:val="0"/>
              <w:spacing w:line="5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是</w:t>
            </w:r>
            <w:r>
              <w:rPr>
                <w:rFonts w:hint="eastAsia" w:asciiTheme="minorEastAsia" w:hAnsiTheme="minorEastAsia" w:eastAsiaTheme="minorEastAsia" w:cstheme="minorEastAsia"/>
                <w:color w:val="auto"/>
                <w:sz w:val="21"/>
                <w:szCs w:val="21"/>
                <w:highlight w:val="none"/>
              </w:rPr>
              <w:t>，具体要求：按招标文件规定。</w:t>
            </w:r>
          </w:p>
        </w:tc>
      </w:tr>
      <w:tr w14:paraId="44ED8C55">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vAlign w:val="center"/>
          </w:tcPr>
          <w:p w14:paraId="72B644CC">
            <w:pPr>
              <w:keepNext w:val="0"/>
              <w:keepLines w:val="0"/>
              <w:pageBreakBefore w:val="0"/>
              <w:kinsoku/>
              <w:wordWrap/>
              <w:overflowPunct/>
              <w:autoSpaceDE/>
              <w:autoSpaceDN/>
              <w:bidi w:val="0"/>
              <w:adjustRightInd w:val="0"/>
              <w:snapToGrid w:val="0"/>
              <w:spacing w:line="52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招标代理服务费</w:t>
            </w:r>
          </w:p>
        </w:tc>
        <w:tc>
          <w:tcPr>
            <w:tcW w:w="8749" w:type="dxa"/>
            <w:gridSpan w:val="2"/>
            <w:tcBorders>
              <w:top w:val="single" w:color="auto" w:sz="4" w:space="0"/>
              <w:left w:val="single" w:color="auto" w:sz="4" w:space="0"/>
              <w:bottom w:val="single" w:color="auto" w:sz="4" w:space="0"/>
              <w:right w:val="single" w:color="auto" w:sz="4" w:space="0"/>
            </w:tcBorders>
            <w:vAlign w:val="center"/>
          </w:tcPr>
          <w:p w14:paraId="4FCEA6E1">
            <w:pPr>
              <w:keepNext w:val="0"/>
              <w:keepLines w:val="0"/>
              <w:pageBreakBefore w:val="0"/>
              <w:kinsoku/>
              <w:overflowPunct/>
              <w:autoSpaceDE/>
              <w:autoSpaceDN/>
              <w:bidi w:val="0"/>
              <w:adjustRightInd w:val="0"/>
              <w:snapToGrid w:val="0"/>
              <w:spacing w:line="520" w:lineRule="exac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代理服务费具体金额：</w:t>
            </w:r>
            <w:r>
              <w:rPr>
                <w:rFonts w:hint="eastAsia" w:asciiTheme="minorEastAsia" w:hAnsiTheme="minorEastAsia" w:eastAsiaTheme="minorEastAsia" w:cstheme="minorEastAsia"/>
                <w:color w:val="auto"/>
                <w:kern w:val="0"/>
                <w:sz w:val="21"/>
                <w:szCs w:val="21"/>
                <w:highlight w:val="none"/>
                <w:u w:val="single"/>
                <w:lang w:val="en-US" w:eastAsia="zh-CN"/>
              </w:rPr>
              <w:t>7800</w:t>
            </w:r>
            <w:r>
              <w:rPr>
                <w:rFonts w:hint="eastAsia" w:asciiTheme="minorEastAsia" w:hAnsiTheme="minorEastAsia" w:eastAsiaTheme="minorEastAsia" w:cstheme="minorEastAsia"/>
                <w:color w:val="auto"/>
                <w:kern w:val="0"/>
                <w:sz w:val="21"/>
                <w:szCs w:val="21"/>
                <w:highlight w:val="none"/>
              </w:rPr>
              <w:t>元</w:t>
            </w:r>
            <w:r>
              <w:rPr>
                <w:rFonts w:hint="eastAsia" w:asciiTheme="minorEastAsia" w:hAnsiTheme="minorEastAsia" w:eastAsiaTheme="minorEastAsia" w:cstheme="minorEastAsia"/>
                <w:color w:val="auto"/>
                <w:kern w:val="0"/>
                <w:sz w:val="21"/>
                <w:szCs w:val="21"/>
                <w:highlight w:val="none"/>
                <w:lang w:eastAsia="zh-CN"/>
              </w:rPr>
              <w:t>（参照计价格[2002]1980号文件执行）</w:t>
            </w:r>
            <w:r>
              <w:rPr>
                <w:rFonts w:hint="eastAsia" w:asciiTheme="minorEastAsia" w:hAnsiTheme="minorEastAsia" w:eastAsiaTheme="minorEastAsia" w:cstheme="minorEastAsia"/>
                <w:color w:val="auto"/>
                <w:kern w:val="0"/>
                <w:sz w:val="21"/>
                <w:szCs w:val="21"/>
                <w:highlight w:val="none"/>
              </w:rPr>
              <w:t>；</w:t>
            </w:r>
          </w:p>
          <w:p w14:paraId="56857A6A">
            <w:pPr>
              <w:keepNext w:val="0"/>
              <w:keepLines w:val="0"/>
              <w:pageBreakBefore w:val="0"/>
              <w:kinsoku/>
              <w:overflowPunct/>
              <w:autoSpaceDE/>
              <w:autoSpaceDN/>
              <w:bidi w:val="0"/>
              <w:adjustRightInd w:val="0"/>
              <w:snapToGrid w:val="0"/>
              <w:spacing w:line="5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代理服务费支付主体</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0"/>
                <w:sz w:val="21"/>
                <w:szCs w:val="21"/>
                <w:highlight w:val="none"/>
              </w:rPr>
              <w:t>中标人</w:t>
            </w:r>
          </w:p>
        </w:tc>
      </w:tr>
      <w:tr w14:paraId="06105E45">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vAlign w:val="center"/>
          </w:tcPr>
          <w:p w14:paraId="0848E885">
            <w:pPr>
              <w:keepNext w:val="0"/>
              <w:keepLines w:val="0"/>
              <w:pageBreakBefore w:val="0"/>
              <w:kinsoku/>
              <w:wordWrap/>
              <w:overflowPunct/>
              <w:autoSpaceDE/>
              <w:autoSpaceDN/>
              <w:bidi w:val="0"/>
              <w:adjustRightInd w:val="0"/>
              <w:snapToGrid w:val="0"/>
              <w:spacing w:line="52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专家评审劳务费</w:t>
            </w:r>
          </w:p>
        </w:tc>
        <w:tc>
          <w:tcPr>
            <w:tcW w:w="8749" w:type="dxa"/>
            <w:gridSpan w:val="2"/>
            <w:tcBorders>
              <w:top w:val="single" w:color="auto" w:sz="4" w:space="0"/>
              <w:left w:val="single" w:color="auto" w:sz="4" w:space="0"/>
              <w:bottom w:val="single" w:color="auto" w:sz="4" w:space="0"/>
              <w:right w:val="single" w:color="auto" w:sz="4" w:space="0"/>
            </w:tcBorders>
            <w:vAlign w:val="center"/>
          </w:tcPr>
          <w:p w14:paraId="1DD6A9E5">
            <w:pPr>
              <w:keepNext w:val="0"/>
              <w:keepLines w:val="0"/>
              <w:pageBreakBefore w:val="0"/>
              <w:kinsoku/>
              <w:overflowPunct/>
              <w:autoSpaceDE/>
              <w:autoSpaceDN/>
              <w:bidi w:val="0"/>
              <w:adjustRightInd w:val="0"/>
              <w:snapToGrid w:val="0"/>
              <w:spacing w:line="5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费用或支付标准：以实际发生费用为准</w:t>
            </w:r>
          </w:p>
          <w:p w14:paraId="5785329E">
            <w:pPr>
              <w:pStyle w:val="2"/>
              <w:keepNext w:val="0"/>
              <w:keepLines w:val="0"/>
              <w:pageBreakBefore w:val="0"/>
              <w:kinsoku/>
              <w:overflowPunct/>
              <w:autoSpaceDE/>
              <w:autoSpaceDN/>
              <w:bidi w:val="0"/>
              <w:spacing w:line="520" w:lineRule="exact"/>
              <w:ind w:left="0" w:leftChars="0" w:firstLine="0"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支付主体：代理机构</w:t>
            </w:r>
          </w:p>
        </w:tc>
      </w:tr>
      <w:tr w14:paraId="4B5FF699">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vAlign w:val="center"/>
          </w:tcPr>
          <w:p w14:paraId="31509F33">
            <w:pPr>
              <w:keepNext w:val="0"/>
              <w:keepLines w:val="0"/>
              <w:pageBreakBefore w:val="0"/>
              <w:kinsoku/>
              <w:wordWrap/>
              <w:overflowPunct/>
              <w:autoSpaceDE/>
              <w:autoSpaceDN/>
              <w:bidi w:val="0"/>
              <w:adjustRightInd w:val="0"/>
              <w:snapToGrid w:val="0"/>
              <w:spacing w:line="52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解释权</w:t>
            </w:r>
          </w:p>
        </w:tc>
        <w:tc>
          <w:tcPr>
            <w:tcW w:w="8749" w:type="dxa"/>
            <w:gridSpan w:val="2"/>
            <w:tcBorders>
              <w:top w:val="single" w:color="auto" w:sz="4" w:space="0"/>
              <w:left w:val="single" w:color="auto" w:sz="4" w:space="0"/>
              <w:bottom w:val="single" w:color="auto" w:sz="4" w:space="0"/>
              <w:right w:val="single" w:color="auto" w:sz="4" w:space="0"/>
            </w:tcBorders>
            <w:vAlign w:val="center"/>
          </w:tcPr>
          <w:p w14:paraId="6825A893">
            <w:pPr>
              <w:pStyle w:val="119"/>
              <w:keepNext w:val="0"/>
              <w:keepLines w:val="0"/>
              <w:pageBreakBefore w:val="0"/>
              <w:kinsoku/>
              <w:wordWrap/>
              <w:overflowPunct/>
              <w:autoSpaceDE/>
              <w:autoSpaceDN/>
              <w:bidi w:val="0"/>
              <w:adjustRightInd w:val="0"/>
              <w:snapToGrid w:val="0"/>
              <w:spacing w:line="520" w:lineRule="exact"/>
              <w:textAlignment w:val="auto"/>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val="en-US" w:eastAsia="zh-CN" w:bidi="ar-SA"/>
              </w:rPr>
              <w:t>1.构成本招标文 件的各个组成文件应互为解释，互为说明；</w:t>
            </w:r>
          </w:p>
          <w:p w14:paraId="1EDAA598">
            <w:pPr>
              <w:pStyle w:val="119"/>
              <w:keepNext w:val="0"/>
              <w:keepLines w:val="0"/>
              <w:pageBreakBefore w:val="0"/>
              <w:kinsoku/>
              <w:wordWrap/>
              <w:overflowPunct/>
              <w:autoSpaceDE/>
              <w:autoSpaceDN/>
              <w:bidi w:val="0"/>
              <w:adjustRightInd w:val="0"/>
              <w:snapToGrid w:val="0"/>
              <w:spacing w:line="520" w:lineRule="exact"/>
              <w:textAlignment w:val="auto"/>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val="en-US" w:eastAsia="zh-CN" w:bidi="ar-SA"/>
              </w:rPr>
              <w:t>2.同一组成文件中就同一事项的规定或约定不一致的，以编排顺序在后者为准；</w:t>
            </w:r>
          </w:p>
          <w:p w14:paraId="2316AE66">
            <w:pPr>
              <w:pStyle w:val="119"/>
              <w:keepNext w:val="0"/>
              <w:keepLines w:val="0"/>
              <w:pageBreakBefore w:val="0"/>
              <w:tabs>
                <w:tab w:val="left" w:pos="351"/>
              </w:tabs>
              <w:kinsoku/>
              <w:wordWrap/>
              <w:overflowPunct/>
              <w:autoSpaceDE/>
              <w:autoSpaceDN/>
              <w:bidi w:val="0"/>
              <w:adjustRightInd w:val="0"/>
              <w:snapToGrid w:val="0"/>
              <w:spacing w:line="520" w:lineRule="exact"/>
              <w:textAlignment w:val="auto"/>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val="en-US" w:eastAsia="zh-CN" w:bidi="ar-SA"/>
              </w:rPr>
              <w:t>3.如有不明确或不一致，构成合同文件组成内容的，以合同文件约定内容为准，且以专用合同条款约定的合同文件优先顺序解释；</w:t>
            </w:r>
          </w:p>
          <w:p w14:paraId="5E5F702D">
            <w:pPr>
              <w:pStyle w:val="119"/>
              <w:keepNext w:val="0"/>
              <w:keepLines w:val="0"/>
              <w:pageBreakBefore w:val="0"/>
              <w:tabs>
                <w:tab w:val="left" w:pos="354"/>
              </w:tabs>
              <w:kinsoku/>
              <w:wordWrap/>
              <w:overflowPunct/>
              <w:autoSpaceDE/>
              <w:autoSpaceDN/>
              <w:bidi w:val="0"/>
              <w:adjustRightInd w:val="0"/>
              <w:snapToGrid w:val="0"/>
              <w:spacing w:line="520" w:lineRule="exact"/>
              <w:textAlignment w:val="auto"/>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val="en-US" w:eastAsia="zh-CN" w:bidi="ar-SA"/>
              </w:rPr>
              <w:t>4.系统中提供的表格（或格式文件）与招标文件中不一致时，以招标文件中提供的为准；</w:t>
            </w:r>
          </w:p>
          <w:p w14:paraId="212B79FA">
            <w:pPr>
              <w:pStyle w:val="119"/>
              <w:keepNext w:val="0"/>
              <w:keepLines w:val="0"/>
              <w:pageBreakBefore w:val="0"/>
              <w:tabs>
                <w:tab w:val="left" w:pos="636"/>
              </w:tabs>
              <w:kinsoku/>
              <w:wordWrap/>
              <w:overflowPunct/>
              <w:autoSpaceDE/>
              <w:autoSpaceDN/>
              <w:bidi w:val="0"/>
              <w:adjustRightInd w:val="0"/>
              <w:snapToGrid w:val="0"/>
              <w:spacing w:line="520" w:lineRule="exact"/>
              <w:jc w:val="left"/>
              <w:textAlignment w:val="auto"/>
              <w:rPr>
                <w:rFonts w:hint="eastAsia" w:asciiTheme="minorEastAsia" w:hAnsiTheme="minorEastAsia" w:eastAsiaTheme="minorEastAsia" w:cstheme="minorEastAsia"/>
                <w:strike/>
                <w:color w:val="auto"/>
                <w:sz w:val="21"/>
                <w:szCs w:val="21"/>
                <w:highlight w:val="none"/>
              </w:rPr>
            </w:pPr>
            <w:r>
              <w:rPr>
                <w:rFonts w:hint="eastAsia" w:asciiTheme="minorEastAsia" w:hAnsiTheme="minorEastAsia" w:eastAsiaTheme="minorEastAsia" w:cstheme="minorEastAsia"/>
                <w:bCs/>
                <w:color w:val="auto"/>
                <w:kern w:val="2"/>
                <w:sz w:val="21"/>
                <w:szCs w:val="21"/>
                <w:highlight w:val="none"/>
                <w:lang w:val="en-US" w:eastAsia="zh-CN" w:bidi="ar-SA"/>
              </w:rPr>
              <w:t>5.按本款前述规定仍不能形成结论的，由招标人负责解释。</w:t>
            </w:r>
          </w:p>
        </w:tc>
      </w:tr>
      <w:tr w14:paraId="768E8C0F">
        <w:tblPrEx>
          <w:tblCellMar>
            <w:top w:w="0" w:type="dxa"/>
            <w:left w:w="108" w:type="dxa"/>
            <w:bottom w:w="0" w:type="dxa"/>
            <w:right w:w="108" w:type="dxa"/>
          </w:tblCellMar>
        </w:tblPrEx>
        <w:trPr>
          <w:trHeight w:val="90" w:hRule="atLeast"/>
          <w:jc w:val="center"/>
        </w:trPr>
        <w:tc>
          <w:tcPr>
            <w:tcW w:w="1778" w:type="dxa"/>
            <w:gridSpan w:val="2"/>
            <w:tcBorders>
              <w:top w:val="single" w:color="auto" w:sz="4" w:space="0"/>
              <w:left w:val="single" w:color="auto" w:sz="4" w:space="0"/>
              <w:bottom w:val="single" w:color="auto" w:sz="4" w:space="0"/>
              <w:right w:val="single" w:color="auto" w:sz="4" w:space="0"/>
            </w:tcBorders>
            <w:vAlign w:val="center"/>
          </w:tcPr>
          <w:p w14:paraId="36C74B8D">
            <w:pPr>
              <w:keepNext w:val="0"/>
              <w:keepLines w:val="0"/>
              <w:pageBreakBefore w:val="0"/>
              <w:kinsoku/>
              <w:overflowPunct/>
              <w:autoSpaceDE/>
              <w:autoSpaceDN/>
              <w:bidi w:val="0"/>
              <w:spacing w:line="52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人员配备要求</w:t>
            </w:r>
            <w:r>
              <w:rPr>
                <w:rFonts w:hint="eastAsia" w:asciiTheme="minorEastAsia" w:hAnsiTheme="minorEastAsia" w:eastAsiaTheme="minorEastAsia" w:cstheme="minorEastAsia"/>
                <w:color w:val="auto"/>
                <w:sz w:val="21"/>
                <w:szCs w:val="21"/>
                <w:highlight w:val="none"/>
                <w:lang w:val="en-US" w:eastAsia="zh-CN"/>
              </w:rPr>
              <w:t>及在岗</w:t>
            </w:r>
          </w:p>
        </w:tc>
        <w:tc>
          <w:tcPr>
            <w:tcW w:w="8749" w:type="dxa"/>
            <w:gridSpan w:val="2"/>
            <w:tcBorders>
              <w:top w:val="single" w:color="auto" w:sz="4" w:space="0"/>
              <w:left w:val="single" w:color="auto" w:sz="4" w:space="0"/>
              <w:bottom w:val="single" w:color="auto" w:sz="4" w:space="0"/>
              <w:right w:val="single" w:color="auto" w:sz="4" w:space="0"/>
            </w:tcBorders>
            <w:vAlign w:val="center"/>
          </w:tcPr>
          <w:p w14:paraId="56966E49">
            <w:pPr>
              <w:keepNext w:val="0"/>
              <w:keepLines w:val="0"/>
              <w:pageBreakBefore w:val="0"/>
              <w:kinsoku/>
              <w:wordWrap/>
              <w:overflowPunct/>
              <w:topLinePunct w:val="0"/>
              <w:autoSpaceDE/>
              <w:autoSpaceDN/>
              <w:bidi w:val="0"/>
              <w:snapToGrid w:val="0"/>
              <w:spacing w:line="520" w:lineRule="exact"/>
              <w:jc w:val="left"/>
              <w:textAlignment w:val="auto"/>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1.除项目负责人外，还须配备满足下列要求的项目组成员（不得少于3人）</w:t>
            </w:r>
            <w:r>
              <w:rPr>
                <w:rFonts w:hint="eastAsia" w:asciiTheme="minorEastAsia" w:hAnsiTheme="minorEastAsia" w:eastAsiaTheme="minorEastAsia" w:cstheme="minorEastAsia"/>
                <w:b/>
                <w:bCs/>
                <w:color w:val="auto"/>
                <w:sz w:val="21"/>
                <w:szCs w:val="21"/>
                <w:highlight w:val="none"/>
              </w:rPr>
              <w:t>：</w:t>
            </w:r>
          </w:p>
          <w:p w14:paraId="1CB4F6EC">
            <w:pPr>
              <w:keepNext w:val="0"/>
              <w:keepLines w:val="0"/>
              <w:pageBreakBefore w:val="0"/>
              <w:kinsoku/>
              <w:wordWrap/>
              <w:overflowPunct/>
              <w:topLinePunct w:val="0"/>
              <w:autoSpaceDE/>
              <w:autoSpaceDN/>
              <w:bidi w:val="0"/>
              <w:snapToGrid w:val="0"/>
              <w:spacing w:line="520" w:lineRule="exact"/>
              <w:jc w:val="left"/>
              <w:textAlignment w:val="auto"/>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（1）不少于3名注册在投标单位的土木建筑工程专业一级注册造价工程师或二级注册造价工程师（具有相关证书）。</w:t>
            </w:r>
          </w:p>
          <w:p w14:paraId="57452B00">
            <w:pPr>
              <w:keepNext w:val="0"/>
              <w:keepLines w:val="0"/>
              <w:pageBreakBefore w:val="0"/>
              <w:kinsoku/>
              <w:wordWrap/>
              <w:overflowPunct/>
              <w:topLinePunct w:val="0"/>
              <w:autoSpaceDE/>
              <w:autoSpaceDN/>
              <w:bidi w:val="0"/>
              <w:snapToGrid w:val="0"/>
              <w:spacing w:line="520" w:lineRule="exact"/>
              <w:jc w:val="left"/>
              <w:textAlignment w:val="auto"/>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注：上述人员投标时均须提供相应证书及社保部门出具的本单位为其缴纳的投标前近三个月连续的养老保险证明（含官网在线打印件，证明文件两个月内有效），投标人是事业单位的，暂未缴纳社保的，须由其主管部门出具证明。</w:t>
            </w:r>
          </w:p>
          <w:p w14:paraId="0DD0FB42">
            <w:pPr>
              <w:keepNext w:val="0"/>
              <w:keepLines w:val="0"/>
              <w:pageBreakBefore w:val="0"/>
              <w:kinsoku/>
              <w:wordWrap/>
              <w:overflowPunct/>
              <w:topLinePunct w:val="0"/>
              <w:autoSpaceDE/>
              <w:autoSpaceDN/>
              <w:bidi w:val="0"/>
              <w:snapToGrid w:val="0"/>
              <w:spacing w:line="520" w:lineRule="exact"/>
              <w:jc w:val="left"/>
              <w:textAlignment w:val="auto"/>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（3）项目组成员非特殊原因一律不得更换，确需更换的必须经招标人认可，更换人员的条件必须高于或等同于原先人员的资历。项目负责人变更处罚5万元每次，项目组其他人员变更处罚2万元每人每次。</w:t>
            </w:r>
          </w:p>
          <w:p w14:paraId="42261F9F">
            <w:pPr>
              <w:keepNext w:val="0"/>
              <w:keepLines w:val="0"/>
              <w:pageBreakBefore w:val="0"/>
              <w:kinsoku/>
              <w:wordWrap/>
              <w:overflowPunct/>
              <w:topLinePunct w:val="0"/>
              <w:autoSpaceDE/>
              <w:autoSpaceDN/>
              <w:bidi w:val="0"/>
              <w:snapToGrid w:val="0"/>
              <w:spacing w:line="520" w:lineRule="exact"/>
              <w:jc w:val="lef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u w:val="none"/>
                <w:lang w:val="en-US" w:eastAsia="zh-CN"/>
              </w:rPr>
              <w:t>2.以上人员配备为最低配备标准要求，在后期项目实施过程中，项目单位可根据施工现场情况增加或调整人员数量和相关专业，费用不予调整。</w:t>
            </w:r>
          </w:p>
        </w:tc>
      </w:tr>
      <w:tr w14:paraId="05DA23EF">
        <w:tblPrEx>
          <w:tblCellMar>
            <w:top w:w="0" w:type="dxa"/>
            <w:left w:w="108" w:type="dxa"/>
            <w:bottom w:w="0" w:type="dxa"/>
            <w:right w:w="108" w:type="dxa"/>
          </w:tblCellMar>
        </w:tblPrEx>
        <w:trPr>
          <w:trHeight w:val="90" w:hRule="atLeast"/>
          <w:jc w:val="center"/>
        </w:trPr>
        <w:tc>
          <w:tcPr>
            <w:tcW w:w="1778" w:type="dxa"/>
            <w:gridSpan w:val="2"/>
            <w:tcBorders>
              <w:top w:val="single" w:color="auto" w:sz="4" w:space="0"/>
              <w:left w:val="single" w:color="auto" w:sz="4" w:space="0"/>
              <w:bottom w:val="single" w:color="auto" w:sz="4" w:space="0"/>
              <w:right w:val="single" w:color="auto" w:sz="4" w:space="0"/>
            </w:tcBorders>
            <w:vAlign w:val="center"/>
          </w:tcPr>
          <w:p w14:paraId="05624947">
            <w:pPr>
              <w:keepNext w:val="0"/>
              <w:keepLines w:val="0"/>
              <w:pageBreakBefore w:val="0"/>
              <w:kinsoku/>
              <w:overflowPunct/>
              <w:autoSpaceDE/>
              <w:autoSpaceDN/>
              <w:bidi w:val="0"/>
              <w:spacing w:line="52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项目管理要求</w:t>
            </w:r>
          </w:p>
        </w:tc>
        <w:tc>
          <w:tcPr>
            <w:tcW w:w="8749" w:type="dxa"/>
            <w:gridSpan w:val="2"/>
            <w:tcBorders>
              <w:top w:val="single" w:color="auto" w:sz="4" w:space="0"/>
              <w:left w:val="single" w:color="auto" w:sz="4" w:space="0"/>
              <w:bottom w:val="single" w:color="auto" w:sz="4" w:space="0"/>
              <w:right w:val="single" w:color="auto" w:sz="4" w:space="0"/>
            </w:tcBorders>
            <w:vAlign w:val="center"/>
          </w:tcPr>
          <w:p w14:paraId="072658CB">
            <w:pPr>
              <w:keepNext w:val="0"/>
              <w:keepLines w:val="0"/>
              <w:pageBreakBefore w:val="0"/>
              <w:kinsoku/>
              <w:wordWrap/>
              <w:overflowPunct/>
              <w:topLinePunct w:val="0"/>
              <w:autoSpaceDE/>
              <w:autoSpaceDN/>
              <w:bidi w:val="0"/>
              <w:snapToGrid w:val="0"/>
              <w:spacing w:line="520" w:lineRule="exact"/>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招标人提供分阶段施工图纸后7个日历天内，中标人向招标人提交造价成果。中标人接收图纸与送达成果时间均在一张联系单上注明，此类联系单作为请款资料附件。因中标人原因逾期提交成果的，每次处罚2000元，在请款申请中直接注明兑现。因施工单位或招标人原因可延期交付造价成果，但须由招标人在联系单上予以说明。</w:t>
            </w:r>
          </w:p>
          <w:p w14:paraId="29D903C3">
            <w:pPr>
              <w:keepNext w:val="0"/>
              <w:keepLines w:val="0"/>
              <w:pageBreakBefore w:val="0"/>
              <w:kinsoku/>
              <w:wordWrap/>
              <w:overflowPunct/>
              <w:topLinePunct w:val="0"/>
              <w:autoSpaceDE/>
              <w:autoSpaceDN/>
              <w:bidi w:val="0"/>
              <w:snapToGrid w:val="0"/>
              <w:spacing w:line="520" w:lineRule="exact"/>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2.本项目为EPC项目，造价咨询服务工作会根据工程进度同步开展，过程繁琐。过程中，中标人应秉持负责任的态度，强化成果质量，每一阶段的造价成果都需要盖章签字。</w:t>
            </w:r>
          </w:p>
          <w:p w14:paraId="65918B57">
            <w:pPr>
              <w:keepNext w:val="0"/>
              <w:keepLines w:val="0"/>
              <w:pageBreakBefore w:val="0"/>
              <w:kinsoku/>
              <w:wordWrap/>
              <w:overflowPunct/>
              <w:topLinePunct w:val="0"/>
              <w:autoSpaceDE/>
              <w:autoSpaceDN/>
              <w:bidi w:val="0"/>
              <w:snapToGrid w:val="0"/>
              <w:spacing w:line="520" w:lineRule="exact"/>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3.中标人在开展施工全过程清单控制价编制、协助招标人进行总价控制等工作中若出现工作失误，甲方将按每次2000元进行违约处罚。处罚事由记录在工作联系单中并在付款时兑现。</w:t>
            </w:r>
          </w:p>
          <w:p w14:paraId="62F05E98">
            <w:pPr>
              <w:keepNext w:val="0"/>
              <w:keepLines w:val="0"/>
              <w:pageBreakBefore w:val="0"/>
              <w:kinsoku/>
              <w:wordWrap/>
              <w:overflowPunct/>
              <w:topLinePunct w:val="0"/>
              <w:autoSpaceDE/>
              <w:autoSpaceDN/>
              <w:bidi w:val="0"/>
              <w:snapToGrid w:val="0"/>
              <w:spacing w:line="520" w:lineRule="exact"/>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4.为减少错误发生，中标人可要求施工单位提供完备的基础资料作为计算支撑，建设单位将予以督促配合。</w:t>
            </w:r>
          </w:p>
        </w:tc>
      </w:tr>
      <w:tr w14:paraId="2CD27263">
        <w:tblPrEx>
          <w:tblCellMar>
            <w:top w:w="0" w:type="dxa"/>
            <w:left w:w="108" w:type="dxa"/>
            <w:bottom w:w="0" w:type="dxa"/>
            <w:right w:w="108" w:type="dxa"/>
          </w:tblCellMar>
        </w:tblPrEx>
        <w:trPr>
          <w:trHeight w:val="90" w:hRule="atLeast"/>
          <w:jc w:val="center"/>
        </w:trPr>
        <w:tc>
          <w:tcPr>
            <w:tcW w:w="1778" w:type="dxa"/>
            <w:gridSpan w:val="2"/>
            <w:tcBorders>
              <w:top w:val="single" w:color="auto" w:sz="4" w:space="0"/>
              <w:left w:val="single" w:color="auto" w:sz="4" w:space="0"/>
              <w:bottom w:val="single" w:color="auto" w:sz="4" w:space="0"/>
              <w:right w:val="single" w:color="auto" w:sz="4" w:space="0"/>
            </w:tcBorders>
            <w:vAlign w:val="center"/>
          </w:tcPr>
          <w:p w14:paraId="2B3468E5">
            <w:pPr>
              <w:keepNext w:val="0"/>
              <w:keepLines w:val="0"/>
              <w:pageBreakBefore w:val="0"/>
              <w:widowControl/>
              <w:kinsoku/>
              <w:overflowPunct/>
              <w:topLinePunct w:val="0"/>
              <w:autoSpaceDE/>
              <w:autoSpaceDN/>
              <w:bidi w:val="0"/>
              <w:spacing w:line="520" w:lineRule="exact"/>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lang w:val="en-US" w:eastAsia="zh-CN"/>
              </w:rPr>
              <w:t>其他要求</w:t>
            </w:r>
          </w:p>
        </w:tc>
        <w:tc>
          <w:tcPr>
            <w:tcW w:w="8749" w:type="dxa"/>
            <w:gridSpan w:val="2"/>
            <w:tcBorders>
              <w:top w:val="single" w:color="auto" w:sz="4" w:space="0"/>
              <w:left w:val="single" w:color="auto" w:sz="4" w:space="0"/>
              <w:bottom w:val="single" w:color="auto" w:sz="4" w:space="0"/>
              <w:right w:val="single" w:color="auto" w:sz="4" w:space="0"/>
            </w:tcBorders>
            <w:vAlign w:val="center"/>
          </w:tcPr>
          <w:p w14:paraId="32564A6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val="en-US" w:eastAsia="zh-CN" w:bidi="ar"/>
              </w:rPr>
              <w:t xml:space="preserve">1.投标人需了解当地造价管理部门的相关规定和造价政策，项目负责人能熟练掌握使用常用的计量计价软件。 </w:t>
            </w:r>
          </w:p>
          <w:p w14:paraId="55A3300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bidi="ar"/>
              </w:rPr>
              <w:t xml:space="preserve">2.中标价格（费率）包干使用，中标人不得因“设计变更、施工标段划分调整、市场变化、规范和标准调整等一切可预见和不可预见因素”向招标人提出调整。中标价格（费率）在合同实施期间不因市场和政策变化因素而变动。 </w:t>
            </w:r>
          </w:p>
        </w:tc>
      </w:tr>
      <w:tr w14:paraId="5204EBEF">
        <w:tblPrEx>
          <w:tblCellMar>
            <w:top w:w="0" w:type="dxa"/>
            <w:left w:w="108" w:type="dxa"/>
            <w:bottom w:w="0" w:type="dxa"/>
            <w:right w:w="108" w:type="dxa"/>
          </w:tblCellMar>
        </w:tblPrEx>
        <w:trPr>
          <w:trHeight w:val="90" w:hRule="atLeast"/>
          <w:jc w:val="center"/>
        </w:trPr>
        <w:tc>
          <w:tcPr>
            <w:tcW w:w="1778" w:type="dxa"/>
            <w:gridSpan w:val="2"/>
            <w:tcBorders>
              <w:top w:val="single" w:color="auto" w:sz="4" w:space="0"/>
              <w:left w:val="single" w:color="auto" w:sz="4" w:space="0"/>
              <w:bottom w:val="single" w:color="auto" w:sz="4" w:space="0"/>
              <w:right w:val="single" w:color="auto" w:sz="4" w:space="0"/>
            </w:tcBorders>
            <w:vAlign w:val="center"/>
          </w:tcPr>
          <w:p w14:paraId="23F95FDA">
            <w:pPr>
              <w:keepNext w:val="0"/>
              <w:keepLines w:val="0"/>
              <w:pageBreakBefore w:val="0"/>
              <w:kinsoku/>
              <w:overflowPunct/>
              <w:autoSpaceDE/>
              <w:autoSpaceDN/>
              <w:bidi w:val="0"/>
              <w:spacing w:line="52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约谈制度</w:t>
            </w:r>
          </w:p>
        </w:tc>
        <w:tc>
          <w:tcPr>
            <w:tcW w:w="8749" w:type="dxa"/>
            <w:gridSpan w:val="2"/>
            <w:tcBorders>
              <w:top w:val="single" w:color="auto" w:sz="4" w:space="0"/>
              <w:left w:val="single" w:color="auto" w:sz="4" w:space="0"/>
              <w:bottom w:val="single" w:color="auto" w:sz="4" w:space="0"/>
              <w:right w:val="single" w:color="auto" w:sz="4" w:space="0"/>
            </w:tcBorders>
            <w:vAlign w:val="center"/>
          </w:tcPr>
          <w:p w14:paraId="563A001A">
            <w:pPr>
              <w:keepNext w:val="0"/>
              <w:keepLines w:val="0"/>
              <w:pageBreakBefore w:val="0"/>
              <w:kinsoku/>
              <w:overflowPunct/>
              <w:autoSpaceDE/>
              <w:autoSpaceDN/>
              <w:bidi w:val="0"/>
              <w:spacing w:line="520" w:lineRule="exact"/>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项目公示期满，下发中标通知书前，中标单位必须按照招标单位的规定参加项目实施前约谈，中标单位的法人代表或负责人（公司副总以上）和项目负责人必须参加约谈会议。</w:t>
            </w:r>
          </w:p>
          <w:p w14:paraId="18139C39">
            <w:pPr>
              <w:keepNext w:val="0"/>
              <w:keepLines w:val="0"/>
              <w:pageBreakBefore w:val="0"/>
              <w:kinsoku/>
              <w:overflowPunct/>
              <w:autoSpaceDE/>
              <w:autoSpaceDN/>
              <w:bidi w:val="0"/>
              <w:spacing w:line="520" w:lineRule="exact"/>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注：中标单位的法人代表参加约谈的，参与会议时须提供有效身份证明和职务任命文件；中标单位的负责人（公司副总以上）参加约谈的，参与会议时须提供授权委托书、有效身份证明和职务任命文件，以及社保部门出具的本单位为其缴纳的养老保险证明（证明文件两个月内有效）。</w:t>
            </w:r>
          </w:p>
        </w:tc>
      </w:tr>
      <w:tr w14:paraId="105B63ED">
        <w:tblPrEx>
          <w:tblCellMar>
            <w:top w:w="0" w:type="dxa"/>
            <w:left w:w="108" w:type="dxa"/>
            <w:bottom w:w="0" w:type="dxa"/>
            <w:right w:w="108" w:type="dxa"/>
          </w:tblCellMar>
        </w:tblPrEx>
        <w:trPr>
          <w:trHeight w:val="2465" w:hRule="atLeast"/>
          <w:jc w:val="center"/>
        </w:trPr>
        <w:tc>
          <w:tcPr>
            <w:tcW w:w="1778" w:type="dxa"/>
            <w:gridSpan w:val="2"/>
            <w:tcBorders>
              <w:top w:val="single" w:color="auto" w:sz="4" w:space="0"/>
              <w:left w:val="single" w:color="auto" w:sz="4" w:space="0"/>
              <w:bottom w:val="single" w:color="auto" w:sz="4" w:space="0"/>
              <w:right w:val="single" w:color="auto" w:sz="4" w:space="0"/>
            </w:tcBorders>
            <w:vAlign w:val="center"/>
          </w:tcPr>
          <w:p w14:paraId="70761FC1">
            <w:pPr>
              <w:keepNext w:val="0"/>
              <w:keepLines w:val="0"/>
              <w:pageBreakBefore w:val="0"/>
              <w:widowControl/>
              <w:kinsoku/>
              <w:overflowPunct/>
              <w:autoSpaceDE/>
              <w:autoSpaceDN/>
              <w:bidi w:val="0"/>
              <w:spacing w:line="520" w:lineRule="exac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评标过程中的澄清、说明或补正</w:t>
            </w:r>
          </w:p>
        </w:tc>
        <w:tc>
          <w:tcPr>
            <w:tcW w:w="8749" w:type="dxa"/>
            <w:gridSpan w:val="2"/>
            <w:tcBorders>
              <w:top w:val="single" w:color="auto" w:sz="4" w:space="0"/>
              <w:left w:val="single" w:color="auto" w:sz="4" w:space="0"/>
              <w:bottom w:val="single" w:color="auto" w:sz="4" w:space="0"/>
              <w:right w:val="single" w:color="auto" w:sz="4" w:space="0"/>
            </w:tcBorders>
            <w:vAlign w:val="center"/>
          </w:tcPr>
          <w:p w14:paraId="4C32C652">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b w:val="0"/>
                <w:bCs w:val="0"/>
                <w:color w:val="auto"/>
                <w:kern w:val="2"/>
                <w:sz w:val="21"/>
                <w:szCs w:val="21"/>
                <w:highlight w:val="none"/>
                <w:lang w:val="zh-CN"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1.</w:t>
            </w:r>
            <w:r>
              <w:rPr>
                <w:rFonts w:hint="eastAsia" w:asciiTheme="minorEastAsia" w:hAnsiTheme="minorEastAsia" w:eastAsiaTheme="minorEastAsia" w:cstheme="minorEastAsia"/>
                <w:b w:val="0"/>
                <w:bCs w:val="0"/>
                <w:color w:val="auto"/>
                <w:kern w:val="2"/>
                <w:sz w:val="21"/>
                <w:szCs w:val="21"/>
                <w:highlight w:val="none"/>
                <w:lang w:val="zh-CN" w:eastAsia="zh-CN" w:bidi="ar-SA"/>
              </w:rPr>
              <w:t>评标委员会通过网上招投标系统将需要澄清、说明或补正的内容以询标函的形式发送给投标人，投标人应安排专人登录网上招投标系统并保持在线状态，以便及时接收评标委员会可能发出的询标函。</w:t>
            </w:r>
          </w:p>
          <w:p w14:paraId="5D79C0EB">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2.</w:t>
            </w:r>
            <w:r>
              <w:rPr>
                <w:rFonts w:hint="eastAsia" w:asciiTheme="minorEastAsia" w:hAnsiTheme="minorEastAsia" w:eastAsiaTheme="minorEastAsia" w:cstheme="minorEastAsia"/>
                <w:b w:val="0"/>
                <w:bCs w:val="0"/>
                <w:color w:val="auto"/>
                <w:kern w:val="2"/>
                <w:sz w:val="21"/>
                <w:szCs w:val="21"/>
                <w:highlight w:val="none"/>
                <w:lang w:val="zh-CN" w:eastAsia="zh-CN" w:bidi="ar-SA"/>
              </w:rPr>
              <w:t>因投标人未登录网上招投标系统导致无法及时接收询标函（远程网上询标）或未在规定时间内按评标委员会要求进行澄清、说明或补正内容的视同投标人放弃澄清、说明或补正内容的权利，评标委员会可按对投标人不利的解释进行判定。</w:t>
            </w:r>
          </w:p>
        </w:tc>
      </w:tr>
      <w:tr w14:paraId="1A0CD3B0">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vAlign w:val="center"/>
          </w:tcPr>
          <w:p w14:paraId="2E0FC487">
            <w:pPr>
              <w:keepNext w:val="0"/>
              <w:keepLines w:val="0"/>
              <w:pageBreakBefore w:val="0"/>
              <w:widowControl/>
              <w:kinsoku/>
              <w:overflowPunct/>
              <w:autoSpaceDE/>
              <w:autoSpaceDN/>
              <w:bidi w:val="0"/>
              <w:spacing w:line="52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其他</w:t>
            </w:r>
          </w:p>
        </w:tc>
        <w:tc>
          <w:tcPr>
            <w:tcW w:w="8749" w:type="dxa"/>
            <w:gridSpan w:val="2"/>
            <w:tcBorders>
              <w:top w:val="single" w:color="auto" w:sz="4" w:space="0"/>
              <w:left w:val="single" w:color="auto" w:sz="4" w:space="0"/>
              <w:bottom w:val="single" w:color="auto" w:sz="4" w:space="0"/>
              <w:right w:val="single" w:color="auto" w:sz="4" w:space="0"/>
            </w:tcBorders>
            <w:vAlign w:val="center"/>
          </w:tcPr>
          <w:p w14:paraId="7FF34DF4">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rPr>
              <w:t>项目</w:t>
            </w:r>
            <w:r>
              <w:rPr>
                <w:rFonts w:hint="eastAsia" w:asciiTheme="minorEastAsia" w:hAnsiTheme="minorEastAsia" w:eastAsiaTheme="minorEastAsia" w:cstheme="minorEastAsia"/>
                <w:color w:val="auto"/>
                <w:sz w:val="21"/>
                <w:szCs w:val="21"/>
                <w:highlight w:val="none"/>
                <w:lang w:val="en-US" w:eastAsia="zh-CN"/>
              </w:rPr>
              <w:t>负责人</w:t>
            </w:r>
            <w:r>
              <w:rPr>
                <w:rFonts w:hint="eastAsia" w:asciiTheme="minorEastAsia" w:hAnsiTheme="minorEastAsia" w:eastAsiaTheme="minorEastAsia" w:cstheme="minorEastAsia"/>
                <w:color w:val="auto"/>
                <w:sz w:val="21"/>
                <w:szCs w:val="21"/>
                <w:highlight w:val="none"/>
                <w:lang w:val="en-US"/>
              </w:rPr>
              <w:t>必须是投标人本单位工作人员，提供虚假资料谋取中标将被依法处罚。</w:t>
            </w:r>
            <w:r>
              <w:rPr>
                <w:rFonts w:hint="eastAsia" w:asciiTheme="minorEastAsia" w:hAnsiTheme="minorEastAsia" w:eastAsiaTheme="minorEastAsia" w:cstheme="minorEastAsia"/>
                <w:color w:val="auto"/>
                <w:sz w:val="21"/>
                <w:szCs w:val="21"/>
                <w:highlight w:val="none"/>
                <w:lang w:val="zh-CN"/>
              </w:rPr>
              <w:t>投标人对所提交的投标人或拟派项目经理业绩、投标人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w:t>
            </w:r>
            <w:r>
              <w:rPr>
                <w:rFonts w:hint="eastAsia" w:asciiTheme="minorEastAsia" w:hAnsiTheme="minorEastAsia" w:eastAsiaTheme="minorEastAsia" w:cstheme="minorEastAsia"/>
                <w:color w:val="auto"/>
                <w:sz w:val="21"/>
                <w:szCs w:val="21"/>
                <w:highlight w:val="none"/>
                <w:lang w:val="en-US"/>
              </w:rPr>
              <w:t>滁州市</w:t>
            </w:r>
            <w:r>
              <w:rPr>
                <w:rFonts w:hint="eastAsia" w:asciiTheme="minorEastAsia" w:hAnsiTheme="minorEastAsia" w:eastAsiaTheme="minorEastAsia" w:cstheme="minorEastAsia"/>
                <w:color w:val="auto"/>
                <w:sz w:val="21"/>
                <w:szCs w:val="21"/>
                <w:highlight w:val="none"/>
                <w:lang w:val="zh-CN"/>
              </w:rPr>
              <w:t>公共资源交易监督管理局）依法处理。</w:t>
            </w:r>
          </w:p>
          <w:p w14:paraId="21AD09A5">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zh-CN"/>
              </w:rPr>
              <w:t>中标人未履行下述义务的，</w:t>
            </w:r>
            <w:r>
              <w:rPr>
                <w:rFonts w:hint="eastAsia" w:asciiTheme="minorEastAsia" w:hAnsiTheme="minorEastAsia" w:eastAsiaTheme="minorEastAsia" w:cstheme="minorEastAsia"/>
                <w:color w:val="auto"/>
                <w:sz w:val="21"/>
                <w:szCs w:val="21"/>
                <w:highlight w:val="none"/>
              </w:rPr>
              <w:t>滁州市</w:t>
            </w:r>
            <w:r>
              <w:rPr>
                <w:rFonts w:hint="eastAsia" w:asciiTheme="minorEastAsia" w:hAnsiTheme="minorEastAsia" w:eastAsiaTheme="minorEastAsia" w:cstheme="minorEastAsia"/>
                <w:color w:val="auto"/>
                <w:sz w:val="21"/>
                <w:szCs w:val="21"/>
                <w:highlight w:val="none"/>
                <w:lang w:val="zh-CN"/>
              </w:rPr>
              <w:t>公共资源交易监督管理局将依法对中标人进行处理，追究相关责任：</w:t>
            </w:r>
          </w:p>
          <w:p w14:paraId="27EB8F75">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①招标文件载明在规定期限内中标人应领取《中标通知书》，若中标人未在规定期限内领取《中标通知书》，招标人有权取消中标人中标资格，并将相关违约行为报送监管部门，实施信用惩戒；</w:t>
            </w:r>
          </w:p>
          <w:p w14:paraId="6E6B0831">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②中标人应在规定期限内提交履约担保并与招标人签订合同， 若中标人未能在规定期限内提交履约担保或签订合同，招标人有权取消中标人中标资格，并将相关违约行为报送监管部门，记不良行为记录，实施信用惩戒；</w:t>
            </w:r>
          </w:p>
          <w:p w14:paraId="628C6492">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③合同签订后，中标人存在规定时间内不组织人员进场开工、不履行供货安装义务等情况，招标人有权解除合同，并追究违约责任，同时将相关违约行为报送监管部门，记不良行为记录， 实施信用惩戒；</w:t>
            </w:r>
          </w:p>
          <w:p w14:paraId="3ED1D1E5">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④中标人中标后被监管部门查实存在违法行为，不满足中标条件的，中标无效，并做好项目后续工作；</w:t>
            </w:r>
          </w:p>
          <w:p w14:paraId="71A4D0BE">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zh-CN"/>
              </w:rPr>
              <w:t>⑤中标人在中标项目发生投诉、信访举报案件、履约存在争议时，拒绝协助配合执法部门调查案件的，招标人可以取消其中标资格或解除合同。</w:t>
            </w:r>
          </w:p>
        </w:tc>
      </w:tr>
      <w:tr w14:paraId="7536C8CA">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vAlign w:val="center"/>
          </w:tcPr>
          <w:p w14:paraId="5506E799">
            <w:pPr>
              <w:keepNext w:val="0"/>
              <w:keepLines w:val="0"/>
              <w:pageBreakBefore w:val="0"/>
              <w:kinsoku/>
              <w:overflowPunct/>
              <w:autoSpaceDE/>
              <w:autoSpaceDN/>
              <w:bidi w:val="0"/>
              <w:spacing w:line="520" w:lineRule="exact"/>
              <w:jc w:val="center"/>
              <w:textAlignment w:val="auto"/>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友情提示</w:t>
            </w:r>
          </w:p>
        </w:tc>
        <w:tc>
          <w:tcPr>
            <w:tcW w:w="8749" w:type="dxa"/>
            <w:gridSpan w:val="2"/>
            <w:tcBorders>
              <w:top w:val="single" w:color="auto" w:sz="4" w:space="0"/>
              <w:left w:val="single" w:color="auto" w:sz="4" w:space="0"/>
              <w:bottom w:val="single" w:color="auto" w:sz="4" w:space="0"/>
              <w:right w:val="single" w:color="auto" w:sz="4" w:space="0"/>
            </w:tcBorders>
            <w:vAlign w:val="center"/>
          </w:tcPr>
          <w:p w14:paraId="06FB74CC">
            <w:pPr>
              <w:keepNext w:val="0"/>
              <w:keepLines w:val="0"/>
              <w:pageBreakBefore w:val="0"/>
              <w:kinsoku/>
              <w:overflowPunct/>
              <w:autoSpaceDE/>
              <w:autoSpaceDN/>
              <w:bidi w:val="0"/>
              <w:spacing w:line="52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子加密投标文件上传到系统后，需要投标企业和招标代理公司在投标截止时间后共同解锁，不存在商务报价等投标信息通过系统泄密的风险；投标截止时间前，已上传的投标文件也可以撤回修改。集中到投标截止时间前上传电子加密投标文件，可能出现由于投标企业制作电子投标文件不熟练、网络拥堵等不可预知的情况而且无法及时解决，丧失投标机会，请各投标企业提前制作、上传电子加密投标文件，否则由于无法及时上传电子加密投标文件而废标或无效投标的情况，责任自负！</w:t>
            </w:r>
          </w:p>
        </w:tc>
      </w:tr>
      <w:tr w14:paraId="6C39886E">
        <w:tblPrEx>
          <w:tblCellMar>
            <w:top w:w="0" w:type="dxa"/>
            <w:left w:w="108" w:type="dxa"/>
            <w:bottom w:w="0" w:type="dxa"/>
            <w:right w:w="108" w:type="dxa"/>
          </w:tblCellMar>
        </w:tblPrEx>
        <w:trPr>
          <w:jc w:val="center"/>
        </w:trPr>
        <w:tc>
          <w:tcPr>
            <w:tcW w:w="10527" w:type="dxa"/>
            <w:gridSpan w:val="4"/>
            <w:tcBorders>
              <w:top w:val="single" w:color="auto" w:sz="4" w:space="0"/>
              <w:left w:val="single" w:color="auto" w:sz="4" w:space="0"/>
              <w:bottom w:val="single" w:color="auto" w:sz="4" w:space="0"/>
              <w:right w:val="single" w:color="auto" w:sz="4" w:space="0"/>
            </w:tcBorders>
            <w:vAlign w:val="center"/>
          </w:tcPr>
          <w:p w14:paraId="52772063">
            <w:pPr>
              <w:keepNext w:val="0"/>
              <w:keepLines w:val="0"/>
              <w:pageBreakBefore w:val="0"/>
              <w:kinsoku/>
              <w:overflowPunct/>
              <w:autoSpaceDE/>
              <w:autoSpaceDN/>
              <w:bidi w:val="0"/>
              <w:spacing w:line="520" w:lineRule="exact"/>
              <w:jc w:val="left"/>
              <w:textAlignment w:val="auto"/>
              <w:rPr>
                <w:rFonts w:hint="eastAsia" w:asciiTheme="minorEastAsia" w:hAnsiTheme="minorEastAsia" w:eastAsiaTheme="minorEastAsia" w:cstheme="minorEastAsia"/>
                <w:color w:val="auto"/>
                <w:sz w:val="21"/>
                <w:szCs w:val="21"/>
                <w:highlight w:val="none"/>
              </w:rPr>
            </w:pPr>
            <w:bookmarkStart w:id="66" w:name="_Toc15058846"/>
            <w:bookmarkStart w:id="67" w:name="_Toc35425053"/>
            <w:bookmarkStart w:id="68" w:name="_Toc35424887"/>
            <w:bookmarkStart w:id="69" w:name="_Toc5813"/>
            <w:r>
              <w:rPr>
                <w:rFonts w:hint="eastAsia" w:asciiTheme="minorEastAsia" w:hAnsiTheme="minorEastAsia" w:eastAsiaTheme="minorEastAsia" w:cstheme="minorEastAsia"/>
                <w:color w:val="auto"/>
                <w:sz w:val="21"/>
                <w:szCs w:val="21"/>
                <w:highlight w:val="none"/>
                <w:lang w:val="en-US" w:eastAsia="zh-CN"/>
              </w:rPr>
              <w:t>特别说明：滁州经开区市政道路排水管网更新改造项目的跟踪审计单位不得参与投标。</w:t>
            </w:r>
          </w:p>
        </w:tc>
      </w:tr>
    </w:tbl>
    <w:p w14:paraId="2B6926D3">
      <w:pPr>
        <w:rPr>
          <w:rFonts w:ascii="宋体" w:cs="宋体"/>
          <w:color w:val="auto"/>
          <w:sz w:val="24"/>
          <w:highlight w:val="none"/>
        </w:rPr>
      </w:pPr>
      <w:r>
        <w:rPr>
          <w:rFonts w:ascii="宋体" w:cs="宋体"/>
          <w:color w:val="auto"/>
          <w:sz w:val="24"/>
          <w:highlight w:val="none"/>
        </w:rPr>
        <w:br w:type="page"/>
      </w:r>
    </w:p>
    <w:p w14:paraId="06C8DD94">
      <w:pPr>
        <w:pStyle w:val="7"/>
        <w:spacing w:beforeLines="50" w:afterLines="50"/>
        <w:ind w:firstLine="482"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rPr>
        <w:t>总则</w:t>
      </w:r>
      <w:bookmarkEnd w:id="56"/>
      <w:bookmarkEnd w:id="57"/>
      <w:bookmarkEnd w:id="58"/>
      <w:bookmarkEnd w:id="59"/>
      <w:bookmarkEnd w:id="60"/>
      <w:bookmarkEnd w:id="61"/>
      <w:bookmarkEnd w:id="62"/>
      <w:bookmarkEnd w:id="63"/>
      <w:bookmarkEnd w:id="64"/>
      <w:bookmarkEnd w:id="66"/>
      <w:bookmarkEnd w:id="67"/>
      <w:bookmarkEnd w:id="68"/>
      <w:bookmarkEnd w:id="69"/>
    </w:p>
    <w:p w14:paraId="3752156F">
      <w:pPr>
        <w:pStyle w:val="7"/>
        <w:ind w:firstLine="422" w:firstLineChars="200"/>
        <w:rPr>
          <w:rFonts w:ascii="宋体" w:hAnsi="宋体" w:eastAsia="宋体" w:cs="宋体"/>
          <w:color w:val="auto"/>
          <w:kern w:val="44"/>
          <w:highlight w:val="none"/>
        </w:rPr>
      </w:pPr>
      <w:bookmarkStart w:id="70" w:name="_Toc506107270"/>
      <w:bookmarkStart w:id="71" w:name="_Toc152042306"/>
      <w:bookmarkStart w:id="72" w:name="_Toc324404816"/>
      <w:bookmarkStart w:id="73" w:name="_Toc35425054"/>
      <w:bookmarkStart w:id="74" w:name="_Toc152045530"/>
      <w:bookmarkStart w:id="75" w:name="_Toc246996919"/>
      <w:bookmarkStart w:id="76" w:name="_Toc246996176"/>
      <w:bookmarkStart w:id="77" w:name="_Toc296602421"/>
      <w:bookmarkStart w:id="78" w:name="_Toc15058847"/>
      <w:bookmarkStart w:id="79" w:name="_Toc247085690"/>
      <w:bookmarkStart w:id="80" w:name="_Toc35424888"/>
      <w:bookmarkStart w:id="81" w:name="_Toc4678"/>
      <w:bookmarkStart w:id="82" w:name="_Toc179632547"/>
      <w:bookmarkStart w:id="83" w:name="_Toc144974498"/>
      <w:r>
        <w:rPr>
          <w:rFonts w:ascii="宋体" w:hAnsi="宋体" w:eastAsia="宋体" w:cs="宋体"/>
          <w:color w:val="auto"/>
          <w:kern w:val="44"/>
          <w:highlight w:val="none"/>
        </w:rPr>
        <w:t xml:space="preserve">1.1 </w:t>
      </w:r>
      <w:r>
        <w:rPr>
          <w:rFonts w:hint="eastAsia" w:ascii="宋体" w:hAnsi="宋体" w:eastAsia="宋体" w:cs="宋体"/>
          <w:color w:val="auto"/>
          <w:kern w:val="44"/>
          <w:highlight w:val="none"/>
        </w:rPr>
        <w:t>项目概况</w:t>
      </w:r>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28D14F5E">
      <w:pPr>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1.1.1</w:t>
      </w:r>
      <w:r>
        <w:rPr>
          <w:rFonts w:hint="eastAsia" w:ascii="宋体" w:hAnsi="宋体" w:cs="宋体"/>
          <w:color w:val="auto"/>
          <w:szCs w:val="21"/>
          <w:highlight w:val="none"/>
        </w:rPr>
        <w:t>根据《中华人民共和国招标投标法》《中华人民共和国招标投标法实施条例》等有关法律、法规和规章的规定，本招标项目已具备招标条件，现对本项目进行招标。</w:t>
      </w:r>
    </w:p>
    <w:p w14:paraId="23FC174A">
      <w:pPr>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1.1.2 </w:t>
      </w:r>
      <w:r>
        <w:rPr>
          <w:rFonts w:hint="eastAsia" w:ascii="宋体" w:hAnsi="宋体" w:cs="宋体"/>
          <w:color w:val="auto"/>
          <w:szCs w:val="21"/>
          <w:highlight w:val="none"/>
        </w:rPr>
        <w:t>本招标项目招标人：见投标人须知前附表。</w:t>
      </w:r>
    </w:p>
    <w:p w14:paraId="20571011">
      <w:pPr>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1.1.3 </w:t>
      </w:r>
      <w:r>
        <w:rPr>
          <w:rFonts w:hint="eastAsia" w:ascii="宋体" w:hAnsi="宋体" w:cs="宋体"/>
          <w:color w:val="auto"/>
          <w:szCs w:val="21"/>
          <w:highlight w:val="none"/>
        </w:rPr>
        <w:t>本招标项目招标代理机构：见投标人须知前附表。</w:t>
      </w:r>
    </w:p>
    <w:p w14:paraId="6942B87C">
      <w:pPr>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1.1.4 </w:t>
      </w:r>
      <w:r>
        <w:rPr>
          <w:rFonts w:hint="eastAsia" w:ascii="宋体" w:hAnsi="宋体" w:cs="宋体"/>
          <w:color w:val="auto"/>
          <w:szCs w:val="21"/>
          <w:highlight w:val="none"/>
        </w:rPr>
        <w:t>本招标项目名称：见投标人须知前附表。</w:t>
      </w:r>
    </w:p>
    <w:p w14:paraId="3D640BA0">
      <w:pPr>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1.1.5 </w:t>
      </w:r>
      <w:r>
        <w:rPr>
          <w:rFonts w:hint="eastAsia" w:ascii="宋体" w:hAnsi="宋体" w:cs="宋体"/>
          <w:color w:val="auto"/>
          <w:szCs w:val="21"/>
          <w:highlight w:val="none"/>
        </w:rPr>
        <w:t>本招标项目建设地点：见投标人须知前附表。</w:t>
      </w:r>
    </w:p>
    <w:p w14:paraId="5676632E">
      <w:pPr>
        <w:pStyle w:val="7"/>
        <w:ind w:firstLine="422" w:firstLineChars="200"/>
        <w:rPr>
          <w:rFonts w:ascii="宋体" w:hAnsi="宋体" w:eastAsia="宋体" w:cs="宋体"/>
          <w:color w:val="auto"/>
          <w:highlight w:val="none"/>
        </w:rPr>
      </w:pPr>
      <w:bookmarkStart w:id="84" w:name="_Toc35424889"/>
      <w:bookmarkStart w:id="85" w:name="_Toc15058848"/>
      <w:bookmarkStart w:id="86" w:name="_Toc296602422"/>
      <w:bookmarkStart w:id="87" w:name="_Toc324404817"/>
      <w:bookmarkStart w:id="88" w:name="_Toc246996920"/>
      <w:bookmarkStart w:id="89" w:name="_Toc144974499"/>
      <w:bookmarkStart w:id="90" w:name="_Toc7142"/>
      <w:bookmarkStart w:id="91" w:name="_Toc179632548"/>
      <w:bookmarkStart w:id="92" w:name="_Toc247085691"/>
      <w:bookmarkStart w:id="93" w:name="_Toc152042307"/>
      <w:bookmarkStart w:id="94" w:name="_Toc506107271"/>
      <w:bookmarkStart w:id="95" w:name="_Toc152045531"/>
      <w:bookmarkStart w:id="96" w:name="_Toc246996177"/>
      <w:bookmarkStart w:id="97" w:name="_Toc35425055"/>
      <w:r>
        <w:rPr>
          <w:rFonts w:ascii="宋体" w:hAnsi="宋体" w:eastAsia="宋体" w:cs="宋体"/>
          <w:color w:val="auto"/>
          <w:highlight w:val="none"/>
        </w:rPr>
        <w:t xml:space="preserve">1.2 </w:t>
      </w:r>
      <w:r>
        <w:rPr>
          <w:rFonts w:hint="eastAsia" w:ascii="宋体" w:hAnsi="宋体" w:eastAsia="宋体" w:cs="宋体"/>
          <w:color w:val="auto"/>
          <w:highlight w:val="none"/>
        </w:rPr>
        <w:t>资金来源和落实情况</w:t>
      </w:r>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41221D0B">
      <w:pPr>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1.2.1 </w:t>
      </w:r>
      <w:r>
        <w:rPr>
          <w:rFonts w:hint="eastAsia" w:ascii="宋体" w:hAnsi="宋体" w:cs="宋体"/>
          <w:color w:val="auto"/>
          <w:szCs w:val="21"/>
          <w:highlight w:val="none"/>
        </w:rPr>
        <w:t>本招标项目的资金来源及出资比例：见投标人须知前附表。</w:t>
      </w:r>
    </w:p>
    <w:p w14:paraId="26A3AA6B">
      <w:pPr>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1.2.2 </w:t>
      </w:r>
      <w:r>
        <w:rPr>
          <w:rFonts w:hint="eastAsia" w:ascii="宋体" w:hAnsi="宋体" w:cs="宋体"/>
          <w:color w:val="auto"/>
          <w:szCs w:val="21"/>
          <w:highlight w:val="none"/>
        </w:rPr>
        <w:t>本招标项目的资金落实情况：见投标人须知前附表。</w:t>
      </w:r>
    </w:p>
    <w:p w14:paraId="60F3F54D">
      <w:pPr>
        <w:pStyle w:val="7"/>
        <w:ind w:firstLine="422" w:firstLineChars="200"/>
        <w:rPr>
          <w:rFonts w:ascii="宋体" w:hAnsi="宋体" w:eastAsia="宋体" w:cs="宋体"/>
          <w:color w:val="auto"/>
          <w:highlight w:val="none"/>
        </w:rPr>
      </w:pPr>
      <w:bookmarkStart w:id="98" w:name="_Toc179632549"/>
      <w:bookmarkStart w:id="99" w:name="_Toc6330"/>
      <w:bookmarkStart w:id="100" w:name="_Toc247085692"/>
      <w:bookmarkStart w:id="101" w:name="_Toc246996178"/>
      <w:bookmarkStart w:id="102" w:name="_Toc506107272"/>
      <w:bookmarkStart w:id="103" w:name="_Toc144974500"/>
      <w:bookmarkStart w:id="104" w:name="_Toc35425056"/>
      <w:bookmarkStart w:id="105" w:name="_Toc35424890"/>
      <w:bookmarkStart w:id="106" w:name="_Toc152045532"/>
      <w:bookmarkStart w:id="107" w:name="_Toc324404818"/>
      <w:bookmarkStart w:id="108" w:name="_Toc296602423"/>
      <w:bookmarkStart w:id="109" w:name="_Toc246996921"/>
      <w:bookmarkStart w:id="110" w:name="_Toc152042308"/>
      <w:bookmarkStart w:id="111" w:name="_Toc15058849"/>
      <w:r>
        <w:rPr>
          <w:rFonts w:ascii="宋体" w:hAnsi="宋体" w:eastAsia="宋体" w:cs="宋体"/>
          <w:color w:val="auto"/>
          <w:highlight w:val="none"/>
        </w:rPr>
        <w:t xml:space="preserve">1.3 </w:t>
      </w:r>
      <w:r>
        <w:rPr>
          <w:rFonts w:hint="eastAsia" w:ascii="宋体" w:hAnsi="宋体" w:eastAsia="宋体" w:cs="宋体"/>
          <w:color w:val="auto"/>
          <w:highlight w:val="none"/>
        </w:rPr>
        <w:t>招标范围、服务期限、质量要求</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73E4CD91">
      <w:pPr>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1.3.1 </w:t>
      </w:r>
      <w:r>
        <w:rPr>
          <w:rFonts w:hint="eastAsia" w:ascii="宋体" w:hAnsi="宋体" w:cs="宋体"/>
          <w:color w:val="auto"/>
          <w:szCs w:val="21"/>
          <w:highlight w:val="none"/>
        </w:rPr>
        <w:t>本次招标范围：见投标人须知前附表。</w:t>
      </w:r>
    </w:p>
    <w:p w14:paraId="3C07D0A2">
      <w:pPr>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1.3.2 </w:t>
      </w:r>
      <w:r>
        <w:rPr>
          <w:rFonts w:hint="eastAsia" w:ascii="宋体" w:hAnsi="宋体" w:cs="宋体"/>
          <w:color w:val="auto"/>
          <w:szCs w:val="21"/>
          <w:highlight w:val="none"/>
        </w:rPr>
        <w:t>本招标项目的服务期限：见投标人须知前附表。</w:t>
      </w:r>
    </w:p>
    <w:p w14:paraId="23C3FCE8">
      <w:pPr>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1.3.3 </w:t>
      </w:r>
      <w:r>
        <w:rPr>
          <w:rFonts w:hint="eastAsia" w:ascii="宋体" w:hAnsi="宋体" w:cs="宋体"/>
          <w:color w:val="auto"/>
          <w:szCs w:val="21"/>
          <w:highlight w:val="none"/>
        </w:rPr>
        <w:t>本招标项目的质量要求：见投标人须知前附表。</w:t>
      </w:r>
    </w:p>
    <w:p w14:paraId="69AC265E">
      <w:pPr>
        <w:pStyle w:val="7"/>
        <w:ind w:firstLine="422" w:firstLineChars="200"/>
        <w:rPr>
          <w:rFonts w:ascii="宋体" w:hAnsi="宋体" w:eastAsia="宋体" w:cs="宋体"/>
          <w:color w:val="auto"/>
          <w:highlight w:val="none"/>
        </w:rPr>
      </w:pPr>
      <w:bookmarkStart w:id="112" w:name="_Toc247085693"/>
      <w:bookmarkStart w:id="113" w:name="_Toc26897"/>
      <w:bookmarkStart w:id="114" w:name="_Toc296602424"/>
      <w:bookmarkStart w:id="115" w:name="_Toc152045534"/>
      <w:bookmarkStart w:id="116" w:name="_Toc246996179"/>
      <w:bookmarkStart w:id="117" w:name="_Toc246996922"/>
      <w:bookmarkStart w:id="118" w:name="_Toc35424891"/>
      <w:bookmarkStart w:id="119" w:name="_Toc152042310"/>
      <w:bookmarkStart w:id="120" w:name="_Toc35425057"/>
      <w:bookmarkStart w:id="121" w:name="_Toc15058850"/>
      <w:bookmarkStart w:id="122" w:name="_Toc179632551"/>
      <w:bookmarkStart w:id="123" w:name="_Toc144974502"/>
      <w:bookmarkStart w:id="124" w:name="_Toc506107273"/>
      <w:bookmarkStart w:id="125" w:name="_Toc324404819"/>
      <w:r>
        <w:rPr>
          <w:rFonts w:ascii="宋体" w:hAnsi="宋体" w:eastAsia="宋体" w:cs="宋体"/>
          <w:color w:val="auto"/>
          <w:highlight w:val="none"/>
        </w:rPr>
        <w:t xml:space="preserve">1.4 </w:t>
      </w:r>
      <w:r>
        <w:rPr>
          <w:rFonts w:hint="eastAsia" w:ascii="宋体" w:hAnsi="宋体" w:eastAsia="宋体" w:cs="宋体"/>
          <w:color w:val="auto"/>
          <w:highlight w:val="none"/>
        </w:rPr>
        <w:t>投标人资格要求</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24A77A66">
      <w:pPr>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1.4.1 </w:t>
      </w:r>
      <w:r>
        <w:rPr>
          <w:rFonts w:hint="eastAsia" w:ascii="宋体" w:hAnsi="宋体" w:cs="宋体"/>
          <w:color w:val="auto"/>
          <w:szCs w:val="21"/>
          <w:highlight w:val="none"/>
        </w:rPr>
        <w:t>投标人应具备承担本项目的资质条件、能力和信誉。</w:t>
      </w:r>
    </w:p>
    <w:p w14:paraId="678C61D0">
      <w:pPr>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（1）资质条件：见投标人须知前附表；</w:t>
      </w:r>
    </w:p>
    <w:p w14:paraId="5B50D659">
      <w:pPr>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（2）信誉要求：见投标人须知前附表；</w:t>
      </w:r>
    </w:p>
    <w:p w14:paraId="4EB86390">
      <w:pPr>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（3）项目</w:t>
      </w:r>
      <w:r>
        <w:rPr>
          <w:rFonts w:hint="eastAsia" w:ascii="宋体" w:hAnsi="宋体" w:cs="宋体"/>
          <w:color w:val="auto"/>
          <w:szCs w:val="21"/>
          <w:highlight w:val="none"/>
          <w:lang w:val="en-US" w:eastAsia="zh-CN"/>
        </w:rPr>
        <w:t>负责人</w:t>
      </w:r>
      <w:r>
        <w:rPr>
          <w:rFonts w:hint="eastAsia" w:ascii="宋体" w:hAnsi="宋体" w:cs="宋体"/>
          <w:color w:val="auto"/>
          <w:szCs w:val="21"/>
          <w:highlight w:val="none"/>
        </w:rPr>
        <w:t>资格：见投标人须知前附表；</w:t>
      </w:r>
    </w:p>
    <w:p w14:paraId="65FFFFD9">
      <w:pPr>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（4）其他要求：见投标人须知前附表。</w:t>
      </w:r>
    </w:p>
    <w:p w14:paraId="1A4AA64B">
      <w:pPr>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1.4.2 投标人须知前附表规定接受联合体投标的，除应符合本章第1.4.1项和投标人须知前附表的要求外，还应遵守以下规定： </w:t>
      </w:r>
    </w:p>
    <w:p w14:paraId="27893AEB">
      <w:pPr>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（1）联合体各方应按招标文件提供的格式签订联合体协议书，明确联合体各方权利义务，并承诺就中标项目向招标人承担连带责任；</w:t>
      </w:r>
    </w:p>
    <w:p w14:paraId="7BE20D21">
      <w:pPr>
        <w:widowControl w:val="0"/>
        <w:kinsoku/>
        <w:wordWrap/>
        <w:overflowPunct/>
        <w:topLinePunct w:val="0"/>
        <w:autoSpaceDE/>
        <w:autoSpaceDN/>
        <w:bidi w:val="0"/>
        <w:adjustRightInd w:val="0"/>
        <w:snapToGrid w:val="0"/>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（2）联合体各方不得再以自己名义单独或参加其他联合体在同一标段中投标。</w:t>
      </w:r>
    </w:p>
    <w:p w14:paraId="17783FA9">
      <w:pPr>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ascii="宋体" w:hAnsi="宋体" w:cs="宋体"/>
          <w:color w:val="auto"/>
          <w:szCs w:val="21"/>
          <w:highlight w:val="none"/>
        </w:rPr>
        <w:t>1.4.</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投标人（包括联合体各成员）不得与本标段相关单位存在下列关联关系：</w:t>
      </w:r>
    </w:p>
    <w:p w14:paraId="3CC0B380">
      <w:pPr>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（1）为招标人不具有独立法人资格的附属机构（单位）；</w:t>
      </w:r>
    </w:p>
    <w:p w14:paraId="6802922B">
      <w:pPr>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（2）与招标人存在利害关系且可能影响招标公正性；</w:t>
      </w:r>
    </w:p>
    <w:p w14:paraId="4A2C3BC4">
      <w:pPr>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（3）与本标段的其他投标人同为一个单位负责人；</w:t>
      </w:r>
    </w:p>
    <w:p w14:paraId="10F908E0">
      <w:pPr>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（4）与本标段的其他投标人存在控股、管理关系；</w:t>
      </w:r>
    </w:p>
    <w:p w14:paraId="52D16B09">
      <w:pPr>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（5）为本标段前期准备提供设计或咨询服务的法人或其任何附属机构（单位）；</w:t>
      </w:r>
    </w:p>
    <w:p w14:paraId="5D73BDD8">
      <w:pPr>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（6）为本标段的监理人；</w:t>
      </w:r>
    </w:p>
    <w:p w14:paraId="7348617A">
      <w:pPr>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（7）为本标段的代建人；</w:t>
      </w:r>
    </w:p>
    <w:p w14:paraId="3CBB8DC1">
      <w:pPr>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（8）为本标段的招标代理机构；</w:t>
      </w:r>
    </w:p>
    <w:p w14:paraId="4F475781">
      <w:pPr>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（9）与本标段的监理人或代建人或招标代理机构同为一个法定代表人；</w:t>
      </w:r>
    </w:p>
    <w:p w14:paraId="576A2AB2">
      <w:pPr>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（10）与本标段的监理人或代建人或招标代理机构存在控股或参股关系；</w:t>
      </w:r>
    </w:p>
    <w:p w14:paraId="4E74F5DB">
      <w:pPr>
        <w:widowControl w:val="0"/>
        <w:kinsoku/>
        <w:wordWrap/>
        <w:overflowPunct/>
        <w:topLinePunct w:val="0"/>
        <w:autoSpaceDE/>
        <w:autoSpaceDN/>
        <w:bidi w:val="0"/>
        <w:adjustRightInd w:val="0"/>
        <w:snapToGrid w:val="0"/>
        <w:spacing w:line="440" w:lineRule="exact"/>
        <w:ind w:firstLine="420" w:firstLineChars="200"/>
        <w:textAlignment w:val="auto"/>
        <w:rPr>
          <w:rFonts w:ascii="宋体" w:cs="宋体"/>
          <w:color w:val="auto"/>
          <w:szCs w:val="21"/>
          <w:highlight w:val="none"/>
        </w:rPr>
      </w:pPr>
      <w:r>
        <w:rPr>
          <w:rFonts w:hint="eastAsia" w:ascii="宋体" w:hAnsi="宋体" w:cs="宋体"/>
          <w:color w:val="auto"/>
          <w:szCs w:val="21"/>
          <w:highlight w:val="none"/>
        </w:rPr>
        <w:t>（11）法律法规或投标人须知前附表规定的其他情形。</w:t>
      </w:r>
    </w:p>
    <w:p w14:paraId="3920DC30">
      <w:pPr>
        <w:pStyle w:val="7"/>
        <w:ind w:firstLine="422" w:firstLineChars="200"/>
        <w:rPr>
          <w:rFonts w:ascii="宋体" w:hAnsi="宋体" w:eastAsia="宋体" w:cs="宋体"/>
          <w:color w:val="auto"/>
          <w:highlight w:val="none"/>
        </w:rPr>
      </w:pPr>
      <w:bookmarkStart w:id="126" w:name="_Toc35424892"/>
      <w:bookmarkStart w:id="127" w:name="_Toc179632552"/>
      <w:bookmarkStart w:id="128" w:name="_Toc506107274"/>
      <w:bookmarkStart w:id="129" w:name="_Toc246996180"/>
      <w:bookmarkStart w:id="130" w:name="_Toc247085694"/>
      <w:bookmarkStart w:id="131" w:name="_Toc144974503"/>
      <w:bookmarkStart w:id="132" w:name="_Toc246996923"/>
      <w:bookmarkStart w:id="133" w:name="_Toc152045535"/>
      <w:bookmarkStart w:id="134" w:name="_Toc152042311"/>
      <w:bookmarkStart w:id="135" w:name="_Toc296602425"/>
      <w:bookmarkStart w:id="136" w:name="_Toc35425058"/>
      <w:bookmarkStart w:id="137" w:name="_Toc10179"/>
      <w:bookmarkStart w:id="138" w:name="_Toc324404820"/>
      <w:bookmarkStart w:id="139" w:name="_Toc15058851"/>
      <w:r>
        <w:rPr>
          <w:rFonts w:ascii="宋体" w:hAnsi="宋体" w:eastAsia="宋体" w:cs="宋体"/>
          <w:color w:val="auto"/>
          <w:highlight w:val="none"/>
        </w:rPr>
        <w:t xml:space="preserve">1.5 </w:t>
      </w:r>
      <w:r>
        <w:rPr>
          <w:rFonts w:hint="eastAsia" w:ascii="宋体" w:hAnsi="宋体" w:eastAsia="宋体" w:cs="宋体"/>
          <w:color w:val="auto"/>
          <w:highlight w:val="none"/>
        </w:rPr>
        <w:t>费用承担</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30114711">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投标人准备和参加投标活动发生的费用自理。</w:t>
      </w:r>
    </w:p>
    <w:p w14:paraId="0EE79A85">
      <w:pPr>
        <w:pStyle w:val="7"/>
        <w:ind w:firstLine="422" w:firstLineChars="200"/>
        <w:rPr>
          <w:rFonts w:ascii="宋体" w:hAnsi="宋体" w:eastAsia="宋体" w:cs="宋体"/>
          <w:color w:val="auto"/>
          <w:highlight w:val="none"/>
        </w:rPr>
      </w:pPr>
      <w:bookmarkStart w:id="140" w:name="_Toc246996924"/>
      <w:bookmarkStart w:id="141" w:name="_Toc247085695"/>
      <w:bookmarkStart w:id="142" w:name="_Toc152045536"/>
      <w:bookmarkStart w:id="143" w:name="_Toc35424893"/>
      <w:bookmarkStart w:id="144" w:name="_Toc246996181"/>
      <w:bookmarkStart w:id="145" w:name="_Toc15058852"/>
      <w:bookmarkStart w:id="146" w:name="_Toc35425059"/>
      <w:bookmarkStart w:id="147" w:name="_Toc324404821"/>
      <w:bookmarkStart w:id="148" w:name="_Toc4092"/>
      <w:bookmarkStart w:id="149" w:name="_Toc144974504"/>
      <w:bookmarkStart w:id="150" w:name="_Toc179632553"/>
      <w:bookmarkStart w:id="151" w:name="_Toc152042312"/>
      <w:bookmarkStart w:id="152" w:name="_Toc296602426"/>
      <w:bookmarkStart w:id="153" w:name="_Toc506107275"/>
      <w:r>
        <w:rPr>
          <w:rFonts w:ascii="宋体" w:hAnsi="宋体" w:eastAsia="宋体" w:cs="宋体"/>
          <w:color w:val="auto"/>
          <w:highlight w:val="none"/>
        </w:rPr>
        <w:t xml:space="preserve">1.6 </w:t>
      </w:r>
      <w:r>
        <w:rPr>
          <w:rFonts w:hint="eastAsia" w:ascii="宋体" w:hAnsi="宋体" w:eastAsia="宋体" w:cs="宋体"/>
          <w:color w:val="auto"/>
          <w:highlight w:val="none"/>
        </w:rPr>
        <w:t>保密</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53931C4D">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参与招标投标活动的各方应对招标文件和投标文件中的商业和技术等秘密保密，违者应对由此造成的后果承担法律责任。</w:t>
      </w:r>
      <w:r>
        <w:rPr>
          <w:rFonts w:ascii="宋体" w:hAnsi="宋体" w:cs="宋体"/>
          <w:color w:val="auto"/>
          <w:szCs w:val="21"/>
          <w:highlight w:val="none"/>
        </w:rPr>
        <w:t xml:space="preserve"> </w:t>
      </w:r>
    </w:p>
    <w:p w14:paraId="46C7CA54">
      <w:pPr>
        <w:pStyle w:val="7"/>
        <w:ind w:firstLine="422" w:firstLineChars="200"/>
        <w:rPr>
          <w:rFonts w:ascii="宋体" w:hAnsi="宋体" w:eastAsia="宋体" w:cs="宋体"/>
          <w:color w:val="auto"/>
          <w:highlight w:val="none"/>
        </w:rPr>
      </w:pPr>
      <w:bookmarkStart w:id="154" w:name="_Toc144974505"/>
      <w:bookmarkStart w:id="155" w:name="_Toc324404822"/>
      <w:bookmarkStart w:id="156" w:name="_Toc35424894"/>
      <w:bookmarkStart w:id="157" w:name="_Toc35425060"/>
      <w:bookmarkStart w:id="158" w:name="_Toc247085696"/>
      <w:bookmarkStart w:id="159" w:name="_Toc15058853"/>
      <w:bookmarkStart w:id="160" w:name="_Toc246996925"/>
      <w:bookmarkStart w:id="161" w:name="_Toc246996182"/>
      <w:bookmarkStart w:id="162" w:name="_Toc152042313"/>
      <w:bookmarkStart w:id="163" w:name="_Toc152045537"/>
      <w:bookmarkStart w:id="164" w:name="_Toc506107276"/>
      <w:bookmarkStart w:id="165" w:name="_Toc4119"/>
      <w:bookmarkStart w:id="166" w:name="_Toc296602427"/>
      <w:bookmarkStart w:id="167" w:name="_Toc179632554"/>
      <w:r>
        <w:rPr>
          <w:rFonts w:ascii="宋体" w:hAnsi="宋体" w:eastAsia="宋体" w:cs="宋体"/>
          <w:color w:val="auto"/>
          <w:highlight w:val="none"/>
        </w:rPr>
        <w:t xml:space="preserve">1.7 </w:t>
      </w:r>
      <w:r>
        <w:rPr>
          <w:rFonts w:hint="eastAsia" w:ascii="宋体" w:hAnsi="宋体" w:eastAsia="宋体" w:cs="宋体"/>
          <w:color w:val="auto"/>
          <w:highlight w:val="none"/>
        </w:rPr>
        <w:t>语言</w:t>
      </w:r>
      <w:bookmarkEnd w:id="154"/>
      <w:r>
        <w:rPr>
          <w:rFonts w:hint="eastAsia" w:ascii="宋体" w:hAnsi="宋体" w:eastAsia="宋体" w:cs="宋体"/>
          <w:color w:val="auto"/>
          <w:highlight w:val="none"/>
        </w:rPr>
        <w:t>文字</w:t>
      </w:r>
      <w:bookmarkEnd w:id="155"/>
      <w:bookmarkEnd w:id="156"/>
      <w:bookmarkEnd w:id="157"/>
      <w:bookmarkEnd w:id="158"/>
      <w:bookmarkEnd w:id="159"/>
      <w:bookmarkEnd w:id="160"/>
      <w:bookmarkEnd w:id="161"/>
      <w:bookmarkEnd w:id="162"/>
      <w:bookmarkEnd w:id="163"/>
      <w:bookmarkEnd w:id="164"/>
      <w:bookmarkEnd w:id="165"/>
      <w:bookmarkEnd w:id="166"/>
      <w:bookmarkEnd w:id="167"/>
    </w:p>
    <w:p w14:paraId="167DF06F">
      <w:pPr>
        <w:spacing w:line="440" w:lineRule="exact"/>
        <w:ind w:firstLine="420" w:firstLineChars="200"/>
        <w:jc w:val="left"/>
        <w:rPr>
          <w:rFonts w:ascii="宋体" w:cs="宋体"/>
          <w:color w:val="auto"/>
          <w:szCs w:val="21"/>
          <w:highlight w:val="none"/>
        </w:rPr>
      </w:pPr>
      <w:bookmarkStart w:id="168" w:name="_Toc144974506"/>
      <w:bookmarkStart w:id="169" w:name="_Toc246996183"/>
      <w:bookmarkStart w:id="170" w:name="_Toc246996926"/>
      <w:bookmarkStart w:id="171" w:name="_Toc179632555"/>
      <w:bookmarkStart w:id="172" w:name="_Toc247085697"/>
      <w:bookmarkStart w:id="173" w:name="_Toc152042314"/>
      <w:bookmarkStart w:id="174" w:name="_Toc152045538"/>
      <w:r>
        <w:rPr>
          <w:rFonts w:hint="eastAsia" w:ascii="宋体" w:hAnsi="宋体" w:cs="宋体"/>
          <w:color w:val="auto"/>
          <w:szCs w:val="21"/>
          <w:highlight w:val="none"/>
        </w:rPr>
        <w:t>招标投标文件使用的语言文字为中文。专用术语使用外文的，应附有中文注释。</w:t>
      </w:r>
    </w:p>
    <w:p w14:paraId="1E94EC30">
      <w:pPr>
        <w:pStyle w:val="7"/>
        <w:ind w:firstLine="422" w:firstLineChars="200"/>
        <w:rPr>
          <w:rFonts w:ascii="宋体" w:hAnsi="宋体" w:eastAsia="宋体" w:cs="宋体"/>
          <w:color w:val="auto"/>
          <w:highlight w:val="none"/>
        </w:rPr>
      </w:pPr>
      <w:bookmarkStart w:id="175" w:name="_Toc506107277"/>
      <w:bookmarkStart w:id="176" w:name="_Toc324404823"/>
      <w:bookmarkStart w:id="177" w:name="_Toc35425061"/>
      <w:bookmarkStart w:id="178" w:name="_Toc15058854"/>
      <w:bookmarkStart w:id="179" w:name="_Toc296602428"/>
      <w:bookmarkStart w:id="180" w:name="_Toc35424895"/>
      <w:bookmarkStart w:id="181" w:name="_Toc13408"/>
      <w:r>
        <w:rPr>
          <w:rFonts w:ascii="宋体" w:hAnsi="宋体" w:eastAsia="宋体" w:cs="宋体"/>
          <w:color w:val="auto"/>
          <w:highlight w:val="none"/>
        </w:rPr>
        <w:t xml:space="preserve">1.8 </w:t>
      </w:r>
      <w:r>
        <w:rPr>
          <w:rFonts w:hint="eastAsia" w:ascii="宋体" w:hAnsi="宋体" w:eastAsia="宋体" w:cs="宋体"/>
          <w:color w:val="auto"/>
          <w:highlight w:val="none"/>
        </w:rPr>
        <w:t>计量单位</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04594FE5">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所有计量均采用中华人民共和国法定计量单位。</w:t>
      </w:r>
    </w:p>
    <w:p w14:paraId="30F34351">
      <w:pPr>
        <w:pStyle w:val="7"/>
        <w:ind w:firstLine="422" w:firstLineChars="200"/>
        <w:rPr>
          <w:rFonts w:ascii="宋体" w:hAnsi="宋体" w:eastAsia="宋体" w:cs="宋体"/>
          <w:color w:val="auto"/>
          <w:highlight w:val="none"/>
        </w:rPr>
      </w:pPr>
      <w:bookmarkStart w:id="182" w:name="_Toc144974507"/>
      <w:bookmarkStart w:id="183" w:name="_Toc152045539"/>
      <w:bookmarkStart w:id="184" w:name="_Toc296602429"/>
      <w:bookmarkStart w:id="185" w:name="_Toc11493"/>
      <w:bookmarkStart w:id="186" w:name="_Toc506107278"/>
      <w:bookmarkStart w:id="187" w:name="_Toc247513962"/>
      <w:bookmarkStart w:id="188" w:name="_Toc15058855"/>
      <w:bookmarkStart w:id="189" w:name="_Toc35424896"/>
      <w:bookmarkStart w:id="190" w:name="_Toc35425062"/>
      <w:bookmarkStart w:id="191" w:name="_Toc324404824"/>
      <w:bookmarkStart w:id="192" w:name="_Toc247527563"/>
      <w:bookmarkStart w:id="193" w:name="_Toc247592876"/>
      <w:bookmarkStart w:id="194" w:name="_Toc152042315"/>
      <w:r>
        <w:rPr>
          <w:rFonts w:ascii="宋体" w:hAnsi="宋体" w:eastAsia="宋体" w:cs="宋体"/>
          <w:color w:val="auto"/>
          <w:highlight w:val="none"/>
        </w:rPr>
        <w:t xml:space="preserve">1.9 </w:t>
      </w:r>
      <w:r>
        <w:rPr>
          <w:rFonts w:hint="eastAsia" w:ascii="宋体" w:hAnsi="宋体" w:eastAsia="宋体" w:cs="宋体"/>
          <w:color w:val="auto"/>
          <w:highlight w:val="none"/>
        </w:rPr>
        <w:t>踏勘现场</w:t>
      </w:r>
      <w:bookmarkEnd w:id="182"/>
      <w:bookmarkEnd w:id="183"/>
      <w:bookmarkEnd w:id="184"/>
      <w:bookmarkEnd w:id="185"/>
      <w:bookmarkEnd w:id="186"/>
      <w:bookmarkEnd w:id="187"/>
      <w:bookmarkEnd w:id="188"/>
      <w:bookmarkEnd w:id="189"/>
      <w:bookmarkEnd w:id="190"/>
      <w:bookmarkEnd w:id="191"/>
      <w:bookmarkEnd w:id="192"/>
      <w:bookmarkEnd w:id="193"/>
      <w:bookmarkEnd w:id="194"/>
    </w:p>
    <w:p w14:paraId="2C35B876">
      <w:pPr>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bookmarkStart w:id="195" w:name="_Toc22954"/>
      <w:bookmarkStart w:id="196" w:name="_Toc247592877"/>
      <w:bookmarkStart w:id="197" w:name="_Toc247527564"/>
      <w:bookmarkStart w:id="198" w:name="_Toc152045540"/>
      <w:bookmarkStart w:id="199" w:name="_Toc35424897"/>
      <w:bookmarkStart w:id="200" w:name="_Toc247513963"/>
      <w:bookmarkStart w:id="201" w:name="_Toc296602430"/>
      <w:bookmarkStart w:id="202" w:name="_Toc324404825"/>
      <w:bookmarkStart w:id="203" w:name="_Toc15058856"/>
      <w:bookmarkStart w:id="204" w:name="_Toc35425063"/>
      <w:bookmarkStart w:id="205" w:name="_Toc144974508"/>
      <w:bookmarkStart w:id="206" w:name="_Toc506107279"/>
      <w:bookmarkStart w:id="207" w:name="_Toc152042316"/>
      <w:r>
        <w:rPr>
          <w:rFonts w:hint="eastAsia" w:ascii="宋体" w:hAnsi="宋体" w:cs="宋体"/>
          <w:color w:val="auto"/>
          <w:szCs w:val="21"/>
          <w:highlight w:val="none"/>
        </w:rPr>
        <w:t>1.9.1</w:t>
      </w:r>
      <w:r>
        <w:rPr>
          <w:rFonts w:hint="eastAsia" w:ascii="宋体" w:hAnsi="宋体" w:eastAsia="宋体" w:cs="宋体"/>
          <w:color w:val="auto"/>
          <w:szCs w:val="21"/>
          <w:highlight w:val="none"/>
        </w:rPr>
        <w:t xml:space="preserve">前附表规定组织踏勘现场的，招标人按投标人须知前附表规定的时间、地点组织投标人踏勘项目现场。部分投标人未按时参加踏勘现场的，不影响踏勘现场的正常进行。招标人不得组织单个或部分投标人踏勘项目现场。 </w:t>
      </w:r>
    </w:p>
    <w:p w14:paraId="2DA57392">
      <w:pPr>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1.9.2 投标人踏勘现场发生的费用自理。</w:t>
      </w:r>
    </w:p>
    <w:p w14:paraId="679EBA24">
      <w:pPr>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1.9.3 除招标人的原因外，投标人自行负责在踏勘现场中所发生的人员伤亡和财产损失。</w:t>
      </w:r>
    </w:p>
    <w:p w14:paraId="454DD1CB">
      <w:pPr>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1.9.4 招标人在踏勘现场中介绍的工程场地和相关的周边环境情况，供投标人在编制投标文件时参考，招标人不对投标人据此作出的判断和决策负责。</w:t>
      </w:r>
    </w:p>
    <w:p w14:paraId="44D48920">
      <w:pPr>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1.9.5无论投标人是否到施工现场实地踏勘，中标后签订合同时和履约过程中，投标人不得以不完全了解现场情况或现场情况与招标文件描述不一致等为由，提出任何形式的增加工程造价或索赔的要求。</w:t>
      </w:r>
    </w:p>
    <w:p w14:paraId="2AB2B203">
      <w:pPr>
        <w:pStyle w:val="7"/>
        <w:ind w:firstLine="422" w:firstLineChars="200"/>
        <w:rPr>
          <w:rFonts w:ascii="宋体" w:hAnsi="宋体" w:eastAsia="宋体" w:cs="宋体"/>
          <w:color w:val="auto"/>
          <w:highlight w:val="none"/>
        </w:rPr>
      </w:pPr>
      <w:r>
        <w:rPr>
          <w:rFonts w:ascii="宋体" w:hAnsi="宋体" w:eastAsia="宋体" w:cs="宋体"/>
          <w:color w:val="auto"/>
          <w:highlight w:val="none"/>
        </w:rPr>
        <w:t xml:space="preserve">1.10 </w:t>
      </w:r>
      <w:r>
        <w:rPr>
          <w:rFonts w:hint="eastAsia" w:ascii="宋体" w:hAnsi="宋体" w:eastAsia="宋体" w:cs="宋体"/>
          <w:color w:val="auto"/>
          <w:highlight w:val="none"/>
        </w:rPr>
        <w:t>投标预备会</w:t>
      </w:r>
      <w:bookmarkEnd w:id="195"/>
      <w:bookmarkEnd w:id="196"/>
      <w:bookmarkEnd w:id="197"/>
      <w:bookmarkEnd w:id="198"/>
      <w:bookmarkEnd w:id="199"/>
      <w:bookmarkEnd w:id="200"/>
      <w:bookmarkEnd w:id="201"/>
      <w:bookmarkEnd w:id="202"/>
      <w:bookmarkEnd w:id="203"/>
      <w:bookmarkEnd w:id="204"/>
      <w:bookmarkEnd w:id="205"/>
      <w:bookmarkEnd w:id="206"/>
      <w:bookmarkEnd w:id="207"/>
    </w:p>
    <w:p w14:paraId="25AFEA9F">
      <w:pPr>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1.10.1投标人须知前附表规定召开投标预备会的，招标人按投标人须知前附表规定的时间和地点召开投标预备会，澄清投标人提出的问题。</w:t>
      </w:r>
    </w:p>
    <w:p w14:paraId="42CC94EA">
      <w:pPr>
        <w:widowControl w:val="0"/>
        <w:kinsoku/>
        <w:wordWrap/>
        <w:overflowPunct/>
        <w:topLinePunct w:val="0"/>
        <w:autoSpaceDE/>
        <w:autoSpaceDN/>
        <w:bidi w:val="0"/>
        <w:adjustRightInd w:val="0"/>
        <w:snapToGrid w:val="0"/>
        <w:spacing w:line="440" w:lineRule="exact"/>
        <w:ind w:firstLine="420" w:firstLineChars="200"/>
        <w:textAlignment w:val="auto"/>
        <w:rPr>
          <w:rFonts w:ascii="宋体" w:cs="宋体"/>
          <w:color w:val="auto"/>
          <w:szCs w:val="21"/>
          <w:highlight w:val="none"/>
        </w:rPr>
      </w:pPr>
      <w:r>
        <w:rPr>
          <w:rFonts w:hint="eastAsia" w:ascii="宋体" w:hAnsi="宋体" w:cs="宋体"/>
          <w:color w:val="auto"/>
          <w:szCs w:val="21"/>
          <w:highlight w:val="none"/>
        </w:rPr>
        <w:t>1.10.2投标人应在投标人须知前附表规定的时间前，将提出的问题送达招标人，以便招标人澄清。</w:t>
      </w:r>
    </w:p>
    <w:p w14:paraId="155E232B">
      <w:pPr>
        <w:pStyle w:val="7"/>
        <w:ind w:firstLine="422" w:firstLineChars="200"/>
        <w:rPr>
          <w:rFonts w:ascii="宋体" w:hAnsi="宋体" w:eastAsia="宋体" w:cs="宋体"/>
          <w:color w:val="auto"/>
          <w:highlight w:val="none"/>
        </w:rPr>
      </w:pPr>
      <w:bookmarkStart w:id="208" w:name="_Toc296602431"/>
      <w:bookmarkStart w:id="209" w:name="_Toc35424898"/>
      <w:bookmarkStart w:id="210" w:name="_Toc32016"/>
      <w:bookmarkStart w:id="211" w:name="_Toc506107280"/>
      <w:bookmarkStart w:id="212" w:name="_Toc35425064"/>
      <w:bookmarkStart w:id="213" w:name="_Toc324404826"/>
      <w:bookmarkStart w:id="214" w:name="_Toc15058857"/>
      <w:r>
        <w:rPr>
          <w:rFonts w:ascii="宋体" w:hAnsi="宋体" w:eastAsia="宋体" w:cs="宋体"/>
          <w:color w:val="auto"/>
          <w:highlight w:val="none"/>
        </w:rPr>
        <w:t xml:space="preserve">1.11 </w:t>
      </w:r>
      <w:r>
        <w:rPr>
          <w:rFonts w:hint="eastAsia" w:ascii="宋体" w:hAnsi="宋体" w:eastAsia="宋体" w:cs="宋体"/>
          <w:color w:val="auto"/>
          <w:highlight w:val="none"/>
        </w:rPr>
        <w:t>偏离</w:t>
      </w:r>
      <w:bookmarkEnd w:id="208"/>
      <w:bookmarkEnd w:id="209"/>
      <w:bookmarkEnd w:id="210"/>
      <w:bookmarkEnd w:id="211"/>
      <w:bookmarkEnd w:id="212"/>
      <w:bookmarkEnd w:id="213"/>
      <w:bookmarkEnd w:id="214"/>
    </w:p>
    <w:p w14:paraId="591519CB">
      <w:pPr>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Cs w:val="21"/>
          <w:highlight w:val="none"/>
        </w:rPr>
      </w:pPr>
      <w:bookmarkStart w:id="215" w:name="_Toc324404827"/>
      <w:bookmarkStart w:id="216" w:name="_Toc152045542"/>
      <w:bookmarkStart w:id="217" w:name="_Toc179632560"/>
      <w:bookmarkStart w:id="218" w:name="_Toc506107281"/>
      <w:bookmarkStart w:id="219" w:name="_Toc246996187"/>
      <w:bookmarkStart w:id="220" w:name="_Toc4012"/>
      <w:bookmarkStart w:id="221" w:name="_Toc35424899"/>
      <w:bookmarkStart w:id="222" w:name="_Toc247085701"/>
      <w:bookmarkStart w:id="223" w:name="_Toc35425065"/>
      <w:bookmarkStart w:id="224" w:name="_Toc152042318"/>
      <w:bookmarkStart w:id="225" w:name="_Toc15058858"/>
      <w:bookmarkStart w:id="226" w:name="_Toc144974510"/>
      <w:bookmarkStart w:id="227" w:name="_Toc246996930"/>
      <w:r>
        <w:rPr>
          <w:rFonts w:hint="eastAsia" w:ascii="宋体" w:hAnsi="宋体" w:eastAsia="宋体" w:cs="宋体"/>
          <w:color w:val="auto"/>
          <w:szCs w:val="21"/>
          <w:highlight w:val="none"/>
        </w:rPr>
        <w:t>1.1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.1投标文件偏离招标文件某些要求，视为投标文件存在偏差。偏差包括重大偏差和细微偏差。</w:t>
      </w:r>
    </w:p>
    <w:p w14:paraId="4A639624">
      <w:pPr>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.2投标文件应对招标文件的实质性要求和条件作出满足性或更有利于招标人的响应，否则，视为投标文件存在重大偏差，投标人的投标将被否决。</w:t>
      </w:r>
    </w:p>
    <w:p w14:paraId="6BFF362D">
      <w:pPr>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投标文件存在第</w:t>
      </w:r>
      <w:r>
        <w:rPr>
          <w:rFonts w:hint="eastAsia" w:ascii="宋体" w:hAnsi="宋体" w:cs="宋体"/>
          <w:color w:val="auto"/>
          <w:szCs w:val="21"/>
          <w:highlight w:val="none"/>
          <w:lang w:val="en-US" w:eastAsia="zh-CN"/>
        </w:rPr>
        <w:t>三</w:t>
      </w:r>
      <w:r>
        <w:rPr>
          <w:rFonts w:hint="eastAsia" w:ascii="宋体" w:hAnsi="宋体" w:eastAsia="宋体" w:cs="宋体"/>
          <w:color w:val="auto"/>
          <w:szCs w:val="21"/>
          <w:highlight w:val="none"/>
        </w:rPr>
        <w:t>章“评标办法”中所列任一无效投标情形的，均属于存在重大偏差。</w:t>
      </w:r>
    </w:p>
    <w:p w14:paraId="7771EF97">
      <w:pPr>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.3投标文件中的下列偏差为细微偏差：</w:t>
      </w:r>
    </w:p>
    <w:p w14:paraId="0F9FEB68">
      <w:pPr>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（1）在按照第</w:t>
      </w:r>
      <w:r>
        <w:rPr>
          <w:rFonts w:hint="eastAsia" w:ascii="宋体" w:hAnsi="宋体" w:cs="宋体"/>
          <w:color w:val="auto"/>
          <w:szCs w:val="21"/>
          <w:highlight w:val="none"/>
          <w:lang w:val="en-US" w:eastAsia="zh-CN"/>
        </w:rPr>
        <w:t>三</w:t>
      </w:r>
      <w:r>
        <w:rPr>
          <w:rFonts w:hint="eastAsia" w:ascii="宋体" w:hAnsi="宋体" w:eastAsia="宋体" w:cs="宋体"/>
          <w:color w:val="auto"/>
          <w:szCs w:val="21"/>
          <w:highlight w:val="none"/>
        </w:rPr>
        <w:t>章“评标办法”的规定对投标价进行算术性错误修正及其他错误修正后，最终投标报价未超过最高投标限价（如有）或未被否决投标的情况下，出现第</w:t>
      </w:r>
      <w:r>
        <w:rPr>
          <w:rFonts w:hint="eastAsia" w:ascii="宋体" w:hAnsi="宋体" w:cs="宋体"/>
          <w:color w:val="auto"/>
          <w:szCs w:val="21"/>
          <w:highlight w:val="none"/>
          <w:lang w:val="en-US" w:eastAsia="zh-CN"/>
        </w:rPr>
        <w:t>三</w:t>
      </w:r>
      <w:r>
        <w:rPr>
          <w:rFonts w:hint="eastAsia" w:ascii="宋体" w:hAnsi="宋体" w:eastAsia="宋体" w:cs="宋体"/>
          <w:color w:val="auto"/>
          <w:szCs w:val="21"/>
          <w:highlight w:val="none"/>
        </w:rPr>
        <w:t>章“评标办法”规定的算术性错误和投标报价的其他错误；</w:t>
      </w:r>
    </w:p>
    <w:p w14:paraId="0580395F">
      <w:pPr>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（2）投标文件个别文字有遗漏错误等不影响投标文件实质性内容的偏差。</w:t>
      </w:r>
    </w:p>
    <w:p w14:paraId="7801A64B">
      <w:pPr>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.4评标委员会对投标文件中的细微偏差按如下规定处理：</w:t>
      </w:r>
    </w:p>
    <w:p w14:paraId="05BE5B48">
      <w:pPr>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对于本章第 1.1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.3 项（1）目所述的细微偏差，按照第</w:t>
      </w:r>
      <w:r>
        <w:rPr>
          <w:rFonts w:hint="eastAsia" w:ascii="宋体" w:hAnsi="宋体" w:cs="宋体"/>
          <w:color w:val="auto"/>
          <w:szCs w:val="21"/>
          <w:highlight w:val="none"/>
          <w:lang w:val="en-US" w:eastAsia="zh-CN"/>
        </w:rPr>
        <w:t>三</w:t>
      </w:r>
      <w:r>
        <w:rPr>
          <w:rFonts w:hint="eastAsia" w:ascii="宋体" w:hAnsi="宋体" w:eastAsia="宋体" w:cs="宋体"/>
          <w:color w:val="auto"/>
          <w:szCs w:val="21"/>
          <w:highlight w:val="none"/>
        </w:rPr>
        <w:t>章“评标办法”的规定予以修正并要求投标人进行澄清；</w:t>
      </w:r>
    </w:p>
    <w:p w14:paraId="1598EC3B">
      <w:pPr>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对于本章第 1.1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.3 项（2）目所述的细微偏差，可要求投标人对细微偏差进行澄清。</w:t>
      </w:r>
    </w:p>
    <w:p w14:paraId="1ED30EEC">
      <w:pPr>
        <w:pStyle w:val="7"/>
        <w:spacing w:beforeLines="50" w:afterLines="50"/>
        <w:ind w:firstLine="482"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2. </w:t>
      </w:r>
      <w:r>
        <w:rPr>
          <w:rFonts w:hint="eastAsia" w:ascii="宋体" w:hAnsi="宋体" w:eastAsia="宋体" w:cs="宋体"/>
          <w:color w:val="auto"/>
          <w:sz w:val="24"/>
          <w:szCs w:val="24"/>
          <w:highlight w:val="none"/>
        </w:rPr>
        <w:t>招标文件</w:t>
      </w:r>
      <w:bookmarkEnd w:id="215"/>
      <w:bookmarkEnd w:id="216"/>
      <w:bookmarkEnd w:id="217"/>
      <w:bookmarkEnd w:id="218"/>
      <w:bookmarkEnd w:id="219"/>
      <w:bookmarkEnd w:id="220"/>
      <w:bookmarkEnd w:id="221"/>
      <w:bookmarkEnd w:id="222"/>
      <w:bookmarkEnd w:id="223"/>
      <w:bookmarkEnd w:id="224"/>
      <w:bookmarkEnd w:id="225"/>
      <w:bookmarkEnd w:id="226"/>
      <w:bookmarkEnd w:id="227"/>
    </w:p>
    <w:p w14:paraId="7FC5F09E">
      <w:pPr>
        <w:pStyle w:val="7"/>
        <w:ind w:firstLine="422" w:firstLineChars="200"/>
        <w:rPr>
          <w:rFonts w:ascii="宋体" w:hAnsi="宋体" w:eastAsia="宋体" w:cs="宋体"/>
          <w:color w:val="auto"/>
          <w:highlight w:val="none"/>
        </w:rPr>
      </w:pPr>
      <w:bookmarkStart w:id="228" w:name="_Toc246996188"/>
      <w:bookmarkStart w:id="229" w:name="_Toc144974511"/>
      <w:bookmarkStart w:id="230" w:name="_Toc247085702"/>
      <w:bookmarkStart w:id="231" w:name="_Toc296602433"/>
      <w:bookmarkStart w:id="232" w:name="_Toc506107282"/>
      <w:bookmarkStart w:id="233" w:name="_Toc35425066"/>
      <w:bookmarkStart w:id="234" w:name="_Toc152042319"/>
      <w:bookmarkStart w:id="235" w:name="_Toc13213"/>
      <w:bookmarkStart w:id="236" w:name="_Toc246996931"/>
      <w:bookmarkStart w:id="237" w:name="_Toc15058859"/>
      <w:bookmarkStart w:id="238" w:name="_Toc179632561"/>
      <w:bookmarkStart w:id="239" w:name="_Toc35424900"/>
      <w:bookmarkStart w:id="240" w:name="_Toc324404828"/>
      <w:bookmarkStart w:id="241" w:name="_Toc152045543"/>
      <w:r>
        <w:rPr>
          <w:rFonts w:ascii="宋体" w:hAnsi="宋体" w:eastAsia="宋体" w:cs="宋体"/>
          <w:color w:val="auto"/>
          <w:highlight w:val="none"/>
        </w:rPr>
        <w:t xml:space="preserve">2.1 </w:t>
      </w:r>
      <w:r>
        <w:rPr>
          <w:rFonts w:hint="eastAsia" w:ascii="宋体" w:hAnsi="宋体" w:eastAsia="宋体" w:cs="宋体"/>
          <w:color w:val="auto"/>
          <w:highlight w:val="none"/>
        </w:rPr>
        <w:t>招标文件的组成</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4A61E0BD">
      <w:pPr>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2.1.1 </w:t>
      </w:r>
      <w:r>
        <w:rPr>
          <w:rFonts w:hint="eastAsia" w:ascii="宋体" w:hAnsi="宋体" w:cs="宋体"/>
          <w:color w:val="auto"/>
          <w:szCs w:val="21"/>
          <w:highlight w:val="none"/>
        </w:rPr>
        <w:t>本招标文件包括：</w:t>
      </w:r>
    </w:p>
    <w:p w14:paraId="5813EA15">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）招标公告；</w:t>
      </w:r>
    </w:p>
    <w:p w14:paraId="5E4F5001">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）投标人须知；</w:t>
      </w:r>
    </w:p>
    <w:p w14:paraId="65E7CCBB">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）资格审查办法</w:t>
      </w:r>
    </w:p>
    <w:p w14:paraId="2606CC06">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）评标办法；</w:t>
      </w:r>
    </w:p>
    <w:p w14:paraId="06872C8D">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）合同条款及格式；</w:t>
      </w:r>
    </w:p>
    <w:p w14:paraId="29DF9B5B">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）投标文件格式；</w:t>
      </w:r>
    </w:p>
    <w:p w14:paraId="0D220E82">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7</w:t>
      </w:r>
      <w:r>
        <w:rPr>
          <w:rFonts w:hint="eastAsia" w:ascii="宋体" w:hAnsi="宋体" w:cs="宋体"/>
          <w:color w:val="auto"/>
          <w:szCs w:val="21"/>
          <w:highlight w:val="none"/>
        </w:rPr>
        <w:t>）投标人须知前附表规定的其他材料。</w:t>
      </w:r>
    </w:p>
    <w:p w14:paraId="6C42B4FC">
      <w:pPr>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2.1.2 </w:t>
      </w:r>
      <w:r>
        <w:rPr>
          <w:rFonts w:hint="eastAsia" w:ascii="宋体" w:hAnsi="宋体" w:cs="宋体"/>
          <w:color w:val="auto"/>
          <w:szCs w:val="21"/>
          <w:highlight w:val="none"/>
        </w:rPr>
        <w:t>根据本章第</w:t>
      </w:r>
      <w:r>
        <w:rPr>
          <w:rFonts w:ascii="宋体" w:hAnsi="宋体" w:cs="宋体"/>
          <w:color w:val="auto"/>
          <w:szCs w:val="21"/>
          <w:highlight w:val="none"/>
        </w:rPr>
        <w:t>1.10</w:t>
      </w:r>
      <w:r>
        <w:rPr>
          <w:rFonts w:hint="eastAsia" w:ascii="宋体" w:hAnsi="宋体" w:cs="宋体"/>
          <w:color w:val="auto"/>
          <w:szCs w:val="21"/>
          <w:highlight w:val="none"/>
        </w:rPr>
        <w:t>款、第</w:t>
      </w:r>
      <w:r>
        <w:rPr>
          <w:rFonts w:ascii="宋体" w:hAnsi="宋体" w:cs="宋体"/>
          <w:color w:val="auto"/>
          <w:szCs w:val="21"/>
          <w:highlight w:val="none"/>
        </w:rPr>
        <w:t>2.2</w:t>
      </w:r>
      <w:r>
        <w:rPr>
          <w:rFonts w:hint="eastAsia" w:ascii="宋体" w:hAnsi="宋体" w:cs="宋体"/>
          <w:color w:val="auto"/>
          <w:szCs w:val="21"/>
          <w:highlight w:val="none"/>
        </w:rPr>
        <w:t>款和第</w:t>
      </w:r>
      <w:r>
        <w:rPr>
          <w:rFonts w:ascii="宋体" w:hAnsi="宋体" w:cs="宋体"/>
          <w:color w:val="auto"/>
          <w:szCs w:val="21"/>
          <w:highlight w:val="none"/>
        </w:rPr>
        <w:t>2.3</w:t>
      </w:r>
      <w:r>
        <w:rPr>
          <w:rFonts w:hint="eastAsia" w:ascii="宋体" w:hAnsi="宋体" w:cs="宋体"/>
          <w:color w:val="auto"/>
          <w:szCs w:val="21"/>
          <w:highlight w:val="none"/>
        </w:rPr>
        <w:t>款对招标文件所作的澄清、修改，构成招标文件的组成部分。</w:t>
      </w:r>
    </w:p>
    <w:p w14:paraId="69D6113F">
      <w:pPr>
        <w:pStyle w:val="7"/>
        <w:ind w:firstLine="422" w:firstLineChars="200"/>
        <w:rPr>
          <w:rFonts w:ascii="宋体" w:hAnsi="宋体" w:eastAsia="宋体" w:cs="宋体"/>
          <w:color w:val="auto"/>
          <w:highlight w:val="none"/>
        </w:rPr>
      </w:pPr>
      <w:bookmarkStart w:id="242" w:name="_Toc144974512"/>
      <w:bookmarkStart w:id="243" w:name="_Toc247085703"/>
      <w:bookmarkStart w:id="244" w:name="_Toc35425067"/>
      <w:bookmarkStart w:id="245" w:name="_Toc179632562"/>
      <w:bookmarkStart w:id="246" w:name="_Toc32239"/>
      <w:bookmarkStart w:id="247" w:name="_Toc152045544"/>
      <w:bookmarkStart w:id="248" w:name="_Toc246996189"/>
      <w:bookmarkStart w:id="249" w:name="_Toc506107283"/>
      <w:bookmarkStart w:id="250" w:name="_Toc246996932"/>
      <w:bookmarkStart w:id="251" w:name="_Toc152042320"/>
      <w:bookmarkStart w:id="252" w:name="_Toc324404829"/>
      <w:bookmarkStart w:id="253" w:name="_Toc35424901"/>
      <w:bookmarkStart w:id="254" w:name="_Toc296602434"/>
      <w:bookmarkStart w:id="255" w:name="_Toc15058860"/>
      <w:r>
        <w:rPr>
          <w:rFonts w:ascii="宋体" w:hAnsi="宋体" w:eastAsia="宋体" w:cs="宋体"/>
          <w:color w:val="auto"/>
          <w:highlight w:val="none"/>
        </w:rPr>
        <w:t xml:space="preserve">2.2 </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Pr>
          <w:rFonts w:hint="eastAsia" w:ascii="宋体" w:hAnsi="宋体" w:eastAsia="宋体" w:cs="宋体"/>
          <w:color w:val="auto"/>
          <w:highlight w:val="none"/>
        </w:rPr>
        <w:t>招标文件的异议</w:t>
      </w:r>
      <w:r>
        <w:rPr>
          <w:rFonts w:ascii="宋体" w:hAnsi="宋体" w:eastAsia="宋体" w:cs="宋体"/>
          <w:color w:val="auto"/>
          <w:highlight w:val="none"/>
        </w:rPr>
        <w:t xml:space="preserve"> </w:t>
      </w:r>
    </w:p>
    <w:p w14:paraId="5D64A7EE">
      <w:pPr>
        <w:spacing w:line="44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投标人或其他利害关系人投标人应仔细阅读和检查招标文件的全部内容，对招标文件有异议的，应在投标截止时间10日前以投标人须知前附表规定的网上留言或书面形式提出。招标人将在收到异议之日起3日内作出答复；作出答复前，将暂停招标投标活动。</w:t>
      </w:r>
      <w:r>
        <w:rPr>
          <w:rFonts w:ascii="宋体" w:hAnsi="宋体" w:eastAsia="宋体" w:cs="宋体"/>
          <w:color w:val="auto"/>
          <w:szCs w:val="21"/>
          <w:highlight w:val="none"/>
        </w:rPr>
        <w:t xml:space="preserve"> </w:t>
      </w:r>
    </w:p>
    <w:p w14:paraId="79E43FFB">
      <w:pPr>
        <w:pStyle w:val="7"/>
        <w:ind w:firstLine="422" w:firstLineChars="200"/>
        <w:rPr>
          <w:rFonts w:ascii="宋体" w:hAnsi="宋体" w:eastAsia="宋体" w:cs="宋体"/>
          <w:color w:val="auto"/>
          <w:highlight w:val="none"/>
        </w:rPr>
      </w:pPr>
      <w:bookmarkStart w:id="256" w:name="_Toc35424902"/>
      <w:bookmarkStart w:id="257" w:name="_Toc246996190"/>
      <w:bookmarkStart w:id="258" w:name="_Toc24633"/>
      <w:bookmarkStart w:id="259" w:name="_Toc324404830"/>
      <w:bookmarkStart w:id="260" w:name="_Toc179632563"/>
      <w:bookmarkStart w:id="261" w:name="_Toc15058861"/>
      <w:bookmarkStart w:id="262" w:name="_Toc152042321"/>
      <w:bookmarkStart w:id="263" w:name="_Toc506107284"/>
      <w:bookmarkStart w:id="264" w:name="_Toc152045545"/>
      <w:bookmarkStart w:id="265" w:name="_Toc144974513"/>
      <w:bookmarkStart w:id="266" w:name="_Toc247085704"/>
      <w:bookmarkStart w:id="267" w:name="_Toc246996933"/>
      <w:bookmarkStart w:id="268" w:name="_Toc296602435"/>
      <w:bookmarkStart w:id="269" w:name="_Toc35425068"/>
      <w:r>
        <w:rPr>
          <w:rFonts w:ascii="宋体" w:hAnsi="宋体" w:eastAsia="宋体" w:cs="宋体"/>
          <w:color w:val="auto"/>
          <w:highlight w:val="none"/>
        </w:rPr>
        <w:t xml:space="preserve">2.3 </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r>
        <w:rPr>
          <w:rFonts w:hint="eastAsia" w:ascii="宋体" w:hAnsi="宋体" w:eastAsia="宋体" w:cs="宋体"/>
          <w:color w:val="auto"/>
          <w:highlight w:val="none"/>
        </w:rPr>
        <w:t>招标文件的澄清</w:t>
      </w:r>
    </w:p>
    <w:p w14:paraId="26CD792C">
      <w:pPr>
        <w:spacing w:line="440" w:lineRule="exact"/>
        <w:ind w:firstLine="420" w:firstLineChars="200"/>
        <w:jc w:val="left"/>
        <w:rPr>
          <w:rFonts w:hint="eastAsia" w:ascii="宋体" w:hAnsi="宋体" w:eastAsia="宋体" w:cs="宋体"/>
          <w:color w:val="auto"/>
          <w:szCs w:val="21"/>
          <w:highlight w:val="none"/>
        </w:rPr>
      </w:pPr>
      <w:bookmarkStart w:id="270" w:name="_Toc324404831"/>
      <w:bookmarkStart w:id="271" w:name="_Toc35424903"/>
      <w:bookmarkStart w:id="272" w:name="_Toc35425069"/>
      <w:bookmarkStart w:id="273" w:name="_Toc2696"/>
      <w:bookmarkStart w:id="274" w:name="_Toc15058862"/>
      <w:r>
        <w:rPr>
          <w:rFonts w:hint="eastAsia" w:ascii="宋体" w:hAnsi="宋体" w:eastAsia="宋体" w:cs="宋体"/>
          <w:color w:val="auto"/>
          <w:szCs w:val="21"/>
          <w:highlight w:val="none"/>
        </w:rPr>
        <w:t>招标人可以澄清招标文件，并以投标人须知前附表规定澄清的方式在滁州市公共资源交易中心网站发布。但如果修改招标文件的时间距投标截止时间不足15天，并且修改内容影响投标文件编制的，将相应延长投标截止时间。</w:t>
      </w:r>
    </w:p>
    <w:p w14:paraId="65F40B03">
      <w:pPr>
        <w:pStyle w:val="7"/>
        <w:ind w:firstLine="422" w:firstLineChars="200"/>
        <w:rPr>
          <w:rFonts w:ascii="宋体" w:hAnsi="宋体" w:eastAsia="宋体" w:cs="宋体"/>
          <w:color w:val="auto"/>
          <w:highlight w:val="none"/>
        </w:rPr>
      </w:pPr>
      <w:r>
        <w:rPr>
          <w:rFonts w:ascii="宋体" w:hAnsi="宋体" w:eastAsia="宋体" w:cs="宋体"/>
          <w:color w:val="auto"/>
          <w:highlight w:val="none"/>
        </w:rPr>
        <w:t>2.4</w:t>
      </w:r>
      <w:bookmarkEnd w:id="270"/>
      <w:r>
        <w:rPr>
          <w:rFonts w:hint="eastAsia" w:ascii="宋体" w:hAnsi="宋体" w:eastAsia="宋体" w:cs="宋体"/>
          <w:color w:val="auto"/>
          <w:highlight w:val="none"/>
        </w:rPr>
        <w:t>最高投标限价</w:t>
      </w:r>
      <w:bookmarkEnd w:id="271"/>
      <w:bookmarkEnd w:id="272"/>
      <w:bookmarkEnd w:id="273"/>
      <w:bookmarkEnd w:id="274"/>
    </w:p>
    <w:p w14:paraId="142E49BA">
      <w:pPr>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2.4.1</w:t>
      </w:r>
      <w:r>
        <w:rPr>
          <w:rFonts w:hint="eastAsia" w:ascii="宋体" w:hAnsi="宋体" w:cs="宋体"/>
          <w:color w:val="auto"/>
          <w:szCs w:val="21"/>
          <w:highlight w:val="none"/>
        </w:rPr>
        <w:t>最高投标限价的作用和说明</w:t>
      </w:r>
    </w:p>
    <w:p w14:paraId="49F539FE">
      <w:pPr>
        <w:spacing w:line="440" w:lineRule="exact"/>
        <w:ind w:firstLine="420" w:firstLineChars="200"/>
        <w:jc w:val="left"/>
        <w:rPr>
          <w:rFonts w:ascii="宋体" w:cs="宋体"/>
          <w:color w:val="auto"/>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w:t>
      </w:r>
      <w:r>
        <w:rPr>
          <w:rFonts w:hint="eastAsia" w:ascii="宋体" w:hAnsi="宋体" w:cs="宋体"/>
          <w:color w:val="auto"/>
          <w:highlight w:val="none"/>
        </w:rPr>
        <w:t>投标人的投标报价不得超过最高投标限价</w:t>
      </w:r>
      <w:r>
        <w:rPr>
          <w:rFonts w:hint="eastAsia" w:ascii="宋体" w:hAnsi="宋体" w:cs="宋体"/>
          <w:color w:val="auto"/>
          <w:szCs w:val="21"/>
          <w:highlight w:val="none"/>
        </w:rPr>
        <w:t>（费率）</w:t>
      </w:r>
      <w:r>
        <w:rPr>
          <w:rFonts w:hint="eastAsia" w:ascii="宋体" w:hAnsi="宋体" w:cs="宋体"/>
          <w:color w:val="auto"/>
          <w:highlight w:val="none"/>
        </w:rPr>
        <w:t>，最高投标限价</w:t>
      </w:r>
      <w:r>
        <w:rPr>
          <w:rFonts w:hint="eastAsia" w:ascii="宋体" w:hAnsi="宋体" w:cs="宋体"/>
          <w:color w:val="auto"/>
          <w:szCs w:val="21"/>
          <w:highlight w:val="none"/>
        </w:rPr>
        <w:t>（费率）</w:t>
      </w:r>
      <w:r>
        <w:rPr>
          <w:rFonts w:hint="eastAsia" w:ascii="宋体" w:hAnsi="宋体" w:cs="宋体"/>
          <w:color w:val="auto"/>
          <w:highlight w:val="none"/>
        </w:rPr>
        <w:t>的发布时间及方式在投标人须知前附表中载明。</w:t>
      </w:r>
    </w:p>
    <w:p w14:paraId="161BF54D">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）投标人对最高投标限价（费率）有异议的，可在</w:t>
      </w:r>
      <w:r>
        <w:rPr>
          <w:rFonts w:hint="eastAsia" w:ascii="宋体" w:hAnsi="宋体" w:cs="宋体"/>
          <w:color w:val="auto"/>
          <w:highlight w:val="none"/>
        </w:rPr>
        <w:t>投标人须知前附表规定的时间内向招标人提出异议，</w:t>
      </w:r>
      <w:r>
        <w:rPr>
          <w:rFonts w:hint="eastAsia" w:ascii="宋体" w:hAnsi="宋体" w:cs="宋体"/>
          <w:color w:val="auto"/>
          <w:szCs w:val="21"/>
          <w:highlight w:val="none"/>
        </w:rPr>
        <w:t>未在规定时间内提出异议的或投标人提出异议经招标人复核后的最高投标限价（费率），视为合理有效。</w:t>
      </w:r>
    </w:p>
    <w:p w14:paraId="73083D66">
      <w:pPr>
        <w:pStyle w:val="7"/>
        <w:spacing w:beforeLines="50" w:afterLines="50"/>
        <w:ind w:firstLine="482" w:firstLineChars="200"/>
        <w:rPr>
          <w:rFonts w:ascii="宋体" w:hAnsi="宋体" w:eastAsia="宋体" w:cs="宋体"/>
          <w:color w:val="auto"/>
          <w:sz w:val="24"/>
          <w:szCs w:val="24"/>
          <w:highlight w:val="none"/>
        </w:rPr>
      </w:pPr>
      <w:bookmarkStart w:id="275" w:name="_Toc35425070"/>
      <w:bookmarkStart w:id="276" w:name="_Toc35424904"/>
      <w:bookmarkStart w:id="277" w:name="_Toc246996191"/>
      <w:bookmarkStart w:id="278" w:name="_Toc246996934"/>
      <w:bookmarkStart w:id="279" w:name="_Toc6464"/>
      <w:bookmarkStart w:id="280" w:name="_Toc179632564"/>
      <w:bookmarkStart w:id="281" w:name="_Toc144974514"/>
      <w:bookmarkStart w:id="282" w:name="_Toc15058863"/>
      <w:bookmarkStart w:id="283" w:name="_Toc152042322"/>
      <w:bookmarkStart w:id="284" w:name="_Toc152045546"/>
      <w:bookmarkStart w:id="285" w:name="_Toc247085705"/>
      <w:bookmarkStart w:id="286" w:name="_Toc506107285"/>
      <w:bookmarkStart w:id="287" w:name="_Toc324404832"/>
      <w:r>
        <w:rPr>
          <w:rFonts w:ascii="宋体" w:hAnsi="宋体" w:eastAsia="宋体" w:cs="宋体"/>
          <w:color w:val="auto"/>
          <w:sz w:val="24"/>
          <w:szCs w:val="24"/>
          <w:highlight w:val="none"/>
        </w:rPr>
        <w:t xml:space="preserve">3. </w:t>
      </w:r>
      <w:r>
        <w:rPr>
          <w:rFonts w:hint="eastAsia" w:ascii="宋体" w:hAnsi="宋体" w:eastAsia="宋体" w:cs="宋体"/>
          <w:color w:val="auto"/>
          <w:sz w:val="24"/>
          <w:szCs w:val="24"/>
          <w:highlight w:val="none"/>
        </w:rPr>
        <w:t>投标文件</w:t>
      </w:r>
      <w:bookmarkEnd w:id="275"/>
      <w:bookmarkEnd w:id="276"/>
      <w:bookmarkEnd w:id="277"/>
      <w:bookmarkEnd w:id="278"/>
      <w:bookmarkEnd w:id="279"/>
      <w:bookmarkEnd w:id="280"/>
      <w:bookmarkEnd w:id="281"/>
      <w:bookmarkEnd w:id="282"/>
      <w:bookmarkEnd w:id="283"/>
      <w:bookmarkEnd w:id="284"/>
      <w:bookmarkEnd w:id="285"/>
      <w:bookmarkEnd w:id="286"/>
      <w:bookmarkEnd w:id="287"/>
    </w:p>
    <w:p w14:paraId="791AB0E4">
      <w:pPr>
        <w:pStyle w:val="7"/>
        <w:ind w:firstLine="422" w:firstLineChars="200"/>
        <w:rPr>
          <w:rFonts w:ascii="宋体" w:hAnsi="宋体" w:eastAsia="宋体" w:cs="宋体"/>
          <w:color w:val="auto"/>
          <w:highlight w:val="none"/>
        </w:rPr>
      </w:pPr>
      <w:bookmarkStart w:id="288" w:name="_Toc246996935"/>
      <w:bookmarkStart w:id="289" w:name="_Toc506107286"/>
      <w:bookmarkStart w:id="290" w:name="_Toc35424905"/>
      <w:bookmarkStart w:id="291" w:name="_Toc247085706"/>
      <w:bookmarkStart w:id="292" w:name="_Toc15058864"/>
      <w:bookmarkStart w:id="293" w:name="_Toc152045547"/>
      <w:bookmarkStart w:id="294" w:name="_Toc157"/>
      <w:bookmarkStart w:id="295" w:name="_Toc324404833"/>
      <w:bookmarkStart w:id="296" w:name="_Toc296602437"/>
      <w:bookmarkStart w:id="297" w:name="_Toc246996192"/>
      <w:bookmarkStart w:id="298" w:name="_Toc152042323"/>
      <w:bookmarkStart w:id="299" w:name="_Toc179632565"/>
      <w:bookmarkStart w:id="300" w:name="_Toc144974515"/>
      <w:bookmarkStart w:id="301" w:name="_Toc35425071"/>
      <w:r>
        <w:rPr>
          <w:rFonts w:ascii="宋体" w:hAnsi="宋体" w:eastAsia="宋体" w:cs="宋体"/>
          <w:color w:val="auto"/>
          <w:highlight w:val="none"/>
        </w:rPr>
        <w:t xml:space="preserve">3.1 </w:t>
      </w:r>
      <w:r>
        <w:rPr>
          <w:rFonts w:hint="eastAsia" w:ascii="宋体" w:hAnsi="宋体" w:eastAsia="宋体" w:cs="宋体"/>
          <w:color w:val="auto"/>
          <w:highlight w:val="none"/>
        </w:rPr>
        <w:t>投标文件的组成</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5CB7A56F">
      <w:pPr>
        <w:spacing w:line="440" w:lineRule="exact"/>
        <w:ind w:firstLine="420" w:firstLineChars="200"/>
        <w:jc w:val="left"/>
        <w:rPr>
          <w:rFonts w:hint="eastAsia" w:ascii="宋体" w:hAnsi="宋体" w:eastAsia="宋体" w:cs="宋体"/>
          <w:color w:val="auto"/>
          <w:highlight w:val="none"/>
          <w:lang w:val="en-US" w:eastAsia="zh-CN"/>
        </w:rPr>
      </w:pPr>
      <w:bookmarkStart w:id="302" w:name="_Toc506107287"/>
      <w:bookmarkStart w:id="303" w:name="_Toc246996936"/>
      <w:bookmarkStart w:id="304" w:name="_Toc179632566"/>
      <w:bookmarkStart w:id="305" w:name="_Toc152042324"/>
      <w:bookmarkStart w:id="306" w:name="_Toc35425072"/>
      <w:bookmarkStart w:id="307" w:name="_Toc247085707"/>
      <w:bookmarkStart w:id="308" w:name="_Toc296602438"/>
      <w:bookmarkStart w:id="309" w:name="_Toc35424906"/>
      <w:bookmarkStart w:id="310" w:name="_Toc152045548"/>
      <w:bookmarkStart w:id="311" w:name="_Toc15058865"/>
      <w:bookmarkStart w:id="312" w:name="_Toc144974516"/>
      <w:bookmarkStart w:id="313" w:name="_Toc6829"/>
      <w:bookmarkStart w:id="314" w:name="_Toc324404834"/>
      <w:bookmarkStart w:id="315" w:name="_Toc246996193"/>
      <w:r>
        <w:rPr>
          <w:rFonts w:hint="eastAsia" w:ascii="宋体" w:hAnsi="宋体" w:cs="宋体"/>
          <w:color w:val="auto"/>
          <w:szCs w:val="21"/>
          <w:highlight w:val="none"/>
        </w:rPr>
        <w:t>投标文件的具体组成部分及材料要求详见本招标文件第五章“投标文件格式”。</w:t>
      </w:r>
    </w:p>
    <w:p w14:paraId="5DDD97E9">
      <w:pPr>
        <w:pStyle w:val="7"/>
        <w:ind w:firstLine="422" w:firstLineChars="200"/>
        <w:rPr>
          <w:rFonts w:ascii="宋体" w:hAnsi="宋体" w:eastAsia="宋体" w:cs="宋体"/>
          <w:color w:val="auto"/>
          <w:highlight w:val="none"/>
        </w:rPr>
      </w:pPr>
      <w:r>
        <w:rPr>
          <w:rFonts w:ascii="宋体" w:hAnsi="宋体" w:eastAsia="宋体" w:cs="宋体"/>
          <w:color w:val="auto"/>
          <w:highlight w:val="none"/>
        </w:rPr>
        <w:t xml:space="preserve">3.2 </w:t>
      </w:r>
      <w:r>
        <w:rPr>
          <w:rFonts w:hint="eastAsia" w:ascii="宋体" w:hAnsi="宋体" w:eastAsia="宋体" w:cs="宋体"/>
          <w:color w:val="auto"/>
          <w:highlight w:val="none"/>
        </w:rPr>
        <w:t>投标报价</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41BF0892">
      <w:pPr>
        <w:spacing w:line="440" w:lineRule="exact"/>
        <w:ind w:firstLine="420" w:firstLineChars="200"/>
        <w:jc w:val="left"/>
        <w:rPr>
          <w:rFonts w:ascii="宋体" w:cs="宋体"/>
          <w:color w:val="auto"/>
          <w:highlight w:val="none"/>
        </w:rPr>
      </w:pPr>
      <w:bookmarkStart w:id="316" w:name="_Toc246996937"/>
      <w:bookmarkStart w:id="317" w:name="_Toc324404835"/>
      <w:bookmarkStart w:id="318" w:name="_Toc296602439"/>
      <w:bookmarkStart w:id="319" w:name="_Toc152045549"/>
      <w:bookmarkStart w:id="320" w:name="_Toc152042325"/>
      <w:bookmarkStart w:id="321" w:name="_Toc247085708"/>
      <w:bookmarkStart w:id="322" w:name="_Toc246996194"/>
      <w:bookmarkStart w:id="323" w:name="_Toc179632567"/>
      <w:bookmarkStart w:id="324" w:name="_Toc144974517"/>
      <w:r>
        <w:rPr>
          <w:rFonts w:ascii="宋体" w:hAnsi="宋体" w:cs="宋体"/>
          <w:color w:val="auto"/>
          <w:highlight w:val="none"/>
        </w:rPr>
        <w:t>3.2.1</w:t>
      </w:r>
      <w:r>
        <w:rPr>
          <w:rFonts w:hint="eastAsia" w:ascii="宋体" w:hAnsi="宋体" w:cs="宋体"/>
          <w:color w:val="auto"/>
          <w:highlight w:val="none"/>
        </w:rPr>
        <w:t>投标人的投标报价不得超过最高投标限价</w:t>
      </w:r>
      <w:r>
        <w:rPr>
          <w:rFonts w:hint="eastAsia" w:ascii="宋体" w:hAnsi="宋体" w:cs="宋体"/>
          <w:color w:val="auto"/>
          <w:szCs w:val="21"/>
          <w:highlight w:val="none"/>
        </w:rPr>
        <w:t>（费率）</w:t>
      </w:r>
      <w:r>
        <w:rPr>
          <w:rFonts w:hint="eastAsia" w:ascii="宋体" w:hAnsi="宋体" w:cs="宋体"/>
          <w:color w:val="auto"/>
          <w:highlight w:val="none"/>
        </w:rPr>
        <w:t>，最高投标限价</w:t>
      </w:r>
      <w:r>
        <w:rPr>
          <w:rFonts w:hint="eastAsia" w:ascii="宋体" w:hAnsi="宋体" w:cs="宋体"/>
          <w:color w:val="auto"/>
          <w:szCs w:val="21"/>
          <w:highlight w:val="none"/>
        </w:rPr>
        <w:t>（费率）</w:t>
      </w:r>
      <w:r>
        <w:rPr>
          <w:rFonts w:hint="eastAsia" w:ascii="宋体" w:hAnsi="宋体" w:cs="宋体"/>
          <w:color w:val="auto"/>
          <w:highlight w:val="none"/>
        </w:rPr>
        <w:t>的发布时间及方式在投标人须知前附表中载明。</w:t>
      </w:r>
    </w:p>
    <w:p w14:paraId="13643264">
      <w:pPr>
        <w:spacing w:line="440" w:lineRule="exact"/>
        <w:ind w:firstLine="420" w:firstLineChars="200"/>
        <w:jc w:val="left"/>
        <w:rPr>
          <w:rFonts w:ascii="宋体" w:cs="宋体"/>
          <w:color w:val="auto"/>
          <w:highlight w:val="none"/>
        </w:rPr>
      </w:pPr>
      <w:r>
        <w:rPr>
          <w:rFonts w:ascii="宋体" w:hAnsi="宋体" w:cs="宋体"/>
          <w:color w:val="auto"/>
          <w:highlight w:val="none"/>
        </w:rPr>
        <w:t>3.2.2</w:t>
      </w:r>
      <w:r>
        <w:rPr>
          <w:rFonts w:hint="eastAsia" w:ascii="宋体" w:hAnsi="宋体" w:cs="宋体"/>
          <w:color w:val="auto"/>
          <w:highlight w:val="none"/>
        </w:rPr>
        <w:t>投标报价应由法定代表人或被授权人签署。</w:t>
      </w:r>
    </w:p>
    <w:p w14:paraId="2ACA5050">
      <w:pPr>
        <w:spacing w:line="440" w:lineRule="exact"/>
        <w:ind w:left="15" w:leftChars="7" w:firstLine="420" w:firstLineChars="200"/>
        <w:jc w:val="left"/>
        <w:rPr>
          <w:rFonts w:ascii="宋体" w:cs="宋体"/>
          <w:color w:val="auto"/>
          <w:highlight w:val="none"/>
        </w:rPr>
      </w:pPr>
      <w:r>
        <w:rPr>
          <w:rFonts w:ascii="宋体" w:hAnsi="宋体" w:cs="宋体"/>
          <w:color w:val="auto"/>
          <w:highlight w:val="none"/>
        </w:rPr>
        <w:t>3.2.3</w:t>
      </w:r>
      <w:r>
        <w:rPr>
          <w:rFonts w:hint="eastAsia" w:ascii="宋体" w:hAnsi="宋体" w:cs="宋体"/>
          <w:color w:val="auto"/>
          <w:highlight w:val="none"/>
        </w:rPr>
        <w:t>投标人的投标报价应为项目招标范围内</w:t>
      </w:r>
      <w:r>
        <w:rPr>
          <w:rFonts w:hint="eastAsia" w:ascii="宋体" w:hAnsi="宋体" w:cs="宋体"/>
          <w:color w:val="auto"/>
          <w:highlight w:val="none"/>
          <w:lang w:val="en-US" w:eastAsia="zh-CN"/>
        </w:rPr>
        <w:t>服务</w:t>
      </w:r>
      <w:r>
        <w:rPr>
          <w:rFonts w:hint="eastAsia" w:ascii="宋体" w:hAnsi="宋体" w:cs="宋体"/>
          <w:color w:val="auto"/>
          <w:highlight w:val="none"/>
        </w:rPr>
        <w:t>单位所提供的全部服务工作内容所需的全部费用，包含所有成本、利润和税金等全部费用。</w:t>
      </w:r>
    </w:p>
    <w:p w14:paraId="159C03EB">
      <w:pPr>
        <w:spacing w:line="440" w:lineRule="exact"/>
        <w:ind w:firstLine="420" w:firstLineChars="200"/>
        <w:jc w:val="left"/>
        <w:rPr>
          <w:rFonts w:ascii="宋体" w:cs="宋体"/>
          <w:color w:val="auto"/>
          <w:szCs w:val="21"/>
          <w:highlight w:val="none"/>
        </w:rPr>
      </w:pPr>
      <w:r>
        <w:rPr>
          <w:rFonts w:ascii="宋体" w:hAnsi="宋体" w:cs="宋体"/>
          <w:color w:val="auto"/>
          <w:highlight w:val="none"/>
        </w:rPr>
        <w:t>3.2.4</w:t>
      </w:r>
      <w:r>
        <w:rPr>
          <w:rFonts w:hint="eastAsia" w:ascii="宋体" w:hAnsi="宋体" w:cs="宋体"/>
          <w:color w:val="auto"/>
          <w:highlight w:val="none"/>
        </w:rPr>
        <w:t>不论任何原因导致的工期延长，招标人均不再补偿</w:t>
      </w:r>
      <w:r>
        <w:rPr>
          <w:rFonts w:hint="eastAsia" w:ascii="宋体" w:hAnsi="宋体" w:cs="宋体"/>
          <w:color w:val="auto"/>
          <w:highlight w:val="none"/>
          <w:lang w:val="en-US" w:eastAsia="zh-CN"/>
        </w:rPr>
        <w:t>服务</w:t>
      </w:r>
      <w:r>
        <w:rPr>
          <w:rFonts w:hint="eastAsia" w:ascii="宋体" w:hAnsi="宋体" w:cs="宋体"/>
          <w:color w:val="auto"/>
          <w:highlight w:val="none"/>
        </w:rPr>
        <w:t>费用。</w:t>
      </w:r>
    </w:p>
    <w:p w14:paraId="358F1203">
      <w:pPr>
        <w:pStyle w:val="7"/>
        <w:ind w:firstLine="422" w:firstLineChars="200"/>
        <w:rPr>
          <w:rFonts w:ascii="宋体" w:hAnsi="宋体" w:eastAsia="宋体" w:cs="宋体"/>
          <w:color w:val="auto"/>
          <w:highlight w:val="none"/>
        </w:rPr>
      </w:pPr>
      <w:bookmarkStart w:id="325" w:name="_Toc15058866"/>
      <w:bookmarkStart w:id="326" w:name="_Toc35424907"/>
      <w:bookmarkStart w:id="327" w:name="_Toc35425073"/>
      <w:bookmarkStart w:id="328" w:name="_Toc31735"/>
      <w:bookmarkStart w:id="329" w:name="_Toc506107288"/>
      <w:r>
        <w:rPr>
          <w:rFonts w:ascii="宋体" w:hAnsi="宋体" w:eastAsia="宋体" w:cs="宋体"/>
          <w:color w:val="auto"/>
          <w:highlight w:val="none"/>
        </w:rPr>
        <w:t xml:space="preserve">3.3 </w:t>
      </w:r>
      <w:r>
        <w:rPr>
          <w:rFonts w:hint="eastAsia" w:ascii="宋体" w:hAnsi="宋体" w:eastAsia="宋体" w:cs="宋体"/>
          <w:color w:val="auto"/>
          <w:highlight w:val="none"/>
        </w:rPr>
        <w:t>投标有效期</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14:paraId="7B971CFC">
      <w:pPr>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3.3.1</w:t>
      </w:r>
      <w:r>
        <w:rPr>
          <w:rFonts w:hint="eastAsia" w:ascii="宋体" w:hAnsi="宋体" w:cs="宋体"/>
          <w:color w:val="auto"/>
          <w:szCs w:val="21"/>
          <w:highlight w:val="none"/>
        </w:rPr>
        <w:t>除投标人须知前附表另有规定外，投标有效期为</w:t>
      </w:r>
      <w:r>
        <w:rPr>
          <w:rFonts w:ascii="宋体" w:hAnsi="宋体" w:cs="宋体"/>
          <w:color w:val="auto"/>
          <w:szCs w:val="21"/>
          <w:highlight w:val="none"/>
        </w:rPr>
        <w:t>90</w:t>
      </w:r>
      <w:r>
        <w:rPr>
          <w:rFonts w:hint="eastAsia" w:ascii="宋体" w:hAnsi="宋体" w:cs="宋体"/>
          <w:color w:val="auto"/>
          <w:szCs w:val="21"/>
          <w:highlight w:val="none"/>
        </w:rPr>
        <w:t>天。</w:t>
      </w:r>
    </w:p>
    <w:p w14:paraId="4BCB3501">
      <w:pPr>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3.3.2</w:t>
      </w:r>
      <w:r>
        <w:rPr>
          <w:rFonts w:hint="eastAsia" w:ascii="宋体" w:hAnsi="宋体" w:cs="宋体"/>
          <w:color w:val="auto"/>
          <w:szCs w:val="21"/>
          <w:highlight w:val="none"/>
        </w:rPr>
        <w:t>在投标有效期内，投标人撤销或修改其投标文件的，应承担招标文件和法律规定的责任。</w:t>
      </w:r>
    </w:p>
    <w:p w14:paraId="04EB23A6">
      <w:pPr>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3.3.3</w:t>
      </w:r>
      <w:r>
        <w:rPr>
          <w:rFonts w:hint="eastAsia" w:ascii="宋体" w:hAnsi="宋体" w:cs="宋体"/>
          <w:color w:val="auto"/>
          <w:szCs w:val="21"/>
          <w:highlight w:val="none"/>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08C83066">
      <w:pPr>
        <w:pStyle w:val="7"/>
        <w:ind w:firstLine="422" w:firstLineChars="200"/>
        <w:rPr>
          <w:rFonts w:ascii="宋体" w:hAnsi="宋体" w:eastAsia="宋体" w:cs="宋体"/>
          <w:color w:val="auto"/>
          <w:highlight w:val="none"/>
        </w:rPr>
      </w:pPr>
      <w:bookmarkStart w:id="330" w:name="_Toc35425074"/>
      <w:bookmarkStart w:id="331" w:name="_Toc296602440"/>
      <w:bookmarkStart w:id="332" w:name="_Toc247085709"/>
      <w:bookmarkStart w:id="333" w:name="_Toc246996195"/>
      <w:bookmarkStart w:id="334" w:name="_Toc324404836"/>
      <w:bookmarkStart w:id="335" w:name="_Toc246996938"/>
      <w:bookmarkStart w:id="336" w:name="_Toc506107289"/>
      <w:bookmarkStart w:id="337" w:name="_Toc15058867"/>
      <w:bookmarkStart w:id="338" w:name="_Toc152045550"/>
      <w:bookmarkStart w:id="339" w:name="_Toc35424908"/>
      <w:bookmarkStart w:id="340" w:name="_Toc179632568"/>
      <w:bookmarkStart w:id="341" w:name="_Toc152042326"/>
      <w:bookmarkStart w:id="342" w:name="_Toc10714"/>
      <w:bookmarkStart w:id="343" w:name="_Toc144974518"/>
      <w:r>
        <w:rPr>
          <w:rFonts w:ascii="宋体" w:hAnsi="宋体" w:eastAsia="宋体" w:cs="宋体"/>
          <w:color w:val="auto"/>
          <w:highlight w:val="none"/>
        </w:rPr>
        <w:t xml:space="preserve">3.4 </w:t>
      </w:r>
      <w:r>
        <w:rPr>
          <w:rFonts w:hint="eastAsia" w:ascii="宋体" w:hAnsi="宋体" w:eastAsia="宋体" w:cs="宋体"/>
          <w:color w:val="auto"/>
          <w:highlight w:val="none"/>
        </w:rPr>
        <w:t>投标保证金</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0588382D">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3.4.1投标人须知前附表规定递交投标保证金的，投标人在递交投标文件的同时，应按投标人须知前附表规定的金额、担保形式和第</w:t>
      </w:r>
      <w:r>
        <w:rPr>
          <w:rFonts w:hint="eastAsia" w:ascii="宋体" w:hAnsi="宋体" w:cs="宋体"/>
          <w:color w:val="auto"/>
          <w:szCs w:val="21"/>
          <w:highlight w:val="none"/>
          <w:lang w:val="en-US" w:eastAsia="zh-CN"/>
        </w:rPr>
        <w:t>五</w:t>
      </w:r>
      <w:r>
        <w:rPr>
          <w:rFonts w:hint="eastAsia" w:ascii="宋体" w:hAnsi="宋体" w:cs="宋体"/>
          <w:color w:val="auto"/>
          <w:szCs w:val="21"/>
          <w:highlight w:val="none"/>
        </w:rPr>
        <w:t>章“投标文件格式”规定的或者事先经过招标人认可的保证金格式递交保证金，并作为其投标文件的组成部分。</w:t>
      </w:r>
    </w:p>
    <w:p w14:paraId="504450D0">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 无论采取何种形式的投标保证金，投标保证金有效期均应与投标有效期一致（采用投标电子保函的保证期截止时间不得早于该项目投标有效期的截止时间）。招标人如果按本章第 3.3.3 项的规定延长了投标有效期，则投标保证金的有效期也相应延长。</w:t>
      </w:r>
    </w:p>
    <w:p w14:paraId="3ADA96B3">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3.4.2 投标人不按本章第3.4.1项要求提交投标保证金的，评标委员会将否决其投标。</w:t>
      </w:r>
    </w:p>
    <w:p w14:paraId="60050F3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3.4.3中标投标人的投标保证金，中标通知书同步推送至交易中心服务端，银行接到退还指令后一个工作日内退还保证金到达原交纳的基本账户；中标人的投标保证金，在中标人与招标人签订合同并将公开信息推送至交易中心服务端，银行接到退还指令后一个工作日内退付保证金到达原交纳的基本账户。</w:t>
      </w:r>
    </w:p>
    <w:p w14:paraId="6763E990">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3.4.4 有下列情形之一的，投标保证金将不予退还： </w:t>
      </w:r>
    </w:p>
    <w:p w14:paraId="79FEBE07">
      <w:pPr>
        <w:pageBreakBefore w:val="0"/>
        <w:widowControl w:val="0"/>
        <w:kinsoku/>
        <w:wordWrap/>
        <w:overflowPunct/>
        <w:topLinePunct w:val="0"/>
        <w:autoSpaceDE/>
        <w:autoSpaceDN/>
        <w:bidi w:val="0"/>
        <w:adjustRightInd w:val="0"/>
        <w:snapToGrid w:val="0"/>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（1）投标截止后投标人撤销投标文件的；</w:t>
      </w:r>
    </w:p>
    <w:p w14:paraId="3B9AA584">
      <w:pPr>
        <w:pageBreakBefore w:val="0"/>
        <w:widowControl w:val="0"/>
        <w:kinsoku/>
        <w:wordWrap/>
        <w:overflowPunct/>
        <w:topLinePunct w:val="0"/>
        <w:autoSpaceDE/>
        <w:autoSpaceDN/>
        <w:bidi w:val="0"/>
        <w:adjustRightInd w:val="0"/>
        <w:snapToGrid w:val="0"/>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（2）中标人无正当理由不与招标人订立合同，在签订合同时向招标人提出附加条件，或者不按照招标文件要求提交履约保证金的。</w:t>
      </w:r>
    </w:p>
    <w:p w14:paraId="658A1C4B">
      <w:pPr>
        <w:widowControl w:val="0"/>
        <w:kinsoku/>
        <w:wordWrap/>
        <w:overflowPunct/>
        <w:topLinePunct w:val="0"/>
        <w:autoSpaceDE/>
        <w:autoSpaceDN/>
        <w:bidi w:val="0"/>
        <w:adjustRightInd w:val="0"/>
        <w:snapToGrid w:val="0"/>
        <w:spacing w:line="440" w:lineRule="exact"/>
        <w:ind w:firstLine="420" w:firstLineChars="200"/>
        <w:textAlignment w:val="auto"/>
        <w:rPr>
          <w:rFonts w:ascii="宋体" w:cs="宋体"/>
          <w:color w:val="auto"/>
          <w:szCs w:val="21"/>
          <w:highlight w:val="none"/>
        </w:rPr>
      </w:pPr>
      <w:r>
        <w:rPr>
          <w:rFonts w:hint="eastAsia" w:ascii="宋体" w:hAnsi="宋体" w:cs="宋体"/>
          <w:color w:val="auto"/>
          <w:szCs w:val="21"/>
          <w:highlight w:val="none"/>
        </w:rPr>
        <w:t>3.4.5 投标保证金按《</w:t>
      </w:r>
      <w:r>
        <w:rPr>
          <w:rFonts w:ascii="宋体" w:hAnsi="宋体" w:cs="宋体"/>
          <w:color w:val="auto"/>
          <w:szCs w:val="21"/>
          <w:highlight w:val="none"/>
        </w:rPr>
        <w:fldChar w:fldCharType="begin"/>
      </w:r>
      <w:r>
        <w:rPr>
          <w:rFonts w:ascii="宋体" w:hAnsi="宋体" w:cs="宋体"/>
          <w:color w:val="auto"/>
          <w:szCs w:val="21"/>
          <w:highlight w:val="none"/>
        </w:rPr>
        <w:instrText xml:space="preserve"> HYPERLINK "https://www.chuzhou.gov.cn/group1/M00/12/83/CpYI8mGDiKqAD_IkAAEIAMLVghw186.doc" \t "_blank" </w:instrText>
      </w:r>
      <w:r>
        <w:rPr>
          <w:rFonts w:ascii="宋体" w:hAnsi="宋体" w:cs="宋体"/>
          <w:color w:val="auto"/>
          <w:szCs w:val="21"/>
          <w:highlight w:val="none"/>
        </w:rPr>
        <w:fldChar w:fldCharType="separate"/>
      </w:r>
      <w:r>
        <w:rPr>
          <w:rFonts w:hint="eastAsia" w:ascii="宋体" w:hAnsi="宋体" w:cs="宋体"/>
          <w:color w:val="auto"/>
          <w:szCs w:val="21"/>
          <w:highlight w:val="none"/>
        </w:rPr>
        <w:t>滁州市公共资源交易投标保证金管理规定</w:t>
      </w:r>
      <w:r>
        <w:rPr>
          <w:rFonts w:ascii="宋体" w:hAnsi="宋体" w:cs="宋体"/>
          <w:color w:val="auto"/>
          <w:szCs w:val="21"/>
          <w:highlight w:val="none"/>
        </w:rPr>
        <w:fldChar w:fldCharType="end"/>
      </w:r>
      <w:r>
        <w:rPr>
          <w:rFonts w:hint="eastAsia" w:ascii="宋体" w:hAnsi="宋体" w:cs="宋体"/>
          <w:color w:val="auto"/>
          <w:szCs w:val="21"/>
          <w:highlight w:val="none"/>
        </w:rPr>
        <w:t>》（滁公管〔2021〕7号）规定执行。</w:t>
      </w:r>
    </w:p>
    <w:p w14:paraId="50DA98AC">
      <w:pPr>
        <w:pStyle w:val="7"/>
        <w:ind w:firstLine="422" w:firstLineChars="200"/>
        <w:rPr>
          <w:rFonts w:ascii="宋体" w:hAnsi="宋体" w:eastAsia="宋体" w:cs="宋体"/>
          <w:color w:val="auto"/>
          <w:highlight w:val="none"/>
        </w:rPr>
      </w:pPr>
      <w:bookmarkStart w:id="344" w:name="_Toc506107290"/>
      <w:bookmarkStart w:id="345" w:name="_Toc296602442"/>
      <w:bookmarkStart w:id="346" w:name="_Toc324404837"/>
      <w:bookmarkStart w:id="347" w:name="_Toc35425075"/>
      <w:bookmarkStart w:id="348" w:name="_Toc35424909"/>
      <w:bookmarkStart w:id="349" w:name="_Toc15058868"/>
      <w:bookmarkStart w:id="350" w:name="_Toc19037"/>
      <w:bookmarkStart w:id="351" w:name="_Toc179632571"/>
      <w:bookmarkStart w:id="352" w:name="_Toc144974521"/>
      <w:bookmarkStart w:id="353" w:name="_Toc247085711"/>
      <w:bookmarkStart w:id="354" w:name="_Toc152042329"/>
      <w:bookmarkStart w:id="355" w:name="_Toc246996940"/>
      <w:bookmarkStart w:id="356" w:name="_Toc152045553"/>
      <w:bookmarkStart w:id="357" w:name="_Toc246996197"/>
      <w:r>
        <w:rPr>
          <w:rFonts w:ascii="宋体" w:hAnsi="宋体" w:eastAsia="宋体" w:cs="宋体"/>
          <w:color w:val="auto"/>
          <w:highlight w:val="none"/>
        </w:rPr>
        <w:t>3.5</w:t>
      </w:r>
      <w:r>
        <w:rPr>
          <w:rFonts w:hint="eastAsia" w:ascii="宋体" w:hAnsi="宋体" w:eastAsia="宋体" w:cs="宋体"/>
          <w:color w:val="auto"/>
          <w:highlight w:val="none"/>
        </w:rPr>
        <w:t>投标文件的编制</w:t>
      </w:r>
      <w:bookmarkEnd w:id="344"/>
      <w:bookmarkEnd w:id="345"/>
      <w:bookmarkEnd w:id="346"/>
      <w:bookmarkEnd w:id="347"/>
      <w:bookmarkEnd w:id="348"/>
      <w:bookmarkEnd w:id="349"/>
      <w:bookmarkEnd w:id="350"/>
    </w:p>
    <w:p w14:paraId="55E2FAD3">
      <w:pPr>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3.5.1</w:t>
      </w:r>
      <w:r>
        <w:rPr>
          <w:rFonts w:hint="eastAsia" w:ascii="宋体" w:hAnsi="宋体" w:cs="宋体"/>
          <w:color w:val="auto"/>
          <w:szCs w:val="21"/>
          <w:highlight w:val="none"/>
        </w:rPr>
        <w:t>投标文件应按第五章“投标文件格式”进行编写，如有必要，可以增加附页，作为投标文件的组成部分。</w:t>
      </w:r>
    </w:p>
    <w:p w14:paraId="7CC7558E">
      <w:pPr>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3.5.2 </w:t>
      </w:r>
      <w:r>
        <w:rPr>
          <w:rFonts w:hint="eastAsia" w:ascii="宋体" w:hAnsi="宋体" w:cs="宋体"/>
          <w:color w:val="auto"/>
          <w:szCs w:val="21"/>
          <w:highlight w:val="none"/>
        </w:rPr>
        <w:t>投标文件应当对招标文件有关服务期限、投标有效期、质量要求、技术标准和要求、招标范围等实质性内容作出响应。</w:t>
      </w:r>
    </w:p>
    <w:bookmarkEnd w:id="351"/>
    <w:bookmarkEnd w:id="352"/>
    <w:bookmarkEnd w:id="353"/>
    <w:bookmarkEnd w:id="354"/>
    <w:bookmarkEnd w:id="355"/>
    <w:bookmarkEnd w:id="356"/>
    <w:bookmarkEnd w:id="357"/>
    <w:p w14:paraId="27C6977F">
      <w:pPr>
        <w:spacing w:line="440" w:lineRule="exact"/>
        <w:ind w:firstLine="420" w:firstLineChars="200"/>
        <w:jc w:val="left"/>
        <w:rPr>
          <w:rFonts w:ascii="宋体" w:cs="宋体"/>
          <w:color w:val="auto"/>
          <w:szCs w:val="21"/>
          <w:highlight w:val="none"/>
        </w:rPr>
      </w:pPr>
      <w:bookmarkStart w:id="358" w:name="_Toc247085713"/>
      <w:bookmarkStart w:id="359" w:name="_Toc246996942"/>
      <w:bookmarkStart w:id="360" w:name="_Toc152045555"/>
      <w:bookmarkStart w:id="361" w:name="_Toc144974523"/>
      <w:bookmarkStart w:id="362" w:name="_Toc152042331"/>
      <w:bookmarkStart w:id="363" w:name="_Toc324404838"/>
      <w:bookmarkStart w:id="364" w:name="_Toc246996199"/>
      <w:bookmarkStart w:id="365" w:name="_Toc179632573"/>
      <w:r>
        <w:rPr>
          <w:rFonts w:ascii="宋体" w:hAnsi="宋体" w:cs="宋体"/>
          <w:color w:val="auto"/>
          <w:szCs w:val="21"/>
          <w:highlight w:val="none"/>
        </w:rPr>
        <w:t>3.5.3</w:t>
      </w:r>
      <w:r>
        <w:rPr>
          <w:rFonts w:hint="eastAsia" w:ascii="宋体" w:hAnsi="宋体" w:cs="宋体"/>
          <w:color w:val="auto"/>
          <w:szCs w:val="21"/>
          <w:highlight w:val="none"/>
        </w:rPr>
        <w:t>本次投标不需要提供纸质投标文件，投标人应按照电子招标投标的要求，在投标人的电子系统中制作、签章、上传加密的电子投标文件。</w:t>
      </w:r>
    </w:p>
    <w:p w14:paraId="7C8AB26E">
      <w:pPr>
        <w:spacing w:line="440" w:lineRule="exact"/>
        <w:ind w:firstLine="420" w:firstLineChars="200"/>
        <w:jc w:val="left"/>
        <w:rPr>
          <w:rFonts w:hint="eastAsia" w:ascii="宋体" w:hAnsi="宋体" w:cs="宋体"/>
          <w:color w:val="auto"/>
          <w:szCs w:val="21"/>
          <w:highlight w:val="none"/>
        </w:rPr>
      </w:pPr>
      <w:bookmarkStart w:id="366" w:name="_Toc35424910"/>
      <w:bookmarkStart w:id="367" w:name="_Toc35425076"/>
      <w:bookmarkStart w:id="368" w:name="_Toc506107291"/>
      <w:bookmarkStart w:id="369" w:name="_Toc19455"/>
      <w:bookmarkStart w:id="370" w:name="_Toc15058869"/>
      <w:r>
        <w:rPr>
          <w:rFonts w:hint="eastAsia" w:ascii="宋体" w:hAnsi="宋体" w:cs="宋体"/>
          <w:bCs/>
          <w:snapToGrid w:val="0"/>
          <w:color w:val="auto"/>
          <w:kern w:val="0"/>
          <w:szCs w:val="21"/>
          <w:highlight w:val="none"/>
        </w:rPr>
        <w:t>3.5.</w:t>
      </w:r>
      <w:r>
        <w:rPr>
          <w:rFonts w:hint="eastAsia" w:ascii="宋体" w:hAnsi="宋体" w:cs="宋体"/>
          <w:bCs/>
          <w:snapToGrid w:val="0"/>
          <w:color w:val="auto"/>
          <w:kern w:val="0"/>
          <w:szCs w:val="21"/>
          <w:highlight w:val="none"/>
          <w:lang w:val="en-US" w:eastAsia="zh-CN"/>
        </w:rPr>
        <w:t>4</w:t>
      </w:r>
      <w:r>
        <w:rPr>
          <w:rFonts w:hint="eastAsia" w:ascii="宋体" w:hAnsi="宋体" w:cs="宋体"/>
          <w:bCs/>
          <w:snapToGrid w:val="0"/>
          <w:color w:val="auto"/>
          <w:kern w:val="0"/>
          <w:szCs w:val="21"/>
          <w:highlight w:val="none"/>
        </w:rPr>
        <w:t>招标人有权核查投标人在投标文件中提供的资料，若在评标期间发现投标人提供了虚假资料，其投标将被否决；若在签订合同前发现作为中标候选人的投标人提供了虚假资料，招标人有权取消其中标资格；</w:t>
      </w:r>
      <w:r>
        <w:rPr>
          <w:rFonts w:hint="eastAsia" w:ascii="宋体" w:hAnsi="宋体" w:cs="宋体"/>
          <w:b/>
          <w:snapToGrid w:val="0"/>
          <w:color w:val="auto"/>
          <w:kern w:val="0"/>
          <w:szCs w:val="21"/>
          <w:highlight w:val="none"/>
        </w:rPr>
        <w:t>如果签订合同后发现中标人提供了虚假材料，招标人有权解除合同</w:t>
      </w:r>
      <w:r>
        <w:rPr>
          <w:rFonts w:hint="eastAsia" w:ascii="宋体" w:hAnsi="宋体" w:cs="宋体"/>
          <w:bCs/>
          <w:snapToGrid w:val="0"/>
          <w:color w:val="auto"/>
          <w:kern w:val="0"/>
          <w:szCs w:val="21"/>
          <w:highlight w:val="none"/>
        </w:rPr>
        <w:t>。同时招标人将投标人上述弄虚作假行为上报公共资源交易监督管理部门处理。</w:t>
      </w:r>
    </w:p>
    <w:p w14:paraId="6F7944C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3.5.</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投标文件的制作应满足以下规定：</w:t>
      </w:r>
    </w:p>
    <w:p w14:paraId="5EAFFCB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（1）投标文件由投标人使用电子交易系统提供的“投标文件制作工具”制作生成。“投标文件制作工具”可以通过电子交易系统下载。</w:t>
      </w:r>
    </w:p>
    <w:p w14:paraId="73E3C6B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
          <w:color w:val="auto"/>
          <w:szCs w:val="21"/>
          <w:highlight w:val="none"/>
        </w:rPr>
        <w:t>招标文件中“签章”是指签字或盖章。</w:t>
      </w:r>
      <w:r>
        <w:rPr>
          <w:rFonts w:hint="eastAsia" w:ascii="宋体" w:hAnsi="宋体" w:cs="宋体"/>
          <w:color w:val="auto"/>
          <w:szCs w:val="21"/>
          <w:highlight w:val="none"/>
        </w:rPr>
        <w:t>在第五章“投标文件格式”中要求签章处，投标人应加盖投标人单位电子印章和法定代表人的个人电子印章/电子签名章或直接上传加盖投标人单位印章和法定代表人的印章（或签字）的原件彩色扫描件。联合体投标的，除联合体协议书外， 投标文件由联合体牵头人按上述规定加盖联合体牵头人单位电子印章和法定代表人的个人电子印章/电子签名章或直接上传加盖联合体牵头人单位印章和法定代表人的印章（或签字）的原件彩色扫描件。</w:t>
      </w:r>
    </w:p>
    <w:p w14:paraId="661C9206">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标文件制作完成后，投标人应对投标文件进行文件加密，形成加密的投标文件。采用CA数字证书加密的，加密时投标文件的所有内容均只能使用同一把CA数字证书进行加密，否则引起的解密失败责任由投标人自行承担。</w:t>
      </w:r>
    </w:p>
    <w:p w14:paraId="48B3A623">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（4）投标文件制作的具体方法详见“投标文件制作工具”中的帮助文档。</w:t>
      </w:r>
    </w:p>
    <w:p w14:paraId="4DBC0589">
      <w:pPr>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3.5.</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因投标人自身原因而导致投标文件无法导入电子交易系统电子开标、评标系统，该投标视为无效投标，投标人自行承担由此导致的全部责任。</w:t>
      </w:r>
    </w:p>
    <w:p w14:paraId="1EAEC19A">
      <w:pPr>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3.5.</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投标人中标后须递交与网上电子投标文件完全一致的纸质版投标文件，在领取中标通知书时，一并递交给招标代理机构。</w:t>
      </w:r>
    </w:p>
    <w:p w14:paraId="6F800077">
      <w:pPr>
        <w:pStyle w:val="7"/>
        <w:spacing w:beforeLines="50" w:afterLines="50"/>
        <w:ind w:firstLine="482"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4.</w:t>
      </w:r>
      <w:r>
        <w:rPr>
          <w:rFonts w:hint="eastAsia" w:ascii="宋体" w:hAnsi="宋体" w:eastAsia="宋体" w:cs="宋体"/>
          <w:color w:val="auto"/>
          <w:sz w:val="24"/>
          <w:szCs w:val="24"/>
          <w:highlight w:val="none"/>
        </w:rPr>
        <w:t>投标</w:t>
      </w:r>
      <w:bookmarkEnd w:id="358"/>
      <w:bookmarkEnd w:id="359"/>
      <w:bookmarkEnd w:id="360"/>
      <w:bookmarkEnd w:id="361"/>
      <w:bookmarkEnd w:id="362"/>
      <w:bookmarkEnd w:id="363"/>
      <w:bookmarkEnd w:id="364"/>
      <w:bookmarkEnd w:id="365"/>
      <w:bookmarkEnd w:id="366"/>
      <w:bookmarkEnd w:id="367"/>
      <w:bookmarkEnd w:id="368"/>
      <w:bookmarkEnd w:id="369"/>
      <w:bookmarkEnd w:id="370"/>
    </w:p>
    <w:p w14:paraId="7895A6E4">
      <w:pPr>
        <w:pStyle w:val="7"/>
        <w:ind w:firstLine="422" w:firstLineChars="200"/>
        <w:rPr>
          <w:rFonts w:ascii="宋体" w:hAnsi="宋体" w:eastAsia="宋体" w:cs="宋体"/>
          <w:color w:val="auto"/>
          <w:highlight w:val="none"/>
        </w:rPr>
      </w:pPr>
      <w:bookmarkStart w:id="371" w:name="_Toc35424911"/>
      <w:bookmarkStart w:id="372" w:name="_Toc14473"/>
      <w:bookmarkStart w:id="373" w:name="_Toc78803346"/>
      <w:bookmarkStart w:id="374" w:name="_Toc15058870"/>
      <w:bookmarkStart w:id="375" w:name="_Toc35425077"/>
      <w:bookmarkStart w:id="376" w:name="_Toc15058874"/>
      <w:bookmarkStart w:id="377" w:name="_Toc506107295"/>
      <w:bookmarkStart w:id="378" w:name="_Toc152042335"/>
      <w:bookmarkStart w:id="379" w:name="_Toc247085717"/>
      <w:bookmarkStart w:id="380" w:name="_Toc35425081"/>
      <w:bookmarkStart w:id="381" w:name="_Toc179632577"/>
      <w:bookmarkStart w:id="382" w:name="_Toc144974527"/>
      <w:bookmarkStart w:id="383" w:name="_Toc29639"/>
      <w:bookmarkStart w:id="384" w:name="_Toc152045559"/>
      <w:bookmarkStart w:id="385" w:name="_Toc35424915"/>
      <w:bookmarkStart w:id="386" w:name="_Toc324404842"/>
      <w:bookmarkStart w:id="387" w:name="_Toc246996203"/>
      <w:bookmarkStart w:id="388" w:name="_Toc246996946"/>
      <w:r>
        <w:rPr>
          <w:rFonts w:hint="eastAsia" w:ascii="宋体" w:hAnsi="宋体" w:eastAsia="宋体" w:cs="宋体"/>
          <w:color w:val="auto"/>
          <w:highlight w:val="none"/>
        </w:rPr>
        <w:t>4.1投标文件上传</w:t>
      </w:r>
      <w:bookmarkEnd w:id="371"/>
      <w:bookmarkEnd w:id="372"/>
      <w:bookmarkEnd w:id="373"/>
      <w:bookmarkEnd w:id="374"/>
      <w:bookmarkEnd w:id="375"/>
    </w:p>
    <w:p w14:paraId="11D4336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4.1.1请投标人通过系统下载投标工具制作投标文件，并利用CA数字证书进行上传投标文件，上传已加密的投标文件，务必通过此方式上传投标文件。</w:t>
      </w:r>
    </w:p>
    <w:p w14:paraId="43B2745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4.1.2投标人在投标文件编制、签章、上传过程中如有任何操作的疑问请及时联系技术支持，电话：0550-3801701。</w:t>
      </w:r>
    </w:p>
    <w:p w14:paraId="6F18C3DC">
      <w:pPr>
        <w:pStyle w:val="7"/>
        <w:ind w:firstLine="422" w:firstLineChars="200"/>
        <w:rPr>
          <w:rFonts w:hint="eastAsia" w:ascii="宋体" w:hAnsi="宋体" w:eastAsia="宋体" w:cs="宋体"/>
          <w:color w:val="auto"/>
          <w:highlight w:val="none"/>
        </w:rPr>
      </w:pPr>
      <w:bookmarkStart w:id="389" w:name="_Toc15058871"/>
      <w:bookmarkStart w:id="390" w:name="_Toc246996200"/>
      <w:bookmarkStart w:id="391" w:name="_Toc3526"/>
      <w:bookmarkStart w:id="392" w:name="_Toc144974524"/>
      <w:bookmarkStart w:id="393" w:name="_Toc35425078"/>
      <w:bookmarkStart w:id="394" w:name="_Toc506107292"/>
      <w:bookmarkStart w:id="395" w:name="_Toc324404839"/>
      <w:bookmarkStart w:id="396" w:name="_Toc246996943"/>
      <w:bookmarkStart w:id="397" w:name="_Toc152045556"/>
      <w:bookmarkStart w:id="398" w:name="_Toc179632574"/>
      <w:bookmarkStart w:id="399" w:name="_Toc152042332"/>
      <w:bookmarkStart w:id="400" w:name="_Toc35424912"/>
      <w:bookmarkStart w:id="401" w:name="_Toc247085714"/>
      <w:bookmarkStart w:id="402" w:name="_Toc296602444"/>
      <w:r>
        <w:rPr>
          <w:rFonts w:hint="eastAsia" w:ascii="宋体" w:hAnsi="宋体" w:eastAsia="宋体" w:cs="宋体"/>
          <w:color w:val="auto"/>
          <w:highlight w:val="none"/>
        </w:rPr>
        <w:t>4.2投标文件的密封和标记</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7A665CD5">
      <w:pPr>
        <w:spacing w:line="440" w:lineRule="exact"/>
        <w:ind w:firstLine="420" w:firstLineChars="200"/>
        <w:jc w:val="left"/>
        <w:rPr>
          <w:rFonts w:ascii="宋体" w:hAnsi="宋体" w:cs="宋体"/>
          <w:color w:val="auto"/>
          <w:szCs w:val="21"/>
          <w:highlight w:val="none"/>
        </w:rPr>
      </w:pPr>
      <w:bookmarkStart w:id="403" w:name="_Toc179632575"/>
      <w:bookmarkStart w:id="404" w:name="_Toc152042333"/>
      <w:bookmarkStart w:id="405" w:name="_Toc296602445"/>
      <w:bookmarkStart w:id="406" w:name="_Toc247085715"/>
      <w:bookmarkStart w:id="407" w:name="_Toc144974525"/>
      <w:bookmarkStart w:id="408" w:name="_Toc246996944"/>
      <w:bookmarkStart w:id="409" w:name="_Toc246996201"/>
      <w:bookmarkStart w:id="410" w:name="_Toc324404840"/>
      <w:bookmarkStart w:id="411" w:name="_Toc152045557"/>
      <w:r>
        <w:rPr>
          <w:rFonts w:hint="eastAsia" w:ascii="宋体" w:hAnsi="宋体" w:cs="宋体"/>
          <w:color w:val="auto"/>
          <w:szCs w:val="21"/>
          <w:highlight w:val="none"/>
        </w:rPr>
        <w:t>4.2.1投标文件应按照本章第3.5.</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项要求制作并加密，否则招标人不予接收，以投标人在投标截止时间前网上递交的电子投标文件为准。</w:t>
      </w:r>
    </w:p>
    <w:p w14:paraId="7E5C0671">
      <w:pPr>
        <w:pStyle w:val="7"/>
        <w:ind w:firstLine="422" w:firstLineChars="200"/>
        <w:rPr>
          <w:rFonts w:hint="eastAsia" w:ascii="宋体" w:hAnsi="宋体" w:eastAsia="宋体" w:cs="宋体"/>
          <w:color w:val="auto"/>
          <w:highlight w:val="none"/>
        </w:rPr>
      </w:pPr>
      <w:bookmarkStart w:id="412" w:name="_Toc506107293"/>
      <w:bookmarkStart w:id="413" w:name="_Toc12275"/>
      <w:bookmarkStart w:id="414" w:name="_Toc35424913"/>
      <w:bookmarkStart w:id="415" w:name="_Toc35425079"/>
      <w:bookmarkStart w:id="416" w:name="_Toc15058872"/>
      <w:r>
        <w:rPr>
          <w:rFonts w:hint="eastAsia" w:ascii="宋体" w:hAnsi="宋体" w:eastAsia="宋体" w:cs="宋体"/>
          <w:color w:val="auto"/>
          <w:highlight w:val="none"/>
        </w:rPr>
        <w:t>4.3 投标文件的递交</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52F371B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4.3.1 投标人应在投标截止时间前将加密投标文件上传至电子交易系统。</w:t>
      </w:r>
    </w:p>
    <w:p w14:paraId="241002F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4.3.</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 除投标人须知前附表另有规定外，投标人所递交的投标文件不予退还。</w:t>
      </w:r>
    </w:p>
    <w:p w14:paraId="1517251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4.3.</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 xml:space="preserve"> 投标人应当在投标截止时间前完成投标文件的网上递交， 并可以补充、修改或者撤回投标文件。投标截止时间前未完成投标文件网上递交的，视为撤回投标文件。未按规定加密或投标截止时间后通过网上招标投标系统递交电子投标文件的的，电子交易系统应当拒收，投标无效。</w:t>
      </w:r>
    </w:p>
    <w:p w14:paraId="3AA78237">
      <w:pPr>
        <w:pStyle w:val="7"/>
        <w:ind w:firstLine="422" w:firstLineChars="200"/>
        <w:rPr>
          <w:rFonts w:hint="eastAsia" w:ascii="宋体" w:hAnsi="宋体" w:eastAsia="宋体" w:cs="宋体"/>
          <w:color w:val="auto"/>
          <w:highlight w:val="none"/>
        </w:rPr>
      </w:pPr>
      <w:bookmarkStart w:id="417" w:name="_Toc19572"/>
      <w:bookmarkStart w:id="418" w:name="_Toc78803347"/>
      <w:bookmarkStart w:id="419" w:name="_Toc152042334"/>
      <w:bookmarkStart w:id="420" w:name="_Toc324404841"/>
      <w:bookmarkStart w:id="421" w:name="_Toc35424914"/>
      <w:bookmarkStart w:id="422" w:name="_Toc144974526"/>
      <w:bookmarkStart w:id="423" w:name="_Toc506107294"/>
      <w:bookmarkStart w:id="424" w:name="_Toc247085716"/>
      <w:bookmarkStart w:id="425" w:name="_Toc35425080"/>
      <w:bookmarkStart w:id="426" w:name="_Toc152045558"/>
      <w:bookmarkStart w:id="427" w:name="_Toc246996202"/>
      <w:bookmarkStart w:id="428" w:name="_Toc15058873"/>
      <w:bookmarkStart w:id="429" w:name="_Toc179632576"/>
      <w:bookmarkStart w:id="430" w:name="_Toc246996945"/>
      <w:bookmarkStart w:id="431" w:name="_Toc296602446"/>
      <w:r>
        <w:rPr>
          <w:rFonts w:hint="eastAsia" w:ascii="宋体" w:hAnsi="宋体" w:eastAsia="宋体" w:cs="宋体"/>
          <w:color w:val="auto"/>
          <w:highlight w:val="none"/>
        </w:rPr>
        <w:t>4.4 投标文件的修改与撤回</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462BCD38">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4.4.1 在规定的投标截止时间前，投标人可以自行从网上招投标系统撤回已递交的投标文件，并可修改后重新加密上传，开标时以投标截止时间前投标人最终上传的投标文件为准。</w:t>
      </w:r>
    </w:p>
    <w:p w14:paraId="26D9AE57">
      <w:pPr>
        <w:pStyle w:val="7"/>
        <w:spacing w:beforeLines="50" w:afterLines="50"/>
        <w:ind w:firstLine="482"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5. </w:t>
      </w:r>
      <w:r>
        <w:rPr>
          <w:rFonts w:hint="eastAsia" w:ascii="宋体" w:hAnsi="宋体" w:eastAsia="宋体" w:cs="宋体"/>
          <w:color w:val="auto"/>
          <w:sz w:val="24"/>
          <w:szCs w:val="24"/>
          <w:highlight w:val="none"/>
        </w:rPr>
        <w:t>开标</w:t>
      </w:r>
      <w:bookmarkEnd w:id="376"/>
      <w:bookmarkEnd w:id="377"/>
      <w:bookmarkEnd w:id="378"/>
      <w:bookmarkEnd w:id="379"/>
      <w:bookmarkEnd w:id="380"/>
      <w:bookmarkEnd w:id="381"/>
      <w:bookmarkEnd w:id="382"/>
      <w:bookmarkEnd w:id="383"/>
      <w:bookmarkEnd w:id="384"/>
      <w:bookmarkEnd w:id="385"/>
      <w:bookmarkEnd w:id="386"/>
      <w:bookmarkEnd w:id="387"/>
      <w:bookmarkEnd w:id="388"/>
    </w:p>
    <w:p w14:paraId="6B6F6C2C">
      <w:pPr>
        <w:pStyle w:val="7"/>
        <w:ind w:firstLine="422" w:firstLineChars="200"/>
        <w:rPr>
          <w:rFonts w:ascii="宋体" w:hAnsi="宋体" w:eastAsia="宋体" w:cs="宋体"/>
          <w:color w:val="auto"/>
          <w:highlight w:val="none"/>
        </w:rPr>
      </w:pPr>
      <w:bookmarkStart w:id="432" w:name="_Toc144974528"/>
      <w:bookmarkStart w:id="433" w:name="_Toc506107296"/>
      <w:bookmarkStart w:id="434" w:name="_Toc324404843"/>
      <w:bookmarkStart w:id="435" w:name="_Toc15058875"/>
      <w:bookmarkStart w:id="436" w:name="_Toc247085718"/>
      <w:bookmarkStart w:id="437" w:name="_Toc246996204"/>
      <w:bookmarkStart w:id="438" w:name="_Toc152042336"/>
      <w:bookmarkStart w:id="439" w:name="_Toc246996947"/>
      <w:bookmarkStart w:id="440" w:name="_Toc179632578"/>
      <w:bookmarkStart w:id="441" w:name="_Toc152045560"/>
      <w:bookmarkStart w:id="442" w:name="_Toc35424916"/>
      <w:bookmarkStart w:id="443" w:name="_Toc296602448"/>
      <w:bookmarkStart w:id="444" w:name="_Toc35425082"/>
      <w:bookmarkStart w:id="445" w:name="_Toc13691"/>
      <w:r>
        <w:rPr>
          <w:rFonts w:ascii="宋体" w:hAnsi="宋体" w:eastAsia="宋体" w:cs="宋体"/>
          <w:color w:val="auto"/>
          <w:highlight w:val="none"/>
        </w:rPr>
        <w:t xml:space="preserve">5.1 </w:t>
      </w:r>
      <w:r>
        <w:rPr>
          <w:rFonts w:hint="eastAsia" w:ascii="宋体" w:hAnsi="宋体" w:eastAsia="宋体" w:cs="宋体"/>
          <w:color w:val="auto"/>
          <w:highlight w:val="none"/>
        </w:rPr>
        <w:t>开标时间和地点</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6C7A7112">
      <w:pPr>
        <w:spacing w:line="440" w:lineRule="exact"/>
        <w:ind w:firstLine="420" w:firstLineChars="200"/>
        <w:jc w:val="left"/>
        <w:rPr>
          <w:rFonts w:hint="eastAsia" w:ascii="宋体" w:hAnsi="宋体" w:eastAsia="宋体" w:cs="宋体"/>
          <w:color w:val="auto"/>
          <w:szCs w:val="21"/>
          <w:highlight w:val="none"/>
        </w:rPr>
      </w:pPr>
      <w:bookmarkStart w:id="446" w:name="_Toc144974529"/>
      <w:bookmarkStart w:id="447" w:name="_Toc247085719"/>
      <w:bookmarkStart w:id="448" w:name="_Toc506107297"/>
      <w:bookmarkStart w:id="449" w:name="_Toc32451"/>
      <w:bookmarkStart w:id="450" w:name="_Toc246996205"/>
      <w:bookmarkStart w:id="451" w:name="_Toc35424917"/>
      <w:bookmarkStart w:id="452" w:name="_Toc246996948"/>
      <w:bookmarkStart w:id="453" w:name="_Toc324404844"/>
      <w:bookmarkStart w:id="454" w:name="_Toc15058876"/>
      <w:bookmarkStart w:id="455" w:name="_Toc152045561"/>
      <w:bookmarkStart w:id="456" w:name="_Toc296602449"/>
      <w:bookmarkStart w:id="457" w:name="_Toc152042337"/>
      <w:bookmarkStart w:id="458" w:name="_Toc35425083"/>
      <w:bookmarkStart w:id="459" w:name="_Toc179632579"/>
      <w:r>
        <w:rPr>
          <w:rFonts w:hint="eastAsia" w:ascii="宋体" w:hAnsi="宋体" w:eastAsia="宋体" w:cs="宋体"/>
          <w:color w:val="auto"/>
          <w:szCs w:val="21"/>
          <w:highlight w:val="none"/>
        </w:rPr>
        <w:t>招标人在投标人须知前附表规定的投标截止时间（开标时间）和地点通过电子交易系统公开开标。</w:t>
      </w:r>
    </w:p>
    <w:p w14:paraId="211D8C9D">
      <w:pPr>
        <w:pStyle w:val="7"/>
        <w:ind w:firstLine="422" w:firstLineChars="200"/>
        <w:rPr>
          <w:rFonts w:ascii="宋体" w:hAnsi="宋体" w:eastAsia="宋体" w:cs="宋体"/>
          <w:color w:val="auto"/>
          <w:highlight w:val="none"/>
        </w:rPr>
      </w:pPr>
      <w:r>
        <w:rPr>
          <w:rFonts w:ascii="宋体" w:hAnsi="宋体" w:eastAsia="宋体" w:cs="宋体"/>
          <w:color w:val="auto"/>
          <w:highlight w:val="none"/>
        </w:rPr>
        <w:t xml:space="preserve">5.2 </w:t>
      </w:r>
      <w:r>
        <w:rPr>
          <w:rFonts w:hint="eastAsia" w:ascii="宋体" w:hAnsi="宋体" w:eastAsia="宋体" w:cs="宋体"/>
          <w:color w:val="auto"/>
          <w:highlight w:val="none"/>
        </w:rPr>
        <w:t>开标程序</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14:paraId="6012035D">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主持人按下列程序进行开标：</w:t>
      </w:r>
      <w:bookmarkStart w:id="460" w:name="_Toc324404845"/>
      <w:bookmarkStart w:id="461" w:name="_Toc296602450"/>
    </w:p>
    <w:p w14:paraId="49CB6C5E">
      <w:pPr>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bCs/>
          <w:snapToGrid w:val="0"/>
          <w:color w:val="auto"/>
          <w:kern w:val="0"/>
          <w:szCs w:val="21"/>
          <w:highlight w:val="none"/>
        </w:rPr>
      </w:pPr>
      <w:bookmarkStart w:id="462" w:name="_Toc15058883"/>
      <w:bookmarkStart w:id="463" w:name="_Toc35424918"/>
      <w:bookmarkStart w:id="464" w:name="_Toc5999"/>
      <w:bookmarkStart w:id="465" w:name="_Toc506107298"/>
      <w:bookmarkStart w:id="466" w:name="_Toc35425084"/>
      <w:r>
        <w:rPr>
          <w:rFonts w:hint="eastAsia" w:ascii="宋体" w:hAnsi="宋体" w:cs="宋体"/>
          <w:bCs/>
          <w:snapToGrid w:val="0"/>
          <w:color w:val="auto"/>
          <w:kern w:val="0"/>
          <w:szCs w:val="21"/>
          <w:highlight w:val="none"/>
        </w:rPr>
        <w:t>（1）公布在投标截止时间前通过电子交易系统完成投标文件递交的投标人名称；</w:t>
      </w:r>
    </w:p>
    <w:p w14:paraId="137050C9">
      <w:pPr>
        <w:widowControl w:val="0"/>
        <w:kinsoku/>
        <w:wordWrap/>
        <w:overflowPunct/>
        <w:topLinePunct w:val="0"/>
        <w:autoSpaceDE/>
        <w:autoSpaceDN/>
        <w:bidi w:val="0"/>
        <w:adjustRightInd w:val="0"/>
        <w:snapToGrid w:val="0"/>
        <w:spacing w:line="4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（2）投标人在投标截止时间后在投标人须知前附表规定的解密时间内完成投标文件的解密工作；</w:t>
      </w:r>
    </w:p>
    <w:p w14:paraId="449C9F9A">
      <w:pPr>
        <w:widowControl w:val="0"/>
        <w:kinsoku/>
        <w:wordWrap/>
        <w:overflowPunct/>
        <w:topLinePunct w:val="0"/>
        <w:autoSpaceDE/>
        <w:autoSpaceDN/>
        <w:bidi w:val="0"/>
        <w:adjustRightInd w:val="0"/>
        <w:snapToGrid w:val="0"/>
        <w:spacing w:line="4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（3）</w:t>
      </w:r>
      <w:r>
        <w:rPr>
          <w:rFonts w:hint="eastAsia" w:ascii="宋体" w:hAnsi="宋体" w:cs="宋体"/>
          <w:bCs/>
          <w:snapToGrid w:val="0"/>
          <w:color w:val="auto"/>
          <w:kern w:val="0"/>
          <w:szCs w:val="21"/>
          <w:highlight w:val="none"/>
        </w:rPr>
        <w:t>招标人或招标代理机构完成解密工作，导入并读取所有成功解密的投标文件；</w:t>
      </w:r>
    </w:p>
    <w:p w14:paraId="6B5C9E32">
      <w:pPr>
        <w:widowControl w:val="0"/>
        <w:kinsoku/>
        <w:wordWrap/>
        <w:overflowPunct/>
        <w:topLinePunct w:val="0"/>
        <w:autoSpaceDE/>
        <w:autoSpaceDN/>
        <w:bidi w:val="0"/>
        <w:adjustRightInd w:val="0"/>
        <w:snapToGrid w:val="0"/>
        <w:spacing w:line="4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（4）按投标人须知前附表规定公布投标人名称、标段名称、投标报价、质量目标、工期及其他内容；</w:t>
      </w:r>
    </w:p>
    <w:p w14:paraId="69D602FB">
      <w:pPr>
        <w:widowControl w:val="0"/>
        <w:kinsoku/>
        <w:wordWrap/>
        <w:overflowPunct/>
        <w:topLinePunct w:val="0"/>
        <w:autoSpaceDE/>
        <w:autoSpaceDN/>
        <w:bidi w:val="0"/>
        <w:adjustRightInd w:val="0"/>
        <w:snapToGrid w:val="0"/>
        <w:spacing w:line="4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（5）开标结束。</w:t>
      </w:r>
    </w:p>
    <w:p w14:paraId="132405EE">
      <w:pPr>
        <w:pStyle w:val="7"/>
        <w:ind w:firstLine="422" w:firstLineChars="200"/>
        <w:rPr>
          <w:rFonts w:ascii="宋体" w:hAnsi="宋体" w:eastAsia="宋体" w:cs="宋体"/>
          <w:color w:val="auto"/>
          <w:highlight w:val="none"/>
        </w:rPr>
      </w:pPr>
      <w:r>
        <w:rPr>
          <w:rFonts w:ascii="宋体" w:hAnsi="宋体" w:eastAsia="宋体" w:cs="宋体"/>
          <w:color w:val="auto"/>
          <w:highlight w:val="none"/>
        </w:rPr>
        <w:t xml:space="preserve">5.3 </w:t>
      </w:r>
      <w:r>
        <w:rPr>
          <w:rFonts w:hint="eastAsia" w:ascii="宋体" w:hAnsi="宋体" w:eastAsia="宋体" w:cs="宋体"/>
          <w:color w:val="auto"/>
          <w:highlight w:val="none"/>
        </w:rPr>
        <w:t>开标异议</w:t>
      </w:r>
      <w:bookmarkEnd w:id="460"/>
      <w:bookmarkEnd w:id="461"/>
      <w:bookmarkEnd w:id="462"/>
      <w:bookmarkEnd w:id="463"/>
      <w:bookmarkEnd w:id="464"/>
      <w:bookmarkEnd w:id="465"/>
      <w:bookmarkEnd w:id="466"/>
    </w:p>
    <w:p w14:paraId="292F2D7B">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投标人对开标有异议的，应当在开标时提出，招标人当场作出答复，并制作记录。异议与答复应通过电子交易系统进行。</w:t>
      </w:r>
    </w:p>
    <w:p w14:paraId="03BCFA7E">
      <w:pPr>
        <w:pStyle w:val="7"/>
        <w:spacing w:beforeLines="50" w:afterLines="50"/>
        <w:ind w:firstLine="482" w:firstLineChars="200"/>
        <w:rPr>
          <w:rFonts w:ascii="宋体" w:hAnsi="宋体" w:eastAsia="宋体" w:cs="宋体"/>
          <w:color w:val="auto"/>
          <w:sz w:val="24"/>
          <w:szCs w:val="24"/>
          <w:highlight w:val="none"/>
        </w:rPr>
      </w:pPr>
      <w:bookmarkStart w:id="467" w:name="_Toc152045562"/>
      <w:bookmarkStart w:id="468" w:name="_Toc324404846"/>
      <w:bookmarkStart w:id="469" w:name="_Toc179632580"/>
      <w:bookmarkStart w:id="470" w:name="_Toc246996206"/>
      <w:bookmarkStart w:id="471" w:name="_Toc144974530"/>
      <w:bookmarkStart w:id="472" w:name="_Toc247085720"/>
      <w:bookmarkStart w:id="473" w:name="_Toc152042338"/>
      <w:bookmarkStart w:id="474" w:name="_Toc15058884"/>
      <w:bookmarkStart w:id="475" w:name="_Toc35424919"/>
      <w:bookmarkStart w:id="476" w:name="_Toc20689"/>
      <w:bookmarkStart w:id="477" w:name="_Toc246996949"/>
      <w:bookmarkStart w:id="478" w:name="_Toc35425085"/>
      <w:bookmarkStart w:id="479" w:name="_Toc506107299"/>
      <w:r>
        <w:rPr>
          <w:rFonts w:ascii="宋体" w:hAnsi="宋体" w:eastAsia="宋体" w:cs="宋体"/>
          <w:color w:val="auto"/>
          <w:sz w:val="24"/>
          <w:szCs w:val="24"/>
          <w:highlight w:val="none"/>
        </w:rPr>
        <w:t xml:space="preserve">6. </w:t>
      </w:r>
      <w:r>
        <w:rPr>
          <w:rFonts w:hint="eastAsia" w:ascii="宋体" w:hAnsi="宋体" w:eastAsia="宋体" w:cs="宋体"/>
          <w:color w:val="auto"/>
          <w:sz w:val="24"/>
          <w:szCs w:val="24"/>
          <w:highlight w:val="none"/>
        </w:rPr>
        <w:t>评标</w:t>
      </w:r>
      <w:bookmarkEnd w:id="467"/>
      <w:bookmarkEnd w:id="468"/>
      <w:bookmarkEnd w:id="469"/>
      <w:bookmarkEnd w:id="470"/>
      <w:bookmarkEnd w:id="471"/>
      <w:bookmarkEnd w:id="472"/>
      <w:bookmarkEnd w:id="473"/>
      <w:bookmarkEnd w:id="474"/>
      <w:bookmarkEnd w:id="475"/>
      <w:bookmarkEnd w:id="476"/>
      <w:bookmarkEnd w:id="477"/>
      <w:bookmarkEnd w:id="478"/>
      <w:bookmarkEnd w:id="479"/>
    </w:p>
    <w:p w14:paraId="7A97D739">
      <w:pPr>
        <w:pStyle w:val="7"/>
        <w:ind w:firstLine="422" w:firstLineChars="200"/>
        <w:rPr>
          <w:rFonts w:ascii="宋体" w:hAnsi="宋体" w:eastAsia="宋体" w:cs="宋体"/>
          <w:color w:val="auto"/>
          <w:highlight w:val="none"/>
        </w:rPr>
      </w:pPr>
      <w:bookmarkStart w:id="480" w:name="_Toc14249"/>
      <w:bookmarkStart w:id="481" w:name="_Toc179632581"/>
      <w:bookmarkStart w:id="482" w:name="_Toc35424920"/>
      <w:bookmarkStart w:id="483" w:name="_Toc246996207"/>
      <w:bookmarkStart w:id="484" w:name="_Toc15058885"/>
      <w:bookmarkStart w:id="485" w:name="_Toc506107300"/>
      <w:bookmarkStart w:id="486" w:name="_Toc144974531"/>
      <w:bookmarkStart w:id="487" w:name="_Toc152045563"/>
      <w:bookmarkStart w:id="488" w:name="_Toc324404847"/>
      <w:bookmarkStart w:id="489" w:name="_Toc152042339"/>
      <w:bookmarkStart w:id="490" w:name="_Toc247085721"/>
      <w:bookmarkStart w:id="491" w:name="_Toc35425086"/>
      <w:bookmarkStart w:id="492" w:name="_Toc296602452"/>
      <w:bookmarkStart w:id="493" w:name="_Toc246996950"/>
      <w:r>
        <w:rPr>
          <w:rFonts w:ascii="宋体" w:hAnsi="宋体" w:eastAsia="宋体" w:cs="宋体"/>
          <w:color w:val="auto"/>
          <w:highlight w:val="none"/>
        </w:rPr>
        <w:t xml:space="preserve">6.1 </w:t>
      </w:r>
      <w:r>
        <w:rPr>
          <w:rFonts w:hint="eastAsia" w:ascii="宋体" w:hAnsi="宋体" w:eastAsia="宋体" w:cs="宋体"/>
          <w:color w:val="auto"/>
          <w:highlight w:val="none"/>
        </w:rPr>
        <w:t>评标委员会</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14:paraId="327AD54A">
      <w:pPr>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6.1.1 </w:t>
      </w:r>
      <w:r>
        <w:rPr>
          <w:rFonts w:hint="eastAsia" w:ascii="宋体" w:hAnsi="宋体" w:cs="宋体"/>
          <w:color w:val="auto"/>
          <w:szCs w:val="21"/>
          <w:highlight w:val="none"/>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649C3506">
      <w:pPr>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6.1.2 </w:t>
      </w:r>
      <w:r>
        <w:rPr>
          <w:rFonts w:hint="eastAsia" w:ascii="宋体" w:hAnsi="宋体" w:cs="宋体"/>
          <w:color w:val="auto"/>
          <w:szCs w:val="21"/>
          <w:highlight w:val="none"/>
        </w:rPr>
        <w:t>评标委员会成员有下列情形之一的，应当回避：</w:t>
      </w:r>
    </w:p>
    <w:p w14:paraId="02E6EDA2">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）投标人或投标人主要负责人的近亲属；</w:t>
      </w:r>
    </w:p>
    <w:p w14:paraId="0D4B7B52">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）项目主管部门或者行政监督部门的人员；</w:t>
      </w:r>
    </w:p>
    <w:p w14:paraId="04575CC3">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）与投标人有经济利益关系；</w:t>
      </w:r>
    </w:p>
    <w:p w14:paraId="28845AD6">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）曾因在招标、评标以及其他与招标投标有关活动中从事违法行为而受过行政处罚或刑事处罚的；</w:t>
      </w:r>
    </w:p>
    <w:p w14:paraId="6C6F0276">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）与投标人有其他利害关系。</w:t>
      </w:r>
    </w:p>
    <w:p w14:paraId="50249894">
      <w:pPr>
        <w:pStyle w:val="2"/>
        <w:widowControl w:val="0"/>
        <w:kinsoku/>
        <w:wordWrap/>
        <w:overflowPunct/>
        <w:topLinePunct w:val="0"/>
        <w:autoSpaceDE/>
        <w:autoSpaceDN/>
        <w:bidi w:val="0"/>
        <w:adjustRightInd w:val="0"/>
        <w:snapToGrid w:val="0"/>
        <w:spacing w:after="0" w:line="440" w:lineRule="exact"/>
        <w:ind w:left="0" w:leftChars="0"/>
        <w:textAlignment w:val="auto"/>
        <w:rPr>
          <w:rFonts w:hint="eastAsia"/>
          <w:color w:val="auto"/>
          <w:highlight w:val="none"/>
        </w:rPr>
      </w:pPr>
      <w:bookmarkStart w:id="494" w:name="_Toc506107301"/>
      <w:bookmarkStart w:id="495" w:name="_Toc152045564"/>
      <w:bookmarkStart w:id="496" w:name="_Toc296602453"/>
      <w:bookmarkStart w:id="497" w:name="_Toc144974532"/>
      <w:bookmarkStart w:id="498" w:name="_Toc152042340"/>
      <w:bookmarkStart w:id="499" w:name="_Toc179632582"/>
      <w:bookmarkStart w:id="500" w:name="_Toc35425087"/>
      <w:bookmarkStart w:id="501" w:name="_Toc247085722"/>
      <w:bookmarkStart w:id="502" w:name="_Toc246996208"/>
      <w:bookmarkStart w:id="503" w:name="_Toc35424921"/>
      <w:bookmarkStart w:id="504" w:name="_Toc15058886"/>
      <w:bookmarkStart w:id="505" w:name="_Toc12948"/>
      <w:bookmarkStart w:id="506" w:name="_Toc324404848"/>
      <w:bookmarkStart w:id="507" w:name="_Toc246996951"/>
      <w:r>
        <w:rPr>
          <w:rFonts w:hint="eastAsia" w:ascii="宋体" w:hAnsi="宋体" w:cs="宋体"/>
          <w:color w:val="auto"/>
          <w:szCs w:val="21"/>
          <w:highlight w:val="none"/>
        </w:rPr>
        <w:t>6.1.3评标过程中，评标委员会成员有回避事由、擅离职守或因健康等原因不能继续评标的， 招标人有权更换。被更换的评标委员会成员作出的评审结论无效，由更换后的评标委员会成员重新进行评审。</w:t>
      </w:r>
    </w:p>
    <w:p w14:paraId="7EF8A1A9">
      <w:pPr>
        <w:pStyle w:val="7"/>
        <w:ind w:firstLine="422" w:firstLineChars="200"/>
        <w:rPr>
          <w:rFonts w:ascii="宋体" w:hAnsi="宋体" w:eastAsia="宋体" w:cs="宋体"/>
          <w:color w:val="auto"/>
          <w:highlight w:val="none"/>
        </w:rPr>
      </w:pPr>
      <w:r>
        <w:rPr>
          <w:rFonts w:ascii="宋体" w:hAnsi="宋体" w:eastAsia="宋体" w:cs="宋体"/>
          <w:color w:val="auto"/>
          <w:highlight w:val="none"/>
        </w:rPr>
        <w:t xml:space="preserve">6.2 </w:t>
      </w:r>
      <w:r>
        <w:rPr>
          <w:rFonts w:hint="eastAsia" w:ascii="宋体" w:hAnsi="宋体" w:eastAsia="宋体" w:cs="宋体"/>
          <w:color w:val="auto"/>
          <w:highlight w:val="none"/>
        </w:rPr>
        <w:t>评标原则</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14:paraId="2F67AD35">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评标活动遵循公平、公正、科学和择优的原则。</w:t>
      </w:r>
    </w:p>
    <w:p w14:paraId="6F72A6C3">
      <w:pPr>
        <w:pStyle w:val="7"/>
        <w:ind w:firstLine="422" w:firstLineChars="200"/>
        <w:rPr>
          <w:rFonts w:ascii="宋体" w:hAnsi="宋体" w:eastAsia="宋体" w:cs="宋体"/>
          <w:color w:val="auto"/>
          <w:highlight w:val="none"/>
        </w:rPr>
      </w:pPr>
      <w:bookmarkStart w:id="508" w:name="_Toc152045565"/>
      <w:bookmarkStart w:id="509" w:name="_Toc14892"/>
      <w:bookmarkStart w:id="510" w:name="_Toc35424922"/>
      <w:bookmarkStart w:id="511" w:name="_Toc506107302"/>
      <w:bookmarkStart w:id="512" w:name="_Toc324404849"/>
      <w:bookmarkStart w:id="513" w:name="_Toc246996209"/>
      <w:bookmarkStart w:id="514" w:name="_Toc35425088"/>
      <w:bookmarkStart w:id="515" w:name="_Toc152042341"/>
      <w:bookmarkStart w:id="516" w:name="_Toc246996952"/>
      <w:bookmarkStart w:id="517" w:name="_Toc179632583"/>
      <w:bookmarkStart w:id="518" w:name="_Toc247085723"/>
      <w:bookmarkStart w:id="519" w:name="_Toc15058887"/>
      <w:bookmarkStart w:id="520" w:name="_Toc296602454"/>
      <w:bookmarkStart w:id="521" w:name="_Toc144974533"/>
      <w:r>
        <w:rPr>
          <w:rFonts w:ascii="宋体" w:hAnsi="宋体" w:eastAsia="宋体" w:cs="宋体"/>
          <w:color w:val="auto"/>
          <w:highlight w:val="none"/>
        </w:rPr>
        <w:t xml:space="preserve">6.3 </w:t>
      </w:r>
      <w:r>
        <w:rPr>
          <w:rFonts w:hint="eastAsia" w:ascii="宋体" w:hAnsi="宋体" w:eastAsia="宋体" w:cs="宋体"/>
          <w:color w:val="auto"/>
          <w:highlight w:val="none"/>
        </w:rPr>
        <w:t>评标</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14:paraId="7BBA43BC">
      <w:pPr>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bookmarkStart w:id="522" w:name="_Toc246996210"/>
      <w:bookmarkStart w:id="523" w:name="_Toc144974534"/>
      <w:bookmarkStart w:id="524" w:name="_Toc152045566"/>
      <w:bookmarkStart w:id="525" w:name="_Toc247085724"/>
      <w:bookmarkStart w:id="526" w:name="_Toc179632584"/>
      <w:bookmarkStart w:id="527" w:name="_Toc246996953"/>
      <w:bookmarkStart w:id="528" w:name="_Toc324404850"/>
      <w:bookmarkStart w:id="529" w:name="_Toc152042342"/>
      <w:r>
        <w:rPr>
          <w:rFonts w:hint="eastAsia" w:ascii="宋体" w:hAnsi="宋体" w:cs="宋体"/>
          <w:color w:val="auto"/>
          <w:szCs w:val="21"/>
          <w:highlight w:val="none"/>
        </w:rPr>
        <w:t>6.3.1评标委员会按照第</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章“评标办法”规定的方法、评审因素、标准和程序对投标文件进行评审。第</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章“评标办法”没有规定的方法、评审因素和标准，不作为评标依据。</w:t>
      </w:r>
    </w:p>
    <w:p w14:paraId="0C0066D9">
      <w:pPr>
        <w:widowControl w:val="0"/>
        <w:kinsoku/>
        <w:wordWrap/>
        <w:overflowPunct/>
        <w:topLinePunct w:val="0"/>
        <w:autoSpaceDE/>
        <w:autoSpaceDN/>
        <w:bidi w:val="0"/>
        <w:adjustRightInd w:val="0"/>
        <w:snapToGrid w:val="0"/>
        <w:spacing w:line="440" w:lineRule="exact"/>
        <w:ind w:firstLine="420" w:firstLineChars="200"/>
        <w:textAlignment w:val="auto"/>
        <w:rPr>
          <w:rFonts w:ascii="宋体" w:cs="宋体"/>
          <w:color w:val="auto"/>
          <w:szCs w:val="21"/>
          <w:highlight w:val="none"/>
        </w:rPr>
      </w:pPr>
      <w:r>
        <w:rPr>
          <w:rFonts w:hint="eastAsia" w:ascii="宋体" w:hAnsi="宋体" w:cs="宋体"/>
          <w:color w:val="auto"/>
          <w:szCs w:val="21"/>
          <w:highlight w:val="none"/>
        </w:rPr>
        <w:t>6.3.2评标完成后，评标委员会应向招标人提交书面评标报告和中标候选人名单。评标委员会推荐中标候选人的人数见投标人须知前附表。</w:t>
      </w:r>
    </w:p>
    <w:p w14:paraId="39C5B526">
      <w:pPr>
        <w:pStyle w:val="7"/>
        <w:spacing w:beforeLines="50" w:afterLines="50"/>
        <w:ind w:firstLine="482" w:firstLineChars="200"/>
        <w:rPr>
          <w:rFonts w:ascii="宋体" w:hAnsi="宋体" w:eastAsia="宋体" w:cs="宋体"/>
          <w:color w:val="auto"/>
          <w:sz w:val="24"/>
          <w:szCs w:val="24"/>
          <w:highlight w:val="none"/>
        </w:rPr>
      </w:pPr>
      <w:bookmarkStart w:id="530" w:name="_Toc35424923"/>
      <w:bookmarkStart w:id="531" w:name="_Toc15058888"/>
      <w:bookmarkStart w:id="532" w:name="_Toc506107303"/>
      <w:bookmarkStart w:id="533" w:name="_Toc35425089"/>
      <w:bookmarkStart w:id="534" w:name="_Toc26182"/>
      <w:r>
        <w:rPr>
          <w:rFonts w:ascii="宋体" w:hAnsi="宋体" w:eastAsia="宋体" w:cs="宋体"/>
          <w:color w:val="auto"/>
          <w:sz w:val="24"/>
          <w:szCs w:val="24"/>
          <w:highlight w:val="none"/>
        </w:rPr>
        <w:t xml:space="preserve">7. </w:t>
      </w:r>
      <w:r>
        <w:rPr>
          <w:rFonts w:hint="eastAsia" w:ascii="宋体" w:hAnsi="宋体" w:eastAsia="宋体" w:cs="宋体"/>
          <w:color w:val="auto"/>
          <w:sz w:val="24"/>
          <w:szCs w:val="24"/>
          <w:highlight w:val="none"/>
        </w:rPr>
        <w:t>合同授予</w:t>
      </w:r>
      <w:bookmarkEnd w:id="522"/>
      <w:bookmarkEnd w:id="523"/>
      <w:bookmarkEnd w:id="524"/>
      <w:bookmarkEnd w:id="525"/>
      <w:bookmarkEnd w:id="526"/>
      <w:bookmarkEnd w:id="527"/>
      <w:bookmarkEnd w:id="528"/>
      <w:bookmarkEnd w:id="529"/>
      <w:bookmarkEnd w:id="530"/>
      <w:bookmarkEnd w:id="531"/>
      <w:bookmarkEnd w:id="532"/>
      <w:bookmarkEnd w:id="533"/>
      <w:bookmarkEnd w:id="534"/>
    </w:p>
    <w:p w14:paraId="33D11DDD">
      <w:pPr>
        <w:pStyle w:val="7"/>
        <w:ind w:firstLine="422" w:firstLineChars="200"/>
        <w:rPr>
          <w:rFonts w:hint="eastAsia" w:ascii="宋体" w:hAnsi="宋体" w:eastAsia="宋体" w:cs="宋体"/>
          <w:color w:val="auto"/>
          <w:highlight w:val="none"/>
        </w:rPr>
      </w:pPr>
      <w:bookmarkStart w:id="535" w:name="_Toc506107305"/>
      <w:bookmarkStart w:id="536" w:name="_Toc60061472"/>
      <w:bookmarkStart w:id="537" w:name="_Toc324404852"/>
      <w:bookmarkStart w:id="538" w:name="_Toc296602457"/>
      <w:bookmarkStart w:id="539" w:name="_Toc15058890"/>
      <w:bookmarkStart w:id="540" w:name="_Toc83301726"/>
      <w:bookmarkStart w:id="541" w:name="_Toc95223374"/>
      <w:bookmarkStart w:id="542" w:name="_Toc179632586"/>
      <w:bookmarkStart w:id="543" w:name="_Toc296602458"/>
      <w:bookmarkStart w:id="544" w:name="_Toc324404853"/>
      <w:bookmarkStart w:id="545" w:name="_Toc35424926"/>
      <w:bookmarkStart w:id="546" w:name="_Toc35425092"/>
      <w:bookmarkStart w:id="547" w:name="_Toc6833"/>
      <w:bookmarkStart w:id="548" w:name="_Toc247085726"/>
      <w:bookmarkStart w:id="549" w:name="_Toc152045568"/>
      <w:bookmarkStart w:id="550" w:name="_Toc144974536"/>
      <w:bookmarkStart w:id="551" w:name="_Toc152042344"/>
      <w:bookmarkStart w:id="552" w:name="_Toc246996955"/>
      <w:bookmarkStart w:id="553" w:name="_Toc246996212"/>
      <w:r>
        <w:rPr>
          <w:rFonts w:hint="eastAsia" w:ascii="宋体" w:hAnsi="宋体" w:eastAsia="宋体" w:cs="宋体"/>
          <w:color w:val="auto"/>
          <w:highlight w:val="none"/>
        </w:rPr>
        <w:t>7.1 中标候选人公示</w:t>
      </w:r>
      <w:bookmarkEnd w:id="535"/>
      <w:bookmarkEnd w:id="536"/>
      <w:bookmarkEnd w:id="537"/>
      <w:bookmarkEnd w:id="538"/>
      <w:bookmarkEnd w:id="539"/>
      <w:bookmarkEnd w:id="540"/>
      <w:bookmarkEnd w:id="541"/>
    </w:p>
    <w:p w14:paraId="386D422C">
      <w:pPr>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bookmarkStart w:id="554" w:name="_Toc60061473"/>
      <w:r>
        <w:rPr>
          <w:rFonts w:hint="eastAsia" w:ascii="宋体" w:hAnsi="宋体" w:cs="宋体"/>
          <w:color w:val="auto"/>
          <w:szCs w:val="21"/>
          <w:highlight w:val="none"/>
        </w:rPr>
        <w:t>招标人在收到评标报告之日起3日内，按照投标人须知前附表规定的公示媒介和期限依法公示。中标候选人，公示期不得少于3日。</w:t>
      </w:r>
    </w:p>
    <w:p w14:paraId="42F04A3A">
      <w:pPr>
        <w:pStyle w:val="7"/>
        <w:ind w:firstLine="422" w:firstLineChars="200"/>
        <w:rPr>
          <w:rFonts w:hint="eastAsia" w:ascii="宋体" w:hAnsi="宋体" w:eastAsia="宋体" w:cs="宋体"/>
          <w:color w:val="auto"/>
          <w:highlight w:val="none"/>
        </w:rPr>
      </w:pPr>
      <w:r>
        <w:rPr>
          <w:rFonts w:hint="eastAsia" w:ascii="宋体" w:hAnsi="宋体" w:eastAsia="宋体" w:cs="宋体"/>
          <w:color w:val="auto"/>
          <w:highlight w:val="none"/>
        </w:rPr>
        <w:t>7.2 评标结果异议</w:t>
      </w:r>
    </w:p>
    <w:p w14:paraId="628F06E2">
      <w:pPr>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投标人或其他利害关系人对评标结果有异议的，应在中标候选人公示期间提出。招标人将在收到异议之日起3日内作出答复；作出答复前，将暂停招标投标活动。</w:t>
      </w:r>
    </w:p>
    <w:p w14:paraId="186DD909">
      <w:pPr>
        <w:pStyle w:val="7"/>
        <w:ind w:firstLine="422" w:firstLineChars="200"/>
        <w:rPr>
          <w:rFonts w:hint="eastAsia" w:ascii="宋体" w:hAnsi="宋体" w:eastAsia="宋体" w:cs="宋体"/>
          <w:color w:val="auto"/>
          <w:highlight w:val="none"/>
        </w:rPr>
      </w:pPr>
      <w:r>
        <w:rPr>
          <w:rFonts w:hint="eastAsia" w:ascii="宋体" w:hAnsi="宋体" w:eastAsia="宋体" w:cs="宋体"/>
          <w:color w:val="auto"/>
          <w:highlight w:val="none"/>
        </w:rPr>
        <w:t>7.3 中标候选人履约能力审查</w:t>
      </w:r>
    </w:p>
    <w:p w14:paraId="58DDCB46">
      <w:pPr>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中标候选人的经营、财务状况发生较大变化或者存在违法行为，招标人认为可能影响其履约能力的，应当在发出中标通知书前由原评标委员会按照招标文件规定的标准和方法审查确认。</w:t>
      </w:r>
    </w:p>
    <w:p w14:paraId="24A8680A">
      <w:pPr>
        <w:pStyle w:val="7"/>
        <w:ind w:firstLine="422" w:firstLineChars="200"/>
        <w:rPr>
          <w:rFonts w:hint="eastAsia" w:ascii="宋体" w:hAnsi="宋体" w:eastAsia="宋体" w:cs="宋体"/>
          <w:color w:val="auto"/>
          <w:highlight w:val="none"/>
        </w:rPr>
      </w:pPr>
      <w:r>
        <w:rPr>
          <w:rFonts w:hint="eastAsia" w:ascii="宋体" w:hAnsi="宋体" w:eastAsia="宋体" w:cs="宋体"/>
          <w:color w:val="auto"/>
          <w:highlight w:val="none"/>
        </w:rPr>
        <w:t>7.4 业绩奖项公示</w:t>
      </w:r>
      <w:bookmarkEnd w:id="554"/>
    </w:p>
    <w:p w14:paraId="73089EBD">
      <w:pPr>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招标人对中标候选人的得分业绩和奖项进行公示。</w:t>
      </w:r>
    </w:p>
    <w:p w14:paraId="4864F6E0">
      <w:pPr>
        <w:pStyle w:val="7"/>
        <w:ind w:firstLine="422" w:firstLineChars="200"/>
        <w:rPr>
          <w:rFonts w:hint="eastAsia" w:ascii="宋体" w:hAnsi="宋体" w:eastAsia="宋体" w:cs="宋体"/>
          <w:color w:val="auto"/>
          <w:highlight w:val="none"/>
        </w:rPr>
      </w:pPr>
      <w:bookmarkStart w:id="555" w:name="_Toc83301727"/>
      <w:bookmarkStart w:id="556" w:name="_Toc95223375"/>
      <w:bookmarkStart w:id="557" w:name="_Toc15058891"/>
      <w:bookmarkStart w:id="558" w:name="_Toc506107306"/>
      <w:bookmarkStart w:id="559" w:name="_Toc60061474"/>
      <w:r>
        <w:rPr>
          <w:rFonts w:hint="eastAsia" w:ascii="宋体" w:hAnsi="宋体" w:eastAsia="宋体" w:cs="宋体"/>
          <w:color w:val="auto"/>
          <w:highlight w:val="none"/>
        </w:rPr>
        <w:t>7.5 定标</w:t>
      </w:r>
      <w:bookmarkEnd w:id="555"/>
      <w:bookmarkEnd w:id="556"/>
    </w:p>
    <w:p w14:paraId="4BD131D2">
      <w:pPr>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按照投标人须知前附表的规定，招标人或招标人授权的评标委员会依法确定中标人。排名第一的中标候选人放弃中标、因不可抗力不能履行合同、不按照招标文件要求提交履约保证金，或者被查实存在影响中标结果的违法行为等情形，不符合中标条件的，投标保证金不予退还，招标人可以按照评标委员会提出的中标候选人名单排序依次确定其他中标候选人为中标人，也可以重新招标。</w:t>
      </w:r>
    </w:p>
    <w:p w14:paraId="1D6D3E62">
      <w:pPr>
        <w:pStyle w:val="7"/>
        <w:ind w:firstLine="422" w:firstLineChars="200"/>
        <w:rPr>
          <w:rFonts w:hint="eastAsia" w:ascii="宋体" w:hAnsi="宋体" w:eastAsia="宋体" w:cs="宋体"/>
          <w:color w:val="auto"/>
          <w:highlight w:val="none"/>
        </w:rPr>
      </w:pPr>
      <w:bookmarkStart w:id="560" w:name="_Toc83301728"/>
      <w:bookmarkStart w:id="561" w:name="_Toc95223376"/>
      <w:r>
        <w:rPr>
          <w:rFonts w:hint="eastAsia" w:ascii="宋体" w:hAnsi="宋体" w:eastAsia="宋体" w:cs="宋体"/>
          <w:color w:val="auto"/>
          <w:highlight w:val="none"/>
        </w:rPr>
        <w:t>7.6 中标通知</w:t>
      </w:r>
      <w:bookmarkEnd w:id="557"/>
      <w:bookmarkEnd w:id="558"/>
      <w:bookmarkEnd w:id="559"/>
      <w:bookmarkEnd w:id="560"/>
      <w:bookmarkEnd w:id="561"/>
    </w:p>
    <w:p w14:paraId="00B294DB">
      <w:pPr>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在本招标文件规定的投标有效期内，招标人以数据电文形式向中标人发出中标通知书，同时将中标结果通知未中标的投标人。</w:t>
      </w:r>
    </w:p>
    <w:p w14:paraId="0E002D1E">
      <w:pPr>
        <w:pStyle w:val="7"/>
        <w:ind w:firstLine="422" w:firstLineChars="200"/>
        <w:rPr>
          <w:rFonts w:hint="eastAsia" w:ascii="宋体" w:hAnsi="宋体" w:eastAsia="宋体" w:cs="宋体"/>
          <w:color w:val="auto"/>
          <w:highlight w:val="none"/>
        </w:rPr>
      </w:pPr>
      <w:bookmarkStart w:id="562" w:name="_Toc95223377"/>
      <w:r>
        <w:rPr>
          <w:rFonts w:hint="eastAsia" w:ascii="宋体" w:hAnsi="宋体" w:eastAsia="宋体" w:cs="宋体"/>
          <w:color w:val="auto"/>
          <w:highlight w:val="none"/>
        </w:rPr>
        <w:t>7.7 中标结果公示</w:t>
      </w:r>
      <w:bookmarkEnd w:id="562"/>
    </w:p>
    <w:p w14:paraId="0336D872">
      <w:pPr>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招标人在确定中标人之日起3日内，按照投标人须知前附表规定的公示媒介和期限依法公示中标结果。</w:t>
      </w:r>
    </w:p>
    <w:p w14:paraId="120B9AD9">
      <w:pPr>
        <w:pStyle w:val="7"/>
        <w:ind w:firstLine="422" w:firstLineChars="200"/>
        <w:rPr>
          <w:rFonts w:hint="eastAsia" w:ascii="宋体" w:hAnsi="宋体" w:eastAsia="宋体" w:cs="宋体"/>
          <w:color w:val="auto"/>
          <w:highlight w:val="none"/>
        </w:rPr>
      </w:pPr>
      <w:bookmarkStart w:id="563" w:name="_Toc246996956"/>
      <w:bookmarkStart w:id="564" w:name="_Toc506107307"/>
      <w:bookmarkStart w:id="565" w:name="_Toc83301730"/>
      <w:bookmarkStart w:id="566" w:name="_Toc95223378"/>
      <w:bookmarkStart w:id="567" w:name="_Toc179632587"/>
      <w:bookmarkStart w:id="568" w:name="_Toc152045569"/>
      <w:bookmarkStart w:id="569" w:name="_Toc247085727"/>
      <w:bookmarkStart w:id="570" w:name="_Toc246996213"/>
      <w:bookmarkStart w:id="571" w:name="_Toc15058892"/>
      <w:bookmarkStart w:id="572" w:name="_Toc144974537"/>
      <w:bookmarkStart w:id="573" w:name="_Toc152042345"/>
      <w:bookmarkStart w:id="574" w:name="_Toc324404854"/>
      <w:bookmarkStart w:id="575" w:name="_Toc296602459"/>
      <w:bookmarkStart w:id="576" w:name="_Toc60061476"/>
      <w:r>
        <w:rPr>
          <w:rFonts w:hint="eastAsia" w:ascii="宋体" w:hAnsi="宋体" w:eastAsia="宋体" w:cs="宋体"/>
          <w:color w:val="auto"/>
          <w:highlight w:val="none"/>
        </w:rPr>
        <w:t>7.8 履约担保</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14:paraId="538390F1">
      <w:pPr>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7.8.1在签订合同前，中标人应按投标人须知前附表规定的担保形式和招标文件第</w:t>
      </w:r>
      <w:r>
        <w:rPr>
          <w:rFonts w:hint="eastAsia" w:ascii="宋体" w:hAnsi="宋体" w:cs="宋体"/>
          <w:color w:val="auto"/>
          <w:szCs w:val="21"/>
          <w:highlight w:val="none"/>
          <w:lang w:val="en-US" w:eastAsia="zh-CN"/>
        </w:rPr>
        <w:t>四</w:t>
      </w:r>
      <w:r>
        <w:rPr>
          <w:rFonts w:hint="eastAsia" w:ascii="宋体" w:hAnsi="宋体" w:cs="宋体"/>
          <w:color w:val="auto"/>
          <w:szCs w:val="21"/>
          <w:highlight w:val="none"/>
        </w:rPr>
        <w:t>章“合同条款及格式”规定的或者事先经过招标人书面认可的履约担保格式向招标人提交履约担保。</w:t>
      </w:r>
      <w:r>
        <w:rPr>
          <w:rFonts w:hint="eastAsia"/>
          <w:color w:val="auto"/>
          <w:highlight w:val="none"/>
        </w:rPr>
        <w:t>联合体中标的，其履约担保应符合投标人须知前附表规定的金额、担保形式和招标文件第</w:t>
      </w:r>
      <w:r>
        <w:rPr>
          <w:rFonts w:hint="eastAsia"/>
          <w:color w:val="auto"/>
          <w:highlight w:val="none"/>
          <w:lang w:val="en-US" w:eastAsia="zh-CN"/>
        </w:rPr>
        <w:t>四</w:t>
      </w:r>
      <w:r>
        <w:rPr>
          <w:rFonts w:hint="eastAsia"/>
          <w:color w:val="auto"/>
          <w:highlight w:val="none"/>
        </w:rPr>
        <w:t>章“合同条款及格式”规定的履约担保格式要求。</w:t>
      </w:r>
    </w:p>
    <w:p w14:paraId="6D449AC3">
      <w:pPr>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7.8.2 中标人不能按本章第7.8.1项要求提交履约担保的，视为放弃中标，其投标保证金不予退还，给招标人造成的损失超过投标保证金数额的，中标人还应当对超过部分予以赔偿。</w:t>
      </w:r>
    </w:p>
    <w:p w14:paraId="74960A11">
      <w:pPr>
        <w:pStyle w:val="7"/>
        <w:ind w:firstLine="422" w:firstLineChars="200"/>
        <w:rPr>
          <w:rFonts w:hint="eastAsia" w:ascii="宋体" w:hAnsi="宋体" w:eastAsia="宋体" w:cs="宋体"/>
          <w:color w:val="auto"/>
          <w:highlight w:val="none"/>
        </w:rPr>
      </w:pPr>
      <w:bookmarkStart w:id="577" w:name="_Toc95223379"/>
      <w:bookmarkStart w:id="578" w:name="_Toc144974538"/>
      <w:bookmarkStart w:id="579" w:name="_Toc83301731"/>
      <w:bookmarkStart w:id="580" w:name="_Toc15058893"/>
      <w:bookmarkStart w:id="581" w:name="_Toc324404855"/>
      <w:bookmarkStart w:id="582" w:name="_Toc152045570"/>
      <w:bookmarkStart w:id="583" w:name="_Toc246996957"/>
      <w:bookmarkStart w:id="584" w:name="_Toc60061477"/>
      <w:bookmarkStart w:id="585" w:name="_Toc247085728"/>
      <w:bookmarkStart w:id="586" w:name="_Toc152042346"/>
      <w:bookmarkStart w:id="587" w:name="_Toc246996214"/>
      <w:bookmarkStart w:id="588" w:name="_Toc506107308"/>
      <w:bookmarkStart w:id="589" w:name="_Toc296602460"/>
      <w:bookmarkStart w:id="590" w:name="_Toc179632588"/>
      <w:r>
        <w:rPr>
          <w:rFonts w:hint="eastAsia" w:ascii="宋体" w:hAnsi="宋体" w:eastAsia="宋体" w:cs="宋体"/>
          <w:color w:val="auto"/>
          <w:highlight w:val="none"/>
        </w:rPr>
        <w:t>7.9 签订合同</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14:paraId="3A1B9A61">
      <w:pPr>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7.9.1本招标工程的合同将授予按本须知第7.6款规定所确定的中标人。</w:t>
      </w:r>
    </w:p>
    <w:bookmarkEnd w:id="542"/>
    <w:bookmarkEnd w:id="543"/>
    <w:bookmarkEnd w:id="544"/>
    <w:bookmarkEnd w:id="545"/>
    <w:bookmarkEnd w:id="546"/>
    <w:bookmarkEnd w:id="547"/>
    <w:bookmarkEnd w:id="548"/>
    <w:bookmarkEnd w:id="549"/>
    <w:bookmarkEnd w:id="550"/>
    <w:bookmarkEnd w:id="551"/>
    <w:bookmarkEnd w:id="552"/>
    <w:bookmarkEnd w:id="553"/>
    <w:p w14:paraId="41130E6B">
      <w:pPr>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bCs/>
          <w:color w:val="auto"/>
          <w:szCs w:val="21"/>
          <w:highlight w:val="none"/>
        </w:rPr>
      </w:pPr>
      <w:bookmarkStart w:id="591" w:name="_Toc506107309"/>
      <w:bookmarkStart w:id="592" w:name="_Toc15058894"/>
      <w:bookmarkStart w:id="593" w:name="_Toc324404856"/>
      <w:r>
        <w:rPr>
          <w:rFonts w:hint="eastAsia" w:ascii="宋体" w:hAnsi="宋体" w:cs="宋体"/>
          <w:bCs/>
          <w:color w:val="auto"/>
          <w:szCs w:val="21"/>
          <w:highlight w:val="none"/>
        </w:rPr>
        <w:t>7.9.2招标人和中标人应当自中标通知书发出之日起30天内，根据招标文件和中标人的投标文件订立书面合同。中标人无正当理由拒签合同的，在签订合同时向招标人提出附加条件，或不按照招标文件要求提交履约保证金的，招标人取消其中标资格，其投标保证金不予退还；给招标人造成的损失超过投标保证金数额的，中标人还应当对超过部分予以赔偿。</w:t>
      </w:r>
    </w:p>
    <w:p w14:paraId="48DCF394">
      <w:pPr>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7.9.3发出中标通知书后，招标人无正当理由拒签合同的，招标人向中标人退还投标保证金；给中标人造成损失的，还应当赔偿损失。</w:t>
      </w:r>
    </w:p>
    <w:p w14:paraId="5F5BC916">
      <w:pPr>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7.9.4除法定情形外，建设工程合同履行期间项目</w:t>
      </w:r>
      <w:r>
        <w:rPr>
          <w:rFonts w:hint="eastAsia" w:ascii="宋体" w:hAnsi="宋体" w:cs="宋体"/>
          <w:bCs/>
          <w:color w:val="auto"/>
          <w:szCs w:val="21"/>
          <w:highlight w:val="none"/>
          <w:lang w:val="en-US" w:eastAsia="zh-CN"/>
        </w:rPr>
        <w:t>负责人</w:t>
      </w:r>
      <w:r>
        <w:rPr>
          <w:rFonts w:hint="eastAsia" w:ascii="宋体" w:hAnsi="宋体" w:cs="宋体"/>
          <w:bCs/>
          <w:color w:val="auto"/>
          <w:szCs w:val="21"/>
          <w:highlight w:val="none"/>
        </w:rPr>
        <w:t>不得更换。项目</w:t>
      </w:r>
      <w:r>
        <w:rPr>
          <w:rFonts w:hint="eastAsia" w:ascii="宋体" w:hAnsi="宋体" w:cs="宋体"/>
          <w:bCs/>
          <w:color w:val="auto"/>
          <w:szCs w:val="21"/>
          <w:highlight w:val="none"/>
          <w:lang w:val="en-US" w:eastAsia="zh-CN"/>
        </w:rPr>
        <w:t>负责人</w:t>
      </w:r>
      <w:r>
        <w:rPr>
          <w:rFonts w:hint="eastAsia" w:ascii="宋体" w:hAnsi="宋体" w:cs="宋体"/>
          <w:bCs/>
          <w:color w:val="auto"/>
          <w:szCs w:val="21"/>
          <w:highlight w:val="none"/>
        </w:rPr>
        <w:t>确需变更的，应根据招标文件要求，变更后的项目</w:t>
      </w:r>
      <w:r>
        <w:rPr>
          <w:rFonts w:hint="eastAsia" w:ascii="宋体" w:hAnsi="宋体" w:cs="宋体"/>
          <w:bCs/>
          <w:color w:val="auto"/>
          <w:szCs w:val="21"/>
          <w:highlight w:val="none"/>
          <w:lang w:val="en-US" w:eastAsia="zh-CN"/>
        </w:rPr>
        <w:t>负责人</w:t>
      </w:r>
      <w:r>
        <w:rPr>
          <w:rFonts w:hint="eastAsia" w:ascii="宋体" w:hAnsi="宋体" w:cs="宋体"/>
          <w:bCs/>
          <w:color w:val="auto"/>
          <w:szCs w:val="21"/>
          <w:highlight w:val="none"/>
        </w:rPr>
        <w:t>不低于投标文件中拟派项目</w:t>
      </w:r>
      <w:r>
        <w:rPr>
          <w:rFonts w:hint="eastAsia" w:ascii="宋体" w:hAnsi="宋体" w:cs="宋体"/>
          <w:bCs/>
          <w:color w:val="auto"/>
          <w:szCs w:val="21"/>
          <w:highlight w:val="none"/>
          <w:lang w:val="en-US" w:eastAsia="zh-CN"/>
        </w:rPr>
        <w:t>负责人</w:t>
      </w:r>
      <w:r>
        <w:rPr>
          <w:rFonts w:hint="eastAsia" w:ascii="宋体" w:hAnsi="宋体" w:cs="宋体"/>
          <w:bCs/>
          <w:color w:val="auto"/>
          <w:szCs w:val="21"/>
          <w:highlight w:val="none"/>
        </w:rPr>
        <w:t>的资格条件。</w:t>
      </w:r>
    </w:p>
    <w:p w14:paraId="7EEB1CCD">
      <w:pPr>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bCs/>
          <w:snapToGrid w:val="0"/>
          <w:color w:val="auto"/>
          <w:kern w:val="0"/>
          <w:szCs w:val="21"/>
          <w:highlight w:val="none"/>
        </w:rPr>
      </w:pPr>
      <w:r>
        <w:rPr>
          <w:rFonts w:hint="eastAsia" w:ascii="宋体" w:hAnsi="宋体" w:cs="宋体"/>
          <w:color w:val="auto"/>
          <w:highlight w:val="none"/>
        </w:rPr>
        <w:t>7.9.5</w:t>
      </w:r>
      <w:r>
        <w:rPr>
          <w:rFonts w:hint="eastAsia" w:ascii="宋体" w:hAnsi="宋体" w:cs="宋体"/>
          <w:bCs/>
          <w:snapToGrid w:val="0"/>
          <w:color w:val="auto"/>
          <w:kern w:val="0"/>
          <w:szCs w:val="21"/>
          <w:highlight w:val="none"/>
        </w:rPr>
        <w:t>联合体中标的，联合体各方应当共同与招标人签订合同，就中标项目向招标人承担连带责任。</w:t>
      </w:r>
    </w:p>
    <w:p w14:paraId="3C19D4E4">
      <w:pPr>
        <w:pStyle w:val="7"/>
        <w:spacing w:beforeLines="50" w:afterLines="50"/>
        <w:ind w:firstLine="482" w:firstLineChars="200"/>
        <w:rPr>
          <w:rFonts w:hint="eastAsia" w:ascii="宋体" w:hAnsi="宋体" w:eastAsia="宋体" w:cs="宋体"/>
          <w:color w:val="auto"/>
          <w:sz w:val="24"/>
          <w:szCs w:val="24"/>
          <w:highlight w:val="none"/>
        </w:rPr>
      </w:pPr>
      <w:bookmarkStart w:id="594" w:name="_Toc152042347"/>
      <w:bookmarkStart w:id="595" w:name="_Toc60061478"/>
      <w:bookmarkStart w:id="596" w:name="_Toc83301732"/>
      <w:bookmarkStart w:id="597" w:name="_Toc144974539"/>
      <w:bookmarkStart w:id="598" w:name="_Toc95223381"/>
      <w:bookmarkStart w:id="599" w:name="_Toc152045571"/>
      <w:bookmarkStart w:id="600" w:name="_Toc179632589"/>
      <w:bookmarkStart w:id="601" w:name="_Toc35424931"/>
      <w:bookmarkStart w:id="602" w:name="_Toc29809"/>
      <w:bookmarkStart w:id="603" w:name="_Toc35425097"/>
      <w:r>
        <w:rPr>
          <w:rFonts w:hint="eastAsia" w:ascii="宋体" w:hAnsi="宋体" w:eastAsia="宋体" w:cs="宋体"/>
          <w:color w:val="auto"/>
          <w:sz w:val="24"/>
          <w:szCs w:val="24"/>
          <w:highlight w:val="none"/>
        </w:rPr>
        <w:t>8. 重新招标和不再招标</w:t>
      </w:r>
      <w:bookmarkEnd w:id="594"/>
      <w:bookmarkEnd w:id="595"/>
      <w:bookmarkEnd w:id="596"/>
      <w:bookmarkEnd w:id="597"/>
      <w:bookmarkEnd w:id="598"/>
      <w:bookmarkEnd w:id="599"/>
      <w:bookmarkEnd w:id="600"/>
    </w:p>
    <w:p w14:paraId="4F62C6F8">
      <w:pPr>
        <w:pStyle w:val="8"/>
        <w:widowControl w:val="0"/>
        <w:kinsoku/>
        <w:wordWrap/>
        <w:overflowPunct/>
        <w:topLinePunct w:val="0"/>
        <w:autoSpaceDE/>
        <w:autoSpaceDN/>
        <w:bidi w:val="0"/>
        <w:adjustRightInd w:val="0"/>
        <w:snapToGrid w:val="0"/>
        <w:spacing w:before="0" w:after="0" w:line="440" w:lineRule="exact"/>
        <w:ind w:firstLine="422" w:firstLineChars="200"/>
        <w:textAlignment w:val="auto"/>
        <w:rPr>
          <w:rFonts w:hint="eastAsia" w:ascii="宋体" w:hAnsi="宋体" w:eastAsia="宋体" w:cs="宋体"/>
          <w:b/>
          <w:bCs/>
          <w:color w:val="auto"/>
          <w:kern w:val="2"/>
          <w:sz w:val="21"/>
          <w:szCs w:val="32"/>
          <w:highlight w:val="none"/>
          <w:lang w:val="en-US" w:eastAsia="zh-CN" w:bidi="ar-SA"/>
        </w:rPr>
      </w:pPr>
      <w:bookmarkStart w:id="604" w:name="_Toc152042348"/>
      <w:bookmarkStart w:id="605" w:name="_Toc152045572"/>
      <w:bookmarkStart w:id="606" w:name="_Toc60061479"/>
      <w:bookmarkStart w:id="607" w:name="_Toc95223382"/>
      <w:bookmarkStart w:id="608" w:name="_Toc83301733"/>
      <w:bookmarkStart w:id="609" w:name="_Toc179632590"/>
      <w:bookmarkStart w:id="610" w:name="_Toc144974540"/>
      <w:r>
        <w:rPr>
          <w:rFonts w:hint="eastAsia" w:ascii="宋体" w:hAnsi="宋体" w:eastAsia="宋体" w:cs="宋体"/>
          <w:b/>
          <w:bCs/>
          <w:color w:val="auto"/>
          <w:kern w:val="2"/>
          <w:sz w:val="21"/>
          <w:szCs w:val="32"/>
          <w:highlight w:val="none"/>
          <w:lang w:val="en-US" w:eastAsia="zh-CN" w:bidi="ar-SA"/>
        </w:rPr>
        <w:t>8.1 重新招标</w:t>
      </w:r>
      <w:bookmarkEnd w:id="604"/>
      <w:bookmarkEnd w:id="605"/>
      <w:bookmarkEnd w:id="606"/>
      <w:bookmarkEnd w:id="607"/>
      <w:bookmarkEnd w:id="608"/>
      <w:bookmarkEnd w:id="609"/>
      <w:bookmarkEnd w:id="610"/>
    </w:p>
    <w:p w14:paraId="7F82CA2A">
      <w:pPr>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依法必须招标的项目有下列情形之一的，招标人将重新招标：</w:t>
      </w:r>
    </w:p>
    <w:p w14:paraId="64943434">
      <w:pPr>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（1）投标截止时间止，投标人少于3个的；</w:t>
      </w:r>
    </w:p>
    <w:p w14:paraId="21E1E306">
      <w:pPr>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（2）经评标委员会评审后否决所有投标的；</w:t>
      </w:r>
    </w:p>
    <w:p w14:paraId="3843D6CB">
      <w:pPr>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（3）中标候选人均未与招标人签订合同的；</w:t>
      </w:r>
    </w:p>
    <w:p w14:paraId="761A878A">
      <w:pPr>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（4）法律、法规规定的其他情形。</w:t>
      </w:r>
    </w:p>
    <w:p w14:paraId="1DCB2F1D">
      <w:pPr>
        <w:pStyle w:val="8"/>
        <w:widowControl w:val="0"/>
        <w:kinsoku/>
        <w:wordWrap/>
        <w:overflowPunct/>
        <w:topLinePunct w:val="0"/>
        <w:autoSpaceDE/>
        <w:autoSpaceDN/>
        <w:bidi w:val="0"/>
        <w:adjustRightInd w:val="0"/>
        <w:snapToGrid w:val="0"/>
        <w:spacing w:before="0" w:after="0" w:line="440" w:lineRule="exact"/>
        <w:ind w:firstLine="422" w:firstLineChars="200"/>
        <w:textAlignment w:val="auto"/>
        <w:rPr>
          <w:rFonts w:hint="eastAsia" w:ascii="宋体" w:hAnsi="宋体" w:eastAsia="宋体" w:cs="宋体"/>
          <w:b/>
          <w:bCs/>
          <w:color w:val="auto"/>
          <w:kern w:val="2"/>
          <w:sz w:val="21"/>
          <w:szCs w:val="32"/>
          <w:highlight w:val="none"/>
          <w:lang w:val="en-US" w:eastAsia="zh-CN" w:bidi="ar-SA"/>
        </w:rPr>
      </w:pPr>
      <w:bookmarkStart w:id="611" w:name="_Toc152042349"/>
      <w:bookmarkStart w:id="612" w:name="_Toc60061480"/>
      <w:bookmarkStart w:id="613" w:name="_Toc95223383"/>
      <w:bookmarkStart w:id="614" w:name="_Toc179632591"/>
      <w:bookmarkStart w:id="615" w:name="_Toc152045573"/>
      <w:bookmarkStart w:id="616" w:name="_Toc144974541"/>
      <w:bookmarkStart w:id="617" w:name="_Toc83301734"/>
      <w:r>
        <w:rPr>
          <w:rFonts w:hint="eastAsia" w:ascii="宋体" w:hAnsi="宋体" w:eastAsia="宋体" w:cs="宋体"/>
          <w:b/>
          <w:bCs/>
          <w:color w:val="auto"/>
          <w:kern w:val="2"/>
          <w:sz w:val="21"/>
          <w:szCs w:val="32"/>
          <w:highlight w:val="none"/>
          <w:lang w:val="en-US" w:eastAsia="zh-CN" w:bidi="ar-SA"/>
        </w:rPr>
        <w:t>8.2 不再招标</w:t>
      </w:r>
      <w:bookmarkEnd w:id="611"/>
      <w:bookmarkEnd w:id="612"/>
      <w:bookmarkEnd w:id="613"/>
      <w:bookmarkEnd w:id="614"/>
      <w:bookmarkEnd w:id="615"/>
      <w:bookmarkEnd w:id="616"/>
      <w:bookmarkEnd w:id="617"/>
    </w:p>
    <w:p w14:paraId="0FFE1A76">
      <w:pPr>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重新招标后投标人仍少于3个或者所有投标被否决的，属于必须审批或核准的工程建设项目，经原审批或核准部门批准后不再进行招标。</w:t>
      </w:r>
    </w:p>
    <w:p w14:paraId="68FC2947">
      <w:pPr>
        <w:pStyle w:val="7"/>
        <w:spacing w:beforeLines="50" w:afterLines="50"/>
        <w:ind w:firstLine="482" w:firstLineChars="200"/>
        <w:rPr>
          <w:rFonts w:hint="eastAsia" w:ascii="宋体" w:hAnsi="宋体" w:eastAsia="宋体" w:cs="宋体"/>
          <w:color w:val="auto"/>
          <w:sz w:val="24"/>
          <w:szCs w:val="24"/>
          <w:highlight w:val="none"/>
        </w:rPr>
      </w:pPr>
      <w:bookmarkStart w:id="618" w:name="_Toc60061481"/>
      <w:bookmarkStart w:id="619" w:name="_Toc95223384"/>
      <w:bookmarkStart w:id="620" w:name="_Toc83301735"/>
      <w:r>
        <w:rPr>
          <w:rFonts w:hint="eastAsia" w:ascii="宋体" w:hAnsi="宋体" w:eastAsia="宋体" w:cs="宋体"/>
          <w:color w:val="auto"/>
          <w:sz w:val="24"/>
          <w:szCs w:val="24"/>
          <w:highlight w:val="none"/>
        </w:rPr>
        <w:t>9. 纪律和监督</w:t>
      </w:r>
      <w:bookmarkEnd w:id="618"/>
      <w:bookmarkEnd w:id="619"/>
      <w:bookmarkEnd w:id="620"/>
    </w:p>
    <w:p w14:paraId="779A8C91">
      <w:pPr>
        <w:pStyle w:val="8"/>
        <w:widowControl w:val="0"/>
        <w:kinsoku/>
        <w:wordWrap/>
        <w:overflowPunct/>
        <w:topLinePunct w:val="0"/>
        <w:autoSpaceDE/>
        <w:autoSpaceDN/>
        <w:bidi w:val="0"/>
        <w:adjustRightInd w:val="0"/>
        <w:snapToGrid w:val="0"/>
        <w:spacing w:before="0" w:after="0" w:line="440" w:lineRule="exact"/>
        <w:ind w:firstLine="422" w:firstLineChars="200"/>
        <w:textAlignment w:val="auto"/>
        <w:rPr>
          <w:rFonts w:hint="eastAsia" w:ascii="宋体" w:hAnsi="宋体" w:eastAsia="宋体" w:cs="宋体"/>
          <w:b/>
          <w:bCs/>
          <w:color w:val="auto"/>
          <w:kern w:val="2"/>
          <w:sz w:val="21"/>
          <w:szCs w:val="32"/>
          <w:highlight w:val="none"/>
          <w:lang w:val="en-US" w:eastAsia="zh-CN" w:bidi="ar-SA"/>
        </w:rPr>
      </w:pPr>
      <w:bookmarkStart w:id="621" w:name="_Toc60061482"/>
      <w:bookmarkStart w:id="622" w:name="_Toc95223385"/>
      <w:bookmarkStart w:id="623" w:name="_Toc83301736"/>
      <w:r>
        <w:rPr>
          <w:rFonts w:hint="eastAsia" w:ascii="宋体" w:hAnsi="宋体" w:eastAsia="宋体" w:cs="宋体"/>
          <w:b/>
          <w:bCs/>
          <w:color w:val="auto"/>
          <w:kern w:val="2"/>
          <w:sz w:val="21"/>
          <w:szCs w:val="32"/>
          <w:highlight w:val="none"/>
          <w:lang w:val="en-US" w:eastAsia="zh-CN" w:bidi="ar-SA"/>
        </w:rPr>
        <w:t>9.1 对招标人的纪律要求</w:t>
      </w:r>
      <w:bookmarkEnd w:id="621"/>
      <w:bookmarkEnd w:id="622"/>
      <w:bookmarkEnd w:id="623"/>
    </w:p>
    <w:p w14:paraId="6495EDAB">
      <w:pPr>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招标人不得泄漏招标投标活动中应当保密的情况和资料，不得与投标人串通损害国家利益、社会公共利益或者他人合法权益。</w:t>
      </w:r>
    </w:p>
    <w:p w14:paraId="420B0850">
      <w:pPr>
        <w:pStyle w:val="8"/>
        <w:widowControl w:val="0"/>
        <w:kinsoku/>
        <w:wordWrap/>
        <w:overflowPunct/>
        <w:topLinePunct w:val="0"/>
        <w:autoSpaceDE/>
        <w:autoSpaceDN/>
        <w:bidi w:val="0"/>
        <w:adjustRightInd w:val="0"/>
        <w:snapToGrid w:val="0"/>
        <w:spacing w:before="0" w:after="0" w:line="440" w:lineRule="exact"/>
        <w:ind w:firstLine="422" w:firstLineChars="200"/>
        <w:textAlignment w:val="auto"/>
        <w:rPr>
          <w:rFonts w:hint="eastAsia" w:ascii="宋体" w:hAnsi="宋体" w:eastAsia="宋体" w:cs="宋体"/>
          <w:b/>
          <w:bCs/>
          <w:color w:val="auto"/>
          <w:kern w:val="2"/>
          <w:sz w:val="21"/>
          <w:szCs w:val="32"/>
          <w:highlight w:val="none"/>
          <w:lang w:val="en-US" w:eastAsia="zh-CN" w:bidi="ar-SA"/>
        </w:rPr>
      </w:pPr>
      <w:bookmarkStart w:id="624" w:name="_Toc95223386"/>
      <w:bookmarkStart w:id="625" w:name="_Toc83301737"/>
      <w:bookmarkStart w:id="626" w:name="_Toc60061483"/>
      <w:r>
        <w:rPr>
          <w:rFonts w:hint="eastAsia" w:ascii="宋体" w:hAnsi="宋体" w:eastAsia="宋体" w:cs="宋体"/>
          <w:b/>
          <w:bCs/>
          <w:color w:val="auto"/>
          <w:kern w:val="2"/>
          <w:sz w:val="21"/>
          <w:szCs w:val="32"/>
          <w:highlight w:val="none"/>
          <w:lang w:val="en-US" w:eastAsia="zh-CN" w:bidi="ar-SA"/>
        </w:rPr>
        <w:t>9.2 对投标人的纪律要求</w:t>
      </w:r>
      <w:bookmarkEnd w:id="624"/>
      <w:bookmarkEnd w:id="625"/>
      <w:bookmarkEnd w:id="626"/>
    </w:p>
    <w:p w14:paraId="20B26E57">
      <w:pPr>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F9CCE93">
      <w:pPr>
        <w:pStyle w:val="8"/>
        <w:widowControl w:val="0"/>
        <w:kinsoku/>
        <w:wordWrap/>
        <w:overflowPunct/>
        <w:topLinePunct w:val="0"/>
        <w:autoSpaceDE/>
        <w:autoSpaceDN/>
        <w:bidi w:val="0"/>
        <w:adjustRightInd w:val="0"/>
        <w:snapToGrid w:val="0"/>
        <w:spacing w:before="0" w:after="0" w:line="440" w:lineRule="exact"/>
        <w:ind w:firstLine="422" w:firstLineChars="200"/>
        <w:textAlignment w:val="auto"/>
        <w:rPr>
          <w:rFonts w:hint="eastAsia" w:ascii="宋体" w:hAnsi="宋体" w:eastAsia="宋体" w:cs="宋体"/>
          <w:b/>
          <w:bCs/>
          <w:color w:val="auto"/>
          <w:kern w:val="2"/>
          <w:sz w:val="21"/>
          <w:szCs w:val="32"/>
          <w:highlight w:val="none"/>
          <w:lang w:val="en-US" w:eastAsia="zh-CN" w:bidi="ar-SA"/>
        </w:rPr>
      </w:pPr>
      <w:bookmarkStart w:id="627" w:name="_Toc95223387"/>
      <w:bookmarkStart w:id="628" w:name="_Toc60061484"/>
      <w:bookmarkStart w:id="629" w:name="_Toc83301738"/>
      <w:r>
        <w:rPr>
          <w:rFonts w:hint="eastAsia" w:ascii="宋体" w:hAnsi="宋体" w:eastAsia="宋体" w:cs="宋体"/>
          <w:b/>
          <w:bCs/>
          <w:color w:val="auto"/>
          <w:kern w:val="2"/>
          <w:sz w:val="21"/>
          <w:szCs w:val="32"/>
          <w:highlight w:val="none"/>
          <w:lang w:val="en-US" w:eastAsia="zh-CN" w:bidi="ar-SA"/>
        </w:rPr>
        <w:t>9.3 对评标委员会成员的纪律要求</w:t>
      </w:r>
      <w:bookmarkEnd w:id="627"/>
      <w:bookmarkEnd w:id="628"/>
      <w:bookmarkEnd w:id="629"/>
    </w:p>
    <w:p w14:paraId="12E9B85B">
      <w:pPr>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四章“评标办法”没有规定的评审因素和标准进行评标。</w:t>
      </w:r>
    </w:p>
    <w:p w14:paraId="537599BA">
      <w:pPr>
        <w:pStyle w:val="8"/>
        <w:widowControl w:val="0"/>
        <w:kinsoku/>
        <w:wordWrap/>
        <w:overflowPunct/>
        <w:topLinePunct w:val="0"/>
        <w:autoSpaceDE/>
        <w:autoSpaceDN/>
        <w:bidi w:val="0"/>
        <w:adjustRightInd w:val="0"/>
        <w:snapToGrid w:val="0"/>
        <w:spacing w:before="0" w:after="0" w:line="440" w:lineRule="exact"/>
        <w:ind w:firstLine="422" w:firstLineChars="200"/>
        <w:textAlignment w:val="auto"/>
        <w:rPr>
          <w:rFonts w:hint="eastAsia" w:ascii="宋体" w:hAnsi="宋体" w:eastAsia="宋体" w:cs="宋体"/>
          <w:b/>
          <w:bCs/>
          <w:color w:val="auto"/>
          <w:kern w:val="2"/>
          <w:sz w:val="21"/>
          <w:szCs w:val="32"/>
          <w:highlight w:val="none"/>
          <w:lang w:val="en-US" w:eastAsia="zh-CN" w:bidi="ar-SA"/>
        </w:rPr>
      </w:pPr>
      <w:bookmarkStart w:id="630" w:name="_Toc60061485"/>
      <w:bookmarkStart w:id="631" w:name="_Toc83301739"/>
      <w:bookmarkStart w:id="632" w:name="_Toc95223388"/>
      <w:r>
        <w:rPr>
          <w:rFonts w:hint="eastAsia" w:ascii="宋体" w:hAnsi="宋体" w:eastAsia="宋体" w:cs="宋体"/>
          <w:b/>
          <w:bCs/>
          <w:color w:val="auto"/>
          <w:kern w:val="2"/>
          <w:sz w:val="21"/>
          <w:szCs w:val="32"/>
          <w:highlight w:val="none"/>
          <w:lang w:val="en-US" w:eastAsia="zh-CN" w:bidi="ar-SA"/>
        </w:rPr>
        <w:t>9.4 对与评标活动有关的工作人员的纪律要求</w:t>
      </w:r>
      <w:bookmarkEnd w:id="630"/>
      <w:bookmarkEnd w:id="631"/>
      <w:bookmarkEnd w:id="632"/>
    </w:p>
    <w:p w14:paraId="76F3E71E">
      <w:pPr>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369C5EED">
      <w:pPr>
        <w:pStyle w:val="8"/>
        <w:widowControl w:val="0"/>
        <w:kinsoku/>
        <w:wordWrap/>
        <w:overflowPunct/>
        <w:topLinePunct w:val="0"/>
        <w:autoSpaceDE/>
        <w:autoSpaceDN/>
        <w:bidi w:val="0"/>
        <w:adjustRightInd w:val="0"/>
        <w:snapToGrid w:val="0"/>
        <w:spacing w:before="0" w:after="0" w:line="440" w:lineRule="exact"/>
        <w:ind w:firstLine="422" w:firstLineChars="200"/>
        <w:textAlignment w:val="auto"/>
        <w:rPr>
          <w:rFonts w:hint="eastAsia" w:ascii="宋体" w:hAnsi="宋体" w:eastAsia="宋体" w:cs="宋体"/>
          <w:b/>
          <w:bCs/>
          <w:color w:val="auto"/>
          <w:kern w:val="2"/>
          <w:sz w:val="21"/>
          <w:szCs w:val="32"/>
          <w:highlight w:val="none"/>
          <w:lang w:val="en-US" w:eastAsia="zh-CN" w:bidi="ar-SA"/>
        </w:rPr>
      </w:pPr>
      <w:bookmarkStart w:id="633" w:name="_Toc95223389"/>
      <w:bookmarkStart w:id="634" w:name="_Toc83301740"/>
      <w:bookmarkStart w:id="635" w:name="_Toc60061486"/>
      <w:r>
        <w:rPr>
          <w:rFonts w:hint="eastAsia" w:ascii="宋体" w:hAnsi="宋体" w:eastAsia="宋体" w:cs="宋体"/>
          <w:b/>
          <w:bCs/>
          <w:color w:val="auto"/>
          <w:kern w:val="2"/>
          <w:sz w:val="21"/>
          <w:szCs w:val="32"/>
          <w:highlight w:val="none"/>
          <w:lang w:val="en-US" w:eastAsia="zh-CN" w:bidi="ar-SA"/>
        </w:rPr>
        <w:t>9.5 投诉</w:t>
      </w:r>
      <w:bookmarkEnd w:id="633"/>
      <w:bookmarkEnd w:id="634"/>
      <w:bookmarkEnd w:id="635"/>
    </w:p>
    <w:p w14:paraId="1FFEE72D">
      <w:pPr>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9.5.1投标人或者其他利害关系人认为招标投标活动违反法律、法规和规章规定的，有权向相关行政监督部门投诉。投诉应当有明确的请求和必要的证明材料。</w:t>
      </w:r>
    </w:p>
    <w:p w14:paraId="1C3EAED4">
      <w:pPr>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9.5.2投标人和其他利害关系人对招标文件、开标和评标结果事项投诉的，应当按照投标人须知的规定先向招标人提出异议。异议答复期间不计算在第9.5.1</w:t>
      </w:r>
      <w:r>
        <w:rPr>
          <w:rFonts w:hint="eastAsia"/>
          <w:color w:val="auto"/>
          <w:highlight w:val="none"/>
        </w:rPr>
        <w:t>项</w:t>
      </w:r>
      <w:r>
        <w:rPr>
          <w:rFonts w:hint="eastAsia" w:ascii="宋体" w:hAnsi="宋体" w:cs="宋体"/>
          <w:color w:val="auto"/>
          <w:szCs w:val="21"/>
          <w:highlight w:val="none"/>
        </w:rPr>
        <w:t>规定的期限内。</w:t>
      </w:r>
    </w:p>
    <w:p w14:paraId="5E83670E">
      <w:pPr>
        <w:pStyle w:val="7"/>
        <w:spacing w:beforeLines="50" w:afterLines="50"/>
        <w:ind w:firstLine="482" w:firstLineChars="200"/>
        <w:rPr>
          <w:rFonts w:hint="eastAsia" w:ascii="宋体" w:hAnsi="宋体" w:eastAsia="宋体" w:cs="宋体"/>
          <w:color w:val="auto"/>
          <w:sz w:val="24"/>
          <w:szCs w:val="24"/>
          <w:highlight w:val="none"/>
        </w:rPr>
      </w:pPr>
      <w:bookmarkStart w:id="636" w:name="_Toc95223390"/>
      <w:bookmarkStart w:id="637" w:name="_Toc83301741"/>
      <w:bookmarkStart w:id="638" w:name="_Toc60061487"/>
      <w:r>
        <w:rPr>
          <w:rFonts w:hint="eastAsia" w:ascii="宋体" w:hAnsi="宋体" w:eastAsia="宋体" w:cs="宋体"/>
          <w:color w:val="auto"/>
          <w:sz w:val="24"/>
          <w:szCs w:val="24"/>
          <w:highlight w:val="none"/>
        </w:rPr>
        <w:t>10.需要补充的其他内容</w:t>
      </w:r>
      <w:bookmarkEnd w:id="636"/>
      <w:bookmarkEnd w:id="637"/>
      <w:bookmarkEnd w:id="638"/>
      <w:bookmarkStart w:id="639" w:name="_Toc60061488"/>
    </w:p>
    <w:p w14:paraId="4F0CA207">
      <w:pPr>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需要补充的其他内容：见投标人须知前附表。</w:t>
      </w:r>
      <w:bookmarkEnd w:id="639"/>
    </w:p>
    <w:p w14:paraId="479B3811">
      <w:pPr>
        <w:pStyle w:val="7"/>
        <w:spacing w:beforeLines="50" w:afterLines="50"/>
        <w:ind w:firstLine="482" w:firstLineChars="200"/>
        <w:rPr>
          <w:rFonts w:ascii="宋体" w:hAnsi="宋体" w:eastAsia="宋体" w:cs="宋体"/>
          <w:color w:val="auto"/>
          <w:sz w:val="24"/>
          <w:szCs w:val="24"/>
          <w:highlight w:val="none"/>
        </w:rPr>
      </w:pPr>
    </w:p>
    <w:bookmarkEnd w:id="591"/>
    <w:bookmarkEnd w:id="592"/>
    <w:bookmarkEnd w:id="593"/>
    <w:bookmarkEnd w:id="601"/>
    <w:bookmarkEnd w:id="602"/>
    <w:bookmarkEnd w:id="603"/>
    <w:p w14:paraId="04110C89">
      <w:pPr>
        <w:pStyle w:val="6"/>
        <w:rPr>
          <w:color w:val="auto"/>
          <w:highlight w:val="none"/>
        </w:rPr>
      </w:pPr>
      <w:bookmarkStart w:id="640" w:name="_Toc324404864"/>
      <w:bookmarkStart w:id="641" w:name="_Toc35424939"/>
      <w:bookmarkStart w:id="642" w:name="_Toc506107317"/>
      <w:bookmarkStart w:id="643" w:name="_Toc35425105"/>
      <w:bookmarkStart w:id="644" w:name="_Toc15058902"/>
      <w:bookmarkStart w:id="645" w:name="_Toc296602475"/>
      <w:r>
        <w:rPr>
          <w:color w:val="auto"/>
          <w:highlight w:val="none"/>
        </w:rPr>
        <w:br w:type="page"/>
      </w:r>
      <w:bookmarkStart w:id="646" w:name="_Toc18840"/>
      <w:r>
        <w:rPr>
          <w:rFonts w:hint="eastAsia" w:ascii="Arial" w:hAnsi="Arial"/>
          <w:color w:val="auto"/>
          <w:kern w:val="0"/>
          <w:sz w:val="32"/>
          <w:szCs w:val="32"/>
          <w:highlight w:val="none"/>
        </w:rPr>
        <w:t>第二章</w:t>
      </w:r>
      <w:r>
        <w:rPr>
          <w:rFonts w:ascii="Arial" w:hAnsi="Arial"/>
          <w:color w:val="auto"/>
          <w:kern w:val="0"/>
          <w:sz w:val="32"/>
          <w:szCs w:val="32"/>
          <w:highlight w:val="none"/>
        </w:rPr>
        <w:t xml:space="preserve"> </w:t>
      </w:r>
      <w:r>
        <w:rPr>
          <w:rFonts w:hint="eastAsia" w:ascii="Arial" w:hAnsi="Arial"/>
          <w:color w:val="auto"/>
          <w:kern w:val="0"/>
          <w:sz w:val="32"/>
          <w:szCs w:val="32"/>
          <w:highlight w:val="none"/>
        </w:rPr>
        <w:t>资格审查</w:t>
      </w:r>
      <w:bookmarkEnd w:id="640"/>
      <w:r>
        <w:rPr>
          <w:rFonts w:hint="eastAsia" w:ascii="Arial" w:hAnsi="Arial"/>
          <w:color w:val="auto"/>
          <w:kern w:val="0"/>
          <w:sz w:val="32"/>
          <w:szCs w:val="32"/>
          <w:highlight w:val="none"/>
        </w:rPr>
        <w:t>办法</w:t>
      </w:r>
      <w:bookmarkEnd w:id="641"/>
      <w:bookmarkEnd w:id="642"/>
      <w:bookmarkEnd w:id="643"/>
      <w:bookmarkEnd w:id="644"/>
      <w:bookmarkEnd w:id="646"/>
    </w:p>
    <w:p w14:paraId="2086FAA1">
      <w:pPr>
        <w:spacing w:beforeLines="50" w:afterLines="50" w:line="440" w:lineRule="exact"/>
        <w:jc w:val="center"/>
        <w:rPr>
          <w:rFonts w:ascii="宋体" w:cs="宋体"/>
          <w:b/>
          <w:bCs/>
          <w:color w:val="auto"/>
          <w:sz w:val="28"/>
          <w:szCs w:val="22"/>
          <w:highlight w:val="none"/>
        </w:rPr>
      </w:pPr>
      <w:bookmarkStart w:id="647" w:name="_Toc35425106"/>
      <w:bookmarkStart w:id="648" w:name="_Toc506107318"/>
      <w:bookmarkStart w:id="649" w:name="_Toc15058903"/>
      <w:bookmarkStart w:id="650" w:name="_Toc324404865"/>
      <w:bookmarkStart w:id="651" w:name="_Toc35424940"/>
      <w:r>
        <w:rPr>
          <w:rFonts w:hint="eastAsia" w:ascii="宋体" w:hAnsi="宋体" w:cs="宋体"/>
          <w:b/>
          <w:bCs/>
          <w:color w:val="auto"/>
          <w:sz w:val="28"/>
          <w:szCs w:val="22"/>
          <w:highlight w:val="none"/>
        </w:rPr>
        <w:t>资格审查办法前附表</w:t>
      </w:r>
      <w:bookmarkEnd w:id="647"/>
      <w:bookmarkEnd w:id="648"/>
      <w:bookmarkEnd w:id="649"/>
      <w:bookmarkEnd w:id="650"/>
      <w:bookmarkEnd w:id="651"/>
    </w:p>
    <w:p w14:paraId="04B02072">
      <w:pPr>
        <w:spacing w:beforeLines="50" w:afterLines="50" w:line="440" w:lineRule="exact"/>
        <w:jc w:val="center"/>
        <w:rPr>
          <w:b/>
          <w:bCs/>
          <w:color w:val="auto"/>
          <w:sz w:val="24"/>
          <w:highlight w:val="none"/>
        </w:rPr>
      </w:pPr>
      <w:r>
        <w:rPr>
          <w:rFonts w:hint="eastAsia"/>
          <w:b/>
          <w:bCs/>
          <w:color w:val="auto"/>
          <w:sz w:val="24"/>
          <w:highlight w:val="none"/>
        </w:rPr>
        <w:t>资信证明文件评审</w:t>
      </w:r>
    </w:p>
    <w:tbl>
      <w:tblPr>
        <w:tblStyle w:val="45"/>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258"/>
        <w:gridCol w:w="6183"/>
        <w:gridCol w:w="1860"/>
      </w:tblGrid>
      <w:tr w14:paraId="53776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023" w:type="dxa"/>
            <w:gridSpan w:val="2"/>
            <w:vAlign w:val="center"/>
          </w:tcPr>
          <w:p w14:paraId="26463134">
            <w:pPr>
              <w:spacing w:line="440" w:lineRule="exact"/>
              <w:jc w:val="center"/>
              <w:rPr>
                <w:rFonts w:ascii="宋体" w:cs="宋体"/>
                <w:b/>
                <w:bCs/>
                <w:color w:val="auto"/>
                <w:szCs w:val="21"/>
                <w:highlight w:val="none"/>
              </w:rPr>
            </w:pPr>
            <w:r>
              <w:rPr>
                <w:rFonts w:hint="eastAsia" w:ascii="宋体" w:hAnsi="宋体" w:cs="宋体"/>
                <w:b/>
                <w:bCs/>
                <w:color w:val="auto"/>
                <w:szCs w:val="21"/>
                <w:highlight w:val="none"/>
              </w:rPr>
              <w:t>序号</w:t>
            </w:r>
          </w:p>
        </w:tc>
        <w:tc>
          <w:tcPr>
            <w:tcW w:w="6183" w:type="dxa"/>
            <w:vAlign w:val="center"/>
          </w:tcPr>
          <w:p w14:paraId="25B79E53">
            <w:pPr>
              <w:spacing w:line="440" w:lineRule="exact"/>
              <w:jc w:val="center"/>
              <w:rPr>
                <w:rFonts w:ascii="宋体" w:cs="宋体"/>
                <w:b/>
                <w:bCs/>
                <w:color w:val="auto"/>
                <w:szCs w:val="21"/>
                <w:highlight w:val="none"/>
              </w:rPr>
            </w:pPr>
            <w:r>
              <w:rPr>
                <w:rFonts w:hint="eastAsia" w:ascii="宋体" w:hAnsi="宋体" w:cs="宋体"/>
                <w:b/>
                <w:bCs/>
                <w:color w:val="auto"/>
                <w:szCs w:val="21"/>
                <w:highlight w:val="none"/>
              </w:rPr>
              <w:t>审查内容</w:t>
            </w:r>
          </w:p>
        </w:tc>
        <w:tc>
          <w:tcPr>
            <w:tcW w:w="1860" w:type="dxa"/>
            <w:vAlign w:val="center"/>
          </w:tcPr>
          <w:p w14:paraId="1269DF3E">
            <w:pPr>
              <w:spacing w:line="440" w:lineRule="exact"/>
              <w:jc w:val="center"/>
              <w:rPr>
                <w:rFonts w:ascii="宋体" w:cs="宋体"/>
                <w:b/>
                <w:bCs/>
                <w:color w:val="auto"/>
                <w:szCs w:val="21"/>
                <w:highlight w:val="none"/>
              </w:rPr>
            </w:pPr>
            <w:r>
              <w:rPr>
                <w:rFonts w:hint="eastAsia" w:ascii="宋体" w:hAnsi="宋体" w:cs="宋体"/>
                <w:b/>
                <w:bCs/>
                <w:color w:val="auto"/>
                <w:szCs w:val="21"/>
                <w:highlight w:val="none"/>
              </w:rPr>
              <w:t>评审标准</w:t>
            </w:r>
          </w:p>
        </w:tc>
      </w:tr>
      <w:tr w14:paraId="5F4AA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65" w:type="dxa"/>
            <w:vMerge w:val="restart"/>
            <w:vAlign w:val="center"/>
          </w:tcPr>
          <w:p w14:paraId="0D83ACD2">
            <w:pPr>
              <w:spacing w:line="440" w:lineRule="exact"/>
              <w:jc w:val="center"/>
              <w:rPr>
                <w:rFonts w:ascii="宋体" w:cs="宋体"/>
                <w:color w:val="auto"/>
                <w:szCs w:val="21"/>
                <w:highlight w:val="none"/>
              </w:rPr>
            </w:pPr>
            <w:r>
              <w:rPr>
                <w:rFonts w:ascii="宋体" w:hAnsi="宋体" w:cs="宋体"/>
                <w:color w:val="auto"/>
                <w:szCs w:val="21"/>
                <w:highlight w:val="none"/>
              </w:rPr>
              <w:t>1</w:t>
            </w:r>
          </w:p>
        </w:tc>
        <w:tc>
          <w:tcPr>
            <w:tcW w:w="1258" w:type="dxa"/>
            <w:vMerge w:val="restart"/>
            <w:vAlign w:val="center"/>
          </w:tcPr>
          <w:p w14:paraId="3933FFED">
            <w:pPr>
              <w:spacing w:line="440" w:lineRule="exact"/>
              <w:jc w:val="center"/>
              <w:rPr>
                <w:rFonts w:ascii="宋体" w:cs="宋体"/>
                <w:b/>
                <w:bCs/>
                <w:color w:val="auto"/>
                <w:szCs w:val="21"/>
                <w:highlight w:val="none"/>
              </w:rPr>
            </w:pPr>
            <w:r>
              <w:rPr>
                <w:rFonts w:hint="eastAsia" w:ascii="宋体" w:hAnsi="宋体" w:cs="宋体"/>
                <w:b/>
                <w:bCs/>
                <w:color w:val="auto"/>
                <w:szCs w:val="21"/>
                <w:highlight w:val="none"/>
              </w:rPr>
              <w:t>审查资料</w:t>
            </w:r>
          </w:p>
        </w:tc>
        <w:tc>
          <w:tcPr>
            <w:tcW w:w="6183" w:type="dxa"/>
            <w:vAlign w:val="center"/>
          </w:tcPr>
          <w:p w14:paraId="2B5ABA68">
            <w:pPr>
              <w:spacing w:line="440" w:lineRule="exact"/>
              <w:rPr>
                <w:rFonts w:ascii="宋体" w:cs="宋体"/>
                <w:color w:val="auto"/>
                <w:szCs w:val="21"/>
                <w:highlight w:val="none"/>
              </w:rPr>
            </w:pPr>
            <w:r>
              <w:rPr>
                <w:rFonts w:hint="eastAsia" w:ascii="宋体" w:hAnsi="宋体" w:cs="宋体"/>
                <w:color w:val="auto"/>
                <w:szCs w:val="21"/>
                <w:highlight w:val="none"/>
              </w:rPr>
              <w:t>法定代表人身份证明和本人有效身份证</w:t>
            </w:r>
            <w:r>
              <w:rPr>
                <w:rFonts w:ascii="宋体" w:hAnsi="宋体" w:cs="宋体"/>
                <w:color w:val="auto"/>
                <w:szCs w:val="21"/>
                <w:highlight w:val="none"/>
              </w:rPr>
              <w:t>(</w:t>
            </w:r>
            <w:r>
              <w:rPr>
                <w:rFonts w:hint="eastAsia" w:ascii="宋体" w:hAnsi="宋体" w:cs="宋体"/>
                <w:color w:val="auto"/>
                <w:szCs w:val="21"/>
                <w:highlight w:val="none"/>
              </w:rPr>
              <w:t>或法定代表人授权委托书和委托代理人有效身份证</w:t>
            </w:r>
            <w:r>
              <w:rPr>
                <w:rFonts w:ascii="宋体" w:hAnsi="宋体" w:cs="宋体"/>
                <w:color w:val="auto"/>
                <w:szCs w:val="21"/>
                <w:highlight w:val="none"/>
              </w:rPr>
              <w:t>)</w:t>
            </w:r>
          </w:p>
        </w:tc>
        <w:tc>
          <w:tcPr>
            <w:tcW w:w="1860" w:type="dxa"/>
            <w:vAlign w:val="center"/>
          </w:tcPr>
          <w:p w14:paraId="15FD4FAB">
            <w:pPr>
              <w:spacing w:line="440" w:lineRule="exact"/>
              <w:jc w:val="center"/>
              <w:rPr>
                <w:rFonts w:ascii="宋体" w:cs="宋体"/>
                <w:b/>
                <w:color w:val="auto"/>
                <w:szCs w:val="21"/>
                <w:highlight w:val="none"/>
              </w:rPr>
            </w:pPr>
            <w:r>
              <w:rPr>
                <w:rFonts w:hint="eastAsia" w:ascii="宋体" w:hAnsi="宋体" w:cs="宋体"/>
                <w:b/>
                <w:color w:val="auto"/>
                <w:szCs w:val="21"/>
                <w:highlight w:val="none"/>
              </w:rPr>
              <w:t>检验电子标书</w:t>
            </w:r>
          </w:p>
        </w:tc>
      </w:tr>
      <w:tr w14:paraId="6D54D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5" w:type="dxa"/>
            <w:vMerge w:val="continue"/>
            <w:vAlign w:val="center"/>
          </w:tcPr>
          <w:p w14:paraId="578D7020">
            <w:pPr>
              <w:spacing w:line="440" w:lineRule="exact"/>
              <w:jc w:val="center"/>
              <w:rPr>
                <w:rFonts w:ascii="宋体" w:cs="宋体"/>
                <w:color w:val="auto"/>
                <w:szCs w:val="21"/>
                <w:highlight w:val="none"/>
              </w:rPr>
            </w:pPr>
          </w:p>
        </w:tc>
        <w:tc>
          <w:tcPr>
            <w:tcW w:w="1258" w:type="dxa"/>
            <w:vMerge w:val="continue"/>
            <w:vAlign w:val="center"/>
          </w:tcPr>
          <w:p w14:paraId="5989C9D8">
            <w:pPr>
              <w:spacing w:line="440" w:lineRule="exact"/>
              <w:jc w:val="center"/>
              <w:rPr>
                <w:rFonts w:ascii="宋体" w:cs="宋体"/>
                <w:b/>
                <w:bCs/>
                <w:color w:val="auto"/>
                <w:szCs w:val="21"/>
                <w:highlight w:val="none"/>
              </w:rPr>
            </w:pPr>
          </w:p>
        </w:tc>
        <w:tc>
          <w:tcPr>
            <w:tcW w:w="6183" w:type="dxa"/>
            <w:vAlign w:val="center"/>
          </w:tcPr>
          <w:p w14:paraId="37EFB527">
            <w:pPr>
              <w:spacing w:line="440" w:lineRule="exact"/>
              <w:rPr>
                <w:rFonts w:ascii="宋体" w:cs="宋体"/>
                <w:color w:val="auto"/>
                <w:szCs w:val="21"/>
                <w:highlight w:val="none"/>
              </w:rPr>
            </w:pPr>
            <w:r>
              <w:rPr>
                <w:rFonts w:hint="eastAsia" w:ascii="宋体" w:hAnsi="宋体" w:cs="宋体"/>
                <w:color w:val="auto"/>
                <w:szCs w:val="21"/>
                <w:highlight w:val="none"/>
                <w:lang w:eastAsia="zh-CN"/>
              </w:rPr>
              <w:t>诚信投标承诺书（或《公共信用信息报告（无违法违规证明版或核查版）》）（</w:t>
            </w:r>
            <w:r>
              <w:rPr>
                <w:rFonts w:hint="eastAsia" w:ascii="宋体" w:hAnsi="宋体" w:cs="宋体"/>
                <w:color w:val="auto"/>
                <w:szCs w:val="21"/>
                <w:highlight w:val="none"/>
                <w:lang w:val="en-US" w:eastAsia="zh-CN"/>
              </w:rPr>
              <w:t>格式见附件）</w:t>
            </w:r>
          </w:p>
        </w:tc>
        <w:tc>
          <w:tcPr>
            <w:tcW w:w="1860" w:type="dxa"/>
            <w:vMerge w:val="restart"/>
            <w:vAlign w:val="center"/>
          </w:tcPr>
          <w:p w14:paraId="625EDF1E">
            <w:pPr>
              <w:spacing w:line="440" w:lineRule="exact"/>
              <w:jc w:val="center"/>
              <w:rPr>
                <w:rFonts w:ascii="宋体" w:cs="宋体"/>
                <w:b/>
                <w:color w:val="auto"/>
                <w:szCs w:val="21"/>
                <w:highlight w:val="none"/>
              </w:rPr>
            </w:pPr>
            <w:r>
              <w:rPr>
                <w:rFonts w:hint="eastAsia" w:ascii="宋体" w:hAnsi="宋体" w:cs="宋体"/>
                <w:b/>
                <w:color w:val="auto"/>
                <w:szCs w:val="21"/>
                <w:highlight w:val="none"/>
              </w:rPr>
              <w:t>检验电子标书</w:t>
            </w:r>
          </w:p>
        </w:tc>
      </w:tr>
      <w:tr w14:paraId="617A9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5" w:type="dxa"/>
            <w:vMerge w:val="continue"/>
            <w:vAlign w:val="center"/>
          </w:tcPr>
          <w:p w14:paraId="641E7F3A">
            <w:pPr>
              <w:spacing w:line="440" w:lineRule="exact"/>
              <w:jc w:val="center"/>
              <w:rPr>
                <w:rFonts w:ascii="宋体" w:cs="宋体"/>
                <w:color w:val="auto"/>
                <w:szCs w:val="21"/>
                <w:highlight w:val="none"/>
              </w:rPr>
            </w:pPr>
          </w:p>
        </w:tc>
        <w:tc>
          <w:tcPr>
            <w:tcW w:w="1258" w:type="dxa"/>
            <w:vMerge w:val="continue"/>
            <w:vAlign w:val="center"/>
          </w:tcPr>
          <w:p w14:paraId="6E061634">
            <w:pPr>
              <w:spacing w:line="440" w:lineRule="exact"/>
              <w:jc w:val="center"/>
              <w:rPr>
                <w:rFonts w:ascii="宋体" w:cs="宋体"/>
                <w:b/>
                <w:bCs/>
                <w:color w:val="auto"/>
                <w:szCs w:val="21"/>
                <w:highlight w:val="none"/>
              </w:rPr>
            </w:pPr>
          </w:p>
        </w:tc>
        <w:tc>
          <w:tcPr>
            <w:tcW w:w="6183" w:type="dxa"/>
            <w:vAlign w:val="center"/>
          </w:tcPr>
          <w:p w14:paraId="2341E649">
            <w:pPr>
              <w:spacing w:line="440" w:lineRule="exact"/>
              <w:rPr>
                <w:rFonts w:ascii="宋体" w:cs="宋体"/>
                <w:color w:val="auto"/>
                <w:szCs w:val="21"/>
                <w:highlight w:val="none"/>
              </w:rPr>
            </w:pPr>
            <w:r>
              <w:rPr>
                <w:rFonts w:hint="eastAsia" w:ascii="宋体" w:hAnsi="宋体" w:cs="宋体"/>
                <w:color w:val="auto"/>
                <w:szCs w:val="21"/>
                <w:highlight w:val="none"/>
              </w:rPr>
              <w:t>企业营业执照</w:t>
            </w:r>
          </w:p>
        </w:tc>
        <w:tc>
          <w:tcPr>
            <w:tcW w:w="1860" w:type="dxa"/>
            <w:vMerge w:val="continue"/>
            <w:vAlign w:val="center"/>
          </w:tcPr>
          <w:p w14:paraId="4979D12C">
            <w:pPr>
              <w:spacing w:line="440" w:lineRule="exact"/>
              <w:rPr>
                <w:rFonts w:ascii="宋体" w:cs="宋体"/>
                <w:b/>
                <w:color w:val="auto"/>
                <w:szCs w:val="21"/>
                <w:highlight w:val="none"/>
              </w:rPr>
            </w:pPr>
          </w:p>
        </w:tc>
      </w:tr>
      <w:tr w14:paraId="2DFAA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65" w:type="dxa"/>
            <w:vMerge w:val="continue"/>
            <w:vAlign w:val="center"/>
          </w:tcPr>
          <w:p w14:paraId="24C9D5B4">
            <w:pPr>
              <w:spacing w:line="440" w:lineRule="exact"/>
              <w:jc w:val="center"/>
              <w:rPr>
                <w:rFonts w:ascii="宋体" w:cs="宋体"/>
                <w:color w:val="auto"/>
                <w:szCs w:val="21"/>
                <w:highlight w:val="none"/>
              </w:rPr>
            </w:pPr>
          </w:p>
        </w:tc>
        <w:tc>
          <w:tcPr>
            <w:tcW w:w="1258" w:type="dxa"/>
            <w:vMerge w:val="continue"/>
            <w:vAlign w:val="center"/>
          </w:tcPr>
          <w:p w14:paraId="252943B9">
            <w:pPr>
              <w:spacing w:line="440" w:lineRule="exact"/>
              <w:jc w:val="center"/>
              <w:rPr>
                <w:rFonts w:ascii="宋体" w:cs="宋体"/>
                <w:b/>
                <w:bCs/>
                <w:color w:val="auto"/>
                <w:szCs w:val="21"/>
                <w:highlight w:val="none"/>
              </w:rPr>
            </w:pPr>
          </w:p>
        </w:tc>
        <w:tc>
          <w:tcPr>
            <w:tcW w:w="6183" w:type="dxa"/>
            <w:vAlign w:val="center"/>
          </w:tcPr>
          <w:p w14:paraId="15036B64">
            <w:pPr>
              <w:spacing w:line="440" w:lineRule="exact"/>
              <w:rPr>
                <w:rFonts w:hint="default" w:ascii="宋体" w:eastAsia="宋体" w:cs="宋体"/>
                <w:color w:val="auto"/>
                <w:szCs w:val="21"/>
                <w:highlight w:val="none"/>
                <w:lang w:val="en-US" w:eastAsia="zh-CN"/>
              </w:rPr>
            </w:pPr>
            <w:r>
              <w:rPr>
                <w:rFonts w:hint="eastAsia" w:ascii="宋体" w:hAnsi="宋体" w:cs="宋体"/>
                <w:color w:val="auto"/>
                <w:highlight w:val="none"/>
              </w:rPr>
              <w:t>拟派</w:t>
            </w:r>
            <w:r>
              <w:rPr>
                <w:rFonts w:hint="eastAsia" w:ascii="宋体" w:hAnsi="宋体" w:cs="宋体"/>
                <w:color w:val="auto"/>
                <w:szCs w:val="21"/>
                <w:highlight w:val="none"/>
              </w:rPr>
              <w:t>项目负责人有效</w:t>
            </w:r>
            <w:r>
              <w:rPr>
                <w:rFonts w:hint="eastAsia" w:ascii="宋体" w:hAnsi="宋体" w:cs="宋体"/>
                <w:color w:val="auto"/>
                <w:highlight w:val="none"/>
              </w:rPr>
              <w:t>身份证</w:t>
            </w:r>
            <w:r>
              <w:rPr>
                <w:rFonts w:hint="eastAsia" w:ascii="宋体" w:hAnsi="宋体" w:cs="宋体"/>
                <w:color w:val="auto"/>
                <w:highlight w:val="none"/>
                <w:lang w:eastAsia="zh-CN"/>
              </w:rPr>
              <w:t>、</w:t>
            </w:r>
            <w:r>
              <w:rPr>
                <w:rFonts w:hint="eastAsia" w:hAnsi="宋体" w:cs="宋体"/>
                <w:color w:val="auto"/>
                <w:szCs w:val="21"/>
                <w:highlight w:val="none"/>
                <w:lang w:val="en-US" w:eastAsia="zh-CN"/>
              </w:rPr>
              <w:t>高级工程师及以上职称证书</w:t>
            </w:r>
            <w:r>
              <w:rPr>
                <w:rFonts w:hint="eastAsia" w:hAnsi="宋体" w:cs="宋体"/>
                <w:color w:val="auto"/>
                <w:szCs w:val="21"/>
                <w:highlight w:val="none"/>
              </w:rPr>
              <w:t>和</w:t>
            </w:r>
            <w:r>
              <w:rPr>
                <w:rFonts w:hint="eastAsia" w:ascii="宋体" w:hAnsi="宋体" w:cs="宋体"/>
                <w:color w:val="auto"/>
                <w:highlight w:val="none"/>
              </w:rPr>
              <w:t>注册证书</w:t>
            </w:r>
          </w:p>
        </w:tc>
        <w:tc>
          <w:tcPr>
            <w:tcW w:w="1860" w:type="dxa"/>
            <w:vMerge w:val="continue"/>
            <w:vAlign w:val="center"/>
          </w:tcPr>
          <w:p w14:paraId="2C5F239D">
            <w:pPr>
              <w:spacing w:line="440" w:lineRule="exact"/>
              <w:rPr>
                <w:rFonts w:ascii="宋体" w:cs="宋体"/>
                <w:color w:val="auto"/>
                <w:szCs w:val="21"/>
                <w:highlight w:val="none"/>
              </w:rPr>
            </w:pPr>
          </w:p>
        </w:tc>
      </w:tr>
      <w:tr w14:paraId="2B9F1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65" w:type="dxa"/>
            <w:vMerge w:val="continue"/>
            <w:vAlign w:val="center"/>
          </w:tcPr>
          <w:p w14:paraId="2AA09A6F">
            <w:pPr>
              <w:spacing w:line="440" w:lineRule="exact"/>
              <w:jc w:val="center"/>
              <w:rPr>
                <w:rFonts w:ascii="宋体" w:cs="宋体"/>
                <w:color w:val="auto"/>
                <w:szCs w:val="21"/>
                <w:highlight w:val="none"/>
              </w:rPr>
            </w:pPr>
          </w:p>
        </w:tc>
        <w:tc>
          <w:tcPr>
            <w:tcW w:w="1258" w:type="dxa"/>
            <w:vMerge w:val="continue"/>
            <w:vAlign w:val="center"/>
          </w:tcPr>
          <w:p w14:paraId="47C9D09B">
            <w:pPr>
              <w:spacing w:line="440" w:lineRule="exact"/>
              <w:jc w:val="center"/>
              <w:rPr>
                <w:rFonts w:ascii="宋体" w:cs="宋体"/>
                <w:b/>
                <w:bCs/>
                <w:color w:val="auto"/>
                <w:szCs w:val="21"/>
                <w:highlight w:val="none"/>
              </w:rPr>
            </w:pPr>
          </w:p>
        </w:tc>
        <w:tc>
          <w:tcPr>
            <w:tcW w:w="6183" w:type="dxa"/>
          </w:tcPr>
          <w:p w14:paraId="1B539500">
            <w:pPr>
              <w:spacing w:line="440" w:lineRule="exact"/>
              <w:rPr>
                <w:rFonts w:hint="default" w:ascii="宋体" w:eastAsia="宋体" w:cs="宋体"/>
                <w:color w:val="auto"/>
                <w:highlight w:val="none"/>
                <w:lang w:val="en-US" w:eastAsia="zh-CN"/>
              </w:rPr>
            </w:pPr>
            <w:r>
              <w:rPr>
                <w:rFonts w:hint="eastAsia" w:ascii="宋体" w:cs="宋体"/>
                <w:color w:val="auto"/>
                <w:highlight w:val="none"/>
                <w:lang w:val="en-US" w:eastAsia="zh-CN"/>
              </w:rPr>
              <w:t>项目组成员名单（格式自拟）、人员有效身份证及证书</w:t>
            </w:r>
          </w:p>
        </w:tc>
        <w:tc>
          <w:tcPr>
            <w:tcW w:w="1860" w:type="dxa"/>
            <w:vMerge w:val="continue"/>
            <w:vAlign w:val="center"/>
          </w:tcPr>
          <w:p w14:paraId="025217FF">
            <w:pPr>
              <w:spacing w:line="440" w:lineRule="exact"/>
              <w:rPr>
                <w:rFonts w:ascii="宋体" w:cs="宋体"/>
                <w:color w:val="auto"/>
                <w:szCs w:val="21"/>
                <w:highlight w:val="none"/>
              </w:rPr>
            </w:pPr>
          </w:p>
        </w:tc>
      </w:tr>
      <w:tr w14:paraId="5F840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65" w:type="dxa"/>
            <w:vMerge w:val="continue"/>
            <w:vAlign w:val="center"/>
          </w:tcPr>
          <w:p w14:paraId="193D901D">
            <w:pPr>
              <w:spacing w:line="440" w:lineRule="exact"/>
              <w:jc w:val="center"/>
              <w:rPr>
                <w:rFonts w:ascii="宋体" w:cs="宋体"/>
                <w:color w:val="auto"/>
                <w:szCs w:val="21"/>
                <w:highlight w:val="none"/>
              </w:rPr>
            </w:pPr>
          </w:p>
        </w:tc>
        <w:tc>
          <w:tcPr>
            <w:tcW w:w="1258" w:type="dxa"/>
            <w:vMerge w:val="continue"/>
            <w:vAlign w:val="center"/>
          </w:tcPr>
          <w:p w14:paraId="1948EE38">
            <w:pPr>
              <w:spacing w:line="440" w:lineRule="exact"/>
              <w:jc w:val="center"/>
              <w:rPr>
                <w:rFonts w:ascii="宋体" w:cs="宋体"/>
                <w:b/>
                <w:bCs/>
                <w:color w:val="auto"/>
                <w:szCs w:val="21"/>
                <w:highlight w:val="none"/>
              </w:rPr>
            </w:pPr>
          </w:p>
        </w:tc>
        <w:tc>
          <w:tcPr>
            <w:tcW w:w="6183" w:type="dxa"/>
            <w:vAlign w:val="center"/>
          </w:tcPr>
          <w:p w14:paraId="79875FD6">
            <w:pPr>
              <w:pStyle w:val="2"/>
              <w:spacing w:line="440" w:lineRule="exact"/>
              <w:ind w:left="0" w:leftChars="0" w:firstLine="0" w:firstLineChars="0"/>
              <w:jc w:val="left"/>
              <w:rPr>
                <w:rFonts w:hint="default" w:ascii="宋体" w:eastAsia="宋体" w:cs="宋体"/>
                <w:color w:val="auto"/>
                <w:szCs w:val="21"/>
                <w:highlight w:val="none"/>
                <w:lang w:val="en-US" w:eastAsia="zh-CN"/>
              </w:rPr>
            </w:pPr>
            <w:r>
              <w:rPr>
                <w:rFonts w:hint="eastAsia" w:ascii="宋体" w:hAnsi="宋体" w:cs="宋体"/>
                <w:color w:val="auto"/>
                <w:szCs w:val="21"/>
                <w:highlight w:val="none"/>
              </w:rPr>
              <w:t>投标人的法定代表人</w:t>
            </w:r>
            <w:r>
              <w:rPr>
                <w:rFonts w:ascii="宋体" w:hAnsi="宋体" w:cs="宋体"/>
                <w:color w:val="auto"/>
                <w:szCs w:val="21"/>
                <w:highlight w:val="none"/>
              </w:rPr>
              <w:t>(</w:t>
            </w:r>
            <w:r>
              <w:rPr>
                <w:rFonts w:hint="eastAsia" w:ascii="宋体" w:hAnsi="宋体" w:cs="宋体"/>
                <w:color w:val="auto"/>
                <w:szCs w:val="21"/>
                <w:highlight w:val="none"/>
              </w:rPr>
              <w:t>或委托代理人</w:t>
            </w:r>
            <w:r>
              <w:rPr>
                <w:rFonts w:ascii="宋体" w:hAnsi="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rPr>
              <w:t>拟任项目负责人</w:t>
            </w:r>
            <w:r>
              <w:rPr>
                <w:rFonts w:hint="eastAsia" w:ascii="宋体" w:hAnsi="宋体" w:cs="宋体"/>
                <w:color w:val="auto"/>
                <w:szCs w:val="21"/>
                <w:highlight w:val="none"/>
                <w:lang w:val="en-US" w:eastAsia="zh-CN"/>
              </w:rPr>
              <w:t>及项目组成员</w:t>
            </w:r>
            <w:r>
              <w:rPr>
                <w:rFonts w:hint="eastAsia" w:ascii="宋体" w:hAnsi="宋体" w:cs="宋体"/>
                <w:color w:val="auto"/>
                <w:szCs w:val="21"/>
                <w:highlight w:val="none"/>
              </w:rPr>
              <w:t>须持有社保部门出具的本单位</w:t>
            </w:r>
            <w:r>
              <w:rPr>
                <w:rFonts w:hint="eastAsia" w:hAnsi="宋体" w:cs="宋体"/>
                <w:color w:val="auto"/>
                <w:szCs w:val="21"/>
                <w:highlight w:val="none"/>
                <w:lang w:eastAsia="zh-CN"/>
              </w:rPr>
              <w:t>（</w:t>
            </w:r>
            <w:r>
              <w:rPr>
                <w:rFonts w:hint="eastAsia" w:hAnsi="宋体" w:cs="宋体"/>
                <w:color w:val="auto"/>
                <w:szCs w:val="21"/>
                <w:highlight w:val="none"/>
                <w:lang w:val="en-US" w:eastAsia="zh-CN"/>
              </w:rPr>
              <w:t>或其分公司）</w:t>
            </w:r>
            <w:r>
              <w:rPr>
                <w:rFonts w:hint="eastAsia" w:ascii="宋体" w:hAnsi="宋体" w:cs="宋体"/>
                <w:color w:val="auto"/>
                <w:szCs w:val="21"/>
                <w:highlight w:val="none"/>
              </w:rPr>
              <w:t>为其缴纳的投标前近</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个月连续的养老保险证明（或官网在线打印件，证明文件两个月内有效）（同一人担任不同公司法定代表人的，该法定代表人参加本项目投标时须提供本人在其他公司任法定代表人的营业执照及为其缴纳养老保险证明材料），投标人是事业单位的，暂未缴纳社保的，须由其主管部门出具证明；</w:t>
            </w:r>
          </w:p>
        </w:tc>
        <w:tc>
          <w:tcPr>
            <w:tcW w:w="1860" w:type="dxa"/>
            <w:vMerge w:val="continue"/>
            <w:vAlign w:val="center"/>
          </w:tcPr>
          <w:p w14:paraId="5C06121F">
            <w:pPr>
              <w:spacing w:line="440" w:lineRule="exact"/>
              <w:rPr>
                <w:rFonts w:ascii="宋体" w:cs="宋体"/>
                <w:color w:val="auto"/>
                <w:szCs w:val="21"/>
                <w:highlight w:val="none"/>
              </w:rPr>
            </w:pPr>
          </w:p>
        </w:tc>
      </w:tr>
      <w:tr w14:paraId="4FE39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65" w:type="dxa"/>
            <w:vMerge w:val="continue"/>
            <w:vAlign w:val="center"/>
          </w:tcPr>
          <w:p w14:paraId="553AFA41">
            <w:pPr>
              <w:spacing w:line="440" w:lineRule="exact"/>
              <w:jc w:val="center"/>
              <w:rPr>
                <w:rFonts w:ascii="宋体" w:cs="宋体"/>
                <w:color w:val="auto"/>
                <w:szCs w:val="21"/>
                <w:highlight w:val="none"/>
              </w:rPr>
            </w:pPr>
          </w:p>
        </w:tc>
        <w:tc>
          <w:tcPr>
            <w:tcW w:w="1258" w:type="dxa"/>
            <w:vMerge w:val="continue"/>
            <w:vAlign w:val="center"/>
          </w:tcPr>
          <w:p w14:paraId="0EC7D218">
            <w:pPr>
              <w:spacing w:line="440" w:lineRule="exact"/>
              <w:jc w:val="center"/>
              <w:rPr>
                <w:rFonts w:ascii="宋体" w:cs="宋体"/>
                <w:b/>
                <w:bCs/>
                <w:color w:val="auto"/>
                <w:szCs w:val="21"/>
                <w:highlight w:val="none"/>
              </w:rPr>
            </w:pPr>
          </w:p>
        </w:tc>
        <w:tc>
          <w:tcPr>
            <w:tcW w:w="6183" w:type="dxa"/>
            <w:vAlign w:val="center"/>
          </w:tcPr>
          <w:p w14:paraId="456B7D19">
            <w:pPr>
              <w:pStyle w:val="2"/>
              <w:spacing w:line="440" w:lineRule="exact"/>
              <w:ind w:left="0" w:leftChars="0" w:firstLine="0" w:firstLineChars="0"/>
              <w:jc w:val="left"/>
              <w:rPr>
                <w:rFonts w:hint="default"/>
                <w:b w:val="0"/>
                <w:bCs w:val="0"/>
                <w:color w:val="auto"/>
                <w:highlight w:val="none"/>
                <w:lang w:val="en-US"/>
              </w:rPr>
            </w:pPr>
            <w:r>
              <w:rPr>
                <w:rFonts w:hint="eastAsia" w:ascii="宋体" w:hAnsi="宋体" w:cs="宋体"/>
                <w:color w:val="auto"/>
                <w:szCs w:val="21"/>
                <w:highlight w:val="none"/>
                <w:lang w:val="en-US" w:eastAsia="zh-CN"/>
              </w:rPr>
              <w:t>服务承诺书（格式见附件）</w:t>
            </w:r>
          </w:p>
        </w:tc>
        <w:tc>
          <w:tcPr>
            <w:tcW w:w="1860" w:type="dxa"/>
            <w:vMerge w:val="continue"/>
            <w:vAlign w:val="center"/>
          </w:tcPr>
          <w:p w14:paraId="1D6538C4">
            <w:pPr>
              <w:spacing w:line="440" w:lineRule="exact"/>
              <w:rPr>
                <w:rFonts w:ascii="宋体" w:cs="宋体"/>
                <w:color w:val="auto"/>
                <w:szCs w:val="21"/>
                <w:highlight w:val="none"/>
              </w:rPr>
            </w:pPr>
          </w:p>
        </w:tc>
      </w:tr>
    </w:tbl>
    <w:p w14:paraId="2D226C00">
      <w:pPr>
        <w:spacing w:line="440" w:lineRule="exact"/>
        <w:ind w:firstLine="422" w:firstLineChars="200"/>
        <w:jc w:val="left"/>
        <w:rPr>
          <w:rFonts w:ascii="宋体" w:cs="宋体"/>
          <w:b/>
          <w:bCs/>
          <w:color w:val="auto"/>
          <w:szCs w:val="21"/>
          <w:highlight w:val="none"/>
        </w:rPr>
      </w:pPr>
      <w:r>
        <w:rPr>
          <w:rFonts w:hint="eastAsia" w:ascii="宋体" w:hAnsi="宋体" w:cs="宋体"/>
          <w:b/>
          <w:bCs/>
          <w:color w:val="auto"/>
          <w:szCs w:val="21"/>
          <w:highlight w:val="none"/>
        </w:rPr>
        <w:t>重要提示：</w:t>
      </w:r>
    </w:p>
    <w:p w14:paraId="1BB08572">
      <w:pPr>
        <w:spacing w:line="440" w:lineRule="exact"/>
        <w:ind w:firstLine="422" w:firstLineChars="200"/>
        <w:jc w:val="left"/>
        <w:rPr>
          <w:rFonts w:ascii="宋体" w:cs="宋体"/>
          <w:b/>
          <w:bCs/>
          <w:color w:val="auto"/>
          <w:szCs w:val="21"/>
          <w:highlight w:val="none"/>
        </w:rPr>
      </w:pPr>
      <w:r>
        <w:rPr>
          <w:rFonts w:hint="eastAsia" w:ascii="宋体" w:hAnsi="宋体" w:cs="宋体"/>
          <w:b/>
          <w:bCs/>
          <w:color w:val="auto"/>
          <w:szCs w:val="21"/>
          <w:highlight w:val="none"/>
        </w:rPr>
        <w:t>（</w:t>
      </w:r>
      <w:r>
        <w:rPr>
          <w:rFonts w:ascii="宋体" w:hAnsi="宋体" w:cs="宋体"/>
          <w:b/>
          <w:bCs/>
          <w:color w:val="auto"/>
          <w:szCs w:val="21"/>
          <w:highlight w:val="none"/>
        </w:rPr>
        <w:t>1</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资格审查材料可以选择①上传到安徽省公共资源交易市场主体库中，制作投标文件时插上CA数字证书，从安徽省公共资源交易市场主体库中挑选相关材料，或按招标文件要求上传至指定位置；若所需材料无对应栏目，则将该材料上传至“其他所需材料”里，做电子投标文件时从“其他所需材料”里获取。请各投标人自行完善安徽省公共资源交易市场主体库中的单位信息，保证信息最新且有效。②或使用国家企业信用信息公示系统和全国建筑市场监管公共服务平台接口获取营业执照、建设工程相关证书等政务数据，投标人自行核验政务数据的准确性，对引用的政务数据承担责任。</w:t>
      </w:r>
    </w:p>
    <w:p w14:paraId="159BCF4E">
      <w:pPr>
        <w:spacing w:line="440" w:lineRule="exact"/>
        <w:ind w:firstLine="422" w:firstLineChars="200"/>
        <w:jc w:val="left"/>
        <w:rPr>
          <w:rFonts w:ascii="宋体" w:cs="宋体"/>
          <w:b/>
          <w:bCs/>
          <w:color w:val="auto"/>
          <w:szCs w:val="21"/>
          <w:highlight w:val="none"/>
        </w:rPr>
      </w:pPr>
      <w:r>
        <w:rPr>
          <w:rFonts w:hint="eastAsia" w:ascii="宋体" w:hAnsi="宋体" w:cs="宋体"/>
          <w:b/>
          <w:bCs/>
          <w:color w:val="auto"/>
          <w:szCs w:val="21"/>
          <w:highlight w:val="none"/>
        </w:rPr>
        <w:t>（</w:t>
      </w:r>
      <w:r>
        <w:rPr>
          <w:rFonts w:ascii="宋体" w:hAnsi="宋体" w:cs="宋体"/>
          <w:b/>
          <w:bCs/>
          <w:color w:val="auto"/>
          <w:szCs w:val="21"/>
          <w:highlight w:val="none"/>
        </w:rPr>
        <w:t>2</w:t>
      </w:r>
      <w:r>
        <w:rPr>
          <w:rFonts w:hint="eastAsia" w:ascii="宋体" w:hAnsi="宋体" w:cs="宋体"/>
          <w:b/>
          <w:bCs/>
          <w:color w:val="auto"/>
          <w:szCs w:val="21"/>
          <w:highlight w:val="none"/>
        </w:rPr>
        <w:t>）评标专家在检验电子标书过程中，如果由于投标人自身原因导致评标专家无法查看并检验电子标书中以上相关资料的，视为无效标处理</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即使投标人将原件携带至现场的，同样按无效标处理。</w:t>
      </w:r>
    </w:p>
    <w:p w14:paraId="1F6D48ED">
      <w:pPr>
        <w:pStyle w:val="7"/>
        <w:spacing w:beforeLines="50" w:afterLines="50"/>
        <w:ind w:firstLine="422" w:firstLineChars="200"/>
        <w:rPr>
          <w:rFonts w:ascii="宋体" w:hAnsi="宋体" w:eastAsia="宋体" w:cs="宋体"/>
          <w:color w:val="auto"/>
          <w:highlight w:val="none"/>
        </w:rPr>
      </w:pPr>
      <w:bookmarkStart w:id="652" w:name="_Toc506107319"/>
      <w:bookmarkStart w:id="653" w:name="_Toc15058904"/>
      <w:bookmarkStart w:id="654" w:name="_Toc324404866"/>
      <w:bookmarkStart w:id="655" w:name="_Toc27127"/>
      <w:bookmarkStart w:id="656" w:name="_Toc35425107"/>
      <w:bookmarkStart w:id="657" w:name="_Toc35424941"/>
      <w:r>
        <w:rPr>
          <w:rFonts w:ascii="宋体" w:hAnsi="宋体" w:eastAsia="宋体" w:cs="宋体"/>
          <w:color w:val="auto"/>
          <w:highlight w:val="none"/>
        </w:rPr>
        <w:t>1.</w:t>
      </w:r>
      <w:r>
        <w:rPr>
          <w:rFonts w:hint="eastAsia" w:ascii="宋体" w:hAnsi="宋体" w:eastAsia="宋体" w:cs="宋体"/>
          <w:color w:val="auto"/>
          <w:highlight w:val="none"/>
        </w:rPr>
        <w:t>审查资料</w:t>
      </w:r>
      <w:bookmarkEnd w:id="652"/>
      <w:bookmarkEnd w:id="653"/>
      <w:bookmarkEnd w:id="654"/>
      <w:bookmarkEnd w:id="655"/>
      <w:bookmarkEnd w:id="656"/>
      <w:bookmarkEnd w:id="657"/>
    </w:p>
    <w:p w14:paraId="6DF3B9D5">
      <w:pPr>
        <w:spacing w:line="440" w:lineRule="exact"/>
        <w:ind w:firstLine="420" w:firstLineChars="200"/>
        <w:jc w:val="left"/>
        <w:rPr>
          <w:rFonts w:ascii="宋体" w:cs="宋体"/>
          <w:color w:val="auto"/>
          <w:szCs w:val="21"/>
          <w:highlight w:val="none"/>
        </w:rPr>
      </w:pPr>
      <w:bookmarkStart w:id="658" w:name="_Toc15058905"/>
      <w:bookmarkStart w:id="659" w:name="_Toc324404867"/>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）法定代表人身份证明和本人有效身份证</w:t>
      </w:r>
      <w:r>
        <w:rPr>
          <w:rFonts w:ascii="宋体" w:hAnsi="宋体" w:cs="宋体"/>
          <w:color w:val="auto"/>
          <w:szCs w:val="21"/>
          <w:highlight w:val="none"/>
        </w:rPr>
        <w:t>(</w:t>
      </w:r>
      <w:r>
        <w:rPr>
          <w:rFonts w:hint="eastAsia" w:ascii="宋体" w:hAnsi="宋体" w:cs="宋体"/>
          <w:color w:val="auto"/>
          <w:szCs w:val="21"/>
          <w:highlight w:val="none"/>
        </w:rPr>
        <w:t>或法定代表人授权委托书和委托代理人有效身份证</w:t>
      </w:r>
      <w:r>
        <w:rPr>
          <w:rFonts w:ascii="宋体" w:hAnsi="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格式见附件）</w:t>
      </w:r>
      <w:r>
        <w:rPr>
          <w:rFonts w:hint="eastAsia" w:ascii="宋体" w:hAnsi="宋体" w:cs="宋体"/>
          <w:color w:val="auto"/>
          <w:szCs w:val="21"/>
          <w:highlight w:val="none"/>
        </w:rPr>
        <w:t>；</w:t>
      </w:r>
    </w:p>
    <w:p w14:paraId="3BA17234">
      <w:pPr>
        <w:spacing w:line="440" w:lineRule="exact"/>
        <w:ind w:firstLine="420" w:firstLineChars="200"/>
        <w:jc w:val="left"/>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）诚信投标承诺书（或《公共信用信息报告（无违法违规证明版或核查版）》）</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格式见附件）</w:t>
      </w:r>
      <w:r>
        <w:rPr>
          <w:rFonts w:hint="eastAsia" w:ascii="宋体" w:hAnsi="宋体" w:cs="宋体"/>
          <w:color w:val="auto"/>
          <w:szCs w:val="21"/>
          <w:highlight w:val="none"/>
        </w:rPr>
        <w:t>；</w:t>
      </w:r>
    </w:p>
    <w:p w14:paraId="7647D1E9">
      <w:pPr>
        <w:spacing w:line="440" w:lineRule="exact"/>
        <w:ind w:firstLine="420" w:firstLineChars="200"/>
        <w:jc w:val="left"/>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）企业营业执照；</w:t>
      </w:r>
    </w:p>
    <w:p w14:paraId="1E07E52D">
      <w:pPr>
        <w:spacing w:line="440" w:lineRule="exact"/>
        <w:ind w:firstLine="420" w:firstLineChars="200"/>
        <w:jc w:val="left"/>
        <w:rPr>
          <w:rFonts w:asci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4</w:t>
      </w:r>
      <w:r>
        <w:rPr>
          <w:rFonts w:hint="eastAsia" w:ascii="宋体" w:hAnsi="宋体" w:cs="宋体"/>
          <w:color w:val="auto"/>
          <w:highlight w:val="none"/>
        </w:rPr>
        <w:t>）拟派</w:t>
      </w:r>
      <w:r>
        <w:rPr>
          <w:rFonts w:hint="eastAsia" w:ascii="宋体" w:hAnsi="宋体" w:cs="宋体"/>
          <w:color w:val="auto"/>
          <w:szCs w:val="21"/>
          <w:highlight w:val="none"/>
        </w:rPr>
        <w:t>项目负责人有效</w:t>
      </w:r>
      <w:r>
        <w:rPr>
          <w:rFonts w:hint="eastAsia" w:ascii="宋体" w:hAnsi="宋体" w:cs="宋体"/>
          <w:color w:val="auto"/>
          <w:highlight w:val="none"/>
        </w:rPr>
        <w:t>身份证</w:t>
      </w:r>
      <w:r>
        <w:rPr>
          <w:rFonts w:hint="eastAsia" w:ascii="宋体" w:hAnsi="宋体" w:cs="宋体"/>
          <w:color w:val="auto"/>
          <w:highlight w:val="none"/>
          <w:lang w:eastAsia="zh-CN"/>
        </w:rPr>
        <w:t>、</w:t>
      </w:r>
      <w:r>
        <w:rPr>
          <w:rFonts w:hint="eastAsia" w:hAnsi="宋体" w:cs="宋体"/>
          <w:color w:val="auto"/>
          <w:szCs w:val="21"/>
          <w:highlight w:val="none"/>
          <w:lang w:val="en-US" w:eastAsia="zh-CN"/>
        </w:rPr>
        <w:t>高级工程师及以上职称证书</w:t>
      </w:r>
      <w:r>
        <w:rPr>
          <w:rFonts w:hint="eastAsia" w:hAnsi="宋体" w:cs="宋体"/>
          <w:color w:val="auto"/>
          <w:szCs w:val="21"/>
          <w:highlight w:val="none"/>
        </w:rPr>
        <w:t>和</w:t>
      </w:r>
      <w:r>
        <w:rPr>
          <w:rFonts w:hint="eastAsia" w:ascii="宋体" w:hAnsi="宋体" w:cs="宋体"/>
          <w:color w:val="auto"/>
          <w:highlight w:val="none"/>
        </w:rPr>
        <w:t>注册证书；</w:t>
      </w:r>
    </w:p>
    <w:p w14:paraId="41A46FB0">
      <w:pPr>
        <w:spacing w:line="440" w:lineRule="exact"/>
        <w:ind w:firstLine="420" w:firstLineChars="200"/>
        <w:jc w:val="left"/>
        <w:rPr>
          <w:rFonts w:hint="eastAsia" w:ascii="宋体" w:eastAsia="宋体" w:cs="宋体"/>
          <w:color w:val="auto"/>
          <w:szCs w:val="21"/>
          <w:highlight w:val="none"/>
          <w:lang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cs="宋体"/>
          <w:color w:val="auto"/>
          <w:highlight w:val="none"/>
          <w:lang w:val="en-US" w:eastAsia="zh-CN"/>
        </w:rPr>
        <w:t>项目组成员名单（格式自拟）、人员有效身份证及证书</w:t>
      </w:r>
      <w:r>
        <w:rPr>
          <w:rFonts w:hint="eastAsia" w:ascii="宋体" w:hAnsi="宋体" w:cs="宋体"/>
          <w:color w:val="auto"/>
          <w:szCs w:val="21"/>
          <w:highlight w:val="none"/>
          <w:lang w:eastAsia="zh-CN"/>
        </w:rPr>
        <w:t>；</w:t>
      </w:r>
    </w:p>
    <w:p w14:paraId="43FB0016">
      <w:pPr>
        <w:spacing w:line="440" w:lineRule="exact"/>
        <w:ind w:firstLine="420" w:firstLineChars="200"/>
        <w:jc w:val="left"/>
        <w:rPr>
          <w:rFonts w:ascii="宋体" w:cs="宋体"/>
          <w:color w:val="auto"/>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）投标人的法定代表人</w:t>
      </w:r>
      <w:r>
        <w:rPr>
          <w:rFonts w:ascii="宋体" w:hAnsi="宋体" w:cs="宋体"/>
          <w:color w:val="auto"/>
          <w:szCs w:val="21"/>
          <w:highlight w:val="none"/>
        </w:rPr>
        <w:t>(</w:t>
      </w:r>
      <w:r>
        <w:rPr>
          <w:rFonts w:hint="eastAsia" w:ascii="宋体" w:hAnsi="宋体" w:cs="宋体"/>
          <w:color w:val="auto"/>
          <w:szCs w:val="21"/>
          <w:highlight w:val="none"/>
        </w:rPr>
        <w:t>或委托代理人</w:t>
      </w:r>
      <w:r>
        <w:rPr>
          <w:rFonts w:ascii="宋体" w:hAnsi="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rPr>
        <w:t>拟任项目负责人</w:t>
      </w:r>
      <w:r>
        <w:rPr>
          <w:rFonts w:hint="eastAsia" w:ascii="宋体" w:hAnsi="宋体" w:cs="宋体"/>
          <w:color w:val="auto"/>
          <w:szCs w:val="21"/>
          <w:highlight w:val="none"/>
          <w:lang w:val="en-US" w:eastAsia="zh-CN"/>
        </w:rPr>
        <w:t>及项目组成员</w:t>
      </w:r>
      <w:r>
        <w:rPr>
          <w:rFonts w:hint="eastAsia" w:ascii="宋体" w:hAnsi="宋体" w:cs="宋体"/>
          <w:color w:val="auto"/>
          <w:szCs w:val="21"/>
          <w:highlight w:val="none"/>
        </w:rPr>
        <w:t>须持有社保部门出具的本单位</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或其分公司）</w:t>
      </w:r>
      <w:r>
        <w:rPr>
          <w:rFonts w:hint="eastAsia" w:ascii="宋体" w:hAnsi="宋体" w:cs="宋体"/>
          <w:color w:val="auto"/>
          <w:szCs w:val="21"/>
          <w:highlight w:val="none"/>
        </w:rPr>
        <w:t>为其缴纳的投标前近</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个月连续的养老保险证明（或官网在线打印件，证明文件两个月内有效）（同一人担任不同公司法定代表人的，该法定代表人参加本项目投标时须提供本人在其他公司任法定代表人的营业执照及为其缴纳养老保险证明材料），投标人是事业单位的，暂未缴纳社保的，须由其主管部门出具证明；</w:t>
      </w:r>
    </w:p>
    <w:p w14:paraId="50E8BD97">
      <w:pPr>
        <w:spacing w:line="440" w:lineRule="exact"/>
        <w:ind w:firstLine="420" w:firstLineChars="200"/>
        <w:jc w:val="left"/>
        <w:rPr>
          <w:rFonts w:hint="eastAsia" w:ascii="宋体" w:hAnsi="宋体" w:cs="宋体"/>
          <w:color w:val="auto"/>
          <w:szCs w:val="21"/>
          <w:highlight w:val="none"/>
          <w:lang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服务承诺书（格式见附件）</w:t>
      </w:r>
      <w:r>
        <w:rPr>
          <w:rFonts w:hint="eastAsia" w:ascii="宋体" w:hAnsi="宋体" w:cs="宋体"/>
          <w:color w:val="auto"/>
          <w:szCs w:val="21"/>
          <w:highlight w:val="none"/>
          <w:lang w:eastAsia="zh-CN"/>
        </w:rPr>
        <w:t>；</w:t>
      </w:r>
    </w:p>
    <w:p w14:paraId="72F5F7B0">
      <w:pPr>
        <w:spacing w:line="440" w:lineRule="exact"/>
        <w:ind w:firstLine="422" w:firstLineChars="200"/>
        <w:jc w:val="left"/>
        <w:rPr>
          <w:rFonts w:ascii="宋体" w:cs="宋体"/>
          <w:b/>
          <w:bCs/>
          <w:color w:val="auto"/>
          <w:highlight w:val="none"/>
        </w:rPr>
      </w:pPr>
      <w:r>
        <w:rPr>
          <w:rFonts w:hint="eastAsia" w:ascii="宋体" w:hAnsi="宋体" w:cs="宋体"/>
          <w:b/>
          <w:bCs/>
          <w:color w:val="auto"/>
          <w:highlight w:val="none"/>
        </w:rPr>
        <w:t>温馨提示：</w:t>
      </w:r>
      <w:bookmarkEnd w:id="658"/>
    </w:p>
    <w:p w14:paraId="175E9EEB">
      <w:pPr>
        <w:spacing w:line="440" w:lineRule="exact"/>
        <w:ind w:firstLine="420" w:firstLineChars="200"/>
        <w:jc w:val="left"/>
        <w:rPr>
          <w:rFonts w:hint="eastAsia" w:ascii="宋体" w:cs="宋体"/>
          <w:b w:val="0"/>
          <w:bCs w:val="0"/>
          <w:color w:val="auto"/>
          <w:highlight w:val="none"/>
        </w:rPr>
      </w:pPr>
      <w:bookmarkStart w:id="660" w:name="_Toc15058906"/>
      <w:bookmarkStart w:id="661" w:name="_Toc58229031"/>
      <w:r>
        <w:rPr>
          <w:rFonts w:hint="eastAsia" w:ascii="宋体" w:cs="宋体"/>
          <w:b w:val="0"/>
          <w:bCs w:val="0"/>
          <w:color w:val="auto"/>
          <w:highlight w:val="none"/>
        </w:rPr>
        <w:t>（1）</w:t>
      </w:r>
      <w:bookmarkEnd w:id="660"/>
      <w:bookmarkEnd w:id="661"/>
      <w:bookmarkStart w:id="662" w:name="_Toc58229032"/>
      <w:bookmarkStart w:id="663" w:name="_Toc15058907"/>
      <w:r>
        <w:rPr>
          <w:rFonts w:hint="eastAsia" w:ascii="宋体" w:cs="宋体"/>
          <w:b w:val="0"/>
          <w:bCs w:val="0"/>
          <w:color w:val="auto"/>
          <w:highlight w:val="none"/>
        </w:rPr>
        <w:t>请各投标人自行完善安徽省公共资源交易市场主体库中的单位基本信息，保证信息最新且有效。</w:t>
      </w:r>
    </w:p>
    <w:p w14:paraId="5E3DEE0E">
      <w:pPr>
        <w:spacing w:line="440" w:lineRule="exact"/>
        <w:ind w:firstLine="420" w:firstLineChars="200"/>
        <w:jc w:val="left"/>
        <w:rPr>
          <w:rFonts w:ascii="宋体" w:cs="宋体"/>
          <w:b w:val="0"/>
          <w:bCs w:val="0"/>
          <w:color w:val="auto"/>
          <w:highlight w:val="none"/>
        </w:rPr>
      </w:pPr>
      <w:r>
        <w:rPr>
          <w:rFonts w:hint="eastAsia" w:ascii="宋体" w:cs="宋体"/>
          <w:b w:val="0"/>
          <w:bCs w:val="0"/>
          <w:color w:val="auto"/>
          <w:highlight w:val="none"/>
        </w:rPr>
        <w:t>（2）请投标人认真准备投标文件资格审查资料,如评标专家在检验电子标书过程中，如果由于投标人自身原因导致评标专家无法查看并检验电子标书中相关资料的，视为无效标处理。即使投标人将原件携带至现场的，同样按无效标处理。</w:t>
      </w:r>
      <w:bookmarkEnd w:id="662"/>
      <w:bookmarkEnd w:id="663"/>
    </w:p>
    <w:p w14:paraId="0502AC3C">
      <w:pPr>
        <w:pStyle w:val="7"/>
        <w:spacing w:beforeLines="50" w:afterLines="50"/>
        <w:ind w:firstLine="422" w:firstLineChars="200"/>
        <w:rPr>
          <w:rFonts w:ascii="宋体" w:hAnsi="宋体" w:eastAsia="宋体" w:cs="宋体"/>
          <w:color w:val="auto"/>
          <w:highlight w:val="none"/>
        </w:rPr>
      </w:pPr>
      <w:bookmarkStart w:id="664" w:name="_Toc12549"/>
      <w:bookmarkStart w:id="665" w:name="_Toc35424942"/>
      <w:bookmarkStart w:id="666" w:name="_Toc15058909"/>
      <w:bookmarkStart w:id="667" w:name="_Toc506107320"/>
      <w:bookmarkStart w:id="668" w:name="_Toc35425108"/>
      <w:r>
        <w:rPr>
          <w:rFonts w:ascii="宋体" w:hAnsi="宋体" w:eastAsia="宋体" w:cs="宋体"/>
          <w:color w:val="auto"/>
          <w:highlight w:val="none"/>
        </w:rPr>
        <w:t>2.</w:t>
      </w:r>
      <w:r>
        <w:rPr>
          <w:rFonts w:hint="eastAsia" w:ascii="宋体" w:hAnsi="宋体" w:eastAsia="宋体" w:cs="宋体"/>
          <w:color w:val="auto"/>
          <w:highlight w:val="none"/>
        </w:rPr>
        <w:t>审查办法</w:t>
      </w:r>
      <w:bookmarkEnd w:id="659"/>
      <w:bookmarkEnd w:id="664"/>
      <w:bookmarkEnd w:id="665"/>
      <w:bookmarkEnd w:id="666"/>
      <w:bookmarkEnd w:id="667"/>
      <w:bookmarkEnd w:id="668"/>
    </w:p>
    <w:p w14:paraId="38E3D684">
      <w:pPr>
        <w:pStyle w:val="7"/>
        <w:spacing w:beforeLines="50" w:afterLines="50"/>
        <w:ind w:firstLine="420" w:firstLineChars="200"/>
        <w:rPr>
          <w:rFonts w:hint="eastAsia" w:ascii="宋体" w:hAnsi="宋体" w:eastAsia="宋体" w:cs="宋体"/>
          <w:b w:val="0"/>
          <w:bCs w:val="0"/>
          <w:color w:val="auto"/>
          <w:kern w:val="2"/>
          <w:sz w:val="21"/>
          <w:szCs w:val="21"/>
          <w:highlight w:val="none"/>
          <w:lang w:val="en-US" w:eastAsia="zh-CN" w:bidi="ar-SA"/>
        </w:rPr>
      </w:pPr>
      <w:bookmarkStart w:id="669" w:name="_Toc15058910"/>
      <w:bookmarkStart w:id="670" w:name="_Toc35425109"/>
      <w:bookmarkStart w:id="671" w:name="_Toc506107321"/>
      <w:bookmarkStart w:id="672" w:name="_Toc324404868"/>
      <w:bookmarkStart w:id="673" w:name="_Toc15626"/>
      <w:bookmarkStart w:id="674" w:name="_Toc35424943"/>
      <w:r>
        <w:rPr>
          <w:rFonts w:hint="eastAsia" w:ascii="宋体" w:hAnsi="宋体" w:eastAsia="宋体" w:cs="宋体"/>
          <w:b w:val="0"/>
          <w:bCs w:val="0"/>
          <w:color w:val="auto"/>
          <w:kern w:val="2"/>
          <w:sz w:val="21"/>
          <w:szCs w:val="21"/>
          <w:highlight w:val="none"/>
          <w:lang w:val="en-US" w:eastAsia="zh-CN" w:bidi="ar-SA"/>
        </w:rPr>
        <w:t>由资格审查委员会（评标委员会）按资格审查办法前附表中资格审查必要合格条件评审表要求对投标人审查资料进行核验。</w:t>
      </w:r>
    </w:p>
    <w:p w14:paraId="6958CAB0">
      <w:pPr>
        <w:pStyle w:val="7"/>
        <w:spacing w:beforeLines="50" w:afterLines="50"/>
        <w:ind w:firstLine="422" w:firstLineChars="200"/>
        <w:rPr>
          <w:rFonts w:ascii="宋体" w:hAnsi="宋体" w:eastAsia="宋体" w:cs="宋体"/>
          <w:color w:val="auto"/>
          <w:highlight w:val="none"/>
        </w:rPr>
      </w:pPr>
      <w:r>
        <w:rPr>
          <w:rFonts w:ascii="宋体" w:hAnsi="宋体" w:eastAsia="宋体" w:cs="宋体"/>
          <w:color w:val="auto"/>
          <w:highlight w:val="none"/>
        </w:rPr>
        <w:t>3.</w:t>
      </w:r>
      <w:r>
        <w:rPr>
          <w:rFonts w:hint="eastAsia" w:ascii="宋体" w:hAnsi="宋体" w:eastAsia="宋体" w:cs="宋体"/>
          <w:color w:val="auto"/>
          <w:highlight w:val="none"/>
        </w:rPr>
        <w:t>资格审查委员会和审查标准</w:t>
      </w:r>
      <w:bookmarkEnd w:id="669"/>
      <w:bookmarkEnd w:id="670"/>
      <w:bookmarkEnd w:id="671"/>
      <w:bookmarkEnd w:id="672"/>
      <w:bookmarkEnd w:id="673"/>
      <w:bookmarkEnd w:id="674"/>
    </w:p>
    <w:p w14:paraId="2B165CD4">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bookmarkStart w:id="675" w:name="_Toc10330"/>
      <w:bookmarkStart w:id="676" w:name="_Toc324404869"/>
      <w:bookmarkStart w:id="677" w:name="_Toc15058911"/>
      <w:bookmarkStart w:id="678" w:name="_Toc35424944"/>
      <w:bookmarkStart w:id="679" w:name="_Toc506107322"/>
      <w:bookmarkStart w:id="680" w:name="_Toc35425110"/>
      <w:r>
        <w:rPr>
          <w:rFonts w:hint="eastAsia" w:ascii="宋体" w:hAnsi="宋体" w:eastAsia="宋体" w:cs="宋体"/>
          <w:b w:val="0"/>
          <w:bCs w:val="0"/>
          <w:color w:val="auto"/>
          <w:kern w:val="2"/>
          <w:sz w:val="21"/>
          <w:szCs w:val="21"/>
          <w:highlight w:val="none"/>
          <w:lang w:val="en-US" w:eastAsia="zh-CN" w:bidi="ar-SA"/>
        </w:rPr>
        <w:t>3.1资格审查由招标人依法组建的资格审查委员会（或评标委员会）负责。审查标准见资格审查办法前附表。</w:t>
      </w:r>
    </w:p>
    <w:p w14:paraId="478E338B">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3.2由资格审查委员会（评标委员会）按资格审查办法前附表要求对投标人的审查资料进行核验。投标申请人有下列情形之一的，其资格审查为不合格： </w:t>
      </w:r>
    </w:p>
    <w:p w14:paraId="1248BCF3">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（1）未上传电子标书或电子标书经审查不合格；</w:t>
      </w:r>
    </w:p>
    <w:p w14:paraId="7785893A">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（2）联合体投标人没有提交联合体协议书；</w:t>
      </w:r>
    </w:p>
    <w:p w14:paraId="5AA575A8">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（3）保证金不按第</w:t>
      </w:r>
      <w:r>
        <w:rPr>
          <w:rFonts w:hint="eastAsia" w:ascii="宋体" w:hAnsi="宋体" w:cs="宋体"/>
          <w:b w:val="0"/>
          <w:bCs w:val="0"/>
          <w:color w:val="auto"/>
          <w:kern w:val="2"/>
          <w:sz w:val="21"/>
          <w:szCs w:val="21"/>
          <w:highlight w:val="none"/>
          <w:lang w:val="en-US" w:eastAsia="zh-CN" w:bidi="ar-SA"/>
        </w:rPr>
        <w:t>一</w:t>
      </w:r>
      <w:r>
        <w:rPr>
          <w:rFonts w:hint="eastAsia" w:ascii="宋体" w:hAnsi="宋体" w:eastAsia="宋体" w:cs="宋体"/>
          <w:b w:val="0"/>
          <w:bCs w:val="0"/>
          <w:color w:val="auto"/>
          <w:kern w:val="2"/>
          <w:sz w:val="21"/>
          <w:szCs w:val="21"/>
          <w:highlight w:val="none"/>
          <w:lang w:val="en-US" w:eastAsia="zh-CN" w:bidi="ar-SA"/>
        </w:rPr>
        <w:t xml:space="preserve">章“投标人须知”及其前附表要求提交投标保证金的； </w:t>
      </w:r>
    </w:p>
    <w:p w14:paraId="7C636938">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（4）投标人未办理省主体库登记入库手续的；</w:t>
      </w:r>
    </w:p>
    <w:p w14:paraId="3DACE15A">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（5）投标人投标 MAC 地址一致的；</w:t>
      </w:r>
    </w:p>
    <w:p w14:paraId="5C0C4A4C">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（6）投标人申请开具电子保函 MAC 地址一致的；</w:t>
      </w:r>
    </w:p>
    <w:p w14:paraId="42F1B41D">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（7）投标人投标文件制作机器码、文件创建标识码及造价软件加密锁号信息雷同的；</w:t>
      </w:r>
    </w:p>
    <w:p w14:paraId="6669D8B4">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（8）法律、法规规定的其他情形。</w:t>
      </w:r>
    </w:p>
    <w:p w14:paraId="31E022D2">
      <w:pPr>
        <w:pStyle w:val="7"/>
        <w:spacing w:beforeLines="50" w:afterLines="50"/>
        <w:ind w:firstLine="422" w:firstLineChars="200"/>
        <w:rPr>
          <w:rFonts w:ascii="宋体" w:hAnsi="宋体" w:eastAsia="宋体" w:cs="宋体"/>
          <w:color w:val="auto"/>
          <w:highlight w:val="none"/>
        </w:rPr>
      </w:pPr>
      <w:r>
        <w:rPr>
          <w:rFonts w:ascii="宋体" w:hAnsi="宋体" w:eastAsia="宋体" w:cs="宋体"/>
          <w:color w:val="auto"/>
          <w:highlight w:val="none"/>
        </w:rPr>
        <w:t>4.</w:t>
      </w:r>
      <w:r>
        <w:rPr>
          <w:rFonts w:hint="eastAsia" w:ascii="宋体" w:hAnsi="宋体" w:eastAsia="宋体" w:cs="宋体"/>
          <w:color w:val="auto"/>
          <w:highlight w:val="none"/>
        </w:rPr>
        <w:t>审查结果</w:t>
      </w:r>
      <w:bookmarkEnd w:id="675"/>
      <w:bookmarkEnd w:id="676"/>
      <w:bookmarkEnd w:id="677"/>
      <w:bookmarkEnd w:id="678"/>
      <w:bookmarkEnd w:id="679"/>
      <w:bookmarkEnd w:id="680"/>
    </w:p>
    <w:p w14:paraId="447FE192">
      <w:pPr>
        <w:spacing w:line="440" w:lineRule="exact"/>
        <w:ind w:firstLine="420" w:firstLineChars="200"/>
        <w:jc w:val="left"/>
        <w:rPr>
          <w:rFonts w:ascii="宋体" w:cs="宋体"/>
          <w:color w:val="auto"/>
          <w:szCs w:val="21"/>
          <w:highlight w:val="none"/>
        </w:rPr>
      </w:pPr>
      <w:r>
        <w:rPr>
          <w:rFonts w:hint="eastAsia" w:ascii="宋体" w:hAnsi="宋体" w:cs="宋体"/>
          <w:color w:val="auto"/>
          <w:highlight w:val="none"/>
        </w:rPr>
        <w:t>只有通过资格审查的投标人才能进入下一步的评标程序。</w:t>
      </w:r>
      <w:bookmarkStart w:id="681" w:name="_Toc506107323"/>
    </w:p>
    <w:p w14:paraId="3B3F5555">
      <w:pPr>
        <w:pStyle w:val="6"/>
        <w:spacing w:beforeLines="50" w:afterLines="50"/>
        <w:rPr>
          <w:color w:val="auto"/>
          <w:highlight w:val="none"/>
        </w:rPr>
      </w:pPr>
      <w:bookmarkStart w:id="682" w:name="_Toc35425111"/>
      <w:bookmarkStart w:id="683" w:name="_Toc35424945"/>
      <w:bookmarkStart w:id="684" w:name="_Toc15058912"/>
      <w:r>
        <w:rPr>
          <w:color w:val="auto"/>
          <w:highlight w:val="none"/>
        </w:rPr>
        <w:br w:type="page"/>
      </w:r>
      <w:bookmarkStart w:id="685" w:name="_Toc24443"/>
      <w:r>
        <w:rPr>
          <w:rFonts w:hint="eastAsia" w:ascii="Arial" w:hAnsi="Arial"/>
          <w:color w:val="auto"/>
          <w:kern w:val="0"/>
          <w:sz w:val="32"/>
          <w:szCs w:val="32"/>
          <w:highlight w:val="none"/>
        </w:rPr>
        <w:t>第三章</w:t>
      </w:r>
      <w:r>
        <w:rPr>
          <w:rFonts w:ascii="Arial" w:hAnsi="Arial"/>
          <w:color w:val="auto"/>
          <w:kern w:val="0"/>
          <w:sz w:val="32"/>
          <w:szCs w:val="32"/>
          <w:highlight w:val="none"/>
        </w:rPr>
        <w:t xml:space="preserve"> </w:t>
      </w:r>
      <w:r>
        <w:rPr>
          <w:rFonts w:hint="eastAsia" w:ascii="Arial" w:hAnsi="Arial"/>
          <w:color w:val="auto"/>
          <w:kern w:val="0"/>
          <w:sz w:val="32"/>
          <w:szCs w:val="32"/>
          <w:highlight w:val="none"/>
        </w:rPr>
        <w:t>评标办法</w:t>
      </w:r>
      <w:bookmarkEnd w:id="645"/>
      <w:bookmarkEnd w:id="681"/>
      <w:bookmarkEnd w:id="682"/>
      <w:bookmarkEnd w:id="683"/>
      <w:bookmarkEnd w:id="684"/>
      <w:bookmarkEnd w:id="685"/>
    </w:p>
    <w:p w14:paraId="7453D6EF">
      <w:pPr>
        <w:spacing w:beforeLines="50" w:afterLines="50" w:line="440" w:lineRule="exact"/>
        <w:jc w:val="center"/>
        <w:rPr>
          <w:rFonts w:hint="eastAsia" w:ascii="宋体" w:hAnsi="宋体" w:cs="宋体"/>
          <w:b/>
          <w:bCs/>
          <w:color w:val="auto"/>
          <w:sz w:val="28"/>
          <w:szCs w:val="28"/>
          <w:highlight w:val="none"/>
        </w:rPr>
      </w:pPr>
      <w:bookmarkStart w:id="686" w:name="_Toc35424946"/>
      <w:bookmarkStart w:id="687" w:name="_Toc35425112"/>
      <w:r>
        <w:rPr>
          <w:rFonts w:hint="eastAsia" w:ascii="宋体" w:hAnsi="宋体" w:cs="宋体"/>
          <w:b/>
          <w:bCs/>
          <w:color w:val="auto"/>
          <w:sz w:val="28"/>
          <w:szCs w:val="28"/>
          <w:highlight w:val="none"/>
        </w:rPr>
        <w:t>评标办法前附表</w:t>
      </w:r>
      <w:bookmarkEnd w:id="686"/>
      <w:bookmarkEnd w:id="687"/>
    </w:p>
    <w:p w14:paraId="1771C386">
      <w:pPr>
        <w:pStyle w:val="2"/>
        <w:keepNext w:val="0"/>
        <w:keepLines w:val="0"/>
        <w:pageBreakBefore w:val="0"/>
        <w:kinsoku/>
        <w:wordWrap/>
        <w:overflowPunct/>
        <w:topLinePunct w:val="0"/>
        <w:autoSpaceDE/>
        <w:autoSpaceDN/>
        <w:bidi w:val="0"/>
        <w:adjustRightInd/>
        <w:snapToGrid/>
        <w:spacing w:line="540" w:lineRule="exact"/>
        <w:ind w:left="0" w:leftChars="0"/>
        <w:rPr>
          <w:rFonts w:hint="eastAsia" w:ascii="宋体" w:hAnsi="宋体" w:eastAsia="宋体" w:cs="宋体"/>
          <w:b/>
          <w:bCs/>
          <w:color w:val="auto"/>
          <w:highlight w:val="none"/>
        </w:rPr>
      </w:pPr>
      <w:r>
        <w:rPr>
          <w:rFonts w:hint="eastAsia" w:ascii="宋体" w:hAnsi="宋体" w:eastAsia="宋体" w:cs="宋体"/>
          <w:color w:val="auto"/>
          <w:highlight w:val="none"/>
        </w:rPr>
        <w:t>第一阶段，评标委员会对投标人依次进行资信文件审查，对均满足要求的投标人先进行除投标报价之外的评审因素打分，汇总后的得分按照从高到低进行排序（</w:t>
      </w:r>
      <w:r>
        <w:rPr>
          <w:rFonts w:hint="eastAsia" w:ascii="宋体" w:hAnsi="宋体" w:eastAsia="宋体" w:cs="宋体"/>
          <w:b/>
          <w:color w:val="auto"/>
          <w:highlight w:val="none"/>
        </w:rPr>
        <w:t>得分相同的并列，下一个排名顺延。如2个投标人并列第一，则第3个排名为第三名</w:t>
      </w:r>
      <w:r>
        <w:rPr>
          <w:rFonts w:hint="eastAsia" w:ascii="宋体" w:hAnsi="宋体" w:eastAsia="宋体" w:cs="宋体"/>
          <w:color w:val="auto"/>
          <w:highlight w:val="none"/>
        </w:rPr>
        <w:t>），选择总得分排前N个的投标人进入第二阶段评标，N取值为7。</w:t>
      </w:r>
      <w:r>
        <w:rPr>
          <w:rFonts w:hint="eastAsia" w:ascii="宋体" w:hAnsi="宋体" w:eastAsia="宋体" w:cs="宋体"/>
          <w:b/>
          <w:color w:val="auto"/>
          <w:highlight w:val="none"/>
        </w:rPr>
        <w:t>与第N个得分相同的一并进入第二阶段评标</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若通过资信</w:t>
      </w:r>
      <w:r>
        <w:rPr>
          <w:rFonts w:hint="eastAsia" w:hAnsi="宋体" w:cs="宋体"/>
          <w:color w:val="auto"/>
          <w:highlight w:val="none"/>
          <w:lang w:val="en-US" w:eastAsia="zh-CN"/>
        </w:rPr>
        <w:t>文件审查</w:t>
      </w:r>
      <w:r>
        <w:rPr>
          <w:rFonts w:hint="eastAsia" w:ascii="宋体" w:hAnsi="宋体" w:eastAsia="宋体" w:cs="宋体"/>
          <w:color w:val="auto"/>
          <w:highlight w:val="none"/>
          <w:lang w:val="en-US" w:eastAsia="zh-CN"/>
        </w:rPr>
        <w:t>的有效投标人＜7</w:t>
      </w:r>
      <w:r>
        <w:rPr>
          <w:rFonts w:hint="eastAsia" w:hAnsi="宋体" w:cs="宋体"/>
          <w:color w:val="auto"/>
          <w:highlight w:val="none"/>
          <w:lang w:val="en-US" w:eastAsia="zh-CN"/>
        </w:rPr>
        <w:t>个</w:t>
      </w:r>
      <w:r>
        <w:rPr>
          <w:rFonts w:hint="eastAsia" w:ascii="宋体" w:hAnsi="宋体" w:eastAsia="宋体" w:cs="宋体"/>
          <w:color w:val="auto"/>
          <w:highlight w:val="none"/>
          <w:lang w:val="en-US" w:eastAsia="zh-CN"/>
        </w:rPr>
        <w:t>且≥3</w:t>
      </w:r>
      <w:r>
        <w:rPr>
          <w:rFonts w:hint="eastAsia" w:hAnsi="宋体" w:cs="宋体"/>
          <w:color w:val="auto"/>
          <w:highlight w:val="none"/>
          <w:lang w:val="en-US" w:eastAsia="zh-CN"/>
        </w:rPr>
        <w:t>个</w:t>
      </w:r>
      <w:r>
        <w:rPr>
          <w:rFonts w:hint="eastAsia" w:ascii="宋体" w:hAnsi="宋体" w:eastAsia="宋体" w:cs="宋体"/>
          <w:color w:val="auto"/>
          <w:highlight w:val="none"/>
          <w:lang w:val="en-US" w:eastAsia="zh-CN"/>
        </w:rPr>
        <w:t>时，全部进入第二阶段评标；不足3个的，本项目流标。</w:t>
      </w:r>
    </w:p>
    <w:p w14:paraId="362B7E8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第二阶段，投标报价评审。评标委员会仅针对进入第二阶段的投标人商务标文件进行评审，评审过程中如出现无效投标，将替补至7个投标人，剩余投标人不足替补至7个的，至少替补至3个，否则本项目流标。以进入第二阶段的有效投标报价作为评标基准价计算范围。根据投标报价评审规则计算投标报价得分。确定中标候选人排序时，招标人按照各项评审因素的总得分从高到低进行排序，得分第一的投标人为第一中标候选人。如总得分相等，以投标报价低的优先，投标报价仍相等，由评标委员会主任委员或招标人随机抽取确定排名。</w:t>
      </w:r>
    </w:p>
    <w:p w14:paraId="45960F91">
      <w:pPr>
        <w:numPr>
          <w:ilvl w:val="0"/>
          <w:numId w:val="0"/>
        </w:numPr>
        <w:spacing w:beforeLines="50" w:afterLines="50" w:line="440" w:lineRule="exact"/>
        <w:ind w:left="2730" w:leftChars="0"/>
        <w:jc w:val="both"/>
        <w:rPr>
          <w:color w:val="auto"/>
          <w:highlight w:val="none"/>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一）</w:t>
      </w:r>
      <w:r>
        <w:rPr>
          <w:rFonts w:hint="eastAsia" w:ascii="宋体" w:hAnsi="宋体" w:cs="宋体"/>
          <w:b/>
          <w:bCs/>
          <w:color w:val="auto"/>
          <w:sz w:val="24"/>
          <w:highlight w:val="none"/>
        </w:rPr>
        <w:t>资信标评分细则（满分</w:t>
      </w:r>
      <w:r>
        <w:rPr>
          <w:rFonts w:hint="eastAsia" w:ascii="宋体" w:hAnsi="宋体" w:cs="宋体"/>
          <w:b/>
          <w:bCs/>
          <w:color w:val="auto"/>
          <w:sz w:val="24"/>
          <w:highlight w:val="none"/>
          <w:lang w:val="en-US" w:eastAsia="zh-CN"/>
        </w:rPr>
        <w:t>12</w:t>
      </w:r>
      <w:r>
        <w:rPr>
          <w:rFonts w:hint="eastAsia" w:ascii="宋体" w:hAnsi="宋体" w:cs="宋体"/>
          <w:b/>
          <w:bCs/>
          <w:color w:val="auto"/>
          <w:sz w:val="24"/>
          <w:highlight w:val="none"/>
        </w:rPr>
        <w:t>分）</w:t>
      </w:r>
    </w:p>
    <w:tbl>
      <w:tblPr>
        <w:tblStyle w:val="46"/>
        <w:tblW w:w="10410" w:type="dxa"/>
        <w:tblInd w:w="-4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0"/>
        <w:gridCol w:w="8700"/>
      </w:tblGrid>
      <w:tr w14:paraId="6F797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vAlign w:val="center"/>
          </w:tcPr>
          <w:p w14:paraId="49E73C3C">
            <w:pPr>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评审因素</w:t>
            </w:r>
          </w:p>
        </w:tc>
        <w:tc>
          <w:tcPr>
            <w:tcW w:w="8700" w:type="dxa"/>
            <w:vAlign w:val="center"/>
          </w:tcPr>
          <w:p w14:paraId="74D00162">
            <w:pPr>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评审标准</w:t>
            </w:r>
          </w:p>
        </w:tc>
      </w:tr>
      <w:tr w14:paraId="16DFD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vAlign w:val="center"/>
          </w:tcPr>
          <w:p w14:paraId="0713FF5A">
            <w:pPr>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企业业绩</w:t>
            </w:r>
          </w:p>
          <w:p w14:paraId="3644B9D2">
            <w:pPr>
              <w:keepNext w:val="0"/>
              <w:keepLines w:val="0"/>
              <w:pageBreakBefore w:val="0"/>
              <w:widowControl w:val="0"/>
              <w:kinsoku/>
              <w:wordWrap/>
              <w:overflowPunct/>
              <w:topLinePunct w:val="0"/>
              <w:bidi w:val="0"/>
              <w:snapToGrid/>
              <w:spacing w:line="440" w:lineRule="exact"/>
              <w:jc w:val="center"/>
              <w:textAlignment w:val="auto"/>
              <w:rPr>
                <w:rFonts w:hint="eastAsia"/>
                <w:color w:val="auto"/>
                <w:highlight w:val="none"/>
                <w:lang w:val="en-US" w:eastAsia="zh-CN"/>
              </w:rPr>
            </w:pPr>
            <w:r>
              <w:rPr>
                <w:rFonts w:hint="eastAsia" w:ascii="宋体" w:hAnsi="宋体" w:eastAsia="宋体" w:cs="宋体"/>
                <w:b/>
                <w:bCs/>
                <w:color w:val="auto"/>
                <w:sz w:val="21"/>
                <w:szCs w:val="21"/>
                <w:highlight w:val="none"/>
                <w:lang w:val="en-US" w:eastAsia="zh-CN"/>
              </w:rPr>
              <w:t>（5分）</w:t>
            </w:r>
          </w:p>
        </w:tc>
        <w:tc>
          <w:tcPr>
            <w:tcW w:w="8700" w:type="dxa"/>
            <w:vAlign w:val="center"/>
          </w:tcPr>
          <w:p w14:paraId="60BD1020">
            <w:pPr>
              <w:keepNext w:val="0"/>
              <w:keepLines w:val="0"/>
              <w:pageBreakBefore w:val="0"/>
              <w:widowControl w:val="0"/>
              <w:kinsoku/>
              <w:wordWrap/>
              <w:overflowPunct/>
              <w:topLinePunct w:val="0"/>
              <w:bidi w:val="0"/>
              <w:adjustRightInd w:val="0"/>
              <w:snapToGrid/>
              <w:spacing w:line="44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投标人自20</w:t>
            </w:r>
            <w:r>
              <w:rPr>
                <w:rFonts w:hint="eastAsia" w:ascii="宋体" w:hAnsi="宋体" w:cs="宋体"/>
                <w:b/>
                <w:bCs/>
                <w:color w:val="auto"/>
                <w:sz w:val="21"/>
                <w:szCs w:val="21"/>
                <w:highlight w:val="none"/>
                <w:lang w:val="en-US" w:eastAsia="zh-CN"/>
              </w:rPr>
              <w:t>22</w:t>
            </w:r>
            <w:r>
              <w:rPr>
                <w:rFonts w:hint="eastAsia" w:ascii="宋体" w:hAnsi="宋体" w:eastAsia="宋体" w:cs="宋体"/>
                <w:b/>
                <w:bCs/>
                <w:color w:val="auto"/>
                <w:sz w:val="21"/>
                <w:szCs w:val="21"/>
                <w:highlight w:val="none"/>
                <w:lang w:val="en-US" w:eastAsia="zh-CN"/>
              </w:rPr>
              <w:t>年1月1日至投标截止日</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完成过</w:t>
            </w:r>
            <w:r>
              <w:rPr>
                <w:rFonts w:hint="eastAsia" w:ascii="宋体" w:hAnsi="宋体" w:cs="宋体"/>
                <w:b/>
                <w:bCs/>
                <w:color w:val="auto"/>
                <w:sz w:val="21"/>
                <w:szCs w:val="21"/>
                <w:highlight w:val="none"/>
                <w:lang w:val="en-US" w:eastAsia="zh-CN"/>
              </w:rPr>
              <w:t>金额为</w:t>
            </w:r>
            <w:r>
              <w:rPr>
                <w:rFonts w:hint="eastAsia" w:ascii="宋体" w:hAnsi="宋体" w:eastAsia="宋体" w:cs="宋体"/>
                <w:b/>
                <w:bCs/>
                <w:color w:val="auto"/>
                <w:sz w:val="21"/>
                <w:szCs w:val="21"/>
                <w:highlight w:val="none"/>
                <w:lang w:val="en-US" w:eastAsia="zh-CN"/>
              </w:rPr>
              <w:t>完成过</w:t>
            </w:r>
            <w:r>
              <w:rPr>
                <w:rFonts w:hint="eastAsia" w:ascii="宋体" w:hAnsi="宋体" w:cs="宋体"/>
                <w:b/>
                <w:bCs/>
                <w:color w:val="auto"/>
                <w:sz w:val="21"/>
                <w:szCs w:val="21"/>
                <w:highlight w:val="none"/>
                <w:lang w:val="en-US" w:eastAsia="zh-CN"/>
              </w:rPr>
              <w:t>金额为1亿元及以上市政道路（新建或改建或扩建）的工程造价咨询（须含工程量清单及最高投标限价编制服务）业绩</w:t>
            </w:r>
            <w:r>
              <w:rPr>
                <w:rFonts w:hint="eastAsia" w:ascii="宋体" w:hAnsi="宋体" w:eastAsia="宋体" w:cs="宋体"/>
                <w:b/>
                <w:bCs/>
                <w:color w:val="auto"/>
                <w:sz w:val="21"/>
                <w:szCs w:val="21"/>
                <w:highlight w:val="none"/>
                <w:lang w:val="en-US" w:eastAsia="zh-CN"/>
              </w:rPr>
              <w:t>的</w:t>
            </w:r>
            <w:r>
              <w:rPr>
                <w:rFonts w:hint="eastAsia" w:ascii="宋体" w:hAnsi="宋体" w:cs="宋体"/>
                <w:b/>
                <w:bCs/>
                <w:color w:val="auto"/>
                <w:sz w:val="21"/>
                <w:szCs w:val="21"/>
                <w:highlight w:val="none"/>
                <w:lang w:val="en-US" w:eastAsia="zh-CN"/>
              </w:rPr>
              <w:t>得5分。</w:t>
            </w:r>
          </w:p>
          <w:p w14:paraId="5DEB08A5">
            <w:pPr>
              <w:pStyle w:val="2"/>
              <w:keepNext w:val="0"/>
              <w:keepLines w:val="0"/>
              <w:pageBreakBefore w:val="0"/>
              <w:widowControl w:val="0"/>
              <w:kinsoku/>
              <w:wordWrap/>
              <w:overflowPunct/>
              <w:topLinePunct w:val="0"/>
              <w:bidi w:val="0"/>
              <w:snapToGrid/>
              <w:spacing w:line="440" w:lineRule="exact"/>
              <w:ind w:left="0" w:leftChars="0" w:firstLine="0" w:firstLineChars="0"/>
              <w:textAlignment w:val="auto"/>
              <w:rPr>
                <w:rFonts w:hint="eastAsia" w:eastAsia="宋体"/>
                <w:color w:val="auto"/>
                <w:highlight w:val="none"/>
                <w:lang w:val="en-US" w:eastAsia="zh-CN"/>
              </w:rPr>
            </w:pPr>
            <w:r>
              <w:rPr>
                <w:rFonts w:hint="eastAsia" w:ascii="宋体" w:hAnsi="宋体" w:eastAsia="宋体" w:cs="宋体"/>
                <w:b w:val="0"/>
                <w:bCs w:val="0"/>
                <w:color w:val="auto"/>
                <w:sz w:val="21"/>
                <w:szCs w:val="21"/>
                <w:highlight w:val="none"/>
              </w:rPr>
              <w:t>注：须同时提供</w:t>
            </w:r>
            <w:r>
              <w:rPr>
                <w:rFonts w:hint="eastAsia" w:ascii="宋体" w:hAnsi="宋体" w:eastAsia="宋体" w:cs="宋体"/>
                <w:b w:val="0"/>
                <w:bCs w:val="0"/>
                <w:color w:val="auto"/>
                <w:sz w:val="21"/>
                <w:szCs w:val="21"/>
                <w:highlight w:val="none"/>
                <w:lang w:val="en-US" w:eastAsia="zh-CN"/>
              </w:rPr>
              <w:t>下列材料原件扫描件</w:t>
            </w:r>
            <w:r>
              <w:rPr>
                <w:rFonts w:hint="eastAsia" w:ascii="宋体" w:hAnsi="宋体" w:eastAsia="宋体" w:cs="宋体"/>
                <w:b w:val="0"/>
                <w:bCs w:val="0"/>
                <w:color w:val="auto"/>
                <w:sz w:val="21"/>
                <w:szCs w:val="21"/>
                <w:highlight w:val="none"/>
              </w:rPr>
              <w:t>①中标通知书（</w:t>
            </w:r>
            <w:r>
              <w:rPr>
                <w:rFonts w:hint="eastAsia" w:ascii="宋体" w:hAnsi="宋体" w:eastAsia="宋体" w:cs="宋体"/>
                <w:b w:val="0"/>
                <w:bCs w:val="0"/>
                <w:color w:val="auto"/>
                <w:kern w:val="0"/>
                <w:sz w:val="21"/>
                <w:szCs w:val="21"/>
                <w:highlight w:val="none"/>
              </w:rPr>
              <w:t>无中标通知书的项目，提供</w:t>
            </w:r>
            <w:r>
              <w:rPr>
                <w:rFonts w:hint="eastAsia" w:hAnsi="宋体" w:cs="宋体"/>
                <w:b w:val="0"/>
                <w:bCs w:val="0"/>
                <w:color w:val="auto"/>
                <w:kern w:val="0"/>
                <w:sz w:val="21"/>
                <w:szCs w:val="21"/>
                <w:highlight w:val="none"/>
                <w:lang w:val="en-US" w:eastAsia="zh-CN"/>
              </w:rPr>
              <w:t>造价</w:t>
            </w:r>
            <w:r>
              <w:rPr>
                <w:rFonts w:hint="eastAsia" w:ascii="宋体" w:hAnsi="宋体" w:eastAsia="宋体" w:cs="宋体"/>
                <w:b w:val="0"/>
                <w:bCs w:val="0"/>
                <w:color w:val="auto"/>
                <w:kern w:val="0"/>
                <w:sz w:val="21"/>
                <w:szCs w:val="21"/>
                <w:highlight w:val="none"/>
              </w:rPr>
              <w:t>通知书</w:t>
            </w:r>
            <w:r>
              <w:rPr>
                <w:rFonts w:hint="eastAsia" w:ascii="宋体" w:hAnsi="宋体" w:eastAsia="宋体" w:cs="宋体"/>
                <w:b w:val="0"/>
                <w:bCs w:val="0"/>
                <w:color w:val="auto"/>
                <w:kern w:val="0"/>
                <w:sz w:val="21"/>
                <w:szCs w:val="21"/>
                <w:highlight w:val="none"/>
                <w:lang w:val="en-US" w:eastAsia="zh-CN"/>
              </w:rPr>
              <w:t>或</w:t>
            </w:r>
            <w:r>
              <w:rPr>
                <w:rFonts w:hint="eastAsia" w:ascii="宋体" w:hAnsi="宋体" w:eastAsia="宋体" w:cs="宋体"/>
                <w:b w:val="0"/>
                <w:bCs w:val="0"/>
                <w:color w:val="auto"/>
                <w:kern w:val="0"/>
                <w:sz w:val="21"/>
                <w:szCs w:val="21"/>
                <w:highlight w:val="none"/>
              </w:rPr>
              <w:t>委托单位的证明材料并加盖委托单位公章</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②咨询</w:t>
            </w:r>
            <w:r>
              <w:rPr>
                <w:rFonts w:hint="eastAsia" w:ascii="宋体" w:hAnsi="宋体" w:eastAsia="宋体" w:cs="宋体"/>
                <w:b w:val="0"/>
                <w:bCs w:val="0"/>
                <w:color w:val="auto"/>
                <w:sz w:val="21"/>
                <w:szCs w:val="21"/>
                <w:highlight w:val="none"/>
                <w:lang w:val="en-US" w:eastAsia="zh-CN"/>
              </w:rPr>
              <w:t>服务</w:t>
            </w:r>
            <w:r>
              <w:rPr>
                <w:rFonts w:hint="eastAsia" w:ascii="宋体" w:hAnsi="宋体" w:eastAsia="宋体" w:cs="宋体"/>
                <w:b w:val="0"/>
                <w:bCs w:val="0"/>
                <w:color w:val="auto"/>
                <w:sz w:val="21"/>
                <w:szCs w:val="21"/>
                <w:highlight w:val="none"/>
              </w:rPr>
              <w:t>合同</w:t>
            </w:r>
            <w:r>
              <w:rPr>
                <w:rFonts w:hint="eastAsia" w:hAnsi="宋体" w:cs="宋体"/>
                <w:b w:val="0"/>
                <w:bCs w:val="0"/>
                <w:color w:val="auto"/>
                <w:sz w:val="21"/>
                <w:szCs w:val="21"/>
                <w:highlight w:val="none"/>
                <w:lang w:eastAsia="zh-CN"/>
              </w:rPr>
              <w:t>（</w:t>
            </w:r>
            <w:r>
              <w:rPr>
                <w:rFonts w:hint="eastAsia" w:ascii="宋体" w:hAnsi="宋体" w:eastAsia="宋体" w:cs="宋体"/>
                <w:b w:val="0"/>
                <w:bCs w:val="0"/>
                <w:color w:val="auto"/>
                <w:kern w:val="0"/>
                <w:sz w:val="21"/>
                <w:szCs w:val="21"/>
                <w:highlight w:val="none"/>
                <w:lang w:val="en-US" w:eastAsia="zh-CN"/>
              </w:rPr>
              <w:t>若咨询服务合同为</w:t>
            </w:r>
            <w:r>
              <w:rPr>
                <w:rFonts w:hint="eastAsia" w:ascii="宋体" w:hAnsi="宋体" w:eastAsia="宋体" w:cs="宋体"/>
                <w:b w:val="0"/>
                <w:bCs w:val="0"/>
                <w:color w:val="auto"/>
                <w:kern w:val="0"/>
                <w:sz w:val="21"/>
                <w:szCs w:val="21"/>
                <w:highlight w:val="none"/>
                <w:lang w:eastAsia="zh-CN"/>
              </w:rPr>
              <w:t>框架合同，应同时提供</w:t>
            </w:r>
            <w:r>
              <w:rPr>
                <w:rFonts w:hint="eastAsia" w:ascii="宋体" w:hAnsi="宋体" w:eastAsia="宋体" w:cs="宋体"/>
                <w:b w:val="0"/>
                <w:bCs w:val="0"/>
                <w:color w:val="auto"/>
                <w:kern w:val="0"/>
                <w:sz w:val="21"/>
                <w:szCs w:val="21"/>
                <w:highlight w:val="none"/>
                <w:lang w:val="en-US" w:eastAsia="zh-CN"/>
              </w:rPr>
              <w:t>委托单位</w:t>
            </w:r>
            <w:r>
              <w:rPr>
                <w:rFonts w:hint="eastAsia" w:ascii="宋体" w:hAnsi="宋体" w:eastAsia="宋体" w:cs="宋体"/>
                <w:b w:val="0"/>
                <w:bCs w:val="0"/>
                <w:color w:val="auto"/>
                <w:kern w:val="0"/>
                <w:sz w:val="21"/>
                <w:szCs w:val="21"/>
                <w:highlight w:val="none"/>
                <w:lang w:eastAsia="zh-CN"/>
              </w:rPr>
              <w:t>出具的任务分配证明）</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③咨询成果报告（文件），咨询成果报告（文件）是指</w:t>
            </w:r>
            <w:r>
              <w:rPr>
                <w:rFonts w:hint="eastAsia" w:ascii="宋体" w:hAnsi="宋体" w:eastAsia="宋体" w:cs="宋体"/>
                <w:b w:val="0"/>
                <w:bCs w:val="0"/>
                <w:color w:val="auto"/>
                <w:sz w:val="21"/>
                <w:szCs w:val="21"/>
                <w:highlight w:val="none"/>
                <w:lang w:val="en-US" w:eastAsia="zh-CN"/>
              </w:rPr>
              <w:t>投标人</w:t>
            </w:r>
            <w:r>
              <w:rPr>
                <w:rFonts w:hint="eastAsia" w:ascii="宋体" w:hAnsi="宋体" w:eastAsia="宋体" w:cs="宋体"/>
                <w:b w:val="0"/>
                <w:bCs w:val="0"/>
                <w:color w:val="auto"/>
                <w:sz w:val="21"/>
                <w:szCs w:val="21"/>
                <w:highlight w:val="none"/>
              </w:rPr>
              <w:t>作为</w:t>
            </w:r>
            <w:r>
              <w:rPr>
                <w:rFonts w:hint="eastAsia" w:hAnsi="宋体" w:cs="宋体"/>
                <w:b w:val="0"/>
                <w:bCs w:val="0"/>
                <w:color w:val="auto"/>
                <w:sz w:val="21"/>
                <w:szCs w:val="21"/>
                <w:highlight w:val="none"/>
                <w:lang w:val="en-US" w:eastAsia="zh-CN"/>
              </w:rPr>
              <w:t>工程造价咨询</w:t>
            </w:r>
            <w:r>
              <w:rPr>
                <w:rFonts w:hint="eastAsia" w:ascii="宋体" w:hAnsi="宋体" w:eastAsia="宋体" w:cs="宋体"/>
                <w:b w:val="0"/>
                <w:bCs w:val="0"/>
                <w:color w:val="auto"/>
                <w:sz w:val="21"/>
                <w:szCs w:val="21"/>
                <w:highlight w:val="none"/>
              </w:rPr>
              <w:t>单位出具的经建设单位认可的</w:t>
            </w:r>
            <w:r>
              <w:rPr>
                <w:rFonts w:hint="eastAsia" w:hAnsi="宋体" w:cs="宋体"/>
                <w:b w:val="0"/>
                <w:bCs w:val="0"/>
                <w:color w:val="auto"/>
                <w:sz w:val="21"/>
                <w:szCs w:val="21"/>
                <w:highlight w:val="none"/>
                <w:lang w:val="en-US" w:eastAsia="zh-CN"/>
              </w:rPr>
              <w:t>成果文件</w:t>
            </w:r>
            <w:r>
              <w:rPr>
                <w:rFonts w:hint="eastAsia" w:ascii="宋体" w:hAnsi="宋体" w:eastAsia="宋体" w:cs="宋体"/>
                <w:b w:val="0"/>
                <w:bCs w:val="0"/>
                <w:color w:val="auto"/>
                <w:sz w:val="21"/>
                <w:szCs w:val="21"/>
                <w:highlight w:val="none"/>
              </w:rPr>
              <w:t>主要页面</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color w:val="auto"/>
                <w:sz w:val="21"/>
                <w:szCs w:val="21"/>
                <w:highlight w:val="none"/>
              </w:rPr>
              <w:t>时间以咨询成果报告（文件）出具时间为准，金额以咨询成果报告（文件）中载明的金额为准。若上述证明材料不能明确反映项目类型、项目规模等</w:t>
            </w:r>
            <w:r>
              <w:rPr>
                <w:rFonts w:hint="eastAsia" w:hAnsi="宋体" w:cs="宋体"/>
                <w:color w:val="auto"/>
                <w:sz w:val="21"/>
                <w:szCs w:val="21"/>
                <w:highlight w:val="none"/>
                <w:lang w:val="en-US" w:eastAsia="zh-CN"/>
              </w:rPr>
              <w:t>评审</w:t>
            </w:r>
            <w:r>
              <w:rPr>
                <w:rFonts w:hint="eastAsia" w:ascii="宋体" w:hAnsi="宋体" w:eastAsia="宋体" w:cs="宋体"/>
                <w:color w:val="auto"/>
                <w:sz w:val="21"/>
                <w:szCs w:val="21"/>
                <w:highlight w:val="none"/>
              </w:rPr>
              <w:t>内容的，应另行提供委托单位出具并加盖其公章的证明材料。</w:t>
            </w:r>
          </w:p>
        </w:tc>
      </w:tr>
      <w:tr w14:paraId="57455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vAlign w:val="center"/>
          </w:tcPr>
          <w:p w14:paraId="11B07F9A">
            <w:pPr>
              <w:keepNext w:val="0"/>
              <w:keepLines w:val="0"/>
              <w:pageBreakBefore w:val="0"/>
              <w:widowControl w:val="0"/>
              <w:kinsoku/>
              <w:wordWrap/>
              <w:overflowPunct/>
              <w:topLinePunct w:val="0"/>
              <w:bidi w:val="0"/>
              <w:snapToGrid/>
              <w:spacing w:line="440" w:lineRule="exact"/>
              <w:jc w:val="center"/>
              <w:textAlignment w:val="auto"/>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企业荣誉（5分）</w:t>
            </w:r>
          </w:p>
        </w:tc>
        <w:tc>
          <w:tcPr>
            <w:tcW w:w="8700" w:type="dxa"/>
            <w:vAlign w:val="center"/>
          </w:tcPr>
          <w:p w14:paraId="09975445">
            <w:pPr>
              <w:pStyle w:val="2"/>
              <w:keepNext w:val="0"/>
              <w:keepLines w:val="0"/>
              <w:pageBreakBefore w:val="0"/>
              <w:widowControl w:val="0"/>
              <w:numPr>
                <w:ilvl w:val="0"/>
                <w:numId w:val="0"/>
              </w:numPr>
              <w:kinsoku/>
              <w:wordWrap/>
              <w:overflowPunct/>
              <w:topLinePunct w:val="0"/>
              <w:bidi w:val="0"/>
              <w:snapToGrid/>
              <w:spacing w:line="500" w:lineRule="exact"/>
              <w:ind w:leftChars="0"/>
              <w:jc w:val="left"/>
              <w:textAlignment w:val="auto"/>
              <w:rPr>
                <w:rFonts w:hint="eastAsia" w:hAnsi="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投标人自</w:t>
            </w:r>
            <w:r>
              <w:rPr>
                <w:rFonts w:hint="eastAsia" w:hAnsi="宋体" w:cs="宋体"/>
                <w:b/>
                <w:bCs/>
                <w:color w:val="auto"/>
                <w:sz w:val="21"/>
                <w:szCs w:val="21"/>
                <w:highlight w:val="none"/>
                <w:lang w:val="en-US" w:eastAsia="zh-CN"/>
              </w:rPr>
              <w:t>2020</w:t>
            </w:r>
            <w:r>
              <w:rPr>
                <w:rFonts w:hint="eastAsia" w:ascii="宋体" w:hAnsi="宋体" w:eastAsia="宋体" w:cs="宋体"/>
                <w:b/>
                <w:bCs/>
                <w:color w:val="auto"/>
                <w:sz w:val="21"/>
                <w:szCs w:val="21"/>
                <w:highlight w:val="none"/>
                <w:lang w:val="en-US" w:eastAsia="zh-CN"/>
              </w:rPr>
              <w:t>年1月1日至投标</w:t>
            </w:r>
            <w:r>
              <w:rPr>
                <w:rFonts w:hint="eastAsia" w:ascii="宋体" w:hAnsi="宋体" w:eastAsia="宋体" w:cs="宋体"/>
                <w:b/>
                <w:bCs/>
                <w:color w:val="auto"/>
                <w:sz w:val="21"/>
                <w:szCs w:val="21"/>
                <w:highlight w:val="none"/>
                <w:lang w:val="en-US" w:eastAsia="zh-CN"/>
              </w:rPr>
              <w:t>截止日</w:t>
            </w:r>
            <w:r>
              <w:rPr>
                <w:rFonts w:hint="eastAsia" w:hAnsi="宋体" w:cs="宋体"/>
                <w:b/>
                <w:bCs/>
                <w:color w:val="auto"/>
                <w:sz w:val="21"/>
                <w:szCs w:val="21"/>
                <w:highlight w:val="none"/>
                <w:lang w:val="en-US" w:eastAsia="zh-CN"/>
              </w:rPr>
              <w:t>，具有市级及以上财政、审计或造价主管</w:t>
            </w:r>
            <w:r>
              <w:rPr>
                <w:rFonts w:hint="eastAsia" w:hAnsi="宋体" w:cs="宋体"/>
                <w:b/>
                <w:bCs/>
                <w:color w:val="auto"/>
                <w:sz w:val="21"/>
                <w:szCs w:val="21"/>
                <w:highlight w:val="none"/>
                <w:lang w:val="en-US" w:eastAsia="zh-CN"/>
              </w:rPr>
              <w:t>部门（或协会）颁发的企业荣誉证书的得5分，满分5分。</w:t>
            </w:r>
            <w:r>
              <w:rPr>
                <w:rFonts w:hint="eastAsia" w:hAnsi="宋体" w:cs="宋体"/>
                <w:b/>
                <w:bCs/>
                <w:color w:val="auto"/>
                <w:sz w:val="21"/>
                <w:szCs w:val="21"/>
                <w:highlight w:val="none"/>
                <w:lang w:val="en-US" w:eastAsia="zh-CN"/>
              </w:rPr>
              <w:br w:type="textWrapping"/>
            </w:r>
            <w:r>
              <w:rPr>
                <w:rFonts w:hint="eastAsia" w:hAnsi="宋体" w:cs="宋体"/>
                <w:b/>
                <w:bCs/>
                <w:color w:val="auto"/>
                <w:sz w:val="21"/>
                <w:szCs w:val="21"/>
                <w:highlight w:val="none"/>
                <w:lang w:val="en-US" w:eastAsia="zh-CN"/>
              </w:rPr>
              <w:t>注：1.提供荣誉证书（时间以证书颁发时间为准）或网站公示截图（以网站公示时间为准）。</w:t>
            </w:r>
          </w:p>
          <w:p w14:paraId="583CD7D3">
            <w:pPr>
              <w:keepNext w:val="0"/>
              <w:keepLines w:val="0"/>
              <w:pageBreakBefore w:val="0"/>
              <w:widowControl w:val="0"/>
              <w:kinsoku/>
              <w:wordWrap/>
              <w:overflowPunct/>
              <w:topLinePunct w:val="0"/>
              <w:bidi w:val="0"/>
              <w:snapToGrid/>
              <w:spacing w:line="500" w:lineRule="exact"/>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kern w:val="0"/>
                <w:sz w:val="21"/>
                <w:szCs w:val="21"/>
                <w:highlight w:val="none"/>
                <w:lang w:val="en-US" w:eastAsia="zh-CN"/>
              </w:rPr>
              <w:t>如为造价或跟踪审计相关协会（或学会）颁发的，还应符合下列要求:</w:t>
            </w:r>
          </w:p>
          <w:p w14:paraId="2BA99A18">
            <w:pPr>
              <w:pStyle w:val="226"/>
              <w:keepNext w:val="0"/>
              <w:keepLines w:val="0"/>
              <w:pageBreakBefore w:val="0"/>
              <w:widowControl w:val="0"/>
              <w:kinsoku/>
              <w:wordWrap/>
              <w:overflowPunct/>
              <w:topLinePunct w:val="0"/>
              <w:bidi w:val="0"/>
              <w:snapToGrid/>
              <w:spacing w:line="500" w:lineRule="exact"/>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hAnsi="宋体" w:cs="宋体"/>
                <w:b w:val="0"/>
                <w:bCs w:val="0"/>
                <w:color w:val="auto"/>
                <w:kern w:val="0"/>
                <w:sz w:val="21"/>
                <w:szCs w:val="21"/>
                <w:highlight w:val="none"/>
                <w:lang w:val="en-US" w:eastAsia="zh-CN"/>
              </w:rPr>
              <w:t>2.1</w:t>
            </w:r>
            <w:r>
              <w:rPr>
                <w:rFonts w:hint="eastAsia" w:ascii="宋体" w:hAnsi="宋体" w:eastAsia="宋体" w:cs="宋体"/>
                <w:b w:val="0"/>
                <w:bCs w:val="0"/>
                <w:color w:val="auto"/>
                <w:kern w:val="0"/>
                <w:sz w:val="21"/>
                <w:szCs w:val="21"/>
                <w:highlight w:val="none"/>
                <w:lang w:val="en-US" w:eastAsia="zh-CN" w:bidi="ar-SA"/>
              </w:rPr>
              <w:t>“国内依法登记注册”以中国社会组织政务服务平台中“全国社会组织信用信息公示平台（试运行）”查询结果为准。针对国内依法登记注册的行业协会（或学会）颁发的奖项、荣誉，</w:t>
            </w:r>
            <w:r>
              <w:rPr>
                <w:rFonts w:hint="eastAsia" w:ascii="宋体" w:hAnsi="宋体" w:eastAsia="宋体" w:cs="宋体"/>
                <w:b/>
                <w:bCs/>
                <w:color w:val="auto"/>
                <w:kern w:val="0"/>
                <w:sz w:val="21"/>
                <w:szCs w:val="21"/>
                <w:highlight w:val="none"/>
                <w:lang w:val="en-US" w:eastAsia="zh-CN" w:bidi="ar-SA"/>
              </w:rPr>
              <w:t xml:space="preserve">投标文件中须另行提供该协会在中国社会组织政务服务平台中“全国社会组织信用信息公示平台（试运行）”查询结果截图。 </w:t>
            </w:r>
          </w:p>
          <w:p w14:paraId="0887DA63">
            <w:pPr>
              <w:keepNext w:val="0"/>
              <w:keepLines w:val="0"/>
              <w:pageBreakBefore w:val="0"/>
              <w:widowControl w:val="0"/>
              <w:kinsoku/>
              <w:wordWrap/>
              <w:overflowPunct/>
              <w:topLinePunct w:val="0"/>
              <w:bidi w:val="0"/>
              <w:snapToGrid/>
              <w:spacing w:line="500" w:lineRule="exact"/>
              <w:jc w:val="left"/>
              <w:textAlignment w:val="auto"/>
              <w:rPr>
                <w:rFonts w:hint="default"/>
                <w:color w:val="auto"/>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 xml:space="preserve">2.2民政部公布的“离岸社团”、“山寨社团”或中国社会组织政务服务平台中“全国社会组织信用信息公示平台（试运行）”公示的“涉嫌非法社会组织”颁发的荣誉、奖励均无效。 </w:t>
            </w:r>
          </w:p>
        </w:tc>
      </w:tr>
      <w:tr w14:paraId="6DFE4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vAlign w:val="center"/>
          </w:tcPr>
          <w:p w14:paraId="06F746B1">
            <w:pPr>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项目人员配备</w:t>
            </w:r>
          </w:p>
          <w:p w14:paraId="7F05E749">
            <w:pPr>
              <w:keepNext w:val="0"/>
              <w:keepLines w:val="0"/>
              <w:pageBreakBefore w:val="0"/>
              <w:widowControl w:val="0"/>
              <w:kinsoku/>
              <w:wordWrap/>
              <w:overflowPunct/>
              <w:topLinePunct w:val="0"/>
              <w:bidi w:val="0"/>
              <w:snapToGrid/>
              <w:spacing w:line="440" w:lineRule="exact"/>
              <w:jc w:val="center"/>
              <w:textAlignment w:val="auto"/>
              <w:rPr>
                <w:rFonts w:hint="default"/>
                <w:color w:val="auto"/>
                <w:highlight w:val="none"/>
                <w:lang w:val="en-US" w:eastAsia="zh-CN"/>
              </w:rPr>
            </w:pPr>
            <w:r>
              <w:rPr>
                <w:rFonts w:hint="eastAsia" w:ascii="宋体" w:hAnsi="宋体" w:cs="宋体"/>
                <w:b/>
                <w:bCs/>
                <w:color w:val="auto"/>
                <w:sz w:val="21"/>
                <w:szCs w:val="21"/>
                <w:highlight w:val="none"/>
                <w:lang w:val="en-US" w:eastAsia="zh-CN"/>
              </w:rPr>
              <w:t>（2分）</w:t>
            </w:r>
          </w:p>
        </w:tc>
        <w:tc>
          <w:tcPr>
            <w:tcW w:w="8700" w:type="dxa"/>
            <w:vAlign w:val="center"/>
          </w:tcPr>
          <w:p w14:paraId="0C7EB9CD">
            <w:pPr>
              <w:pStyle w:val="17"/>
              <w:pageBreakBefore w:val="0"/>
              <w:kinsoku/>
              <w:wordWrap/>
              <w:overflowPunct/>
              <w:topLinePunct w:val="0"/>
              <w:autoSpaceDE/>
              <w:autoSpaceDN/>
              <w:bidi w:val="0"/>
              <w:spacing w:line="440" w:lineRule="exact"/>
              <w:rPr>
                <w:rFonts w:hint="eastAsia" w:ascii="宋体" w:hAnsi="Times New Roman" w:eastAsia="宋体" w:cs="Times New Roman"/>
                <w:color w:val="auto"/>
                <w:highlight w:val="none"/>
                <w:lang w:val="en-US" w:eastAsia="zh-CN"/>
              </w:rPr>
            </w:pPr>
            <w:r>
              <w:rPr>
                <w:rFonts w:hint="eastAsia" w:ascii="宋体" w:hAnsi="宋体" w:eastAsia="宋体" w:cs="宋体"/>
                <w:b w:val="0"/>
                <w:bCs w:val="0"/>
                <w:color w:val="auto"/>
                <w:sz w:val="21"/>
                <w:szCs w:val="21"/>
                <w:highlight w:val="none"/>
              </w:rPr>
              <w:t>所配备的</w:t>
            </w:r>
            <w:r>
              <w:rPr>
                <w:rFonts w:hint="eastAsia" w:ascii="宋体" w:hAnsi="宋体" w:eastAsia="宋体" w:cs="宋体"/>
                <w:b w:val="0"/>
                <w:bCs w:val="0"/>
                <w:color w:val="auto"/>
                <w:sz w:val="21"/>
                <w:szCs w:val="21"/>
                <w:highlight w:val="none"/>
                <w:lang w:eastAsia="zh-CN"/>
              </w:rPr>
              <w:t>注册造价工程师</w:t>
            </w:r>
            <w:r>
              <w:rPr>
                <w:rFonts w:hint="eastAsia" w:ascii="宋体" w:hAnsi="宋体" w:eastAsia="宋体" w:cs="宋体"/>
                <w:b w:val="0"/>
                <w:bCs w:val="0"/>
                <w:color w:val="auto"/>
                <w:sz w:val="21"/>
                <w:szCs w:val="21"/>
                <w:highlight w:val="none"/>
              </w:rPr>
              <w:t>中</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除项目负责人外</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同时</w:t>
            </w:r>
            <w:r>
              <w:rPr>
                <w:rFonts w:hint="eastAsia" w:ascii="宋体" w:hAnsi="宋体" w:eastAsia="宋体" w:cs="宋体"/>
                <w:b w:val="0"/>
                <w:bCs w:val="0"/>
                <w:color w:val="auto"/>
                <w:sz w:val="21"/>
                <w:szCs w:val="21"/>
                <w:highlight w:val="none"/>
              </w:rPr>
              <w:t>具有工程</w:t>
            </w:r>
            <w:r>
              <w:rPr>
                <w:rFonts w:hint="eastAsia" w:ascii="宋体" w:hAnsi="宋体" w:eastAsia="宋体" w:cs="宋体"/>
                <w:b w:val="0"/>
                <w:bCs w:val="0"/>
                <w:color w:val="auto"/>
                <w:sz w:val="21"/>
                <w:szCs w:val="21"/>
                <w:highlight w:val="none"/>
                <w:lang w:val="en-US" w:eastAsia="zh-CN"/>
              </w:rPr>
              <w:t>或</w:t>
            </w:r>
            <w:r>
              <w:rPr>
                <w:rFonts w:hint="eastAsia" w:ascii="宋体" w:hAnsi="宋体" w:eastAsia="宋体" w:cs="宋体"/>
                <w:b w:val="0"/>
                <w:bCs w:val="0"/>
                <w:color w:val="auto"/>
                <w:sz w:val="21"/>
                <w:szCs w:val="21"/>
                <w:highlight w:val="none"/>
              </w:rPr>
              <w:t>工程经济类高级职称</w:t>
            </w:r>
            <w:r>
              <w:rPr>
                <w:rFonts w:hint="eastAsia" w:ascii="宋体" w:hAnsi="宋体" w:eastAsia="宋体" w:cs="宋体"/>
                <w:b w:val="0"/>
                <w:bCs w:val="0"/>
                <w:color w:val="auto"/>
                <w:sz w:val="21"/>
                <w:szCs w:val="21"/>
                <w:highlight w:val="none"/>
                <w:lang w:val="en-US" w:eastAsia="zh-CN"/>
              </w:rPr>
              <w:t>（社会化评审）</w:t>
            </w:r>
            <w:r>
              <w:rPr>
                <w:rFonts w:hint="eastAsia" w:ascii="宋体" w:hAnsi="宋体" w:eastAsia="宋体" w:cs="宋体"/>
                <w:b w:val="0"/>
                <w:bCs w:val="0"/>
                <w:color w:val="auto"/>
                <w:sz w:val="21"/>
                <w:szCs w:val="21"/>
                <w:highlight w:val="none"/>
              </w:rPr>
              <w:t>或建筑工程类注册</w:t>
            </w:r>
            <w:r>
              <w:rPr>
                <w:rFonts w:hint="eastAsia" w:ascii="宋体" w:hAnsi="宋体" w:cs="宋体"/>
                <w:b w:val="0"/>
                <w:bCs w:val="0"/>
                <w:color w:val="auto"/>
                <w:sz w:val="21"/>
                <w:szCs w:val="21"/>
                <w:highlight w:val="none"/>
                <w:lang w:val="en-US" w:eastAsia="zh-CN"/>
              </w:rPr>
              <w:t>执业</w:t>
            </w:r>
            <w:r>
              <w:rPr>
                <w:rFonts w:hint="eastAsia" w:ascii="宋体" w:hAnsi="宋体" w:eastAsia="宋体" w:cs="宋体"/>
                <w:b w:val="0"/>
                <w:bCs w:val="0"/>
                <w:color w:val="auto"/>
                <w:sz w:val="21"/>
                <w:szCs w:val="21"/>
                <w:highlight w:val="none"/>
              </w:rPr>
              <w:t>资格</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如注册建筑师、注册建造师等）</w:t>
            </w:r>
            <w:r>
              <w:rPr>
                <w:rFonts w:hint="eastAsia" w:ascii="宋体" w:hAnsi="宋体" w:eastAsia="宋体" w:cs="宋体"/>
                <w:b w:val="0"/>
                <w:bCs w:val="0"/>
                <w:color w:val="auto"/>
                <w:sz w:val="21"/>
                <w:szCs w:val="21"/>
                <w:highlight w:val="none"/>
              </w:rPr>
              <w:t>的，每</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人加1分，满分2分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 xml:space="preserve"> </w:t>
            </w:r>
          </w:p>
        </w:tc>
      </w:tr>
      <w:tr w14:paraId="109C6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10" w:type="dxa"/>
            <w:gridSpan w:val="2"/>
            <w:vAlign w:val="center"/>
          </w:tcPr>
          <w:p w14:paraId="673BC347">
            <w:pPr>
              <w:pStyle w:val="2"/>
              <w:keepNext w:val="0"/>
              <w:keepLines w:val="0"/>
              <w:pageBreakBefore w:val="0"/>
              <w:widowControl w:val="0"/>
              <w:kinsoku/>
              <w:wordWrap/>
              <w:overflowPunct/>
              <w:topLinePunct w:val="0"/>
              <w:bidi w:val="0"/>
              <w:snapToGrid/>
              <w:spacing w:line="440" w:lineRule="exact"/>
              <w:ind w:left="0" w:leftChars="0" w:firstLine="0" w:firstLineChars="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注：投投标人投标时只须提供1个评审业绩和1个评审</w:t>
            </w:r>
            <w:r>
              <w:rPr>
                <w:rFonts w:hint="eastAsia" w:hAnsi="宋体" w:cs="宋体"/>
                <w:b/>
                <w:bCs/>
                <w:color w:val="auto"/>
                <w:sz w:val="21"/>
                <w:szCs w:val="21"/>
                <w:highlight w:val="none"/>
                <w:lang w:val="en-US" w:eastAsia="zh-CN"/>
              </w:rPr>
              <w:t>荣誉</w:t>
            </w:r>
            <w:r>
              <w:rPr>
                <w:rFonts w:hint="eastAsia" w:ascii="宋体" w:hAnsi="宋体" w:eastAsia="宋体" w:cs="宋体"/>
                <w:b/>
                <w:bCs/>
                <w:color w:val="auto"/>
                <w:sz w:val="21"/>
                <w:szCs w:val="21"/>
                <w:highlight w:val="none"/>
                <w:lang w:val="en-US" w:eastAsia="zh-CN"/>
              </w:rPr>
              <w:t>，若投标人提供业绩奖项个数超过1个评审业绩和1个评审</w:t>
            </w:r>
            <w:r>
              <w:rPr>
                <w:rFonts w:hint="eastAsia" w:hAnsi="宋体" w:cs="宋体"/>
                <w:b/>
                <w:bCs/>
                <w:color w:val="auto"/>
                <w:sz w:val="21"/>
                <w:szCs w:val="21"/>
                <w:highlight w:val="none"/>
                <w:lang w:val="en-US" w:eastAsia="zh-CN"/>
              </w:rPr>
              <w:t>荣誉</w:t>
            </w:r>
            <w:r>
              <w:rPr>
                <w:rFonts w:hint="eastAsia" w:ascii="宋体" w:hAnsi="宋体" w:eastAsia="宋体" w:cs="宋体"/>
                <w:b/>
                <w:bCs/>
                <w:color w:val="auto"/>
                <w:sz w:val="21"/>
                <w:szCs w:val="21"/>
                <w:highlight w:val="none"/>
                <w:lang w:val="en-US" w:eastAsia="zh-CN"/>
              </w:rPr>
              <w:t>，则按照排列顺序从首个业绩和</w:t>
            </w:r>
            <w:r>
              <w:rPr>
                <w:rFonts w:hint="eastAsia" w:hAnsi="宋体" w:cs="宋体"/>
                <w:b/>
                <w:bCs/>
                <w:color w:val="auto"/>
                <w:sz w:val="21"/>
                <w:szCs w:val="21"/>
                <w:highlight w:val="none"/>
                <w:lang w:val="en-US" w:eastAsia="zh-CN"/>
              </w:rPr>
              <w:t>荣誉</w:t>
            </w:r>
            <w:r>
              <w:rPr>
                <w:rFonts w:hint="eastAsia" w:ascii="宋体" w:hAnsi="宋体" w:eastAsia="宋体" w:cs="宋体"/>
                <w:b/>
                <w:bCs/>
                <w:color w:val="auto"/>
                <w:sz w:val="21"/>
                <w:szCs w:val="21"/>
                <w:highlight w:val="none"/>
                <w:lang w:val="en-US" w:eastAsia="zh-CN"/>
              </w:rPr>
              <w:t>开始评审至对应数量，超出部分业绩和</w:t>
            </w:r>
            <w:r>
              <w:rPr>
                <w:rFonts w:hint="eastAsia" w:hAnsi="宋体" w:cs="宋体"/>
                <w:b/>
                <w:bCs/>
                <w:color w:val="auto"/>
                <w:sz w:val="21"/>
                <w:szCs w:val="21"/>
                <w:highlight w:val="none"/>
                <w:lang w:val="en-US" w:eastAsia="zh-CN"/>
              </w:rPr>
              <w:t>荣誉</w:t>
            </w:r>
            <w:r>
              <w:rPr>
                <w:rFonts w:hint="eastAsia" w:ascii="宋体" w:hAnsi="宋体" w:eastAsia="宋体" w:cs="宋体"/>
                <w:b/>
                <w:bCs/>
                <w:color w:val="auto"/>
                <w:sz w:val="21"/>
                <w:szCs w:val="21"/>
                <w:highlight w:val="none"/>
                <w:lang w:val="en-US" w:eastAsia="zh-CN"/>
              </w:rPr>
              <w:t>不进行评审。对应数量（1个）业绩和（1个）</w:t>
            </w:r>
            <w:r>
              <w:rPr>
                <w:rFonts w:hint="eastAsia" w:hAnsi="宋体" w:cs="宋体"/>
                <w:b/>
                <w:bCs/>
                <w:color w:val="auto"/>
                <w:sz w:val="21"/>
                <w:szCs w:val="21"/>
                <w:highlight w:val="none"/>
                <w:lang w:val="en-US" w:eastAsia="zh-CN"/>
              </w:rPr>
              <w:t>荣誉</w:t>
            </w:r>
            <w:r>
              <w:rPr>
                <w:rFonts w:hint="eastAsia" w:ascii="宋体" w:hAnsi="宋体" w:eastAsia="宋体" w:cs="宋体"/>
                <w:b/>
                <w:bCs/>
                <w:color w:val="auto"/>
                <w:sz w:val="21"/>
                <w:szCs w:val="21"/>
                <w:highlight w:val="none"/>
                <w:lang w:val="en-US" w:eastAsia="zh-CN"/>
              </w:rPr>
              <w:t>不符合招标文件要求，不得分的，不再补充评审超出部分业绩和</w:t>
            </w:r>
            <w:r>
              <w:rPr>
                <w:rFonts w:hint="eastAsia" w:hAnsi="宋体" w:cs="宋体"/>
                <w:b/>
                <w:bCs/>
                <w:color w:val="auto"/>
                <w:sz w:val="21"/>
                <w:szCs w:val="21"/>
                <w:highlight w:val="none"/>
                <w:lang w:val="en-US" w:eastAsia="zh-CN"/>
              </w:rPr>
              <w:t>荣誉</w:t>
            </w:r>
            <w:r>
              <w:rPr>
                <w:rFonts w:hint="eastAsia" w:ascii="宋体" w:hAnsi="宋体" w:eastAsia="宋体" w:cs="宋体"/>
                <w:b/>
                <w:bCs/>
                <w:color w:val="auto"/>
                <w:sz w:val="21"/>
                <w:szCs w:val="21"/>
                <w:highlight w:val="none"/>
                <w:lang w:val="en-US" w:eastAsia="zh-CN"/>
              </w:rPr>
              <w:t>。如：提供1个业绩和1个</w:t>
            </w:r>
            <w:r>
              <w:rPr>
                <w:rFonts w:hint="eastAsia" w:hAnsi="宋体" w:cs="宋体"/>
                <w:b/>
                <w:bCs/>
                <w:color w:val="auto"/>
                <w:sz w:val="21"/>
                <w:szCs w:val="21"/>
                <w:highlight w:val="none"/>
                <w:lang w:val="en-US" w:eastAsia="zh-CN"/>
              </w:rPr>
              <w:t>荣誉</w:t>
            </w:r>
            <w:r>
              <w:rPr>
                <w:rFonts w:hint="eastAsia" w:ascii="宋体" w:hAnsi="宋体" w:eastAsia="宋体" w:cs="宋体"/>
                <w:b/>
                <w:bCs/>
                <w:color w:val="auto"/>
                <w:sz w:val="21"/>
                <w:szCs w:val="21"/>
                <w:highlight w:val="none"/>
                <w:lang w:val="en-US" w:eastAsia="zh-CN"/>
              </w:rPr>
              <w:t>即得满分的，按照投标文件排序评审第一业绩和第一项</w:t>
            </w:r>
            <w:r>
              <w:rPr>
                <w:rFonts w:hint="eastAsia" w:hAnsi="宋体" w:cs="宋体"/>
                <w:b/>
                <w:bCs/>
                <w:color w:val="auto"/>
                <w:sz w:val="21"/>
                <w:szCs w:val="21"/>
                <w:highlight w:val="none"/>
                <w:lang w:val="en-US" w:eastAsia="zh-CN"/>
              </w:rPr>
              <w:t>荣誉</w:t>
            </w:r>
            <w:r>
              <w:rPr>
                <w:rFonts w:hint="eastAsia" w:ascii="宋体" w:hAnsi="宋体" w:eastAsia="宋体" w:cs="宋体"/>
                <w:b/>
                <w:bCs/>
                <w:color w:val="auto"/>
                <w:sz w:val="21"/>
                <w:szCs w:val="21"/>
                <w:highlight w:val="none"/>
                <w:lang w:val="en-US" w:eastAsia="zh-CN"/>
              </w:rPr>
              <w:t>，其余超出部分不再评审。</w:t>
            </w:r>
          </w:p>
        </w:tc>
      </w:tr>
    </w:tbl>
    <w:p w14:paraId="4BFD607E">
      <w:pPr>
        <w:spacing w:beforeLines="80" w:afterLines="80" w:line="440" w:lineRule="exact"/>
        <w:jc w:val="center"/>
        <w:rPr>
          <w:rFonts w:asci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二</w:t>
      </w:r>
      <w:r>
        <w:rPr>
          <w:rFonts w:hint="eastAsia" w:ascii="宋体" w:hAnsi="宋体" w:cs="宋体"/>
          <w:b/>
          <w:bCs/>
          <w:color w:val="auto"/>
          <w:sz w:val="24"/>
          <w:highlight w:val="none"/>
        </w:rPr>
        <w:t>）商务标评审</w:t>
      </w:r>
    </w:p>
    <w:tbl>
      <w:tblPr>
        <w:tblStyle w:val="45"/>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915"/>
        <w:gridCol w:w="945"/>
        <w:gridCol w:w="2158"/>
        <w:gridCol w:w="4727"/>
      </w:tblGrid>
      <w:tr w14:paraId="5ADBE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671" w:type="dxa"/>
            <w:gridSpan w:val="3"/>
            <w:vAlign w:val="center"/>
          </w:tcPr>
          <w:p w14:paraId="4F5BC017">
            <w:pPr>
              <w:spacing w:line="440" w:lineRule="exact"/>
              <w:jc w:val="center"/>
              <w:rPr>
                <w:rFonts w:ascii="宋体" w:cs="宋体"/>
                <w:b/>
                <w:bCs/>
                <w:color w:val="auto"/>
                <w:szCs w:val="21"/>
                <w:highlight w:val="none"/>
              </w:rPr>
            </w:pPr>
            <w:r>
              <w:rPr>
                <w:rFonts w:hint="eastAsia" w:ascii="宋体" w:hAnsi="宋体" w:cs="宋体"/>
                <w:b/>
                <w:bCs/>
                <w:color w:val="auto"/>
                <w:szCs w:val="21"/>
                <w:highlight w:val="none"/>
              </w:rPr>
              <w:t>条款号</w:t>
            </w:r>
          </w:p>
        </w:tc>
        <w:tc>
          <w:tcPr>
            <w:tcW w:w="2158" w:type="dxa"/>
            <w:vAlign w:val="center"/>
          </w:tcPr>
          <w:p w14:paraId="379C8498">
            <w:pPr>
              <w:spacing w:line="440" w:lineRule="exact"/>
              <w:jc w:val="center"/>
              <w:rPr>
                <w:rFonts w:ascii="宋体" w:cs="宋体"/>
                <w:b/>
                <w:bCs/>
                <w:color w:val="auto"/>
                <w:szCs w:val="21"/>
                <w:highlight w:val="none"/>
              </w:rPr>
            </w:pPr>
            <w:r>
              <w:rPr>
                <w:rFonts w:hint="eastAsia" w:ascii="宋体" w:hAnsi="宋体" w:cs="宋体"/>
                <w:b/>
                <w:bCs/>
                <w:color w:val="auto"/>
                <w:szCs w:val="21"/>
                <w:highlight w:val="none"/>
              </w:rPr>
              <w:t>评审因素</w:t>
            </w:r>
          </w:p>
        </w:tc>
        <w:tc>
          <w:tcPr>
            <w:tcW w:w="4727" w:type="dxa"/>
            <w:vAlign w:val="center"/>
          </w:tcPr>
          <w:p w14:paraId="52C97D3C">
            <w:pPr>
              <w:spacing w:line="440" w:lineRule="exact"/>
              <w:jc w:val="center"/>
              <w:rPr>
                <w:rFonts w:ascii="宋体" w:cs="宋体"/>
                <w:b/>
                <w:bCs/>
                <w:color w:val="auto"/>
                <w:szCs w:val="21"/>
                <w:highlight w:val="none"/>
              </w:rPr>
            </w:pPr>
            <w:r>
              <w:rPr>
                <w:rFonts w:hint="eastAsia" w:ascii="宋体" w:hAnsi="宋体" w:cs="宋体"/>
                <w:b/>
                <w:bCs/>
                <w:color w:val="auto"/>
                <w:szCs w:val="21"/>
                <w:highlight w:val="none"/>
              </w:rPr>
              <w:t>评审标准</w:t>
            </w:r>
          </w:p>
        </w:tc>
      </w:tr>
      <w:tr w14:paraId="3F823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11" w:type="dxa"/>
            <w:vMerge w:val="restart"/>
            <w:vAlign w:val="center"/>
          </w:tcPr>
          <w:p w14:paraId="2E895B28">
            <w:pPr>
              <w:spacing w:line="440" w:lineRule="exact"/>
              <w:jc w:val="center"/>
              <w:rPr>
                <w:rFonts w:ascii="宋体" w:cs="宋体"/>
                <w:color w:val="auto"/>
                <w:szCs w:val="21"/>
                <w:highlight w:val="none"/>
              </w:rPr>
            </w:pPr>
            <w:r>
              <w:rPr>
                <w:rFonts w:ascii="宋体" w:hAnsi="宋体" w:cs="宋体"/>
                <w:color w:val="auto"/>
                <w:szCs w:val="21"/>
                <w:highlight w:val="none"/>
              </w:rPr>
              <w:t>4.2.1</w:t>
            </w:r>
          </w:p>
        </w:tc>
        <w:tc>
          <w:tcPr>
            <w:tcW w:w="1860" w:type="dxa"/>
            <w:gridSpan w:val="2"/>
            <w:vMerge w:val="restart"/>
            <w:vAlign w:val="center"/>
          </w:tcPr>
          <w:p w14:paraId="6663CE83">
            <w:pPr>
              <w:spacing w:line="440" w:lineRule="exact"/>
              <w:jc w:val="center"/>
              <w:rPr>
                <w:rFonts w:ascii="宋体" w:cs="宋体"/>
                <w:color w:val="auto"/>
                <w:szCs w:val="21"/>
                <w:highlight w:val="none"/>
              </w:rPr>
            </w:pPr>
            <w:r>
              <w:rPr>
                <w:rFonts w:hint="eastAsia" w:ascii="宋体" w:hAnsi="宋体" w:cs="宋体"/>
                <w:color w:val="auto"/>
                <w:szCs w:val="21"/>
                <w:highlight w:val="none"/>
              </w:rPr>
              <w:t>形式评审标准</w:t>
            </w:r>
          </w:p>
        </w:tc>
        <w:tc>
          <w:tcPr>
            <w:tcW w:w="2158" w:type="dxa"/>
            <w:vAlign w:val="center"/>
          </w:tcPr>
          <w:p w14:paraId="53F33AEB">
            <w:pPr>
              <w:spacing w:line="440" w:lineRule="exact"/>
              <w:rPr>
                <w:rFonts w:ascii="宋体" w:cs="宋体"/>
                <w:color w:val="auto"/>
                <w:szCs w:val="21"/>
                <w:highlight w:val="none"/>
              </w:rPr>
            </w:pPr>
            <w:r>
              <w:rPr>
                <w:rFonts w:hint="eastAsia" w:ascii="宋体" w:hAnsi="宋体" w:cs="宋体"/>
                <w:color w:val="auto"/>
                <w:szCs w:val="21"/>
                <w:highlight w:val="none"/>
              </w:rPr>
              <w:t>投标函签字盖章</w:t>
            </w:r>
          </w:p>
        </w:tc>
        <w:tc>
          <w:tcPr>
            <w:tcW w:w="4727" w:type="dxa"/>
          </w:tcPr>
          <w:p w14:paraId="644B91EA">
            <w:pPr>
              <w:spacing w:line="440" w:lineRule="exact"/>
              <w:rPr>
                <w:rFonts w:ascii="宋体" w:cs="宋体"/>
                <w:color w:val="auto"/>
                <w:szCs w:val="21"/>
                <w:highlight w:val="none"/>
              </w:rPr>
            </w:pPr>
            <w:r>
              <w:rPr>
                <w:rFonts w:hint="eastAsia" w:ascii="宋体" w:hAnsi="宋体" w:cs="宋体"/>
                <w:color w:val="auto"/>
                <w:szCs w:val="21"/>
                <w:highlight w:val="none"/>
              </w:rPr>
              <w:t>有投标人及其法定代表人签章</w:t>
            </w:r>
          </w:p>
        </w:tc>
      </w:tr>
      <w:tr w14:paraId="5E8FD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11" w:type="dxa"/>
            <w:vMerge w:val="continue"/>
          </w:tcPr>
          <w:p w14:paraId="6FB4BE48">
            <w:pPr>
              <w:spacing w:line="440" w:lineRule="exact"/>
              <w:rPr>
                <w:rFonts w:ascii="宋体" w:cs="宋体"/>
                <w:color w:val="auto"/>
                <w:szCs w:val="21"/>
                <w:highlight w:val="none"/>
              </w:rPr>
            </w:pPr>
          </w:p>
        </w:tc>
        <w:tc>
          <w:tcPr>
            <w:tcW w:w="1860" w:type="dxa"/>
            <w:gridSpan w:val="2"/>
            <w:vMerge w:val="continue"/>
          </w:tcPr>
          <w:p w14:paraId="01F18B43">
            <w:pPr>
              <w:spacing w:line="440" w:lineRule="exact"/>
              <w:rPr>
                <w:rFonts w:ascii="宋体" w:cs="宋体"/>
                <w:color w:val="auto"/>
                <w:szCs w:val="21"/>
                <w:highlight w:val="none"/>
              </w:rPr>
            </w:pPr>
          </w:p>
        </w:tc>
        <w:tc>
          <w:tcPr>
            <w:tcW w:w="2158" w:type="dxa"/>
            <w:vAlign w:val="center"/>
          </w:tcPr>
          <w:p w14:paraId="7D30C25C">
            <w:pPr>
              <w:spacing w:line="440" w:lineRule="exact"/>
              <w:rPr>
                <w:rFonts w:ascii="宋体" w:cs="宋体"/>
                <w:color w:val="auto"/>
                <w:szCs w:val="21"/>
                <w:highlight w:val="none"/>
              </w:rPr>
            </w:pPr>
            <w:r>
              <w:rPr>
                <w:rFonts w:hint="eastAsia" w:ascii="宋体" w:hAnsi="宋体" w:cs="宋体"/>
                <w:color w:val="auto"/>
                <w:szCs w:val="21"/>
                <w:highlight w:val="none"/>
              </w:rPr>
              <w:t>投标文件格式</w:t>
            </w:r>
          </w:p>
        </w:tc>
        <w:tc>
          <w:tcPr>
            <w:tcW w:w="4727" w:type="dxa"/>
          </w:tcPr>
          <w:p w14:paraId="6B5495B2">
            <w:pPr>
              <w:spacing w:line="440" w:lineRule="exact"/>
              <w:jc w:val="left"/>
              <w:rPr>
                <w:rFonts w:ascii="宋体" w:cs="宋体"/>
                <w:color w:val="auto"/>
                <w:szCs w:val="21"/>
                <w:highlight w:val="none"/>
              </w:rPr>
            </w:pPr>
            <w:r>
              <w:rPr>
                <w:rFonts w:hint="eastAsia" w:ascii="宋体" w:hAnsi="宋体" w:cs="宋体"/>
                <w:color w:val="auto"/>
                <w:szCs w:val="21"/>
                <w:highlight w:val="none"/>
              </w:rPr>
              <w:t>符合第五章“投标文件格式”的要求</w:t>
            </w:r>
          </w:p>
        </w:tc>
      </w:tr>
      <w:tr w14:paraId="1186A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11" w:type="dxa"/>
            <w:vMerge w:val="continue"/>
          </w:tcPr>
          <w:p w14:paraId="5AA4A857">
            <w:pPr>
              <w:spacing w:line="440" w:lineRule="exact"/>
              <w:rPr>
                <w:rFonts w:ascii="宋体" w:cs="宋体"/>
                <w:color w:val="auto"/>
                <w:szCs w:val="21"/>
                <w:highlight w:val="none"/>
              </w:rPr>
            </w:pPr>
          </w:p>
        </w:tc>
        <w:tc>
          <w:tcPr>
            <w:tcW w:w="1860" w:type="dxa"/>
            <w:gridSpan w:val="2"/>
            <w:vMerge w:val="continue"/>
          </w:tcPr>
          <w:p w14:paraId="0C53A8DC">
            <w:pPr>
              <w:spacing w:line="440" w:lineRule="exact"/>
              <w:rPr>
                <w:rFonts w:ascii="宋体" w:cs="宋体"/>
                <w:color w:val="auto"/>
                <w:szCs w:val="21"/>
                <w:highlight w:val="none"/>
              </w:rPr>
            </w:pPr>
          </w:p>
        </w:tc>
        <w:tc>
          <w:tcPr>
            <w:tcW w:w="2158" w:type="dxa"/>
            <w:vAlign w:val="center"/>
          </w:tcPr>
          <w:p w14:paraId="58468A02">
            <w:pPr>
              <w:spacing w:line="440" w:lineRule="exact"/>
              <w:rPr>
                <w:rFonts w:ascii="宋体" w:cs="宋体"/>
                <w:color w:val="auto"/>
                <w:szCs w:val="21"/>
                <w:highlight w:val="none"/>
              </w:rPr>
            </w:pPr>
            <w:r>
              <w:rPr>
                <w:rFonts w:hint="eastAsia" w:ascii="宋体" w:hAnsi="宋体" w:cs="宋体"/>
                <w:color w:val="auto"/>
                <w:szCs w:val="21"/>
                <w:highlight w:val="none"/>
              </w:rPr>
              <w:t>报价唯一</w:t>
            </w:r>
          </w:p>
        </w:tc>
        <w:tc>
          <w:tcPr>
            <w:tcW w:w="4727" w:type="dxa"/>
          </w:tcPr>
          <w:p w14:paraId="32C9AAA8">
            <w:pPr>
              <w:spacing w:line="440" w:lineRule="exact"/>
              <w:jc w:val="left"/>
              <w:rPr>
                <w:rFonts w:ascii="宋体" w:cs="宋体"/>
                <w:color w:val="auto"/>
                <w:szCs w:val="21"/>
                <w:highlight w:val="none"/>
              </w:rPr>
            </w:pPr>
            <w:r>
              <w:rPr>
                <w:rFonts w:hint="eastAsia" w:ascii="宋体" w:hAnsi="宋体" w:cs="宋体"/>
                <w:color w:val="auto"/>
                <w:szCs w:val="21"/>
                <w:highlight w:val="none"/>
              </w:rPr>
              <w:t>只能有一个报价</w:t>
            </w:r>
          </w:p>
        </w:tc>
      </w:tr>
      <w:tr w14:paraId="1073A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11" w:type="dxa"/>
            <w:vMerge w:val="restart"/>
            <w:vAlign w:val="center"/>
          </w:tcPr>
          <w:p w14:paraId="4D422E04">
            <w:pPr>
              <w:spacing w:line="440" w:lineRule="exact"/>
              <w:jc w:val="center"/>
              <w:rPr>
                <w:rFonts w:ascii="宋体" w:cs="宋体"/>
                <w:color w:val="auto"/>
                <w:szCs w:val="21"/>
                <w:highlight w:val="none"/>
              </w:rPr>
            </w:pPr>
            <w:r>
              <w:rPr>
                <w:rFonts w:ascii="宋体" w:hAnsi="宋体" w:cs="宋体"/>
                <w:color w:val="auto"/>
                <w:szCs w:val="21"/>
                <w:highlight w:val="none"/>
              </w:rPr>
              <w:t>4.2.2</w:t>
            </w:r>
          </w:p>
        </w:tc>
        <w:tc>
          <w:tcPr>
            <w:tcW w:w="1860" w:type="dxa"/>
            <w:gridSpan w:val="2"/>
            <w:vMerge w:val="restart"/>
            <w:vAlign w:val="center"/>
          </w:tcPr>
          <w:p w14:paraId="1FF0A899">
            <w:pPr>
              <w:spacing w:line="440" w:lineRule="exact"/>
              <w:rPr>
                <w:rFonts w:ascii="宋体" w:cs="宋体"/>
                <w:color w:val="auto"/>
                <w:szCs w:val="21"/>
                <w:highlight w:val="none"/>
              </w:rPr>
            </w:pPr>
            <w:r>
              <w:rPr>
                <w:rFonts w:hint="eastAsia" w:ascii="宋体" w:hAnsi="宋体" w:cs="宋体"/>
                <w:color w:val="auto"/>
                <w:szCs w:val="21"/>
                <w:highlight w:val="none"/>
              </w:rPr>
              <w:t>响应性评审标准</w:t>
            </w:r>
          </w:p>
          <w:p w14:paraId="41B6C633">
            <w:pPr>
              <w:spacing w:line="440" w:lineRule="exact"/>
              <w:jc w:val="center"/>
              <w:rPr>
                <w:rFonts w:ascii="宋体" w:cs="宋体"/>
                <w:color w:val="auto"/>
                <w:szCs w:val="21"/>
                <w:highlight w:val="none"/>
              </w:rPr>
            </w:pPr>
          </w:p>
        </w:tc>
        <w:tc>
          <w:tcPr>
            <w:tcW w:w="2158" w:type="dxa"/>
            <w:vAlign w:val="center"/>
          </w:tcPr>
          <w:p w14:paraId="76BBCFB7">
            <w:pPr>
              <w:spacing w:line="440" w:lineRule="exact"/>
              <w:rPr>
                <w:rFonts w:ascii="宋体" w:cs="宋体"/>
                <w:color w:val="auto"/>
                <w:szCs w:val="21"/>
                <w:highlight w:val="none"/>
              </w:rPr>
            </w:pPr>
            <w:r>
              <w:rPr>
                <w:rFonts w:hint="eastAsia" w:ascii="宋体" w:hAnsi="宋体" w:cs="宋体"/>
                <w:color w:val="auto"/>
                <w:szCs w:val="21"/>
                <w:highlight w:val="none"/>
              </w:rPr>
              <w:t>服务期限</w:t>
            </w:r>
          </w:p>
        </w:tc>
        <w:tc>
          <w:tcPr>
            <w:tcW w:w="4727" w:type="dxa"/>
            <w:vAlign w:val="center"/>
          </w:tcPr>
          <w:p w14:paraId="3B5ADB0B">
            <w:pPr>
              <w:spacing w:line="440" w:lineRule="exact"/>
              <w:rPr>
                <w:rFonts w:ascii="宋体" w:cs="宋体"/>
                <w:color w:val="auto"/>
                <w:szCs w:val="21"/>
                <w:highlight w:val="none"/>
              </w:rPr>
            </w:pPr>
            <w:r>
              <w:rPr>
                <w:rFonts w:hint="eastAsia" w:ascii="宋体" w:hAnsi="宋体" w:cs="宋体"/>
                <w:color w:val="auto"/>
                <w:szCs w:val="21"/>
                <w:highlight w:val="none"/>
              </w:rPr>
              <w:t>符合投标须知前附表规定</w:t>
            </w:r>
          </w:p>
        </w:tc>
      </w:tr>
      <w:tr w14:paraId="2C4E7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11" w:type="dxa"/>
            <w:vMerge w:val="continue"/>
          </w:tcPr>
          <w:p w14:paraId="6C71BB1D">
            <w:pPr>
              <w:spacing w:line="440" w:lineRule="exact"/>
              <w:rPr>
                <w:rFonts w:ascii="宋体" w:cs="宋体"/>
                <w:color w:val="auto"/>
                <w:szCs w:val="21"/>
                <w:highlight w:val="none"/>
              </w:rPr>
            </w:pPr>
          </w:p>
        </w:tc>
        <w:tc>
          <w:tcPr>
            <w:tcW w:w="1860" w:type="dxa"/>
            <w:gridSpan w:val="2"/>
            <w:vMerge w:val="continue"/>
          </w:tcPr>
          <w:p w14:paraId="56A4E6F2">
            <w:pPr>
              <w:spacing w:line="440" w:lineRule="exact"/>
              <w:rPr>
                <w:rFonts w:ascii="宋体" w:cs="宋体"/>
                <w:color w:val="auto"/>
                <w:szCs w:val="21"/>
                <w:highlight w:val="none"/>
              </w:rPr>
            </w:pPr>
          </w:p>
        </w:tc>
        <w:tc>
          <w:tcPr>
            <w:tcW w:w="2158" w:type="dxa"/>
            <w:vAlign w:val="center"/>
          </w:tcPr>
          <w:p w14:paraId="6C11A206">
            <w:pPr>
              <w:spacing w:line="440" w:lineRule="exact"/>
              <w:rPr>
                <w:rFonts w:ascii="宋体" w:cs="宋体"/>
                <w:color w:val="auto"/>
                <w:szCs w:val="21"/>
                <w:highlight w:val="none"/>
              </w:rPr>
            </w:pPr>
            <w:r>
              <w:rPr>
                <w:rFonts w:hint="eastAsia" w:ascii="宋体" w:hAnsi="宋体" w:cs="宋体"/>
                <w:color w:val="auto"/>
                <w:szCs w:val="21"/>
                <w:highlight w:val="none"/>
              </w:rPr>
              <w:t>投标有效期</w:t>
            </w:r>
          </w:p>
        </w:tc>
        <w:tc>
          <w:tcPr>
            <w:tcW w:w="4727" w:type="dxa"/>
            <w:vAlign w:val="center"/>
          </w:tcPr>
          <w:p w14:paraId="2CEAD7B2">
            <w:pPr>
              <w:spacing w:line="440" w:lineRule="exact"/>
              <w:rPr>
                <w:rFonts w:ascii="宋体" w:cs="宋体"/>
                <w:color w:val="auto"/>
                <w:szCs w:val="21"/>
                <w:highlight w:val="none"/>
              </w:rPr>
            </w:pPr>
            <w:r>
              <w:rPr>
                <w:rFonts w:hint="eastAsia" w:ascii="宋体" w:hAnsi="宋体" w:cs="宋体"/>
                <w:color w:val="auto"/>
                <w:szCs w:val="21"/>
                <w:highlight w:val="none"/>
              </w:rPr>
              <w:t>符合投标须知前附表规定</w:t>
            </w:r>
          </w:p>
        </w:tc>
      </w:tr>
      <w:tr w14:paraId="63393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11" w:type="dxa"/>
            <w:vMerge w:val="continue"/>
          </w:tcPr>
          <w:p w14:paraId="5C25C698">
            <w:pPr>
              <w:spacing w:line="440" w:lineRule="exact"/>
              <w:rPr>
                <w:rFonts w:ascii="宋体" w:cs="宋体"/>
                <w:color w:val="auto"/>
                <w:szCs w:val="21"/>
                <w:highlight w:val="none"/>
              </w:rPr>
            </w:pPr>
          </w:p>
        </w:tc>
        <w:tc>
          <w:tcPr>
            <w:tcW w:w="1860" w:type="dxa"/>
            <w:gridSpan w:val="2"/>
            <w:vMerge w:val="continue"/>
          </w:tcPr>
          <w:p w14:paraId="12B67728">
            <w:pPr>
              <w:spacing w:line="440" w:lineRule="exact"/>
              <w:rPr>
                <w:rFonts w:ascii="宋体" w:cs="宋体"/>
                <w:color w:val="auto"/>
                <w:szCs w:val="21"/>
                <w:highlight w:val="none"/>
              </w:rPr>
            </w:pPr>
          </w:p>
        </w:tc>
        <w:tc>
          <w:tcPr>
            <w:tcW w:w="2158" w:type="dxa"/>
            <w:vAlign w:val="center"/>
          </w:tcPr>
          <w:p w14:paraId="153F9223">
            <w:pPr>
              <w:spacing w:line="440" w:lineRule="exact"/>
              <w:rPr>
                <w:rFonts w:ascii="宋体" w:cs="宋体"/>
                <w:color w:val="auto"/>
                <w:szCs w:val="21"/>
                <w:highlight w:val="none"/>
              </w:rPr>
            </w:pPr>
            <w:r>
              <w:rPr>
                <w:rFonts w:hint="eastAsia" w:ascii="宋体" w:hAnsi="宋体" w:cs="宋体"/>
                <w:color w:val="auto"/>
                <w:szCs w:val="21"/>
                <w:highlight w:val="none"/>
              </w:rPr>
              <w:t>工程质量</w:t>
            </w:r>
          </w:p>
        </w:tc>
        <w:tc>
          <w:tcPr>
            <w:tcW w:w="4727" w:type="dxa"/>
            <w:vAlign w:val="center"/>
          </w:tcPr>
          <w:p w14:paraId="754ABE6F">
            <w:pPr>
              <w:spacing w:line="440" w:lineRule="exact"/>
              <w:rPr>
                <w:rFonts w:ascii="宋体" w:cs="宋体"/>
                <w:color w:val="auto"/>
                <w:szCs w:val="21"/>
                <w:highlight w:val="none"/>
              </w:rPr>
            </w:pPr>
            <w:r>
              <w:rPr>
                <w:rFonts w:hint="eastAsia" w:ascii="宋体" w:hAnsi="宋体" w:cs="宋体"/>
                <w:color w:val="auto"/>
                <w:szCs w:val="21"/>
                <w:highlight w:val="none"/>
              </w:rPr>
              <w:t>符合投标须知前附表规定</w:t>
            </w:r>
          </w:p>
        </w:tc>
      </w:tr>
      <w:tr w14:paraId="4A696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11" w:type="dxa"/>
            <w:vMerge w:val="continue"/>
          </w:tcPr>
          <w:p w14:paraId="186E12B0">
            <w:pPr>
              <w:spacing w:line="440" w:lineRule="exact"/>
              <w:rPr>
                <w:rFonts w:ascii="宋体" w:cs="宋体"/>
                <w:color w:val="auto"/>
                <w:szCs w:val="21"/>
                <w:highlight w:val="none"/>
              </w:rPr>
            </w:pPr>
          </w:p>
        </w:tc>
        <w:tc>
          <w:tcPr>
            <w:tcW w:w="1860" w:type="dxa"/>
            <w:gridSpan w:val="2"/>
            <w:vMerge w:val="continue"/>
          </w:tcPr>
          <w:p w14:paraId="45DC7BF8">
            <w:pPr>
              <w:spacing w:line="440" w:lineRule="exact"/>
              <w:rPr>
                <w:rFonts w:ascii="宋体" w:cs="宋体"/>
                <w:color w:val="auto"/>
                <w:szCs w:val="21"/>
                <w:highlight w:val="none"/>
              </w:rPr>
            </w:pPr>
          </w:p>
        </w:tc>
        <w:tc>
          <w:tcPr>
            <w:tcW w:w="2158" w:type="dxa"/>
            <w:vAlign w:val="center"/>
          </w:tcPr>
          <w:p w14:paraId="61FB87DE">
            <w:pPr>
              <w:spacing w:line="440" w:lineRule="exact"/>
              <w:rPr>
                <w:rFonts w:ascii="宋体" w:cs="宋体"/>
                <w:color w:val="auto"/>
                <w:szCs w:val="21"/>
                <w:highlight w:val="none"/>
              </w:rPr>
            </w:pPr>
            <w:r>
              <w:rPr>
                <w:rFonts w:hint="eastAsia" w:ascii="宋体" w:hAnsi="宋体" w:cs="宋体"/>
                <w:color w:val="auto"/>
                <w:szCs w:val="21"/>
                <w:highlight w:val="none"/>
              </w:rPr>
              <w:t>投标文件内容</w:t>
            </w:r>
          </w:p>
        </w:tc>
        <w:tc>
          <w:tcPr>
            <w:tcW w:w="4727" w:type="dxa"/>
            <w:vAlign w:val="center"/>
          </w:tcPr>
          <w:p w14:paraId="31BADD6E">
            <w:pPr>
              <w:spacing w:line="440" w:lineRule="exact"/>
              <w:rPr>
                <w:rFonts w:ascii="宋体" w:cs="宋体"/>
                <w:color w:val="auto"/>
                <w:szCs w:val="21"/>
                <w:highlight w:val="none"/>
              </w:rPr>
            </w:pPr>
            <w:r>
              <w:rPr>
                <w:rFonts w:hint="eastAsia" w:ascii="宋体" w:hAnsi="宋体" w:cs="宋体"/>
                <w:color w:val="auto"/>
                <w:szCs w:val="21"/>
                <w:highlight w:val="none"/>
              </w:rPr>
              <w:t>符合投标须知前附表规定</w:t>
            </w:r>
          </w:p>
        </w:tc>
      </w:tr>
      <w:tr w14:paraId="0DD9F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11" w:type="dxa"/>
            <w:vMerge w:val="continue"/>
          </w:tcPr>
          <w:p w14:paraId="423BCCF5">
            <w:pPr>
              <w:spacing w:line="440" w:lineRule="exact"/>
              <w:rPr>
                <w:rFonts w:ascii="宋体" w:cs="宋体"/>
                <w:color w:val="auto"/>
                <w:szCs w:val="21"/>
                <w:highlight w:val="none"/>
              </w:rPr>
            </w:pPr>
          </w:p>
        </w:tc>
        <w:tc>
          <w:tcPr>
            <w:tcW w:w="1860" w:type="dxa"/>
            <w:gridSpan w:val="2"/>
            <w:vMerge w:val="continue"/>
          </w:tcPr>
          <w:p w14:paraId="34113177">
            <w:pPr>
              <w:spacing w:line="440" w:lineRule="exact"/>
              <w:rPr>
                <w:rFonts w:ascii="宋体" w:cs="宋体"/>
                <w:color w:val="auto"/>
                <w:szCs w:val="21"/>
                <w:highlight w:val="none"/>
              </w:rPr>
            </w:pPr>
          </w:p>
        </w:tc>
        <w:tc>
          <w:tcPr>
            <w:tcW w:w="2158" w:type="dxa"/>
            <w:vAlign w:val="center"/>
          </w:tcPr>
          <w:p w14:paraId="1C19E3D6">
            <w:pPr>
              <w:spacing w:line="440" w:lineRule="exact"/>
              <w:rPr>
                <w:rFonts w:ascii="宋体" w:cs="宋体"/>
                <w:color w:val="auto"/>
                <w:szCs w:val="21"/>
                <w:highlight w:val="none"/>
              </w:rPr>
            </w:pPr>
            <w:r>
              <w:rPr>
                <w:rFonts w:hint="eastAsia" w:ascii="宋体" w:hAnsi="宋体" w:cs="宋体"/>
                <w:color w:val="auto"/>
                <w:szCs w:val="21"/>
                <w:highlight w:val="none"/>
              </w:rPr>
              <w:t>投标报价（费率）</w:t>
            </w:r>
          </w:p>
        </w:tc>
        <w:tc>
          <w:tcPr>
            <w:tcW w:w="4727" w:type="dxa"/>
            <w:vAlign w:val="center"/>
          </w:tcPr>
          <w:p w14:paraId="09B5569B">
            <w:pPr>
              <w:spacing w:line="440" w:lineRule="exact"/>
              <w:rPr>
                <w:rFonts w:ascii="宋体" w:cs="宋体"/>
                <w:color w:val="auto"/>
                <w:szCs w:val="21"/>
                <w:highlight w:val="none"/>
              </w:rPr>
            </w:pPr>
            <w:r>
              <w:rPr>
                <w:rFonts w:hint="eastAsia" w:ascii="宋体" w:hAnsi="宋体" w:cs="宋体"/>
                <w:color w:val="auto"/>
                <w:szCs w:val="21"/>
                <w:highlight w:val="none"/>
              </w:rPr>
              <w:t>不高于最高投标限价（费率）</w:t>
            </w:r>
          </w:p>
        </w:tc>
      </w:tr>
      <w:tr w14:paraId="79165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726" w:type="dxa"/>
            <w:gridSpan w:val="2"/>
            <w:vAlign w:val="center"/>
          </w:tcPr>
          <w:p w14:paraId="5FE79BAB">
            <w:pPr>
              <w:spacing w:line="440" w:lineRule="exact"/>
              <w:ind w:right="252" w:rightChars="120"/>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rPr>
              <w:t>报价（费率）（</w:t>
            </w:r>
            <w:r>
              <w:rPr>
                <w:rFonts w:hint="eastAsia" w:ascii="宋体" w:hAnsi="宋体" w:cs="宋体"/>
                <w:bCs/>
                <w:color w:val="auto"/>
                <w:szCs w:val="21"/>
                <w:highlight w:val="none"/>
                <w:lang w:val="en-US" w:eastAsia="zh-CN"/>
              </w:rPr>
              <w:t>88分）</w:t>
            </w:r>
          </w:p>
          <w:p w14:paraId="251E9E01">
            <w:pPr>
              <w:spacing w:line="440" w:lineRule="exact"/>
              <w:ind w:right="252" w:rightChars="120"/>
              <w:jc w:val="center"/>
              <w:rPr>
                <w:rFonts w:ascii="宋体" w:cs="宋体"/>
                <w:bCs/>
                <w:color w:val="auto"/>
                <w:szCs w:val="21"/>
                <w:highlight w:val="none"/>
              </w:rPr>
            </w:pPr>
            <w:r>
              <w:rPr>
                <w:rFonts w:hint="eastAsia" w:ascii="宋体" w:hAnsi="宋体" w:cs="宋体"/>
                <w:bCs/>
                <w:color w:val="auto"/>
                <w:szCs w:val="21"/>
                <w:highlight w:val="none"/>
                <w:lang w:val="en-US" w:eastAsia="zh-CN"/>
              </w:rPr>
              <w:t>注：</w:t>
            </w:r>
            <w:r>
              <w:rPr>
                <w:rFonts w:hint="eastAsia" w:ascii="宋体" w:hAnsi="宋体" w:cs="宋体"/>
                <w:bCs/>
                <w:color w:val="auto"/>
                <w:szCs w:val="21"/>
                <w:highlight w:val="none"/>
              </w:rPr>
              <w:t>基本分20分+竞争分</w:t>
            </w:r>
            <w:r>
              <w:rPr>
                <w:rFonts w:hint="eastAsia" w:ascii="宋体" w:hAnsi="宋体" w:cs="宋体"/>
                <w:bCs/>
                <w:color w:val="auto"/>
                <w:szCs w:val="21"/>
                <w:highlight w:val="none"/>
                <w:lang w:val="en-US" w:eastAsia="zh-CN"/>
              </w:rPr>
              <w:t>68</w:t>
            </w:r>
            <w:r>
              <w:rPr>
                <w:rFonts w:hint="eastAsia" w:ascii="宋体" w:hAnsi="宋体" w:cs="宋体"/>
                <w:bCs/>
                <w:color w:val="auto"/>
                <w:szCs w:val="21"/>
                <w:highlight w:val="none"/>
              </w:rPr>
              <w:t>分</w:t>
            </w:r>
          </w:p>
        </w:tc>
        <w:tc>
          <w:tcPr>
            <w:tcW w:w="7830" w:type="dxa"/>
            <w:gridSpan w:val="3"/>
            <w:vAlign w:val="center"/>
          </w:tcPr>
          <w:p w14:paraId="10B6D3BF">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1.评标基准价计算方法：</w:t>
            </w:r>
          </w:p>
          <w:p w14:paraId="64EB8EB4">
            <w:pPr>
              <w:pStyle w:val="2"/>
              <w:ind w:left="0" w:leftChars="0" w:firstLine="0" w:firstLineChars="0"/>
              <w:rPr>
                <w:rFonts w:hint="default"/>
                <w:color w:val="auto"/>
                <w:highlight w:val="none"/>
                <w:lang w:val="en-US" w:eastAsia="zh-CN"/>
              </w:rPr>
            </w:pPr>
            <w:r>
              <w:rPr>
                <w:rFonts w:hint="default"/>
                <w:color w:val="auto"/>
                <w:highlight w:val="none"/>
                <w:lang w:val="en-US" w:eastAsia="zh-CN"/>
              </w:rPr>
              <w:t>（1）投标报价不得高于最高投标限价，高于最高投标限价的为无效标；</w:t>
            </w:r>
          </w:p>
          <w:p w14:paraId="3AC067D0">
            <w:pPr>
              <w:pStyle w:val="2"/>
              <w:ind w:left="0" w:leftChars="0" w:firstLine="0" w:firstLineChars="0"/>
              <w:rPr>
                <w:rFonts w:hint="default"/>
                <w:color w:val="auto"/>
                <w:highlight w:val="none"/>
                <w:lang w:val="en-US" w:eastAsia="zh-CN"/>
              </w:rPr>
            </w:pPr>
            <w:r>
              <w:rPr>
                <w:rFonts w:hint="default"/>
                <w:color w:val="auto"/>
                <w:highlight w:val="none"/>
                <w:lang w:val="en-US" w:eastAsia="zh-CN"/>
              </w:rPr>
              <w:t>（2）</w:t>
            </w:r>
            <w:r>
              <w:rPr>
                <w:rFonts w:hint="eastAsia"/>
                <w:color w:val="auto"/>
                <w:highlight w:val="none"/>
                <w:lang w:val="en-US" w:eastAsia="zh-CN"/>
              </w:rPr>
              <w:t>入围第二阶段</w:t>
            </w:r>
            <w:r>
              <w:rPr>
                <w:rFonts w:hint="default"/>
                <w:color w:val="auto"/>
                <w:highlight w:val="none"/>
                <w:lang w:val="en-US" w:eastAsia="zh-CN"/>
              </w:rPr>
              <w:t>且投标报价不高于最高投标限价的所有</w:t>
            </w:r>
            <w:r>
              <w:rPr>
                <w:rFonts w:hint="eastAsia"/>
                <w:color w:val="auto"/>
                <w:highlight w:val="none"/>
                <w:lang w:val="en-US" w:eastAsia="zh-CN"/>
              </w:rPr>
              <w:t>入围的有效</w:t>
            </w:r>
            <w:r>
              <w:rPr>
                <w:rFonts w:hint="default"/>
                <w:color w:val="auto"/>
                <w:highlight w:val="none"/>
                <w:lang w:val="en-US" w:eastAsia="zh-CN"/>
              </w:rPr>
              <w:t>投标报价平均值（A1）乘以0.90得到修正值（B1），低于B1值（不含B1值）的报价视为可能影响合同履行的异常低价，异常低价按无效投标处理，其投标报价不参与评标基准价及平均值等的计算；</w:t>
            </w:r>
          </w:p>
          <w:p w14:paraId="79A1AD10">
            <w:pPr>
              <w:pStyle w:val="2"/>
              <w:ind w:left="0" w:leftChars="0" w:firstLine="0" w:firstLineChars="0"/>
              <w:rPr>
                <w:rFonts w:hint="default"/>
                <w:color w:val="auto"/>
                <w:highlight w:val="none"/>
                <w:lang w:val="en-US" w:eastAsia="zh-CN"/>
              </w:rPr>
            </w:pPr>
            <w:r>
              <w:rPr>
                <w:rFonts w:hint="default"/>
                <w:color w:val="auto"/>
                <w:highlight w:val="none"/>
                <w:lang w:val="en-US" w:eastAsia="zh-CN"/>
              </w:rPr>
              <w:t>（3）去除无效投标报价的各有效</w:t>
            </w:r>
            <w:r>
              <w:rPr>
                <w:rFonts w:hint="eastAsia"/>
                <w:color w:val="auto"/>
                <w:highlight w:val="none"/>
                <w:lang w:val="en-US" w:eastAsia="zh-CN"/>
              </w:rPr>
              <w:t>入围</w:t>
            </w:r>
            <w:r>
              <w:rPr>
                <w:rFonts w:hint="default"/>
                <w:color w:val="auto"/>
                <w:highlight w:val="none"/>
                <w:lang w:val="en-US" w:eastAsia="zh-CN"/>
              </w:rPr>
              <w:t>投标人的投标报价算术平均值（A2），大于A2值的所有有效</w:t>
            </w:r>
            <w:r>
              <w:rPr>
                <w:rFonts w:hint="eastAsia"/>
                <w:color w:val="auto"/>
                <w:highlight w:val="none"/>
                <w:lang w:val="en-US" w:eastAsia="zh-CN"/>
              </w:rPr>
              <w:t>入围</w:t>
            </w:r>
            <w:r>
              <w:rPr>
                <w:rFonts w:hint="default"/>
                <w:color w:val="auto"/>
                <w:highlight w:val="none"/>
                <w:lang w:val="en-US" w:eastAsia="zh-CN"/>
              </w:rPr>
              <w:t>投标报价为一组，计算该组报价的算术平均值（A3）；低于A2值（含A2值）的所有有效</w:t>
            </w:r>
            <w:r>
              <w:rPr>
                <w:rFonts w:hint="eastAsia"/>
                <w:color w:val="auto"/>
                <w:highlight w:val="none"/>
                <w:lang w:val="en-US" w:eastAsia="zh-CN"/>
              </w:rPr>
              <w:t>入围</w:t>
            </w:r>
            <w:r>
              <w:rPr>
                <w:rFonts w:hint="default"/>
                <w:color w:val="auto"/>
                <w:highlight w:val="none"/>
                <w:lang w:val="en-US" w:eastAsia="zh-CN"/>
              </w:rPr>
              <w:t>投标报价为另一组，计算该组报价的算术平均值（A4）。评标基准价J值按下列公式计算：</w:t>
            </w:r>
          </w:p>
          <w:p w14:paraId="0B825071">
            <w:pPr>
              <w:pStyle w:val="2"/>
              <w:ind w:left="0" w:leftChars="0" w:firstLine="0" w:firstLineChars="0"/>
              <w:rPr>
                <w:rFonts w:hint="default"/>
                <w:color w:val="auto"/>
                <w:highlight w:val="none"/>
                <w:lang w:val="en-US" w:eastAsia="zh-CN"/>
              </w:rPr>
            </w:pPr>
            <w:r>
              <w:rPr>
                <w:rFonts w:hint="default"/>
                <w:color w:val="auto"/>
                <w:highlight w:val="none"/>
                <w:lang w:val="en-US" w:eastAsia="zh-CN"/>
              </w:rPr>
              <w:t>J=最高投标限价×K1+A3×K2+A4×K3</w:t>
            </w:r>
          </w:p>
          <w:p w14:paraId="0023C647">
            <w:pPr>
              <w:pStyle w:val="2"/>
              <w:ind w:left="0" w:leftChars="0" w:firstLine="0" w:firstLineChars="0"/>
              <w:rPr>
                <w:rFonts w:hint="default"/>
                <w:color w:val="auto"/>
                <w:highlight w:val="none"/>
                <w:lang w:val="en-US" w:eastAsia="zh-CN"/>
              </w:rPr>
            </w:pPr>
            <w:r>
              <w:rPr>
                <w:rFonts w:hint="default"/>
                <w:color w:val="auto"/>
                <w:highlight w:val="none"/>
                <w:lang w:val="en-US" w:eastAsia="zh-CN"/>
              </w:rPr>
              <w:t>注：K1取30%-40%任一百分号前整数值，K2取30%-40%任一百分号前整数值，K3=1-K1-K2；K1、K2值开标现场随机抽取产生。</w:t>
            </w:r>
          </w:p>
          <w:p w14:paraId="0B6F047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2.根据各有效入围投标人的投标报价与评标基准价的差别进行评分。</w:t>
            </w:r>
          </w:p>
          <w:p w14:paraId="6310E68F">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（1）有效入围投标人报价不高于最高投标限价且不低于修正值（B1）的得20分，否则不得分；</w:t>
            </w:r>
          </w:p>
          <w:p w14:paraId="6262022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（2）当有效入围投标人报价高于评标基准价，每高0.1‰扣0.2分（计算公式为68-（投标报价-评标基准价）×0.2×10000），扣完68分为止。</w:t>
            </w:r>
          </w:p>
          <w:p w14:paraId="2E05A15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当有效入围投标人报价低于评标基准价，每低0.1‰扣0.2分（计算公式为68-（评标基准价-投标报价）×0.2×10000），扣完68分为止。</w:t>
            </w:r>
          </w:p>
          <w:p w14:paraId="70AE74E8">
            <w:pPr>
              <w:keepNext w:val="0"/>
              <w:keepLines w:val="0"/>
              <w:pageBreakBefore w:val="0"/>
              <w:widowControl w:val="0"/>
              <w:kinsoku/>
              <w:wordWrap/>
              <w:overflowPunct/>
              <w:topLinePunct w:val="0"/>
              <w:autoSpaceDE/>
              <w:autoSpaceDN/>
              <w:bidi w:val="0"/>
              <w:adjustRightInd/>
              <w:snapToGrid/>
              <w:spacing w:line="500" w:lineRule="exact"/>
              <w:jc w:val="left"/>
              <w:textAlignment w:val="auto"/>
              <w:rPr>
                <w:color w:val="auto"/>
                <w:highlight w:val="none"/>
              </w:rPr>
            </w:pPr>
            <w:r>
              <w:rPr>
                <w:rFonts w:hint="eastAsia" w:ascii="宋体" w:hAnsi="宋体" w:cs="宋体"/>
                <w:color w:val="auto"/>
                <w:highlight w:val="none"/>
                <w:lang w:val="en-US" w:eastAsia="zh-CN"/>
              </w:rPr>
              <w:t>注：按计算公式计算出的结果保留小数点后两位。</w:t>
            </w:r>
          </w:p>
        </w:tc>
      </w:tr>
    </w:tbl>
    <w:p w14:paraId="695DEDF4">
      <w:pPr>
        <w:pStyle w:val="7"/>
        <w:spacing w:beforeLines="50" w:afterLines="50"/>
        <w:ind w:firstLine="422" w:firstLineChars="200"/>
        <w:rPr>
          <w:rFonts w:ascii="宋体" w:hAnsi="宋体" w:eastAsia="宋体" w:cs="宋体"/>
          <w:color w:val="auto"/>
          <w:highlight w:val="none"/>
        </w:rPr>
      </w:pPr>
      <w:bookmarkStart w:id="688" w:name="_Toc246996232"/>
      <w:bookmarkStart w:id="689" w:name="_Toc144974556"/>
      <w:bookmarkStart w:id="690" w:name="_Toc506107324"/>
      <w:bookmarkStart w:id="691" w:name="_Toc247085747"/>
      <w:bookmarkStart w:id="692" w:name="_Toc152042366"/>
      <w:bookmarkStart w:id="693" w:name="_Toc35425113"/>
      <w:bookmarkStart w:id="694" w:name="_Toc246996975"/>
      <w:bookmarkStart w:id="695" w:name="_Toc152045589"/>
      <w:bookmarkStart w:id="696" w:name="_Toc35424947"/>
      <w:bookmarkStart w:id="697" w:name="_Toc15058913"/>
      <w:bookmarkStart w:id="698" w:name="_Toc179632607"/>
      <w:bookmarkStart w:id="699" w:name="_Toc6491"/>
      <w:bookmarkStart w:id="700" w:name="_Toc324404872"/>
      <w:r>
        <w:rPr>
          <w:rFonts w:ascii="宋体" w:hAnsi="宋体" w:eastAsia="宋体" w:cs="宋体"/>
          <w:color w:val="auto"/>
          <w:highlight w:val="none"/>
        </w:rPr>
        <w:t xml:space="preserve">1. </w:t>
      </w:r>
      <w:r>
        <w:rPr>
          <w:rFonts w:hint="eastAsia" w:ascii="宋体" w:hAnsi="宋体" w:eastAsia="宋体" w:cs="宋体"/>
          <w:color w:val="auto"/>
          <w:highlight w:val="none"/>
        </w:rPr>
        <w:t>评标方法</w:t>
      </w:r>
      <w:bookmarkEnd w:id="688"/>
      <w:bookmarkEnd w:id="689"/>
      <w:bookmarkEnd w:id="690"/>
      <w:bookmarkEnd w:id="691"/>
      <w:bookmarkEnd w:id="692"/>
      <w:bookmarkEnd w:id="693"/>
      <w:bookmarkEnd w:id="694"/>
      <w:bookmarkEnd w:id="695"/>
      <w:bookmarkEnd w:id="696"/>
      <w:bookmarkEnd w:id="697"/>
      <w:bookmarkEnd w:id="698"/>
      <w:bookmarkEnd w:id="699"/>
      <w:bookmarkEnd w:id="700"/>
    </w:p>
    <w:p w14:paraId="3359FEEA">
      <w:pPr>
        <w:snapToGrid w:val="0"/>
        <w:spacing w:line="440" w:lineRule="exact"/>
        <w:ind w:right="252" w:rightChars="120" w:firstLine="420" w:firstLineChars="200"/>
        <w:jc w:val="left"/>
        <w:rPr>
          <w:rFonts w:ascii="宋体" w:cs="宋体"/>
          <w:color w:val="auto"/>
          <w:szCs w:val="21"/>
          <w:highlight w:val="none"/>
        </w:rPr>
      </w:pPr>
      <w:bookmarkStart w:id="701" w:name="_Toc324404873"/>
      <w:bookmarkStart w:id="702" w:name="_Toc152045590"/>
      <w:bookmarkStart w:id="703" w:name="_Toc246996233"/>
      <w:bookmarkStart w:id="704" w:name="_Toc144974557"/>
      <w:bookmarkStart w:id="705" w:name="_Toc152042367"/>
      <w:bookmarkStart w:id="706" w:name="_Toc246996976"/>
      <w:bookmarkStart w:id="707" w:name="_Toc247085748"/>
      <w:bookmarkStart w:id="708" w:name="_Toc296602478"/>
      <w:bookmarkStart w:id="709" w:name="_Toc179632608"/>
      <w:r>
        <w:rPr>
          <w:rFonts w:hint="eastAsia" w:ascii="宋体" w:hAnsi="宋体" w:cs="宋体"/>
          <w:color w:val="auto"/>
          <w:szCs w:val="21"/>
          <w:highlight w:val="none"/>
        </w:rPr>
        <w:t>本次评标采用综合评</w:t>
      </w:r>
      <w:r>
        <w:rPr>
          <w:rFonts w:hint="eastAsia" w:ascii="宋体" w:hAnsi="宋体" w:cs="宋体"/>
          <w:color w:val="auto"/>
          <w:szCs w:val="21"/>
          <w:highlight w:val="none"/>
          <w:lang w:val="en-US" w:eastAsia="zh-CN"/>
        </w:rPr>
        <w:t>分</w:t>
      </w:r>
      <w:r>
        <w:rPr>
          <w:rFonts w:hint="eastAsia" w:ascii="宋体" w:hAnsi="宋体" w:cs="宋体"/>
          <w:color w:val="auto"/>
          <w:szCs w:val="21"/>
          <w:highlight w:val="none"/>
        </w:rPr>
        <w:t>法。评标委员会对满足招标文件实质性要求的投标文件，按照本章规定的评分标准进行打分，并按总得分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资信及商务得分之和</w:t>
      </w:r>
      <w:r>
        <w:rPr>
          <w:rFonts w:hint="eastAsia" w:ascii="宋体" w:hAnsi="宋体" w:cs="宋体"/>
          <w:color w:val="auto"/>
          <w:szCs w:val="21"/>
          <w:highlight w:val="none"/>
          <w:lang w:eastAsia="zh-CN"/>
        </w:rPr>
        <w:t>）</w:t>
      </w:r>
      <w:r>
        <w:rPr>
          <w:rFonts w:hint="eastAsia" w:ascii="宋体" w:hAnsi="宋体" w:cs="宋体"/>
          <w:color w:val="auto"/>
          <w:szCs w:val="21"/>
          <w:highlight w:val="none"/>
        </w:rPr>
        <w:t>由高到低顺序推荐中标候选人应当不超过</w:t>
      </w:r>
      <w:r>
        <w:rPr>
          <w:rFonts w:ascii="宋体" w:hAnsi="宋体" w:cs="宋体"/>
          <w:color w:val="auto"/>
          <w:szCs w:val="21"/>
          <w:highlight w:val="none"/>
        </w:rPr>
        <w:t>3</w:t>
      </w:r>
      <w:r>
        <w:rPr>
          <w:rFonts w:hint="eastAsia" w:ascii="宋体" w:hAnsi="宋体" w:cs="宋体"/>
          <w:color w:val="auto"/>
          <w:szCs w:val="21"/>
          <w:highlight w:val="none"/>
        </w:rPr>
        <w:t>名，并标明排序（本项目推荐</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名中标候选人），但投标报价低于其成本的除外。总评分相等时，以投标报价低的优先；若投标报价也相等，由招标人或评标委员会主任委员抽签确定。</w:t>
      </w:r>
      <w:r>
        <w:rPr>
          <w:rFonts w:ascii="宋体" w:hAnsi="宋体" w:cs="宋体"/>
          <w:color w:val="auto"/>
          <w:szCs w:val="21"/>
          <w:highlight w:val="none"/>
        </w:rPr>
        <w:t xml:space="preserve"> </w:t>
      </w:r>
    </w:p>
    <w:p w14:paraId="29058AC2">
      <w:pPr>
        <w:snapToGrid w:val="0"/>
        <w:spacing w:line="440" w:lineRule="exact"/>
        <w:ind w:right="252" w:rightChars="120" w:firstLine="420" w:firstLineChars="200"/>
        <w:jc w:val="left"/>
        <w:rPr>
          <w:rFonts w:hint="eastAsia" w:ascii="宋体" w:hAnsi="宋体" w:cs="宋体"/>
          <w:color w:val="auto"/>
          <w:szCs w:val="21"/>
          <w:highlight w:val="none"/>
        </w:rPr>
      </w:pPr>
      <w:bookmarkStart w:id="710" w:name="_Toc35425114"/>
      <w:bookmarkStart w:id="711" w:name="_Toc11945"/>
      <w:bookmarkStart w:id="712" w:name="_Toc35424948"/>
      <w:bookmarkStart w:id="713" w:name="_Toc15058914"/>
      <w:bookmarkStart w:id="714" w:name="_Toc506107325"/>
      <w:r>
        <w:rPr>
          <w:rFonts w:hint="eastAsia" w:ascii="宋体" w:hAnsi="宋体" w:cs="宋体"/>
          <w:color w:val="auto"/>
          <w:szCs w:val="21"/>
          <w:highlight w:val="none"/>
        </w:rPr>
        <w:t>在专家评审结束后，根据评标委员会评审初步结论，由项目单位（代理机构）对预中标候选人、法定代表人及其项目</w:t>
      </w:r>
      <w:r>
        <w:rPr>
          <w:rFonts w:hint="eastAsia" w:ascii="宋体" w:hAnsi="宋体" w:cs="宋体"/>
          <w:color w:val="auto"/>
          <w:szCs w:val="21"/>
          <w:highlight w:val="none"/>
          <w:lang w:val="en-US" w:eastAsia="zh-CN"/>
        </w:rPr>
        <w:t>负责人</w:t>
      </w:r>
      <w:r>
        <w:rPr>
          <w:rFonts w:hint="eastAsia" w:ascii="宋体" w:hAnsi="宋体" w:cs="宋体"/>
          <w:color w:val="auto"/>
          <w:szCs w:val="21"/>
          <w:highlight w:val="none"/>
        </w:rPr>
        <w:t>是否存在</w:t>
      </w:r>
      <w:r>
        <w:rPr>
          <w:rFonts w:hint="eastAsia" w:ascii="宋体" w:hAnsi="宋体" w:cs="宋体"/>
          <w:color w:val="auto"/>
          <w:szCs w:val="21"/>
          <w:highlight w:val="none"/>
          <w:lang w:val="en-US" w:eastAsia="zh-CN"/>
        </w:rPr>
        <w:t>招标文件</w:t>
      </w:r>
      <w:r>
        <w:rPr>
          <w:rFonts w:hint="eastAsia" w:ascii="宋体" w:hAnsi="宋体" w:cs="宋体"/>
          <w:color w:val="auto"/>
          <w:szCs w:val="21"/>
          <w:highlight w:val="none"/>
        </w:rPr>
        <w:t>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值。</w:t>
      </w:r>
    </w:p>
    <w:p w14:paraId="2E05E5B1">
      <w:pPr>
        <w:pStyle w:val="7"/>
        <w:spacing w:beforeLines="50" w:afterLines="50"/>
        <w:ind w:firstLine="422" w:firstLineChars="200"/>
        <w:rPr>
          <w:rFonts w:ascii="宋体" w:hAnsi="宋体" w:eastAsia="宋体" w:cs="宋体"/>
          <w:color w:val="auto"/>
          <w:highlight w:val="none"/>
        </w:rPr>
      </w:pPr>
      <w:r>
        <w:rPr>
          <w:rFonts w:ascii="宋体" w:hAnsi="宋体" w:eastAsia="宋体" w:cs="宋体"/>
          <w:color w:val="auto"/>
          <w:highlight w:val="none"/>
        </w:rPr>
        <w:t>2.</w:t>
      </w:r>
      <w:r>
        <w:rPr>
          <w:rFonts w:hint="eastAsia" w:ascii="宋体" w:hAnsi="宋体" w:eastAsia="宋体" w:cs="宋体"/>
          <w:color w:val="auto"/>
          <w:highlight w:val="none"/>
        </w:rPr>
        <w:t>评标委员会的职责</w:t>
      </w:r>
      <w:bookmarkEnd w:id="701"/>
      <w:bookmarkEnd w:id="710"/>
      <w:bookmarkEnd w:id="711"/>
      <w:bookmarkEnd w:id="712"/>
      <w:bookmarkEnd w:id="713"/>
      <w:bookmarkEnd w:id="714"/>
    </w:p>
    <w:p w14:paraId="3D0C1577">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评标委员会应当根据本评标办法，应进行系统地评审和比较，向招标人推荐中标候选人或根据招标人的授权直接确定中标人。各评委必须独立评审，提出评审意见，不受任何单位或者个人的干预。各评委对其各自评审结果负责，并在评标报告上签字确认。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442361F9">
      <w:pPr>
        <w:pStyle w:val="7"/>
        <w:ind w:firstLine="420" w:firstLineChars="200"/>
        <w:rPr>
          <w:rFonts w:eastAsia="宋体"/>
          <w:color w:val="auto"/>
          <w:highlight w:val="none"/>
        </w:rPr>
      </w:pPr>
      <w:r>
        <w:rPr>
          <w:rFonts w:hint="eastAsia" w:ascii="宋体" w:hAnsi="宋体" w:eastAsia="宋体" w:cs="宋体"/>
          <w:b w:val="0"/>
          <w:bCs w:val="0"/>
          <w:color w:val="auto"/>
          <w:szCs w:val="21"/>
          <w:highlight w:val="none"/>
        </w:rPr>
        <w:t>评标委员会应加强对报价合理性审查。评标评审委员会认为投标人的报价明显低于其他通过符合性审查投标人的报价，有可能影响项目质量或者不能诚信履约的，应当要求其线上远程在开标大厅合理的时间内提供书面说明，必要时提交相关证明材料；投标人不能证明其报价合理性的，评标评审委员会应当将其作为无效投标处理。</w:t>
      </w:r>
    </w:p>
    <w:p w14:paraId="395DBF2B">
      <w:pPr>
        <w:pStyle w:val="7"/>
        <w:spacing w:beforeLines="50" w:afterLines="50"/>
        <w:ind w:firstLine="422" w:firstLineChars="200"/>
        <w:rPr>
          <w:rFonts w:ascii="宋体" w:hAnsi="宋体" w:eastAsia="宋体" w:cs="宋体"/>
          <w:color w:val="auto"/>
          <w:highlight w:val="none"/>
        </w:rPr>
      </w:pPr>
      <w:bookmarkStart w:id="715" w:name="_Toc35425115"/>
      <w:bookmarkStart w:id="716" w:name="_Toc506107326"/>
      <w:bookmarkStart w:id="717" w:name="_Toc17377"/>
      <w:bookmarkStart w:id="718" w:name="_Toc15058915"/>
      <w:bookmarkStart w:id="719" w:name="_Toc324404874"/>
      <w:bookmarkStart w:id="720" w:name="_Toc35424949"/>
      <w:r>
        <w:rPr>
          <w:rFonts w:ascii="宋体" w:hAnsi="宋体" w:eastAsia="宋体" w:cs="宋体"/>
          <w:color w:val="auto"/>
          <w:highlight w:val="none"/>
        </w:rPr>
        <w:t>3.</w:t>
      </w:r>
      <w:r>
        <w:rPr>
          <w:rFonts w:hint="eastAsia" w:ascii="宋体" w:hAnsi="宋体" w:eastAsia="宋体" w:cs="宋体"/>
          <w:color w:val="auto"/>
          <w:highlight w:val="none"/>
        </w:rPr>
        <w:t>评标程序</w:t>
      </w:r>
      <w:bookmarkEnd w:id="715"/>
      <w:bookmarkEnd w:id="716"/>
      <w:bookmarkEnd w:id="717"/>
      <w:bookmarkEnd w:id="718"/>
      <w:bookmarkEnd w:id="719"/>
      <w:bookmarkEnd w:id="720"/>
    </w:p>
    <w:p w14:paraId="162DE280">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评标先做准备工作，先进行资信评审，再进行商务标评审。</w:t>
      </w:r>
    </w:p>
    <w:p w14:paraId="06962B61">
      <w:pPr>
        <w:pStyle w:val="7"/>
        <w:ind w:firstLine="422" w:firstLineChars="200"/>
        <w:rPr>
          <w:rFonts w:ascii="宋体" w:hAnsi="宋体" w:eastAsia="宋体" w:cs="宋体"/>
          <w:color w:val="auto"/>
          <w:highlight w:val="none"/>
        </w:rPr>
      </w:pPr>
      <w:bookmarkStart w:id="721" w:name="_Toc15058916"/>
      <w:bookmarkStart w:id="722" w:name="_Toc27389"/>
      <w:bookmarkStart w:id="723" w:name="_Toc35425116"/>
      <w:bookmarkStart w:id="724" w:name="_Toc35424950"/>
      <w:r>
        <w:rPr>
          <w:rFonts w:ascii="宋体" w:hAnsi="宋体" w:eastAsia="宋体" w:cs="宋体"/>
          <w:color w:val="auto"/>
          <w:highlight w:val="none"/>
        </w:rPr>
        <w:t>3.1</w:t>
      </w:r>
      <w:r>
        <w:rPr>
          <w:rFonts w:hint="eastAsia" w:ascii="宋体" w:hAnsi="宋体" w:eastAsia="宋体" w:cs="宋体"/>
          <w:color w:val="auto"/>
          <w:highlight w:val="none"/>
        </w:rPr>
        <w:t>评标准备工作</w:t>
      </w:r>
      <w:bookmarkEnd w:id="721"/>
      <w:bookmarkEnd w:id="722"/>
      <w:bookmarkEnd w:id="723"/>
      <w:bookmarkEnd w:id="724"/>
    </w:p>
    <w:p w14:paraId="7FA65F3F">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评标委员会熟悉评标工作情况：</w:t>
      </w:r>
    </w:p>
    <w:p w14:paraId="67B5FD4B">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）阅读由招标人或者其委托的工程代理机构编制的招标项目情况材料。</w:t>
      </w:r>
    </w:p>
    <w:p w14:paraId="613E9BAA">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）阅读、研究招标文件和相关评标资料，获取评标所需要的重要信息和数据，至少应了解和熟悉以下内容：招标项目的范围和性质，招标文件规定的主要技术要求、标准和商务条款。</w:t>
      </w:r>
    </w:p>
    <w:p w14:paraId="43BA5398">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）熟悉招标文件规定的评标标准和评标方法及在评标过程中需要考虑的相关因素。</w:t>
      </w:r>
    </w:p>
    <w:p w14:paraId="128D4DD8">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）核对评标工作用表。</w:t>
      </w:r>
    </w:p>
    <w:p w14:paraId="52425833">
      <w:pPr>
        <w:pStyle w:val="7"/>
        <w:ind w:firstLine="422" w:firstLineChars="200"/>
        <w:rPr>
          <w:rFonts w:ascii="宋体" w:hAnsi="宋体" w:eastAsia="宋体" w:cs="宋体"/>
          <w:color w:val="auto"/>
          <w:highlight w:val="none"/>
        </w:rPr>
      </w:pPr>
      <w:bookmarkStart w:id="725" w:name="_Toc35425118"/>
      <w:bookmarkStart w:id="726" w:name="_Toc35424952"/>
      <w:bookmarkStart w:id="727" w:name="_Toc15058918"/>
      <w:bookmarkStart w:id="728" w:name="_Toc17468"/>
      <w:bookmarkStart w:id="729" w:name="_Toc11990"/>
      <w:bookmarkStart w:id="730" w:name="_Toc506107327"/>
      <w:bookmarkStart w:id="731" w:name="_Toc12200"/>
      <w:bookmarkStart w:id="732" w:name="_Toc35425120"/>
      <w:bookmarkStart w:id="733" w:name="_Toc324404875"/>
      <w:bookmarkStart w:id="734" w:name="_Toc35424954"/>
      <w:bookmarkStart w:id="735" w:name="_Toc15058919"/>
      <w:r>
        <w:rPr>
          <w:rFonts w:ascii="宋体" w:hAnsi="宋体" w:eastAsia="宋体" w:cs="宋体"/>
          <w:color w:val="auto"/>
          <w:highlight w:val="none"/>
        </w:rPr>
        <w:t>3.</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商务标评审</w:t>
      </w:r>
      <w:bookmarkEnd w:id="725"/>
      <w:bookmarkEnd w:id="726"/>
      <w:bookmarkEnd w:id="727"/>
      <w:bookmarkEnd w:id="728"/>
      <w:bookmarkEnd w:id="729"/>
    </w:p>
    <w:p w14:paraId="5107E762">
      <w:pPr>
        <w:spacing w:line="440" w:lineRule="exact"/>
        <w:ind w:firstLine="420" w:firstLineChars="200"/>
        <w:rPr>
          <w:rFonts w:ascii="宋体" w:cs="宋体"/>
          <w:color w:val="auto"/>
          <w:szCs w:val="21"/>
          <w:highlight w:val="none"/>
        </w:rPr>
      </w:pPr>
      <w:r>
        <w:rPr>
          <w:rFonts w:hint="eastAsia" w:ascii="宋体" w:hAnsi="宋体" w:cs="宋体"/>
          <w:color w:val="auto"/>
          <w:szCs w:val="21"/>
          <w:highlight w:val="none"/>
        </w:rPr>
        <w:t>详见商务标评审表。</w:t>
      </w:r>
    </w:p>
    <w:p w14:paraId="535F87D6">
      <w:pPr>
        <w:spacing w:line="440" w:lineRule="exact"/>
        <w:ind w:firstLine="422" w:firstLineChars="200"/>
        <w:rPr>
          <w:rFonts w:ascii="宋体" w:cs="宋体"/>
          <w:color w:val="auto"/>
          <w:szCs w:val="21"/>
          <w:highlight w:val="none"/>
        </w:rPr>
      </w:pPr>
      <w:bookmarkStart w:id="736" w:name="_Toc35424953"/>
      <w:bookmarkStart w:id="737" w:name="_Toc35425119"/>
      <w:bookmarkStart w:id="738" w:name="_Toc18087"/>
      <w:bookmarkStart w:id="739" w:name="_Toc26895"/>
      <w:r>
        <w:rPr>
          <w:rStyle w:val="66"/>
          <w:rFonts w:ascii="宋体" w:hAnsi="宋体" w:eastAsia="宋体" w:cs="宋体"/>
          <w:bCs/>
          <w:color w:val="auto"/>
          <w:sz w:val="21"/>
          <w:szCs w:val="32"/>
          <w:highlight w:val="none"/>
        </w:rPr>
        <w:t>3.</w:t>
      </w:r>
      <w:r>
        <w:rPr>
          <w:rStyle w:val="66"/>
          <w:rFonts w:hint="eastAsia" w:ascii="宋体" w:hAnsi="宋体" w:cs="宋体"/>
          <w:bCs/>
          <w:color w:val="auto"/>
          <w:sz w:val="21"/>
          <w:szCs w:val="32"/>
          <w:highlight w:val="none"/>
          <w:lang w:val="en-US"/>
        </w:rPr>
        <w:t>3</w:t>
      </w:r>
      <w:r>
        <w:rPr>
          <w:rStyle w:val="66"/>
          <w:rFonts w:hint="eastAsia" w:ascii="宋体" w:hAnsi="宋体" w:eastAsia="宋体" w:cs="宋体"/>
          <w:bCs/>
          <w:color w:val="auto"/>
          <w:sz w:val="21"/>
          <w:szCs w:val="32"/>
          <w:highlight w:val="none"/>
        </w:rPr>
        <w:t>推荐中标候选人</w:t>
      </w:r>
      <w:bookmarkEnd w:id="736"/>
      <w:bookmarkEnd w:id="737"/>
      <w:bookmarkEnd w:id="738"/>
      <w:bookmarkEnd w:id="739"/>
      <w:r>
        <w:rPr>
          <w:rFonts w:hint="eastAsia" w:ascii="宋体" w:hAnsi="宋体" w:cs="宋体"/>
          <w:b/>
          <w:bCs/>
          <w:color w:val="auto"/>
          <w:highlight w:val="none"/>
        </w:rPr>
        <w:t>：</w:t>
      </w:r>
      <w:r>
        <w:rPr>
          <w:rFonts w:hint="eastAsia" w:ascii="宋体" w:hAnsi="宋体" w:cs="宋体"/>
          <w:color w:val="auto"/>
          <w:highlight w:val="none"/>
        </w:rPr>
        <w:t>资信评审、商务标评审后，推荐</w:t>
      </w:r>
      <w:r>
        <w:rPr>
          <w:rFonts w:ascii="宋体" w:hAnsi="宋体" w:cs="宋体"/>
          <w:color w:val="auto"/>
          <w:highlight w:val="none"/>
          <w:u w:val="single"/>
        </w:rPr>
        <w:t xml:space="preserve"> </w:t>
      </w:r>
      <w:r>
        <w:rPr>
          <w:rFonts w:hint="eastAsia" w:ascii="宋体" w:hAnsi="宋体" w:cs="宋体"/>
          <w:color w:val="auto"/>
          <w:highlight w:val="none"/>
          <w:u w:val="single"/>
          <w:lang w:val="en-US" w:eastAsia="zh-CN"/>
        </w:rPr>
        <w:t>2</w:t>
      </w:r>
      <w:r>
        <w:rPr>
          <w:rFonts w:ascii="宋体" w:hAnsi="宋体" w:cs="宋体"/>
          <w:color w:val="auto"/>
          <w:highlight w:val="none"/>
          <w:u w:val="single"/>
        </w:rPr>
        <w:t xml:space="preserve"> </w:t>
      </w:r>
      <w:r>
        <w:rPr>
          <w:rFonts w:hint="eastAsia" w:ascii="宋体" w:hAnsi="宋体" w:cs="宋体"/>
          <w:color w:val="auto"/>
          <w:highlight w:val="none"/>
        </w:rPr>
        <w:t>名中标候选人，并标明排序。</w:t>
      </w:r>
    </w:p>
    <w:p w14:paraId="26D4C089">
      <w:pPr>
        <w:pStyle w:val="7"/>
        <w:spacing w:beforeLines="50" w:afterLines="50"/>
        <w:ind w:firstLine="422" w:firstLineChars="200"/>
        <w:rPr>
          <w:rFonts w:ascii="宋体" w:hAnsi="宋体" w:eastAsia="宋体" w:cs="宋体"/>
          <w:color w:val="auto"/>
          <w:highlight w:val="none"/>
        </w:rPr>
      </w:pPr>
      <w:r>
        <w:rPr>
          <w:rFonts w:ascii="宋体" w:hAnsi="宋体" w:eastAsia="宋体" w:cs="宋体"/>
          <w:color w:val="auto"/>
          <w:highlight w:val="none"/>
        </w:rPr>
        <w:t>4.</w:t>
      </w:r>
      <w:r>
        <w:rPr>
          <w:rFonts w:hint="eastAsia" w:ascii="宋体" w:hAnsi="宋体" w:eastAsia="宋体" w:cs="宋体"/>
          <w:color w:val="auto"/>
          <w:highlight w:val="none"/>
        </w:rPr>
        <w:t>评审内容</w:t>
      </w:r>
      <w:bookmarkEnd w:id="730"/>
      <w:bookmarkEnd w:id="731"/>
      <w:bookmarkEnd w:id="732"/>
      <w:bookmarkEnd w:id="733"/>
      <w:bookmarkEnd w:id="734"/>
      <w:bookmarkEnd w:id="735"/>
    </w:p>
    <w:p w14:paraId="5BD226A1">
      <w:pPr>
        <w:pStyle w:val="7"/>
        <w:ind w:firstLine="422" w:firstLineChars="200"/>
        <w:rPr>
          <w:rFonts w:ascii="宋体" w:hAnsi="宋体" w:eastAsia="宋体" w:cs="宋体"/>
          <w:color w:val="auto"/>
          <w:highlight w:val="none"/>
        </w:rPr>
      </w:pPr>
      <w:bookmarkStart w:id="740" w:name="_Toc3531"/>
      <w:bookmarkStart w:id="741" w:name="_Toc35425122"/>
      <w:bookmarkStart w:id="742" w:name="_Toc15058921"/>
      <w:bookmarkStart w:id="743" w:name="_Toc35424956"/>
      <w:bookmarkStart w:id="744" w:name="_Toc324404876"/>
      <w:r>
        <w:rPr>
          <w:rFonts w:ascii="宋体" w:hAnsi="宋体" w:eastAsia="宋体" w:cs="宋体"/>
          <w:color w:val="auto"/>
          <w:highlight w:val="none"/>
        </w:rPr>
        <w:t>4.</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商务标评审</w:t>
      </w:r>
      <w:bookmarkEnd w:id="740"/>
      <w:bookmarkEnd w:id="741"/>
      <w:bookmarkEnd w:id="742"/>
      <w:bookmarkEnd w:id="743"/>
    </w:p>
    <w:p w14:paraId="460E193A">
      <w:pPr>
        <w:spacing w:line="440" w:lineRule="exact"/>
        <w:ind w:firstLine="420" w:firstLineChars="200"/>
        <w:jc w:val="left"/>
        <w:rPr>
          <w:rFonts w:ascii="宋体" w:cs="宋体"/>
          <w:color w:val="auto"/>
          <w:highlight w:val="none"/>
        </w:rPr>
      </w:pPr>
      <w:r>
        <w:rPr>
          <w:rFonts w:hint="eastAsia" w:ascii="宋体" w:hAnsi="宋体" w:cs="宋体"/>
          <w:color w:val="auto"/>
          <w:highlight w:val="none"/>
        </w:rPr>
        <w:t>只有通过</w:t>
      </w:r>
      <w:r>
        <w:rPr>
          <w:rFonts w:hint="eastAsia" w:ascii="宋体" w:hAnsi="宋体" w:cs="宋体"/>
          <w:color w:val="auto"/>
          <w:highlight w:val="none"/>
          <w:lang w:val="en-US" w:eastAsia="zh-CN"/>
        </w:rPr>
        <w:t>资信</w:t>
      </w:r>
      <w:r>
        <w:rPr>
          <w:rFonts w:hint="eastAsia" w:ascii="宋体" w:hAnsi="宋体" w:cs="宋体"/>
          <w:color w:val="auto"/>
          <w:highlight w:val="none"/>
        </w:rPr>
        <w:t>标评审的投标才能够进入本阶段评审。</w:t>
      </w:r>
    </w:p>
    <w:p w14:paraId="759E2895">
      <w:pPr>
        <w:spacing w:line="440" w:lineRule="exact"/>
        <w:ind w:firstLine="420" w:firstLineChars="200"/>
        <w:jc w:val="left"/>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lang w:val="en-US" w:eastAsia="zh-CN"/>
        </w:rPr>
        <w:t>1</w:t>
      </w:r>
      <w:r>
        <w:rPr>
          <w:rFonts w:ascii="宋体" w:hAnsi="宋体" w:cs="宋体"/>
          <w:color w:val="auto"/>
          <w:highlight w:val="none"/>
        </w:rPr>
        <w:t>.1</w:t>
      </w:r>
      <w:r>
        <w:rPr>
          <w:rFonts w:hint="eastAsia" w:ascii="宋体" w:hAnsi="宋体" w:cs="宋体"/>
          <w:color w:val="auto"/>
          <w:highlight w:val="none"/>
        </w:rPr>
        <w:t>形式性评审标准：见商务标评审表。</w:t>
      </w:r>
    </w:p>
    <w:p w14:paraId="3FF6A293">
      <w:pPr>
        <w:spacing w:line="440" w:lineRule="exact"/>
        <w:ind w:firstLine="420" w:firstLineChars="200"/>
        <w:jc w:val="left"/>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lang w:val="en-US" w:eastAsia="zh-CN"/>
        </w:rPr>
        <w:t>1</w:t>
      </w:r>
      <w:r>
        <w:rPr>
          <w:rFonts w:ascii="宋体" w:hAnsi="宋体" w:cs="宋体"/>
          <w:color w:val="auto"/>
          <w:highlight w:val="none"/>
        </w:rPr>
        <w:t>.2</w:t>
      </w:r>
      <w:r>
        <w:rPr>
          <w:rFonts w:hint="eastAsia" w:ascii="宋体" w:hAnsi="宋体" w:cs="宋体"/>
          <w:color w:val="auto"/>
          <w:highlight w:val="none"/>
        </w:rPr>
        <w:t>响应性评审标准：见商务标评审表。</w:t>
      </w:r>
    </w:p>
    <w:p w14:paraId="5E0EA2BD">
      <w:pPr>
        <w:spacing w:line="440" w:lineRule="exact"/>
        <w:ind w:firstLine="420" w:firstLineChars="200"/>
        <w:jc w:val="left"/>
        <w:rPr>
          <w:rFonts w:ascii="宋体" w:cs="宋体"/>
          <w:color w:val="auto"/>
          <w:highlight w:val="none"/>
        </w:rPr>
      </w:pPr>
      <w:r>
        <w:rPr>
          <w:rFonts w:hint="eastAsia" w:ascii="宋体" w:hAnsi="宋体" w:cs="宋体"/>
          <w:color w:val="auto"/>
          <w:highlight w:val="none"/>
        </w:rPr>
        <w:t>评标委员会依据上述标准对投标文件进行初步评审。有一项不符合评审标准的，作无效投标处理。</w:t>
      </w:r>
    </w:p>
    <w:p w14:paraId="7030A2A2">
      <w:pPr>
        <w:spacing w:line="440" w:lineRule="exact"/>
        <w:ind w:firstLine="420" w:firstLineChars="200"/>
        <w:jc w:val="left"/>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lang w:val="en-US" w:eastAsia="zh-CN"/>
        </w:rPr>
        <w:t>1</w:t>
      </w:r>
      <w:r>
        <w:rPr>
          <w:rFonts w:ascii="宋体" w:hAnsi="宋体" w:cs="宋体"/>
          <w:color w:val="auto"/>
          <w:highlight w:val="none"/>
        </w:rPr>
        <w:t>.3</w:t>
      </w:r>
      <w:r>
        <w:rPr>
          <w:rFonts w:hint="eastAsia" w:ascii="宋体" w:hAnsi="宋体" w:cs="宋体"/>
          <w:color w:val="auto"/>
          <w:highlight w:val="none"/>
        </w:rPr>
        <w:t>投标报价评审</w:t>
      </w:r>
    </w:p>
    <w:p w14:paraId="36878096">
      <w:pPr>
        <w:spacing w:line="440" w:lineRule="exact"/>
        <w:ind w:firstLine="420" w:firstLineChars="200"/>
        <w:jc w:val="left"/>
        <w:rPr>
          <w:rFonts w:ascii="宋体" w:cs="宋体"/>
          <w:color w:val="auto"/>
          <w:highlight w:val="none"/>
        </w:rPr>
      </w:pPr>
      <w:r>
        <w:rPr>
          <w:rFonts w:hint="eastAsia" w:ascii="宋体" w:hAnsi="宋体" w:cs="宋体"/>
          <w:color w:val="auto"/>
          <w:highlight w:val="none"/>
        </w:rPr>
        <w:t>评标委员会发现投标人的投标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其投标作无效投标处理。</w:t>
      </w:r>
    </w:p>
    <w:p w14:paraId="2D92BF87">
      <w:pPr>
        <w:spacing w:line="440" w:lineRule="exact"/>
        <w:ind w:firstLine="420" w:firstLineChars="200"/>
        <w:jc w:val="left"/>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lang w:val="en-US" w:eastAsia="zh-CN"/>
        </w:rPr>
        <w:t>1</w:t>
      </w:r>
      <w:r>
        <w:rPr>
          <w:rFonts w:ascii="宋体" w:hAnsi="宋体" w:cs="宋体"/>
          <w:color w:val="auto"/>
          <w:highlight w:val="none"/>
        </w:rPr>
        <w:t>.4</w:t>
      </w:r>
      <w:r>
        <w:rPr>
          <w:rFonts w:hint="eastAsia" w:ascii="宋体" w:hAnsi="宋体" w:cs="宋体"/>
          <w:color w:val="auto"/>
          <w:highlight w:val="none"/>
        </w:rPr>
        <w:t>评标委员会审查投标文件，投标报价有错误的，评标委员会按以下原则对投标报价进行修正。</w:t>
      </w:r>
    </w:p>
    <w:p w14:paraId="69CD9CA0">
      <w:pPr>
        <w:spacing w:line="440" w:lineRule="exact"/>
        <w:ind w:firstLine="420" w:firstLineChars="200"/>
        <w:jc w:val="left"/>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）投标文件中的大写金额与小写金额不一致的，以大写金额为准。</w:t>
      </w:r>
    </w:p>
    <w:p w14:paraId="19408AF1">
      <w:pPr>
        <w:spacing w:line="440" w:lineRule="exact"/>
        <w:ind w:firstLine="420" w:firstLineChars="200"/>
        <w:jc w:val="left"/>
        <w:rPr>
          <w:rFonts w:ascii="宋体" w:cs="宋体"/>
          <w:color w:val="auto"/>
          <w:szCs w:val="21"/>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）总价金额与依据单价计算出的结果不一致的，以单价金额为准修正总价，但单价金额小数点有明显错误的除外。</w:t>
      </w:r>
    </w:p>
    <w:p w14:paraId="69EC30C5">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按上述修正错误的原则及方法调整或修正投标文件的投标报价，调整或修正的价格经投标人书面确认后具有约束力。中标价原则上以调整或修正后的价格为准，调整或修正后的价格与投标报价相比，价格低的为中标价。投标人不接受的，其投标将被拒绝。</w:t>
      </w:r>
    </w:p>
    <w:p w14:paraId="2474DDA7">
      <w:pPr>
        <w:pStyle w:val="7"/>
        <w:spacing w:beforeLines="50" w:afterLines="50"/>
        <w:ind w:firstLine="422" w:firstLineChars="200"/>
        <w:rPr>
          <w:rFonts w:ascii="宋体" w:hAnsi="宋体" w:eastAsia="宋体" w:cs="宋体"/>
          <w:color w:val="auto"/>
          <w:highlight w:val="none"/>
        </w:rPr>
      </w:pPr>
      <w:bookmarkStart w:id="745" w:name="_Toc35424957"/>
      <w:bookmarkStart w:id="746" w:name="_Toc35425123"/>
      <w:bookmarkStart w:id="747" w:name="_Toc506107328"/>
      <w:bookmarkStart w:id="748" w:name="_Toc13125"/>
      <w:bookmarkStart w:id="749" w:name="_Toc15058922"/>
      <w:r>
        <w:rPr>
          <w:rFonts w:ascii="宋体" w:hAnsi="宋体" w:eastAsia="宋体" w:cs="宋体"/>
          <w:color w:val="auto"/>
          <w:highlight w:val="none"/>
        </w:rPr>
        <w:t>5.</w:t>
      </w:r>
      <w:r>
        <w:rPr>
          <w:rFonts w:hint="eastAsia" w:ascii="宋体" w:hAnsi="宋体" w:eastAsia="宋体" w:cs="宋体"/>
          <w:color w:val="auto"/>
          <w:highlight w:val="none"/>
        </w:rPr>
        <w:t>无效投标条款</w:t>
      </w:r>
      <w:bookmarkEnd w:id="744"/>
      <w:bookmarkEnd w:id="745"/>
      <w:bookmarkEnd w:id="746"/>
      <w:bookmarkEnd w:id="747"/>
      <w:bookmarkEnd w:id="748"/>
      <w:bookmarkEnd w:id="749"/>
    </w:p>
    <w:p w14:paraId="3F508E39">
      <w:pPr>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投标人存在下列情形的的招标人将拒收投标文件：</w:t>
      </w:r>
    </w:p>
    <w:p w14:paraId="29876DAF">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）未在投标截止时间前通过网上招标投标系统递交有效电子投标文件的，开标系统不予接收，投标将被拒绝。</w:t>
      </w:r>
    </w:p>
    <w:p w14:paraId="56F435BB">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所有投标人应在规定时间里完成投标文件的解密工作【投标企业接到远程解密指令后，须在规定时间内解密（以网上招投标系统解密倒计时为准）。因投标人自身原因导致投标文件在规定时间内未能解密、解密失败或解密超时，投标文件无效；因代理公司原因或网上平台发生故障，导致无法按时完成投标文件解密的，经代理公司申请后可延迟解密时间】。</w:t>
      </w:r>
    </w:p>
    <w:p w14:paraId="0C15B2D4">
      <w:pPr>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投标人有下列情形的，经评审后其投标作无效投标处理无效投标：</w:t>
      </w:r>
    </w:p>
    <w:p w14:paraId="2B3CB1B5">
      <w:pPr>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lang w:val="en-US" w:eastAsia="zh-CN"/>
        </w:rPr>
        <w:t>2</w:t>
      </w:r>
      <w:r>
        <w:rPr>
          <w:rFonts w:ascii="宋体" w:hAnsi="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商标评审</w:t>
      </w:r>
    </w:p>
    <w:p w14:paraId="1C27ABE4">
      <w:pPr>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评标委员会依据《商务标评审表》进行形式性评审和响应性评审。有一项不符合评审标准的，做无效投标处理；</w:t>
      </w:r>
    </w:p>
    <w:p w14:paraId="29F4F533">
      <w:pPr>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其他无效投标情况：</w:t>
      </w:r>
    </w:p>
    <w:p w14:paraId="622BAAFE">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评标委员会发现投标人的投标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其投标作无效投标处理。</w:t>
      </w:r>
    </w:p>
    <w:p w14:paraId="1C890005">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）按第三章《评标方法》</w:t>
      </w:r>
      <w:r>
        <w:rPr>
          <w:rFonts w:ascii="宋体" w:hAnsi="宋体" w:cs="宋体"/>
          <w:color w:val="auto"/>
          <w:szCs w:val="21"/>
          <w:highlight w:val="none"/>
        </w:rPr>
        <w:t>4.2.4</w:t>
      </w:r>
      <w:r>
        <w:rPr>
          <w:rFonts w:hint="eastAsia" w:ascii="宋体" w:hAnsi="宋体" w:cs="宋体"/>
          <w:color w:val="auto"/>
          <w:szCs w:val="21"/>
          <w:highlight w:val="none"/>
        </w:rPr>
        <w:t>条款修正错误的原则及方法调整或修正投标文件的投标报价，调整或修正的价格经投标人书面确认后具有约束力。投标人不接修正价格的，其投标将被拒绝。</w:t>
      </w:r>
    </w:p>
    <w:p w14:paraId="602FCE61">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）第</w:t>
      </w:r>
      <w:r>
        <w:rPr>
          <w:rFonts w:hint="eastAsia" w:ascii="宋体" w:hAnsi="宋体" w:cs="宋体"/>
          <w:color w:val="auto"/>
          <w:szCs w:val="21"/>
          <w:highlight w:val="none"/>
          <w:lang w:val="en-US" w:eastAsia="zh-CN"/>
        </w:rPr>
        <w:t>一</w:t>
      </w:r>
      <w:r>
        <w:rPr>
          <w:rFonts w:hint="eastAsia" w:ascii="宋体" w:hAnsi="宋体" w:cs="宋体"/>
          <w:color w:val="auto"/>
          <w:szCs w:val="21"/>
          <w:highlight w:val="none"/>
        </w:rPr>
        <w:t>章“投标人须知”第</w:t>
      </w:r>
      <w:r>
        <w:rPr>
          <w:rFonts w:ascii="宋体" w:hAnsi="宋体" w:cs="宋体"/>
          <w:color w:val="auto"/>
          <w:szCs w:val="21"/>
          <w:highlight w:val="none"/>
        </w:rPr>
        <w:t>1.4.2,1.4.3</w:t>
      </w:r>
      <w:r>
        <w:rPr>
          <w:rFonts w:hint="eastAsia" w:ascii="宋体" w:hAnsi="宋体" w:cs="宋体"/>
          <w:color w:val="auto"/>
          <w:szCs w:val="21"/>
          <w:highlight w:val="none"/>
        </w:rPr>
        <w:t>条规定的任何一种情形的。</w:t>
      </w:r>
    </w:p>
    <w:p w14:paraId="73CE67A0">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）投标人有串通投标、弄虚作假、行贿等违法行为。</w:t>
      </w:r>
    </w:p>
    <w:p w14:paraId="42120049">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）投标文件没有对招标文件的实质性要求和条件作出响应。</w:t>
      </w:r>
    </w:p>
    <w:p w14:paraId="48B2112A">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w:t>
      </w:r>
      <w:r>
        <w:rPr>
          <w:rFonts w:hint="eastAsia" w:ascii="宋体" w:hAnsi="宋体" w:eastAsia="宋体" w:cs="宋体"/>
          <w:color w:val="auto"/>
          <w:szCs w:val="21"/>
          <w:highlight w:val="none"/>
        </w:rPr>
        <w:t>未按规定的格式填写导致实质性内容不全以及实质上不响应，或者关键字迹模糊、无法辨认；经公共资源交易监督部门核准的。</w:t>
      </w:r>
    </w:p>
    <w:p w14:paraId="4CB66229">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7</w:t>
      </w:r>
      <w:r>
        <w:rPr>
          <w:rFonts w:hint="eastAsia" w:ascii="宋体" w:hAnsi="宋体" w:cs="宋体"/>
          <w:color w:val="auto"/>
          <w:szCs w:val="21"/>
          <w:highlight w:val="none"/>
        </w:rPr>
        <w:t>）同一投标人提交两个以上不同的投标文件或者投标报价，但招标文件规定提交备选投标的除外。</w:t>
      </w:r>
    </w:p>
    <w:p w14:paraId="320CC6BE">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8</w:t>
      </w:r>
      <w:r>
        <w:rPr>
          <w:rFonts w:hint="eastAsia" w:ascii="宋体" w:hAnsi="宋体" w:cs="宋体"/>
          <w:color w:val="auto"/>
          <w:szCs w:val="21"/>
          <w:highlight w:val="none"/>
        </w:rPr>
        <w:t>）投标文件中存在招标人不能接受的其他实质性条件。</w:t>
      </w:r>
    </w:p>
    <w:p w14:paraId="698CCFBA">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9</w:t>
      </w:r>
      <w:r>
        <w:rPr>
          <w:rFonts w:hint="eastAsia" w:ascii="宋体" w:hAnsi="宋体" w:cs="宋体"/>
          <w:color w:val="auto"/>
          <w:szCs w:val="21"/>
          <w:highlight w:val="none"/>
        </w:rPr>
        <w:t>）投标文件中填报的拟任项目负责人与资格审查通过的项目负责人前后不一致的。</w:t>
      </w:r>
    </w:p>
    <w:p w14:paraId="14D540D2">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10</w:t>
      </w:r>
      <w:r>
        <w:rPr>
          <w:rFonts w:hint="eastAsia" w:ascii="宋体" w:hAnsi="宋体" w:cs="宋体"/>
          <w:color w:val="auto"/>
          <w:szCs w:val="21"/>
          <w:highlight w:val="none"/>
        </w:rPr>
        <w:t>）投标人拒不按照要求对投标文件进行澄清、说明、补正的，或评标委员会根据招标文件的规定对招标文件的计算错误进行修正后，投标人不接受修正的投标报价的。</w:t>
      </w:r>
    </w:p>
    <w:p w14:paraId="7CE516F6">
      <w:pPr>
        <w:spacing w:line="440" w:lineRule="exact"/>
        <w:ind w:firstLine="420" w:firstLineChars="200"/>
        <w:jc w:val="left"/>
        <w:rPr>
          <w:rFonts w:ascii="宋体" w:hAnsi="宋体" w:cs="宋体"/>
          <w:color w:val="auto"/>
          <w:szCs w:val="21"/>
          <w:highlight w:val="none"/>
        </w:rPr>
      </w:pPr>
      <w:bookmarkStart w:id="750" w:name="_Toc324404877"/>
      <w:bookmarkStart w:id="751" w:name="_Toc506107329"/>
      <w:bookmarkStart w:id="752" w:name="_Toc15058923"/>
      <w:bookmarkStart w:id="753" w:name="_Toc35425124"/>
      <w:bookmarkStart w:id="754" w:name="_Toc27846"/>
      <w:bookmarkStart w:id="755" w:name="_Toc35424958"/>
      <w:r>
        <w:rPr>
          <w:rFonts w:hint="eastAsia" w:ascii="宋体" w:hAnsi="宋体" w:cs="宋体"/>
          <w:color w:val="auto"/>
          <w:szCs w:val="21"/>
          <w:highlight w:val="none"/>
        </w:rPr>
        <w:t>（11）投标人投标MAC地址一致。</w:t>
      </w:r>
    </w:p>
    <w:p w14:paraId="32FE322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（12）投标人申请开具电子保函MAC地址一致。</w:t>
      </w:r>
    </w:p>
    <w:p w14:paraId="7E2E6EE6">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（13）投标人单方面出现其他投标人材料。</w:t>
      </w:r>
    </w:p>
    <w:p w14:paraId="115BF715">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（14）评标时查询投标文件制作机器码、文件创建标识码及造价软件加密锁号。若存在投标文件制作机器码或创建标识码或造价软件加密锁号信息与其他投标人雷同的，投标无效。</w:t>
      </w:r>
    </w:p>
    <w:p w14:paraId="5EAFD545">
      <w:pPr>
        <w:spacing w:line="4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15）</w:t>
      </w:r>
      <w:r>
        <w:rPr>
          <w:rFonts w:hint="eastAsia"/>
          <w:bCs/>
          <w:color w:val="auto"/>
          <w:sz w:val="21"/>
          <w:szCs w:val="21"/>
          <w:highlight w:val="none"/>
          <w:shd w:val="clear" w:color="auto" w:fill="FFFFFF"/>
        </w:rPr>
        <w:t>投标人联系人或联系电话</w:t>
      </w:r>
      <w:r>
        <w:rPr>
          <w:rFonts w:hint="eastAsia"/>
          <w:bCs/>
          <w:color w:val="auto"/>
          <w:sz w:val="21"/>
          <w:szCs w:val="21"/>
          <w:highlight w:val="none"/>
          <w:shd w:val="clear" w:color="auto" w:fill="FFFFFF"/>
          <w:lang w:val="en-US" w:eastAsia="zh-CN"/>
        </w:rPr>
        <w:t>相同的</w:t>
      </w:r>
      <w:r>
        <w:rPr>
          <w:rFonts w:hint="eastAsia"/>
          <w:bCs/>
          <w:color w:val="auto"/>
          <w:sz w:val="21"/>
          <w:szCs w:val="21"/>
          <w:highlight w:val="none"/>
          <w:shd w:val="clear" w:color="auto" w:fill="FFFFFF"/>
          <w:lang w:eastAsia="zh-CN"/>
        </w:rPr>
        <w:t>。</w:t>
      </w:r>
    </w:p>
    <w:p w14:paraId="2CC5DD9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）法律、法规规定的其他情形。</w:t>
      </w:r>
    </w:p>
    <w:p w14:paraId="5A719D77">
      <w:pPr>
        <w:pStyle w:val="7"/>
        <w:spacing w:beforeLines="50" w:afterLines="50"/>
        <w:ind w:firstLine="422" w:firstLineChars="200"/>
        <w:rPr>
          <w:rFonts w:ascii="宋体" w:hAnsi="宋体" w:eastAsia="宋体" w:cs="宋体"/>
          <w:color w:val="auto"/>
          <w:highlight w:val="none"/>
        </w:rPr>
      </w:pPr>
      <w:r>
        <w:rPr>
          <w:rFonts w:ascii="宋体" w:hAnsi="宋体" w:eastAsia="宋体" w:cs="宋体"/>
          <w:color w:val="auto"/>
          <w:highlight w:val="none"/>
        </w:rPr>
        <w:t>6.</w:t>
      </w:r>
      <w:r>
        <w:rPr>
          <w:rFonts w:hint="eastAsia" w:ascii="宋体" w:hAnsi="宋体" w:eastAsia="宋体" w:cs="宋体"/>
          <w:color w:val="auto"/>
          <w:highlight w:val="none"/>
        </w:rPr>
        <w:t>投标文件的澄清和补正</w:t>
      </w:r>
      <w:bookmarkEnd w:id="750"/>
      <w:bookmarkEnd w:id="751"/>
      <w:bookmarkEnd w:id="752"/>
      <w:bookmarkEnd w:id="753"/>
      <w:bookmarkEnd w:id="754"/>
      <w:bookmarkEnd w:id="755"/>
    </w:p>
    <w:p w14:paraId="20C06797">
      <w:pPr>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6.1</w:t>
      </w:r>
      <w:r>
        <w:rPr>
          <w:rFonts w:hint="eastAsia" w:ascii="宋体" w:hAnsi="宋体" w:cs="宋体"/>
          <w:color w:val="auto"/>
          <w:szCs w:val="21"/>
          <w:highlight w:val="none"/>
        </w:rPr>
        <w:t>在评标过程中，评标委员会可以书面形式要求投标人对所提交的投标文件中含义不明确、对同类问题表述不一致或者有明显文字和计算错误”，其他评标办法请一并修改的内容进行书面澄清或说明，或者对细微偏差进行补正。评标委员会不接受投标人主动提出的澄清、说明或补正。</w:t>
      </w:r>
    </w:p>
    <w:p w14:paraId="3AACAB74">
      <w:pPr>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6.2</w:t>
      </w:r>
      <w:r>
        <w:rPr>
          <w:rFonts w:hint="eastAsia" w:ascii="宋体" w:hAnsi="宋体" w:cs="宋体"/>
          <w:color w:val="auto"/>
          <w:szCs w:val="21"/>
          <w:highlight w:val="none"/>
        </w:rPr>
        <w:t>澄清、说明和补正不得改变投标文件的实质性内容（算术性错误修正的除外）。投标人的书面澄清、说明和补正属于投标文件的组成部分。</w:t>
      </w:r>
    </w:p>
    <w:p w14:paraId="4D891585">
      <w:pPr>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6.3</w:t>
      </w:r>
      <w:r>
        <w:rPr>
          <w:rFonts w:hint="eastAsia" w:ascii="宋体" w:hAnsi="宋体" w:cs="宋体"/>
          <w:color w:val="auto"/>
          <w:szCs w:val="21"/>
          <w:highlight w:val="none"/>
        </w:rPr>
        <w:t>评标委员会对投标人提交的澄清、说明和补正有疑问的，可以要求投标人进一步澄清、说明或补正、直至满足评标委员会的要求。</w:t>
      </w:r>
    </w:p>
    <w:p w14:paraId="3EF92677">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按照投标文件规定进行澄清、补正后的投标报价经投标人的法定代表人或其委托代理人确认后即为该投标人的最终投标报价。投标人一旦中标，此报价即为中标价。</w:t>
      </w:r>
    </w:p>
    <w:p w14:paraId="7110E803">
      <w:pPr>
        <w:pStyle w:val="7"/>
        <w:spacing w:beforeLines="50" w:afterLines="50"/>
        <w:ind w:firstLine="422" w:firstLineChars="200"/>
        <w:rPr>
          <w:rFonts w:ascii="宋体" w:hAnsi="宋体" w:eastAsia="宋体" w:cs="宋体"/>
          <w:color w:val="auto"/>
          <w:highlight w:val="none"/>
        </w:rPr>
      </w:pPr>
      <w:bookmarkStart w:id="756" w:name="_Toc13990"/>
      <w:bookmarkStart w:id="757" w:name="_Toc35424959"/>
      <w:bookmarkStart w:id="758" w:name="_Toc35425125"/>
      <w:bookmarkStart w:id="759" w:name="_Toc324404878"/>
      <w:bookmarkStart w:id="760" w:name="_Toc15058924"/>
      <w:bookmarkStart w:id="761" w:name="_Toc506107330"/>
      <w:r>
        <w:rPr>
          <w:rFonts w:ascii="宋体" w:hAnsi="宋体" w:eastAsia="宋体" w:cs="宋体"/>
          <w:color w:val="auto"/>
          <w:highlight w:val="none"/>
        </w:rPr>
        <w:t>7.</w:t>
      </w:r>
      <w:r>
        <w:rPr>
          <w:rFonts w:hint="eastAsia" w:ascii="宋体" w:hAnsi="宋体" w:eastAsia="宋体" w:cs="宋体"/>
          <w:color w:val="auto"/>
          <w:highlight w:val="none"/>
        </w:rPr>
        <w:t>评分标准</w:t>
      </w:r>
      <w:bookmarkEnd w:id="756"/>
      <w:bookmarkEnd w:id="757"/>
      <w:bookmarkEnd w:id="758"/>
      <w:bookmarkEnd w:id="759"/>
      <w:bookmarkEnd w:id="760"/>
      <w:bookmarkEnd w:id="761"/>
    </w:p>
    <w:p w14:paraId="16EC2EA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商务标评分标准：见商务标评审表。</w:t>
      </w:r>
    </w:p>
    <w:p w14:paraId="6A679C9E">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31680"/>
        <w:jc w:val="left"/>
        <w:textAlignment w:val="auto"/>
        <w:rPr>
          <w:rFonts w:hint="default" w:eastAsia="宋体"/>
          <w:color w:val="auto"/>
          <w:highlight w:val="none"/>
          <w:lang w:val="en-US" w:eastAsia="zh-CN"/>
        </w:rPr>
      </w:pPr>
      <w:r>
        <w:rPr>
          <w:rFonts w:hint="eastAsia" w:hAnsi="宋体" w:cs="宋体"/>
          <w:color w:val="auto"/>
          <w:szCs w:val="21"/>
          <w:highlight w:val="none"/>
        </w:rPr>
        <w:t>资信评分标准：见资信评分细则。</w:t>
      </w:r>
    </w:p>
    <w:p w14:paraId="18D2F94A">
      <w:pPr>
        <w:pStyle w:val="7"/>
        <w:spacing w:beforeLines="50" w:afterLines="50"/>
        <w:ind w:firstLine="422" w:firstLineChars="200"/>
        <w:rPr>
          <w:rFonts w:ascii="宋体" w:hAnsi="宋体" w:eastAsia="宋体" w:cs="宋体"/>
          <w:color w:val="auto"/>
          <w:highlight w:val="none"/>
        </w:rPr>
      </w:pPr>
      <w:bookmarkStart w:id="762" w:name="_Toc324404879"/>
      <w:bookmarkStart w:id="763" w:name="_Toc35425126"/>
      <w:bookmarkStart w:id="764" w:name="_Toc22863"/>
      <w:bookmarkStart w:id="765" w:name="_Toc15058925"/>
      <w:bookmarkStart w:id="766" w:name="_Toc35424960"/>
      <w:bookmarkStart w:id="767" w:name="_Toc506107331"/>
      <w:r>
        <w:rPr>
          <w:rFonts w:ascii="宋体" w:hAnsi="宋体" w:eastAsia="宋体" w:cs="宋体"/>
          <w:color w:val="auto"/>
          <w:highlight w:val="none"/>
        </w:rPr>
        <w:t>8.</w:t>
      </w:r>
      <w:r>
        <w:rPr>
          <w:rFonts w:hint="eastAsia" w:ascii="宋体" w:hAnsi="宋体" w:eastAsia="宋体" w:cs="宋体"/>
          <w:color w:val="auto"/>
          <w:highlight w:val="none"/>
        </w:rPr>
        <w:t>评审结果</w:t>
      </w:r>
      <w:bookmarkEnd w:id="762"/>
      <w:bookmarkEnd w:id="763"/>
      <w:bookmarkEnd w:id="764"/>
      <w:bookmarkEnd w:id="765"/>
      <w:bookmarkEnd w:id="766"/>
      <w:bookmarkEnd w:id="767"/>
    </w:p>
    <w:p w14:paraId="56629282">
      <w:pPr>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8.1</w:t>
      </w:r>
      <w:r>
        <w:rPr>
          <w:rFonts w:hint="eastAsia" w:ascii="宋体" w:hAnsi="宋体" w:cs="宋体"/>
          <w:color w:val="auto"/>
          <w:szCs w:val="21"/>
          <w:highlight w:val="none"/>
        </w:rPr>
        <w:t>除投标人须知前附表授权直接确定中标人外，评标委员会按照总得分由高到低顺序推荐中标候选人。</w:t>
      </w:r>
    </w:p>
    <w:p w14:paraId="763B11B2">
      <w:pPr>
        <w:spacing w:line="440" w:lineRule="exact"/>
        <w:ind w:right="-168" w:rightChars="-80" w:firstLine="420" w:firstLineChars="200"/>
        <w:jc w:val="left"/>
        <w:rPr>
          <w:rFonts w:ascii="宋体" w:cs="宋体"/>
          <w:color w:val="auto"/>
          <w:szCs w:val="21"/>
          <w:highlight w:val="none"/>
        </w:rPr>
      </w:pPr>
      <w:r>
        <w:rPr>
          <w:rFonts w:ascii="宋体" w:hAnsi="宋体" w:cs="宋体"/>
          <w:color w:val="auto"/>
          <w:szCs w:val="21"/>
          <w:highlight w:val="none"/>
        </w:rPr>
        <w:t>8.2</w:t>
      </w:r>
      <w:r>
        <w:rPr>
          <w:rFonts w:hint="eastAsia" w:ascii="宋体" w:hAnsi="宋体" w:cs="宋体"/>
          <w:color w:val="auto"/>
          <w:szCs w:val="21"/>
          <w:highlight w:val="none"/>
        </w:rPr>
        <w:t>评标委员会完成评标后，应当向招标人提交书面评标报告。评标报告应当如实记载以下内容：</w:t>
      </w:r>
    </w:p>
    <w:p w14:paraId="5512173F">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）基本情况和数据表。</w:t>
      </w:r>
    </w:p>
    <w:p w14:paraId="014D27FF">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）评标委员会成员名单。</w:t>
      </w:r>
    </w:p>
    <w:p w14:paraId="454FC49F">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）开标记录。</w:t>
      </w:r>
    </w:p>
    <w:p w14:paraId="3BC5B313">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）符合要求的投标人一览表。</w:t>
      </w:r>
    </w:p>
    <w:p w14:paraId="6ECF785F">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）废标情况说明。</w:t>
      </w:r>
    </w:p>
    <w:p w14:paraId="63573845">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）评标标准、评标方法或者评标因素。</w:t>
      </w:r>
    </w:p>
    <w:p w14:paraId="702FE0B1">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7</w:t>
      </w:r>
      <w:r>
        <w:rPr>
          <w:rFonts w:hint="eastAsia" w:ascii="宋体" w:hAnsi="宋体" w:cs="宋体"/>
          <w:color w:val="auto"/>
          <w:szCs w:val="21"/>
          <w:highlight w:val="none"/>
        </w:rPr>
        <w:t>）经评审的价格一览表。</w:t>
      </w:r>
    </w:p>
    <w:p w14:paraId="3216A574">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8</w:t>
      </w:r>
      <w:r>
        <w:rPr>
          <w:rFonts w:hint="eastAsia" w:ascii="宋体" w:hAnsi="宋体" w:cs="宋体"/>
          <w:color w:val="auto"/>
          <w:szCs w:val="21"/>
          <w:highlight w:val="none"/>
        </w:rPr>
        <w:t>）经评审的投标人排序。</w:t>
      </w:r>
    </w:p>
    <w:p w14:paraId="44D9E321">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9</w:t>
      </w:r>
      <w:r>
        <w:rPr>
          <w:rFonts w:hint="eastAsia" w:ascii="宋体" w:hAnsi="宋体" w:cs="宋体"/>
          <w:color w:val="auto"/>
          <w:szCs w:val="21"/>
          <w:highlight w:val="none"/>
        </w:rPr>
        <w:t>）推荐的中标候选人名单与签订合同前要处理的事宜。</w:t>
      </w:r>
    </w:p>
    <w:p w14:paraId="7577E8A0">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10</w:t>
      </w:r>
      <w:r>
        <w:rPr>
          <w:rFonts w:hint="eastAsia" w:ascii="宋体" w:hAnsi="宋体" w:cs="宋体"/>
          <w:color w:val="auto"/>
          <w:szCs w:val="21"/>
          <w:highlight w:val="none"/>
        </w:rPr>
        <w:t>）澄清、说明、补正事项纪要。</w:t>
      </w:r>
    </w:p>
    <w:p w14:paraId="2A1E48AE">
      <w:pPr>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8.3</w:t>
      </w:r>
      <w:r>
        <w:rPr>
          <w:rFonts w:hint="eastAsia" w:ascii="宋体" w:hAnsi="宋体" w:cs="宋体"/>
          <w:color w:val="auto"/>
          <w:szCs w:val="21"/>
          <w:highlight w:val="none"/>
        </w:rPr>
        <w:t>评标委员会推荐的中标候选人应当限定在</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rPr>
        <w:t>名。</w:t>
      </w:r>
    </w:p>
    <w:p w14:paraId="4DEA5085">
      <w:pPr>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8.4</w:t>
      </w:r>
      <w:r>
        <w:rPr>
          <w:rFonts w:hint="eastAsia" w:ascii="宋体" w:hAnsi="宋体" w:cs="宋体"/>
          <w:color w:val="auto"/>
          <w:szCs w:val="21"/>
          <w:highlight w:val="none"/>
        </w:rPr>
        <w:t>招标人确定排名第一的中标候选人为中标人。第一中标候选人放弃中标、因不可抗力提出不能履行合同，或者招标文件规定应当提交履约保证金而在规定的期限内未能提交的，或者经查实其存在弄虚作假等其他违法违规行为骗取中标的，招标人将没收其投标保证金，可以确定排名第二的中标候选人</w:t>
      </w:r>
      <w:r>
        <w:rPr>
          <w:rFonts w:hint="eastAsia" w:ascii="宋体" w:hAnsi="宋体" w:cs="宋体"/>
          <w:color w:val="auto"/>
          <w:szCs w:val="21"/>
          <w:highlight w:val="none"/>
          <w:lang w:val="en-US" w:eastAsia="zh-CN"/>
        </w:rPr>
        <w:t>为中标人</w:t>
      </w:r>
      <w:r>
        <w:rPr>
          <w:rFonts w:hint="eastAsia" w:ascii="宋体" w:hAnsi="宋体" w:cs="宋体"/>
          <w:color w:val="auto"/>
          <w:szCs w:val="21"/>
          <w:highlight w:val="none"/>
        </w:rPr>
        <w:t>，以此类推，也可以依法重新组织招标。</w:t>
      </w:r>
    </w:p>
    <w:p w14:paraId="1BBF92A5">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除第一中标候选人或者中标人以外的其他投标人存在串通投标、弄虚作假、行贿情形且在评标过程中未被发现的，视为对中标结果没有造成实质性影响，招标人可以依法继续开展招标活动。</w:t>
      </w:r>
    </w:p>
    <w:p w14:paraId="345AB8F7">
      <w:pPr>
        <w:pStyle w:val="7"/>
        <w:spacing w:beforeLines="50" w:afterLines="50"/>
        <w:ind w:firstLine="422" w:firstLineChars="200"/>
        <w:rPr>
          <w:rFonts w:ascii="宋体" w:hAnsi="宋体" w:eastAsia="宋体" w:cs="宋体"/>
          <w:color w:val="auto"/>
          <w:highlight w:val="none"/>
        </w:rPr>
      </w:pPr>
      <w:bookmarkStart w:id="768" w:name="_Toc15058926"/>
      <w:bookmarkStart w:id="769" w:name="_Toc1576"/>
      <w:bookmarkStart w:id="770" w:name="_Toc35424961"/>
      <w:bookmarkStart w:id="771" w:name="_Toc506107332"/>
      <w:bookmarkStart w:id="772" w:name="_Toc324404880"/>
      <w:bookmarkStart w:id="773" w:name="_Toc35425127"/>
      <w:r>
        <w:rPr>
          <w:rFonts w:ascii="宋体" w:hAnsi="宋体" w:eastAsia="宋体" w:cs="宋体"/>
          <w:color w:val="auto"/>
          <w:highlight w:val="none"/>
        </w:rPr>
        <w:t>9.</w:t>
      </w:r>
      <w:r>
        <w:rPr>
          <w:rFonts w:hint="eastAsia" w:ascii="宋体" w:hAnsi="宋体" w:eastAsia="宋体" w:cs="宋体"/>
          <w:color w:val="auto"/>
          <w:highlight w:val="none"/>
        </w:rPr>
        <w:t>其他</w:t>
      </w:r>
      <w:bookmarkEnd w:id="768"/>
      <w:bookmarkEnd w:id="769"/>
      <w:bookmarkEnd w:id="770"/>
      <w:bookmarkEnd w:id="771"/>
      <w:bookmarkEnd w:id="772"/>
      <w:bookmarkEnd w:id="773"/>
    </w:p>
    <w:p w14:paraId="4137A666">
      <w:pPr>
        <w:spacing w:line="440" w:lineRule="exact"/>
        <w:ind w:firstLine="420" w:firstLineChars="200"/>
        <w:jc w:val="left"/>
        <w:rPr>
          <w:color w:val="auto"/>
          <w:highlight w:val="none"/>
        </w:rPr>
      </w:pPr>
      <w:r>
        <w:rPr>
          <w:rFonts w:hint="eastAsia" w:ascii="宋体" w:hAnsi="宋体" w:cs="宋体"/>
          <w:color w:val="auto"/>
          <w:szCs w:val="21"/>
          <w:highlight w:val="none"/>
        </w:rPr>
        <w:t>投标人提供的与投标文件有关的各类证书、证明、文件、资料等的真实性、合法性由投标人负全责。</w:t>
      </w:r>
      <w:bookmarkEnd w:id="702"/>
      <w:bookmarkEnd w:id="703"/>
      <w:bookmarkEnd w:id="704"/>
      <w:bookmarkEnd w:id="705"/>
      <w:bookmarkEnd w:id="706"/>
      <w:bookmarkEnd w:id="707"/>
      <w:bookmarkEnd w:id="708"/>
      <w:bookmarkEnd w:id="709"/>
      <w:bookmarkStart w:id="774" w:name="_Toc35424962"/>
      <w:bookmarkStart w:id="775" w:name="_Toc15058927"/>
      <w:bookmarkStart w:id="776" w:name="_Toc35425128"/>
      <w:bookmarkStart w:id="777" w:name="_Toc506107333"/>
      <w:bookmarkStart w:id="778" w:name="_Toc179632785"/>
      <w:bookmarkStart w:id="779" w:name="_Toc152045767"/>
      <w:bookmarkStart w:id="780" w:name="_Toc144974826"/>
      <w:bookmarkStart w:id="781" w:name="_Toc152042546"/>
    </w:p>
    <w:p w14:paraId="797899D0">
      <w:pPr>
        <w:pStyle w:val="6"/>
        <w:rPr>
          <w:color w:val="auto"/>
          <w:highlight w:val="none"/>
        </w:rPr>
      </w:pPr>
      <w:r>
        <w:rPr>
          <w:color w:val="auto"/>
          <w:highlight w:val="none"/>
        </w:rPr>
        <w:br w:type="page"/>
      </w:r>
      <w:bookmarkStart w:id="782" w:name="_Toc16404"/>
      <w:r>
        <w:rPr>
          <w:rFonts w:hint="eastAsia" w:ascii="Arial" w:hAnsi="Arial"/>
          <w:color w:val="auto"/>
          <w:kern w:val="0"/>
          <w:sz w:val="32"/>
          <w:szCs w:val="32"/>
          <w:highlight w:val="none"/>
        </w:rPr>
        <w:t>第四章</w:t>
      </w:r>
      <w:r>
        <w:rPr>
          <w:rFonts w:ascii="Arial" w:hAnsi="Arial"/>
          <w:color w:val="auto"/>
          <w:kern w:val="0"/>
          <w:sz w:val="32"/>
          <w:szCs w:val="32"/>
          <w:highlight w:val="none"/>
        </w:rPr>
        <w:t xml:space="preserve"> </w:t>
      </w:r>
      <w:r>
        <w:rPr>
          <w:rFonts w:hint="eastAsia" w:ascii="Arial" w:hAnsi="Arial"/>
          <w:color w:val="auto"/>
          <w:kern w:val="0"/>
          <w:sz w:val="32"/>
          <w:szCs w:val="32"/>
          <w:highlight w:val="none"/>
        </w:rPr>
        <w:t>合同条款及格式</w:t>
      </w:r>
      <w:bookmarkEnd w:id="774"/>
      <w:bookmarkEnd w:id="775"/>
      <w:bookmarkEnd w:id="776"/>
      <w:bookmarkEnd w:id="777"/>
      <w:bookmarkEnd w:id="782"/>
    </w:p>
    <w:bookmarkEnd w:id="778"/>
    <w:bookmarkEnd w:id="779"/>
    <w:bookmarkEnd w:id="780"/>
    <w:bookmarkEnd w:id="781"/>
    <w:p w14:paraId="2BB2A351">
      <w:pPr>
        <w:jc w:val="left"/>
        <w:rPr>
          <w:rFonts w:ascii="楷体_GB2312" w:eastAsia="楷体_GB2312"/>
          <w:bCs/>
          <w:color w:val="auto"/>
          <w:sz w:val="32"/>
          <w:szCs w:val="32"/>
          <w:highlight w:val="none"/>
        </w:rPr>
      </w:pPr>
      <w:r>
        <w:rPr>
          <w:rFonts w:hint="eastAsia" w:ascii="楷体_GB2312" w:eastAsia="楷体_GB2312"/>
          <w:bCs/>
          <w:color w:val="auto"/>
          <w:sz w:val="32"/>
          <w:szCs w:val="32"/>
          <w:highlight w:val="none"/>
        </w:rPr>
        <w:t>（</w:t>
      </w:r>
      <w:r>
        <w:rPr>
          <w:rFonts w:hint="eastAsia" w:ascii="楷体_GB2312" w:eastAsia="楷体_GB2312"/>
          <w:color w:val="auto"/>
          <w:sz w:val="32"/>
          <w:szCs w:val="32"/>
          <w:highlight w:val="none"/>
        </w:rPr>
        <w:t>WF－</w:t>
      </w:r>
      <w:r>
        <w:rPr>
          <w:rFonts w:ascii="楷体_GB2312" w:eastAsia="楷体_GB2312"/>
          <w:color w:val="auto"/>
          <w:sz w:val="32"/>
          <w:szCs w:val="32"/>
          <w:highlight w:val="none"/>
        </w:rPr>
        <w:t>2014</w:t>
      </w:r>
      <w:r>
        <w:rPr>
          <w:rFonts w:hint="eastAsia" w:ascii="楷体_GB2312" w:eastAsia="楷体_GB2312"/>
          <w:color w:val="auto"/>
          <w:sz w:val="32"/>
          <w:szCs w:val="32"/>
          <w:highlight w:val="none"/>
        </w:rPr>
        <w:t>－</w:t>
      </w:r>
      <w:r>
        <w:rPr>
          <w:rFonts w:ascii="楷体_GB2312" w:eastAsia="楷体_GB2312"/>
          <w:color w:val="auto"/>
          <w:sz w:val="32"/>
          <w:szCs w:val="32"/>
          <w:highlight w:val="none"/>
        </w:rPr>
        <w:t>05</w:t>
      </w:r>
      <w:r>
        <w:rPr>
          <w:rFonts w:hint="eastAsia" w:ascii="楷体_GB2312" w:eastAsia="楷体_GB2312"/>
          <w:bCs/>
          <w:color w:val="auto"/>
          <w:sz w:val="32"/>
          <w:szCs w:val="32"/>
          <w:highlight w:val="none"/>
        </w:rPr>
        <w:t>）</w:t>
      </w:r>
    </w:p>
    <w:p w14:paraId="59EA2700">
      <w:pPr>
        <w:rPr>
          <w:rFonts w:ascii="楷体_GB2312" w:eastAsia="楷体_GB2312"/>
          <w:b/>
          <w:color w:val="auto"/>
          <w:sz w:val="52"/>
          <w:szCs w:val="52"/>
          <w:highlight w:val="none"/>
        </w:rPr>
      </w:pPr>
    </w:p>
    <w:p w14:paraId="729CA020">
      <w:pPr>
        <w:spacing w:line="360" w:lineRule="auto"/>
        <w:jc w:val="center"/>
        <w:rPr>
          <w:rFonts w:ascii="楷体_GB2312" w:eastAsia="楷体_GB2312"/>
          <w:b/>
          <w:color w:val="auto"/>
          <w:w w:val="90"/>
          <w:sz w:val="72"/>
          <w:szCs w:val="52"/>
          <w:highlight w:val="none"/>
        </w:rPr>
      </w:pPr>
      <w:r>
        <w:rPr>
          <w:rFonts w:hint="eastAsia" w:ascii="楷体_GB2312" w:eastAsia="楷体_GB2312"/>
          <w:b/>
          <w:color w:val="auto"/>
          <w:w w:val="90"/>
          <w:sz w:val="72"/>
          <w:szCs w:val="52"/>
          <w:highlight w:val="none"/>
        </w:rPr>
        <w:t>安徽省建设工程造价咨询合同</w:t>
      </w:r>
    </w:p>
    <w:p w14:paraId="2E2F2EA4">
      <w:pPr>
        <w:spacing w:line="420" w:lineRule="exact"/>
        <w:jc w:val="center"/>
        <w:rPr>
          <w:rFonts w:ascii="楷体_GB2312" w:eastAsia="楷体_GB2312"/>
          <w:b/>
          <w:color w:val="auto"/>
          <w:sz w:val="36"/>
          <w:szCs w:val="30"/>
          <w:highlight w:val="none"/>
        </w:rPr>
      </w:pPr>
    </w:p>
    <w:p w14:paraId="513571C2">
      <w:pPr>
        <w:spacing w:line="420" w:lineRule="exact"/>
        <w:jc w:val="center"/>
        <w:rPr>
          <w:rFonts w:ascii="楷体_GB2312" w:hAnsi="宋体" w:eastAsia="楷体_GB2312"/>
          <w:b/>
          <w:color w:val="auto"/>
          <w:sz w:val="32"/>
          <w:szCs w:val="32"/>
          <w:highlight w:val="none"/>
        </w:rPr>
      </w:pPr>
      <w:r>
        <w:rPr>
          <w:rFonts w:hint="eastAsia" w:ascii="楷体_GB2312" w:eastAsia="楷体_GB2312"/>
          <w:b/>
          <w:color w:val="auto"/>
          <w:sz w:val="32"/>
          <w:szCs w:val="32"/>
          <w:highlight w:val="none"/>
        </w:rPr>
        <w:t>合同编号：</w:t>
      </w:r>
    </w:p>
    <w:p w14:paraId="747C66F0">
      <w:pPr>
        <w:spacing w:line="420" w:lineRule="exact"/>
        <w:rPr>
          <w:rFonts w:ascii="楷体_GB2312" w:hAnsi="宋体" w:eastAsia="楷体_GB2312"/>
          <w:color w:val="auto"/>
          <w:sz w:val="32"/>
          <w:szCs w:val="32"/>
          <w:highlight w:val="none"/>
        </w:rPr>
      </w:pPr>
    </w:p>
    <w:p w14:paraId="608E5E09">
      <w:pPr>
        <w:spacing w:line="720" w:lineRule="auto"/>
        <w:jc w:val="left"/>
        <w:rPr>
          <w:rFonts w:ascii="楷体_GB2312" w:hAnsi="宋体" w:eastAsia="楷体_GB2312"/>
          <w:b/>
          <w:color w:val="auto"/>
          <w:sz w:val="32"/>
          <w:szCs w:val="32"/>
          <w:highlight w:val="none"/>
          <w:u w:val="single"/>
        </w:rPr>
      </w:pPr>
      <w:r>
        <w:rPr>
          <w:rFonts w:hint="eastAsia" w:ascii="楷体_GB2312" w:hAnsi="宋体" w:eastAsia="楷体_GB2312"/>
          <w:b/>
          <w:color w:val="auto"/>
          <w:sz w:val="32"/>
          <w:szCs w:val="32"/>
          <w:highlight w:val="none"/>
        </w:rPr>
        <w:t xml:space="preserve">        委 托 人：</w:t>
      </w:r>
      <w:r>
        <w:rPr>
          <w:rFonts w:hint="eastAsia" w:ascii="楷体_GB2312" w:hAnsi="宋体" w:eastAsia="楷体_GB2312"/>
          <w:b/>
          <w:color w:val="auto"/>
          <w:sz w:val="32"/>
          <w:szCs w:val="32"/>
          <w:highlight w:val="none"/>
          <w:u w:val="single"/>
        </w:rPr>
        <w:t xml:space="preserve">                               </w:t>
      </w:r>
    </w:p>
    <w:p w14:paraId="22BFD4D1">
      <w:pPr>
        <w:spacing w:line="720" w:lineRule="auto"/>
        <w:jc w:val="left"/>
        <w:rPr>
          <w:rFonts w:ascii="楷体_GB2312" w:hAnsi="宋体" w:eastAsia="楷体_GB2312"/>
          <w:b/>
          <w:color w:val="auto"/>
          <w:sz w:val="32"/>
          <w:szCs w:val="32"/>
          <w:highlight w:val="none"/>
          <w:u w:val="single"/>
        </w:rPr>
      </w:pPr>
      <w:r>
        <w:rPr>
          <w:rFonts w:hint="eastAsia" w:ascii="楷体_GB2312" w:hAnsi="宋体" w:eastAsia="楷体_GB2312"/>
          <w:b/>
          <w:color w:val="auto"/>
          <w:sz w:val="32"/>
          <w:szCs w:val="32"/>
          <w:highlight w:val="none"/>
        </w:rPr>
        <w:t xml:space="preserve">        咨 询 人：</w:t>
      </w:r>
      <w:r>
        <w:rPr>
          <w:rFonts w:hint="eastAsia" w:ascii="楷体_GB2312" w:hAnsi="宋体" w:eastAsia="楷体_GB2312"/>
          <w:b/>
          <w:color w:val="auto"/>
          <w:sz w:val="32"/>
          <w:szCs w:val="32"/>
          <w:highlight w:val="none"/>
          <w:u w:val="single"/>
        </w:rPr>
        <w:t xml:space="preserve">                               </w:t>
      </w:r>
    </w:p>
    <w:p w14:paraId="133A46FD">
      <w:pPr>
        <w:jc w:val="left"/>
        <w:rPr>
          <w:rFonts w:ascii="楷体_GB2312" w:hAnsi="宋体" w:eastAsia="楷体_GB2312"/>
          <w:b/>
          <w:color w:val="auto"/>
          <w:sz w:val="32"/>
          <w:szCs w:val="32"/>
          <w:highlight w:val="none"/>
          <w:u w:val="single"/>
        </w:rPr>
      </w:pPr>
      <w:r>
        <w:rPr>
          <w:rFonts w:hint="eastAsia" w:ascii="楷体_GB2312" w:hAnsi="宋体" w:eastAsia="楷体_GB2312"/>
          <w:b/>
          <w:color w:val="auto"/>
          <w:sz w:val="32"/>
          <w:szCs w:val="32"/>
          <w:highlight w:val="none"/>
        </w:rPr>
        <w:t xml:space="preserve">        项目名称：</w:t>
      </w:r>
      <w:r>
        <w:rPr>
          <w:rFonts w:hint="eastAsia" w:ascii="楷体_GB2312" w:hAnsi="宋体" w:eastAsia="楷体_GB2312"/>
          <w:b/>
          <w:color w:val="auto"/>
          <w:sz w:val="32"/>
          <w:szCs w:val="32"/>
          <w:highlight w:val="none"/>
          <w:u w:val="single"/>
          <w:lang w:val="en-US" w:eastAsia="zh-CN"/>
        </w:rPr>
        <w:t>滁州经开区市政道路排水管网更新改造项目工程量清单及最高投标限价编制服务项目</w:t>
      </w:r>
    </w:p>
    <w:p w14:paraId="572D22A1">
      <w:pPr>
        <w:spacing w:line="720" w:lineRule="auto"/>
        <w:jc w:val="left"/>
        <w:rPr>
          <w:rFonts w:ascii="楷体_GB2312" w:hAnsi="宋体" w:eastAsia="楷体_GB2312"/>
          <w:b/>
          <w:color w:val="auto"/>
          <w:sz w:val="32"/>
          <w:szCs w:val="32"/>
          <w:highlight w:val="none"/>
        </w:rPr>
      </w:pPr>
      <w:r>
        <w:rPr>
          <w:rFonts w:hint="eastAsia" w:ascii="楷体_GB2312" w:hAnsi="宋体" w:eastAsia="楷体_GB2312"/>
          <w:b/>
          <w:color w:val="auto"/>
          <w:sz w:val="32"/>
          <w:szCs w:val="32"/>
          <w:highlight w:val="none"/>
        </w:rPr>
        <w:t xml:space="preserve">        咨询类型：</w:t>
      </w:r>
      <w:r>
        <w:rPr>
          <w:rFonts w:hint="eastAsia" w:ascii="楷体_GB2312" w:hAnsi="宋体" w:eastAsia="楷体_GB2312"/>
          <w:b/>
          <w:color w:val="auto"/>
          <w:sz w:val="32"/>
          <w:szCs w:val="32"/>
          <w:highlight w:val="none"/>
          <w:u w:val="single"/>
        </w:rPr>
        <w:t xml:space="preserve">                               </w:t>
      </w:r>
    </w:p>
    <w:p w14:paraId="689A3B7B">
      <w:pPr>
        <w:spacing w:line="720" w:lineRule="auto"/>
        <w:jc w:val="left"/>
        <w:rPr>
          <w:rFonts w:ascii="楷体_GB2312" w:hAnsi="宋体" w:eastAsia="楷体_GB2312"/>
          <w:b/>
          <w:color w:val="auto"/>
          <w:sz w:val="32"/>
          <w:szCs w:val="32"/>
          <w:highlight w:val="none"/>
          <w:u w:val="single"/>
        </w:rPr>
      </w:pPr>
      <w:r>
        <w:rPr>
          <w:rFonts w:hint="eastAsia" w:ascii="楷体_GB2312" w:eastAsia="楷体_GB2312"/>
          <w:b/>
          <w:color w:val="auto"/>
          <w:sz w:val="32"/>
          <w:szCs w:val="32"/>
          <w:highlight w:val="none"/>
        </w:rPr>
        <w:t xml:space="preserve">        签订时间：</w:t>
      </w:r>
      <w:r>
        <w:rPr>
          <w:rFonts w:ascii="楷体_GB2312" w:eastAsia="楷体_GB2312"/>
          <w:b/>
          <w:color w:val="auto"/>
          <w:sz w:val="32"/>
          <w:szCs w:val="32"/>
          <w:highlight w:val="none"/>
          <w:u w:val="single"/>
        </w:rPr>
        <w:t xml:space="preserve">  </w:t>
      </w:r>
      <w:r>
        <w:rPr>
          <w:rFonts w:hint="eastAsia" w:ascii="楷体_GB2312" w:eastAsia="楷体_GB2312"/>
          <w:b/>
          <w:color w:val="auto"/>
          <w:sz w:val="32"/>
          <w:szCs w:val="32"/>
          <w:highlight w:val="none"/>
          <w:u w:val="single"/>
        </w:rPr>
        <w:t xml:space="preserve">   </w:t>
      </w:r>
      <w:r>
        <w:rPr>
          <w:rFonts w:ascii="楷体_GB2312" w:eastAsia="楷体_GB2312"/>
          <w:b/>
          <w:color w:val="auto"/>
          <w:sz w:val="32"/>
          <w:szCs w:val="32"/>
          <w:highlight w:val="none"/>
          <w:u w:val="single"/>
        </w:rPr>
        <w:t xml:space="preserve">  </w:t>
      </w:r>
      <w:r>
        <w:rPr>
          <w:rFonts w:hint="eastAsia" w:ascii="楷体_GB2312" w:eastAsia="楷体_GB2312"/>
          <w:b/>
          <w:color w:val="auto"/>
          <w:sz w:val="32"/>
          <w:szCs w:val="32"/>
          <w:highlight w:val="none"/>
          <w:u w:val="single"/>
        </w:rPr>
        <w:t xml:space="preserve">   </w:t>
      </w:r>
      <w:r>
        <w:rPr>
          <w:rFonts w:hint="eastAsia" w:ascii="楷体_GB2312" w:eastAsia="楷体_GB2312"/>
          <w:b/>
          <w:color w:val="auto"/>
          <w:sz w:val="32"/>
          <w:szCs w:val="32"/>
          <w:highlight w:val="none"/>
        </w:rPr>
        <w:t>年</w:t>
      </w:r>
      <w:r>
        <w:rPr>
          <w:rFonts w:ascii="楷体_GB2312" w:eastAsia="楷体_GB2312"/>
          <w:b/>
          <w:color w:val="auto"/>
          <w:sz w:val="32"/>
          <w:szCs w:val="32"/>
          <w:highlight w:val="none"/>
          <w:u w:val="single"/>
        </w:rPr>
        <w:t xml:space="preserve">  </w:t>
      </w:r>
      <w:r>
        <w:rPr>
          <w:rFonts w:hint="eastAsia" w:ascii="楷体_GB2312" w:eastAsia="楷体_GB2312"/>
          <w:b/>
          <w:color w:val="auto"/>
          <w:sz w:val="32"/>
          <w:szCs w:val="32"/>
          <w:highlight w:val="none"/>
          <w:u w:val="single"/>
        </w:rPr>
        <w:t xml:space="preserve">      </w:t>
      </w:r>
      <w:r>
        <w:rPr>
          <w:rFonts w:hint="eastAsia" w:ascii="楷体_GB2312" w:eastAsia="楷体_GB2312"/>
          <w:b/>
          <w:color w:val="auto"/>
          <w:sz w:val="32"/>
          <w:szCs w:val="32"/>
          <w:highlight w:val="none"/>
        </w:rPr>
        <w:t>月</w:t>
      </w:r>
      <w:r>
        <w:rPr>
          <w:rFonts w:ascii="楷体_GB2312" w:eastAsia="楷体_GB2312"/>
          <w:b/>
          <w:color w:val="auto"/>
          <w:sz w:val="32"/>
          <w:szCs w:val="32"/>
          <w:highlight w:val="none"/>
          <w:u w:val="single"/>
        </w:rPr>
        <w:t xml:space="preserve">  </w:t>
      </w:r>
      <w:r>
        <w:rPr>
          <w:rFonts w:hint="eastAsia" w:ascii="楷体_GB2312" w:eastAsia="楷体_GB2312"/>
          <w:b/>
          <w:color w:val="auto"/>
          <w:sz w:val="32"/>
          <w:szCs w:val="32"/>
          <w:highlight w:val="none"/>
          <w:u w:val="single"/>
        </w:rPr>
        <w:t xml:space="preserve">  </w:t>
      </w:r>
      <w:r>
        <w:rPr>
          <w:rFonts w:ascii="楷体_GB2312" w:eastAsia="楷体_GB2312"/>
          <w:b/>
          <w:color w:val="auto"/>
          <w:sz w:val="32"/>
          <w:szCs w:val="32"/>
          <w:highlight w:val="none"/>
          <w:u w:val="single"/>
        </w:rPr>
        <w:t xml:space="preserve"> </w:t>
      </w:r>
      <w:r>
        <w:rPr>
          <w:rFonts w:hint="eastAsia" w:ascii="楷体_GB2312" w:eastAsia="楷体_GB2312"/>
          <w:b/>
          <w:color w:val="auto"/>
          <w:sz w:val="32"/>
          <w:szCs w:val="32"/>
          <w:highlight w:val="none"/>
          <w:u w:val="single"/>
        </w:rPr>
        <w:t xml:space="preserve">   </w:t>
      </w:r>
      <w:r>
        <w:rPr>
          <w:rFonts w:hint="eastAsia" w:ascii="楷体_GB2312" w:eastAsia="楷体_GB2312"/>
          <w:b/>
          <w:color w:val="auto"/>
          <w:sz w:val="32"/>
          <w:szCs w:val="32"/>
          <w:highlight w:val="none"/>
        </w:rPr>
        <w:t>日</w:t>
      </w:r>
    </w:p>
    <w:p w14:paraId="165AF72E">
      <w:pPr>
        <w:jc w:val="center"/>
        <w:rPr>
          <w:rFonts w:ascii="楷体_GB2312" w:eastAsia="楷体_GB2312"/>
          <w:b/>
          <w:color w:val="auto"/>
          <w:sz w:val="52"/>
          <w:szCs w:val="52"/>
          <w:highlight w:val="none"/>
        </w:rPr>
      </w:pPr>
    </w:p>
    <w:p w14:paraId="33009264">
      <w:pPr>
        <w:rPr>
          <w:rFonts w:ascii="楷体_GB2312" w:eastAsia="楷体_GB2312"/>
          <w:b/>
          <w:color w:val="auto"/>
          <w:sz w:val="52"/>
          <w:szCs w:val="52"/>
          <w:highlight w:val="none"/>
        </w:rPr>
      </w:pPr>
    </w:p>
    <w:p w14:paraId="067B7E3B">
      <w:pPr>
        <w:spacing w:line="360" w:lineRule="auto"/>
        <w:ind w:firstLine="2100" w:firstLineChars="1000"/>
        <w:rPr>
          <w:rFonts w:ascii="楷体_GB2312" w:eastAsia="楷体_GB2312"/>
          <w:b/>
          <w:bCs/>
          <w:color w:val="auto"/>
          <w:sz w:val="34"/>
          <w:szCs w:val="32"/>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3636010</wp:posOffset>
                </wp:positionH>
                <wp:positionV relativeFrom="paragraph">
                  <wp:posOffset>140970</wp:posOffset>
                </wp:positionV>
                <wp:extent cx="923925" cy="4572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23925" cy="457200"/>
                        </a:xfrm>
                        <a:prstGeom prst="rect">
                          <a:avLst/>
                        </a:prstGeom>
                        <a:noFill/>
                        <a:ln>
                          <a:noFill/>
                        </a:ln>
                        <a:effectLst/>
                      </wps:spPr>
                      <wps:txbx>
                        <w:txbxContent>
                          <w:p w14:paraId="03725664">
                            <w:pPr>
                              <w:spacing w:line="360" w:lineRule="auto"/>
                              <w:jc w:val="center"/>
                            </w:pPr>
                            <w:r>
                              <w:rPr>
                                <w:rFonts w:hint="eastAsia" w:ascii="楷体_GB2312" w:hAnsi="宋体" w:eastAsia="楷体_GB2312"/>
                                <w:b/>
                                <w:bCs/>
                                <w:sz w:val="34"/>
                                <w:szCs w:val="32"/>
                              </w:rPr>
                              <w:t>制定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86.3pt;margin-top:11.1pt;height:36pt;width:72.75pt;z-index:251659264;mso-width-relative:page;mso-height-relative:page;" filled="f" stroked="f" coordsize="21600,21600" o:gfxdata="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EgRa3WAAAACQEAAA8A&#10;AAAAAAAAAQAgAAAAIgAAAGRycy9kb3ducmV2LnhtbFBLAQIUABQAAAAIAIdO4kAVdCirGQIAACIE&#10;AAAOAAAAAAAAAAEAIAAAACUBAABkcnMvZTJvRG9jLnhtbFBLBQYAAAAABgAGAFkBAACwBQAAAAA=&#10;">
                <v:fill on="f" focussize="0,0"/>
                <v:stroke on="f"/>
                <v:imagedata o:title=""/>
                <o:lock v:ext="edit" aspectratio="f"/>
                <v:textbox>
                  <w:txbxContent>
                    <w:p w14:paraId="03725664">
                      <w:pPr>
                        <w:spacing w:line="360" w:lineRule="auto"/>
                        <w:jc w:val="center"/>
                      </w:pPr>
                      <w:r>
                        <w:rPr>
                          <w:rFonts w:hint="eastAsia" w:ascii="楷体_GB2312" w:hAnsi="宋体" w:eastAsia="楷体_GB2312"/>
                          <w:b/>
                          <w:bCs/>
                          <w:sz w:val="34"/>
                          <w:szCs w:val="32"/>
                        </w:rPr>
                        <w:t>制定</w:t>
                      </w:r>
                    </w:p>
                  </w:txbxContent>
                </v:textbox>
              </v:shape>
            </w:pict>
          </mc:Fallback>
        </mc:AlternateContent>
      </w:r>
      <w:r>
        <w:rPr>
          <w:rFonts w:hint="eastAsia" w:ascii="楷体_GB2312" w:hAnsi="宋体" w:eastAsia="楷体_GB2312"/>
          <w:b/>
          <w:bCs/>
          <w:color w:val="auto"/>
          <w:sz w:val="34"/>
          <w:szCs w:val="32"/>
          <w:highlight w:val="none"/>
        </w:rPr>
        <w:t>安徽省住房和城乡建设厅</w:t>
      </w:r>
    </w:p>
    <w:p w14:paraId="670E67F8">
      <w:pPr>
        <w:rPr>
          <w:rFonts w:hint="eastAsia" w:ascii="楷体_GB2312" w:hAnsi="宋体" w:eastAsia="楷体_GB2312"/>
          <w:b/>
          <w:bCs/>
          <w:color w:val="auto"/>
          <w:spacing w:val="20"/>
          <w:sz w:val="34"/>
          <w:szCs w:val="32"/>
          <w:highlight w:val="none"/>
        </w:rPr>
      </w:pPr>
      <w:r>
        <w:rPr>
          <w:rFonts w:hint="eastAsia" w:ascii="楷体_GB2312" w:hAnsi="宋体" w:eastAsia="楷体_GB2312"/>
          <w:b/>
          <w:bCs/>
          <w:color w:val="auto"/>
          <w:spacing w:val="20"/>
          <w:sz w:val="34"/>
          <w:szCs w:val="32"/>
          <w:highlight w:val="none"/>
        </w:rPr>
        <w:t xml:space="preserve">          安徽省工商行政管理局</w:t>
      </w:r>
    </w:p>
    <w:p w14:paraId="599FADA7">
      <w:pPr>
        <w:pStyle w:val="2"/>
        <w:rPr>
          <w:rFonts w:hint="eastAsia" w:ascii="楷体_GB2312" w:hAnsi="宋体" w:eastAsia="楷体_GB2312"/>
          <w:b/>
          <w:bCs/>
          <w:color w:val="auto"/>
          <w:spacing w:val="20"/>
          <w:sz w:val="34"/>
          <w:szCs w:val="32"/>
          <w:highlight w:val="none"/>
        </w:rPr>
      </w:pPr>
    </w:p>
    <w:p w14:paraId="38ECF2A1">
      <w:pPr>
        <w:rPr>
          <w:rFonts w:hint="eastAsia" w:ascii="楷体_GB2312" w:hAnsi="宋体" w:eastAsia="楷体_GB2312"/>
          <w:b/>
          <w:bCs/>
          <w:color w:val="auto"/>
          <w:spacing w:val="20"/>
          <w:sz w:val="34"/>
          <w:szCs w:val="32"/>
          <w:highlight w:val="none"/>
        </w:rPr>
      </w:pPr>
    </w:p>
    <w:p w14:paraId="2D1E816B">
      <w:pPr>
        <w:jc w:val="left"/>
        <w:rPr>
          <w:rFonts w:hint="eastAsia" w:ascii="楷体_GB2312" w:eastAsia="楷体_GB2312"/>
          <w:bCs/>
          <w:color w:val="auto"/>
          <w:sz w:val="32"/>
          <w:szCs w:val="32"/>
          <w:highlight w:val="none"/>
        </w:rPr>
      </w:pPr>
    </w:p>
    <w:p w14:paraId="5FF95FE6">
      <w:pPr>
        <w:jc w:val="center"/>
        <w:rPr>
          <w:rFonts w:ascii="楷体_GB2312" w:hAnsi="华文中宋" w:eastAsia="楷体_GB2312"/>
          <w:b/>
          <w:color w:val="auto"/>
          <w:sz w:val="44"/>
          <w:szCs w:val="44"/>
          <w:highlight w:val="none"/>
        </w:rPr>
      </w:pPr>
      <w:r>
        <w:rPr>
          <w:rFonts w:hint="eastAsia" w:ascii="楷体_GB2312" w:hAnsi="华文中宋" w:eastAsia="楷体_GB2312"/>
          <w:b/>
          <w:color w:val="auto"/>
          <w:sz w:val="44"/>
          <w:szCs w:val="44"/>
          <w:highlight w:val="none"/>
        </w:rPr>
        <w:t>目</w:t>
      </w:r>
      <w:r>
        <w:rPr>
          <w:rFonts w:ascii="楷体_GB2312" w:hAnsi="华文中宋" w:eastAsia="楷体_GB2312"/>
          <w:b/>
          <w:color w:val="auto"/>
          <w:sz w:val="44"/>
          <w:szCs w:val="44"/>
          <w:highlight w:val="none"/>
        </w:rPr>
        <w:t xml:space="preserve">   </w:t>
      </w:r>
      <w:r>
        <w:rPr>
          <w:rFonts w:hint="eastAsia" w:ascii="楷体_GB2312" w:hAnsi="华文中宋" w:eastAsia="楷体_GB2312"/>
          <w:b/>
          <w:color w:val="auto"/>
          <w:sz w:val="44"/>
          <w:szCs w:val="44"/>
          <w:highlight w:val="none"/>
        </w:rPr>
        <w:t>录</w:t>
      </w:r>
    </w:p>
    <w:p w14:paraId="6A5CFE96">
      <w:pPr>
        <w:tabs>
          <w:tab w:val="right" w:leader="dot" w:pos="8778"/>
        </w:tabs>
        <w:spacing w:line="420" w:lineRule="exact"/>
        <w:rPr>
          <w:rFonts w:ascii="楷体_GB2312" w:hAnsi="华文中宋" w:eastAsia="楷体_GB2312"/>
          <w:b/>
          <w:bCs/>
          <w:color w:val="auto"/>
          <w:spacing w:val="20"/>
          <w:sz w:val="30"/>
          <w:szCs w:val="30"/>
          <w:highlight w:val="none"/>
        </w:rPr>
      </w:pPr>
    </w:p>
    <w:p w14:paraId="7E2197E3">
      <w:pPr>
        <w:tabs>
          <w:tab w:val="right" w:leader="dot" w:pos="8778"/>
        </w:tabs>
        <w:spacing w:line="360" w:lineRule="auto"/>
        <w:ind w:firstLine="682" w:firstLineChars="200"/>
        <w:rPr>
          <w:rFonts w:ascii="楷体_GB2312" w:hAnsi="华文中宋" w:eastAsia="楷体_GB2312"/>
          <w:bCs/>
          <w:color w:val="auto"/>
          <w:spacing w:val="20"/>
          <w:sz w:val="30"/>
          <w:szCs w:val="30"/>
          <w:highlight w:val="none"/>
        </w:rPr>
      </w:pPr>
      <w:r>
        <w:rPr>
          <w:rFonts w:hint="eastAsia" w:ascii="楷体_GB2312" w:hAnsi="华文中宋" w:eastAsia="楷体_GB2312"/>
          <w:b/>
          <w:bCs/>
          <w:color w:val="auto"/>
          <w:spacing w:val="20"/>
          <w:sz w:val="30"/>
          <w:szCs w:val="30"/>
          <w:highlight w:val="none"/>
        </w:rPr>
        <w:t>第一部分 合同协议书</w:t>
      </w:r>
      <w:r>
        <w:rPr>
          <w:rFonts w:hint="eastAsia" w:ascii="楷体_GB2312" w:hAnsi="华文中宋" w:eastAsia="楷体_GB2312"/>
          <w:bCs/>
          <w:color w:val="auto"/>
          <w:spacing w:val="20"/>
          <w:sz w:val="30"/>
          <w:szCs w:val="30"/>
          <w:highlight w:val="none"/>
        </w:rPr>
        <w:tab/>
      </w:r>
      <w:r>
        <w:rPr>
          <w:rFonts w:hint="eastAsia" w:ascii="楷体_GB2312" w:hAnsi="华文中宋" w:eastAsia="楷体_GB2312"/>
          <w:bCs/>
          <w:color w:val="auto"/>
          <w:spacing w:val="20"/>
          <w:sz w:val="30"/>
          <w:szCs w:val="30"/>
          <w:highlight w:val="none"/>
        </w:rPr>
        <w:t>1</w:t>
      </w:r>
    </w:p>
    <w:p w14:paraId="2D9046C2">
      <w:pPr>
        <w:tabs>
          <w:tab w:val="right" w:leader="dot" w:pos="8778"/>
        </w:tabs>
        <w:spacing w:line="360" w:lineRule="auto"/>
        <w:ind w:firstLine="682" w:firstLineChars="200"/>
        <w:rPr>
          <w:rFonts w:ascii="楷体_GB2312" w:hAnsi="华文中宋" w:eastAsia="楷体_GB2312"/>
          <w:bCs/>
          <w:color w:val="auto"/>
          <w:spacing w:val="20"/>
          <w:sz w:val="30"/>
          <w:szCs w:val="30"/>
          <w:highlight w:val="none"/>
        </w:rPr>
      </w:pPr>
      <w:r>
        <w:rPr>
          <w:rFonts w:hint="eastAsia" w:ascii="楷体_GB2312" w:hAnsi="华文中宋" w:eastAsia="楷体_GB2312"/>
          <w:b/>
          <w:bCs/>
          <w:color w:val="auto"/>
          <w:spacing w:val="20"/>
          <w:sz w:val="30"/>
          <w:szCs w:val="30"/>
          <w:highlight w:val="none"/>
        </w:rPr>
        <w:t>第二部分 通用合同条款</w:t>
      </w:r>
      <w:r>
        <w:rPr>
          <w:rFonts w:hint="eastAsia" w:ascii="楷体_GB2312" w:hAnsi="华文中宋" w:eastAsia="楷体_GB2312"/>
          <w:bCs/>
          <w:color w:val="auto"/>
          <w:spacing w:val="20"/>
          <w:sz w:val="30"/>
          <w:szCs w:val="30"/>
          <w:highlight w:val="none"/>
        </w:rPr>
        <w:tab/>
      </w:r>
      <w:r>
        <w:rPr>
          <w:rFonts w:hint="eastAsia" w:ascii="楷体_GB2312" w:hAnsi="华文中宋" w:eastAsia="楷体_GB2312"/>
          <w:bCs/>
          <w:color w:val="auto"/>
          <w:spacing w:val="20"/>
          <w:sz w:val="30"/>
          <w:szCs w:val="30"/>
          <w:highlight w:val="none"/>
        </w:rPr>
        <w:t>3</w:t>
      </w:r>
    </w:p>
    <w:p w14:paraId="11317FFA">
      <w:pPr>
        <w:tabs>
          <w:tab w:val="right" w:leader="dot" w:pos="8778"/>
        </w:tabs>
        <w:spacing w:line="360" w:lineRule="auto"/>
        <w:ind w:firstLine="682" w:firstLineChars="200"/>
        <w:rPr>
          <w:rFonts w:ascii="楷体_GB2312" w:hAnsi="华文中宋" w:eastAsia="楷体_GB2312"/>
          <w:bCs/>
          <w:color w:val="auto"/>
          <w:spacing w:val="20"/>
          <w:sz w:val="30"/>
          <w:szCs w:val="30"/>
          <w:highlight w:val="none"/>
        </w:rPr>
      </w:pPr>
      <w:r>
        <w:rPr>
          <w:rFonts w:hint="eastAsia" w:ascii="楷体_GB2312" w:hAnsi="华文中宋" w:eastAsia="楷体_GB2312"/>
          <w:b/>
          <w:bCs/>
          <w:color w:val="auto"/>
          <w:spacing w:val="20"/>
          <w:sz w:val="30"/>
          <w:szCs w:val="30"/>
          <w:highlight w:val="none"/>
        </w:rPr>
        <w:t>第三部分 专用合同条款</w:t>
      </w:r>
      <w:r>
        <w:rPr>
          <w:rFonts w:hint="eastAsia" w:ascii="楷体_GB2312" w:hAnsi="华文中宋" w:eastAsia="楷体_GB2312"/>
          <w:bCs/>
          <w:color w:val="auto"/>
          <w:spacing w:val="20"/>
          <w:sz w:val="30"/>
          <w:szCs w:val="30"/>
          <w:highlight w:val="none"/>
        </w:rPr>
        <w:tab/>
      </w:r>
      <w:r>
        <w:rPr>
          <w:rFonts w:hint="eastAsia" w:ascii="楷体_GB2312" w:hAnsi="华文中宋" w:eastAsia="楷体_GB2312"/>
          <w:bCs/>
          <w:color w:val="auto"/>
          <w:spacing w:val="20"/>
          <w:sz w:val="30"/>
          <w:szCs w:val="30"/>
          <w:highlight w:val="none"/>
        </w:rPr>
        <w:t>3</w:t>
      </w:r>
    </w:p>
    <w:p w14:paraId="6837E9CA">
      <w:pPr>
        <w:tabs>
          <w:tab w:val="right" w:leader="dot" w:pos="8778"/>
        </w:tabs>
        <w:spacing w:line="360" w:lineRule="auto"/>
        <w:ind w:firstLine="680" w:firstLineChars="200"/>
        <w:rPr>
          <w:rFonts w:ascii="楷体_GB2312" w:hAnsi="华文中宋" w:eastAsia="楷体_GB2312"/>
          <w:bCs/>
          <w:color w:val="auto"/>
          <w:spacing w:val="20"/>
          <w:sz w:val="30"/>
          <w:szCs w:val="30"/>
          <w:highlight w:val="none"/>
        </w:rPr>
      </w:pPr>
      <w:r>
        <w:rPr>
          <w:rFonts w:hint="eastAsia" w:ascii="楷体_GB2312" w:hAnsi="华文中宋" w:eastAsia="楷体_GB2312"/>
          <w:bCs/>
          <w:color w:val="auto"/>
          <w:spacing w:val="20"/>
          <w:sz w:val="30"/>
          <w:szCs w:val="30"/>
          <w:highlight w:val="none"/>
        </w:rPr>
        <w:t>1. 一般约定</w:t>
      </w:r>
      <w:r>
        <w:rPr>
          <w:rFonts w:hint="eastAsia" w:ascii="楷体_GB2312" w:hAnsi="华文中宋" w:eastAsia="楷体_GB2312"/>
          <w:bCs/>
          <w:color w:val="auto"/>
          <w:spacing w:val="20"/>
          <w:sz w:val="30"/>
          <w:szCs w:val="30"/>
          <w:highlight w:val="none"/>
        </w:rPr>
        <w:tab/>
      </w:r>
      <w:r>
        <w:rPr>
          <w:rFonts w:hint="eastAsia" w:ascii="楷体_GB2312" w:hAnsi="华文中宋" w:eastAsia="楷体_GB2312"/>
          <w:bCs/>
          <w:color w:val="auto"/>
          <w:spacing w:val="20"/>
          <w:sz w:val="30"/>
          <w:szCs w:val="30"/>
          <w:highlight w:val="none"/>
        </w:rPr>
        <w:t>3</w:t>
      </w:r>
    </w:p>
    <w:p w14:paraId="01C98359">
      <w:pPr>
        <w:tabs>
          <w:tab w:val="right" w:leader="dot" w:pos="8778"/>
        </w:tabs>
        <w:spacing w:line="360" w:lineRule="auto"/>
        <w:ind w:firstLine="680" w:firstLineChars="200"/>
        <w:rPr>
          <w:rFonts w:ascii="楷体_GB2312" w:hAnsi="华文中宋" w:eastAsia="楷体_GB2312"/>
          <w:bCs/>
          <w:color w:val="auto"/>
          <w:spacing w:val="20"/>
          <w:sz w:val="30"/>
          <w:szCs w:val="30"/>
          <w:highlight w:val="none"/>
        </w:rPr>
      </w:pPr>
      <w:r>
        <w:rPr>
          <w:rFonts w:hint="eastAsia" w:ascii="楷体_GB2312" w:hAnsi="华文中宋" w:eastAsia="楷体_GB2312"/>
          <w:bCs/>
          <w:color w:val="auto"/>
          <w:spacing w:val="20"/>
          <w:sz w:val="30"/>
          <w:szCs w:val="30"/>
          <w:highlight w:val="none"/>
        </w:rPr>
        <w:t>2. 委托人</w:t>
      </w:r>
      <w:r>
        <w:rPr>
          <w:rFonts w:hint="eastAsia" w:ascii="楷体_GB2312" w:hAnsi="华文中宋" w:eastAsia="楷体_GB2312"/>
          <w:bCs/>
          <w:color w:val="auto"/>
          <w:spacing w:val="20"/>
          <w:sz w:val="30"/>
          <w:szCs w:val="30"/>
          <w:highlight w:val="none"/>
        </w:rPr>
        <w:tab/>
      </w:r>
      <w:r>
        <w:rPr>
          <w:rFonts w:hint="eastAsia" w:ascii="楷体_GB2312" w:hAnsi="华文中宋" w:eastAsia="楷体_GB2312"/>
          <w:bCs/>
          <w:color w:val="auto"/>
          <w:spacing w:val="20"/>
          <w:sz w:val="30"/>
          <w:szCs w:val="30"/>
          <w:highlight w:val="none"/>
        </w:rPr>
        <w:t>3</w:t>
      </w:r>
    </w:p>
    <w:p w14:paraId="6DC7652A">
      <w:pPr>
        <w:tabs>
          <w:tab w:val="right" w:leader="dot" w:pos="8778"/>
        </w:tabs>
        <w:spacing w:line="360" w:lineRule="auto"/>
        <w:ind w:firstLine="680" w:firstLineChars="200"/>
        <w:rPr>
          <w:rFonts w:ascii="楷体_GB2312" w:hAnsi="华文中宋" w:eastAsia="楷体_GB2312"/>
          <w:bCs/>
          <w:color w:val="auto"/>
          <w:spacing w:val="20"/>
          <w:sz w:val="30"/>
          <w:szCs w:val="30"/>
          <w:highlight w:val="none"/>
        </w:rPr>
      </w:pPr>
      <w:r>
        <w:rPr>
          <w:rFonts w:hint="eastAsia" w:ascii="楷体_GB2312" w:hAnsi="华文中宋" w:eastAsia="楷体_GB2312"/>
          <w:bCs/>
          <w:color w:val="auto"/>
          <w:spacing w:val="20"/>
          <w:sz w:val="30"/>
          <w:szCs w:val="30"/>
          <w:highlight w:val="none"/>
        </w:rPr>
        <w:t>3. 咨询人</w:t>
      </w:r>
      <w:r>
        <w:rPr>
          <w:rFonts w:hint="eastAsia" w:ascii="楷体_GB2312" w:hAnsi="华文中宋" w:eastAsia="楷体_GB2312"/>
          <w:bCs/>
          <w:color w:val="auto"/>
          <w:spacing w:val="20"/>
          <w:sz w:val="30"/>
          <w:szCs w:val="30"/>
          <w:highlight w:val="none"/>
        </w:rPr>
        <w:tab/>
      </w:r>
      <w:r>
        <w:rPr>
          <w:rFonts w:hint="eastAsia" w:ascii="楷体_GB2312" w:hAnsi="华文中宋" w:eastAsia="楷体_GB2312"/>
          <w:bCs/>
          <w:color w:val="auto"/>
          <w:spacing w:val="20"/>
          <w:sz w:val="30"/>
          <w:szCs w:val="30"/>
          <w:highlight w:val="none"/>
        </w:rPr>
        <w:t>4</w:t>
      </w:r>
    </w:p>
    <w:p w14:paraId="1B98C785">
      <w:pPr>
        <w:tabs>
          <w:tab w:val="right" w:leader="dot" w:pos="8778"/>
        </w:tabs>
        <w:spacing w:line="360" w:lineRule="auto"/>
        <w:ind w:firstLine="680" w:firstLineChars="200"/>
        <w:rPr>
          <w:rFonts w:ascii="楷体_GB2312" w:hAnsi="华文中宋" w:eastAsia="楷体_GB2312"/>
          <w:bCs/>
          <w:color w:val="auto"/>
          <w:spacing w:val="20"/>
          <w:sz w:val="30"/>
          <w:szCs w:val="30"/>
          <w:highlight w:val="none"/>
        </w:rPr>
      </w:pPr>
      <w:r>
        <w:rPr>
          <w:rFonts w:hint="eastAsia" w:ascii="楷体_GB2312" w:hAnsi="华文中宋" w:eastAsia="楷体_GB2312"/>
          <w:bCs/>
          <w:color w:val="auto"/>
          <w:spacing w:val="20"/>
          <w:sz w:val="30"/>
          <w:szCs w:val="30"/>
          <w:highlight w:val="none"/>
        </w:rPr>
        <w:t>4. 咨询业务范围和工作内容</w:t>
      </w:r>
      <w:r>
        <w:rPr>
          <w:rFonts w:hint="eastAsia" w:ascii="楷体_GB2312" w:hAnsi="华文中宋" w:eastAsia="楷体_GB2312"/>
          <w:bCs/>
          <w:color w:val="auto"/>
          <w:spacing w:val="20"/>
          <w:sz w:val="30"/>
          <w:szCs w:val="30"/>
          <w:highlight w:val="none"/>
        </w:rPr>
        <w:tab/>
      </w:r>
      <w:r>
        <w:rPr>
          <w:rFonts w:hint="eastAsia" w:ascii="楷体_GB2312" w:hAnsi="华文中宋" w:eastAsia="楷体_GB2312"/>
          <w:bCs/>
          <w:color w:val="auto"/>
          <w:spacing w:val="20"/>
          <w:sz w:val="30"/>
          <w:szCs w:val="30"/>
          <w:highlight w:val="none"/>
        </w:rPr>
        <w:t>5</w:t>
      </w:r>
    </w:p>
    <w:p w14:paraId="2F25E8D7">
      <w:pPr>
        <w:tabs>
          <w:tab w:val="right" w:leader="dot" w:pos="8778"/>
        </w:tabs>
        <w:spacing w:line="360" w:lineRule="auto"/>
        <w:ind w:firstLine="680" w:firstLineChars="200"/>
        <w:rPr>
          <w:rFonts w:ascii="楷体_GB2312" w:hAnsi="华文中宋" w:eastAsia="楷体_GB2312"/>
          <w:bCs/>
          <w:color w:val="auto"/>
          <w:spacing w:val="20"/>
          <w:sz w:val="30"/>
          <w:szCs w:val="30"/>
          <w:highlight w:val="none"/>
        </w:rPr>
      </w:pPr>
      <w:r>
        <w:rPr>
          <w:rFonts w:hint="eastAsia" w:ascii="楷体_GB2312" w:hAnsi="华文中宋" w:eastAsia="楷体_GB2312"/>
          <w:bCs/>
          <w:color w:val="auto"/>
          <w:spacing w:val="20"/>
          <w:sz w:val="30"/>
          <w:szCs w:val="30"/>
          <w:highlight w:val="none"/>
        </w:rPr>
        <w:t>5. 咨询期限</w:t>
      </w:r>
      <w:r>
        <w:rPr>
          <w:rFonts w:hint="eastAsia" w:ascii="楷体_GB2312" w:hAnsi="华文中宋" w:eastAsia="楷体_GB2312"/>
          <w:bCs/>
          <w:color w:val="auto"/>
          <w:spacing w:val="20"/>
          <w:sz w:val="30"/>
          <w:szCs w:val="30"/>
          <w:highlight w:val="none"/>
        </w:rPr>
        <w:tab/>
      </w:r>
      <w:r>
        <w:rPr>
          <w:rFonts w:hint="eastAsia" w:ascii="楷体_GB2312" w:hAnsi="华文中宋" w:eastAsia="楷体_GB2312"/>
          <w:bCs/>
          <w:color w:val="auto"/>
          <w:spacing w:val="20"/>
          <w:sz w:val="30"/>
          <w:szCs w:val="30"/>
          <w:highlight w:val="none"/>
        </w:rPr>
        <w:t>5</w:t>
      </w:r>
    </w:p>
    <w:p w14:paraId="03B274B4">
      <w:pPr>
        <w:tabs>
          <w:tab w:val="right" w:leader="dot" w:pos="8778"/>
        </w:tabs>
        <w:spacing w:line="360" w:lineRule="auto"/>
        <w:ind w:firstLine="680" w:firstLineChars="200"/>
        <w:rPr>
          <w:rFonts w:ascii="楷体_GB2312" w:hAnsi="华文中宋" w:eastAsia="楷体_GB2312"/>
          <w:bCs/>
          <w:color w:val="auto"/>
          <w:spacing w:val="20"/>
          <w:sz w:val="30"/>
          <w:szCs w:val="30"/>
          <w:highlight w:val="none"/>
        </w:rPr>
      </w:pPr>
      <w:r>
        <w:rPr>
          <w:rFonts w:hint="eastAsia" w:ascii="楷体_GB2312" w:hAnsi="华文中宋" w:eastAsia="楷体_GB2312"/>
          <w:bCs/>
          <w:color w:val="auto"/>
          <w:spacing w:val="20"/>
          <w:sz w:val="30"/>
          <w:szCs w:val="30"/>
          <w:highlight w:val="none"/>
        </w:rPr>
        <w:t>6. 咨询质量</w:t>
      </w:r>
      <w:r>
        <w:rPr>
          <w:rFonts w:hint="eastAsia" w:ascii="楷体_GB2312" w:hAnsi="华文中宋" w:eastAsia="楷体_GB2312"/>
          <w:bCs/>
          <w:color w:val="auto"/>
          <w:spacing w:val="20"/>
          <w:sz w:val="30"/>
          <w:szCs w:val="30"/>
          <w:highlight w:val="none"/>
        </w:rPr>
        <w:tab/>
      </w:r>
      <w:r>
        <w:rPr>
          <w:rFonts w:hint="eastAsia" w:ascii="楷体_GB2312" w:hAnsi="华文中宋" w:eastAsia="楷体_GB2312"/>
          <w:bCs/>
          <w:color w:val="auto"/>
          <w:spacing w:val="20"/>
          <w:sz w:val="30"/>
          <w:szCs w:val="30"/>
          <w:highlight w:val="none"/>
        </w:rPr>
        <w:t>5</w:t>
      </w:r>
    </w:p>
    <w:p w14:paraId="2A568C3F">
      <w:pPr>
        <w:tabs>
          <w:tab w:val="right" w:leader="dot" w:pos="8778"/>
        </w:tabs>
        <w:spacing w:line="360" w:lineRule="auto"/>
        <w:ind w:firstLine="680" w:firstLineChars="200"/>
        <w:rPr>
          <w:rFonts w:ascii="楷体_GB2312" w:hAnsi="华文中宋" w:eastAsia="楷体_GB2312"/>
          <w:bCs/>
          <w:color w:val="auto"/>
          <w:spacing w:val="20"/>
          <w:sz w:val="30"/>
          <w:szCs w:val="30"/>
          <w:highlight w:val="none"/>
        </w:rPr>
      </w:pPr>
      <w:r>
        <w:rPr>
          <w:rFonts w:hint="eastAsia" w:ascii="楷体_GB2312" w:hAnsi="华文中宋" w:eastAsia="楷体_GB2312"/>
          <w:bCs/>
          <w:color w:val="auto"/>
          <w:spacing w:val="20"/>
          <w:sz w:val="30"/>
          <w:szCs w:val="30"/>
          <w:highlight w:val="none"/>
        </w:rPr>
        <w:t>7. 咨询酬金</w:t>
      </w:r>
      <w:r>
        <w:rPr>
          <w:rFonts w:hint="eastAsia" w:ascii="楷体_GB2312" w:hAnsi="华文中宋" w:eastAsia="楷体_GB2312"/>
          <w:bCs/>
          <w:color w:val="auto"/>
          <w:spacing w:val="20"/>
          <w:sz w:val="30"/>
          <w:szCs w:val="30"/>
          <w:highlight w:val="none"/>
        </w:rPr>
        <w:tab/>
      </w:r>
      <w:r>
        <w:rPr>
          <w:rFonts w:hint="eastAsia" w:ascii="楷体_GB2312" w:hAnsi="华文中宋" w:eastAsia="楷体_GB2312"/>
          <w:bCs/>
          <w:color w:val="auto"/>
          <w:spacing w:val="20"/>
          <w:sz w:val="30"/>
          <w:szCs w:val="30"/>
          <w:highlight w:val="none"/>
        </w:rPr>
        <w:t>6</w:t>
      </w:r>
    </w:p>
    <w:p w14:paraId="4EC8B6CB">
      <w:pPr>
        <w:tabs>
          <w:tab w:val="right" w:leader="dot" w:pos="8778"/>
        </w:tabs>
        <w:spacing w:line="360" w:lineRule="auto"/>
        <w:ind w:firstLine="680" w:firstLineChars="200"/>
        <w:rPr>
          <w:rFonts w:ascii="楷体_GB2312" w:hAnsi="华文中宋" w:eastAsia="楷体_GB2312"/>
          <w:bCs/>
          <w:color w:val="auto"/>
          <w:spacing w:val="20"/>
          <w:sz w:val="30"/>
          <w:szCs w:val="30"/>
          <w:highlight w:val="none"/>
        </w:rPr>
      </w:pPr>
      <w:r>
        <w:rPr>
          <w:rFonts w:hint="eastAsia" w:ascii="楷体_GB2312" w:hAnsi="华文中宋" w:eastAsia="楷体_GB2312"/>
          <w:bCs/>
          <w:color w:val="auto"/>
          <w:spacing w:val="20"/>
          <w:sz w:val="30"/>
          <w:szCs w:val="30"/>
          <w:highlight w:val="none"/>
        </w:rPr>
        <w:t>8. 变更</w:t>
      </w:r>
      <w:r>
        <w:rPr>
          <w:rFonts w:hint="eastAsia" w:ascii="楷体_GB2312" w:hAnsi="华文中宋" w:eastAsia="楷体_GB2312"/>
          <w:bCs/>
          <w:color w:val="auto"/>
          <w:spacing w:val="20"/>
          <w:sz w:val="30"/>
          <w:szCs w:val="30"/>
          <w:highlight w:val="none"/>
        </w:rPr>
        <w:tab/>
      </w:r>
      <w:r>
        <w:rPr>
          <w:rFonts w:hint="eastAsia" w:ascii="楷体_GB2312" w:hAnsi="华文中宋" w:eastAsia="楷体_GB2312"/>
          <w:bCs/>
          <w:color w:val="auto"/>
          <w:spacing w:val="20"/>
          <w:sz w:val="30"/>
          <w:szCs w:val="30"/>
          <w:highlight w:val="none"/>
        </w:rPr>
        <w:t>6</w:t>
      </w:r>
    </w:p>
    <w:p w14:paraId="5445A906">
      <w:pPr>
        <w:tabs>
          <w:tab w:val="right" w:leader="dot" w:pos="8778"/>
        </w:tabs>
        <w:spacing w:line="360" w:lineRule="auto"/>
        <w:ind w:firstLine="680" w:firstLineChars="200"/>
        <w:rPr>
          <w:rFonts w:ascii="楷体_GB2312" w:hAnsi="华文中宋" w:eastAsia="楷体_GB2312"/>
          <w:bCs/>
          <w:color w:val="auto"/>
          <w:spacing w:val="20"/>
          <w:sz w:val="30"/>
          <w:szCs w:val="30"/>
          <w:highlight w:val="none"/>
        </w:rPr>
      </w:pPr>
      <w:r>
        <w:rPr>
          <w:rFonts w:hint="eastAsia" w:ascii="楷体_GB2312" w:hAnsi="华文中宋" w:eastAsia="楷体_GB2312"/>
          <w:bCs/>
          <w:color w:val="auto"/>
          <w:spacing w:val="20"/>
          <w:sz w:val="30"/>
          <w:szCs w:val="30"/>
          <w:highlight w:val="none"/>
        </w:rPr>
        <w:t>9. 违约</w:t>
      </w:r>
      <w:r>
        <w:rPr>
          <w:rFonts w:hint="eastAsia" w:ascii="楷体_GB2312" w:hAnsi="华文中宋" w:eastAsia="楷体_GB2312"/>
          <w:bCs/>
          <w:color w:val="auto"/>
          <w:spacing w:val="20"/>
          <w:sz w:val="30"/>
          <w:szCs w:val="30"/>
          <w:highlight w:val="none"/>
        </w:rPr>
        <w:tab/>
      </w:r>
      <w:r>
        <w:rPr>
          <w:rFonts w:hint="eastAsia" w:ascii="楷体_GB2312" w:hAnsi="华文中宋" w:eastAsia="楷体_GB2312"/>
          <w:bCs/>
          <w:color w:val="auto"/>
          <w:spacing w:val="20"/>
          <w:sz w:val="30"/>
          <w:szCs w:val="30"/>
          <w:highlight w:val="none"/>
        </w:rPr>
        <w:t>7</w:t>
      </w:r>
    </w:p>
    <w:p w14:paraId="1DC9CBE6">
      <w:pPr>
        <w:tabs>
          <w:tab w:val="right" w:leader="dot" w:pos="8778"/>
        </w:tabs>
        <w:spacing w:line="360" w:lineRule="auto"/>
        <w:ind w:firstLine="680" w:firstLineChars="200"/>
        <w:rPr>
          <w:rFonts w:ascii="楷体_GB2312" w:hAnsi="华文中宋" w:eastAsia="楷体_GB2312"/>
          <w:bCs/>
          <w:color w:val="auto"/>
          <w:spacing w:val="20"/>
          <w:sz w:val="30"/>
          <w:szCs w:val="30"/>
          <w:highlight w:val="none"/>
        </w:rPr>
      </w:pPr>
      <w:r>
        <w:rPr>
          <w:rFonts w:hint="eastAsia" w:ascii="楷体_GB2312" w:hAnsi="华文中宋" w:eastAsia="楷体_GB2312"/>
          <w:bCs/>
          <w:color w:val="auto"/>
          <w:spacing w:val="20"/>
          <w:sz w:val="30"/>
          <w:szCs w:val="30"/>
          <w:highlight w:val="none"/>
        </w:rPr>
        <w:t>10. 争议解决</w:t>
      </w:r>
      <w:r>
        <w:rPr>
          <w:rFonts w:hint="eastAsia" w:ascii="楷体_GB2312" w:hAnsi="华文中宋" w:eastAsia="楷体_GB2312"/>
          <w:bCs/>
          <w:color w:val="auto"/>
          <w:spacing w:val="20"/>
          <w:sz w:val="30"/>
          <w:szCs w:val="30"/>
          <w:highlight w:val="none"/>
        </w:rPr>
        <w:tab/>
      </w:r>
      <w:r>
        <w:rPr>
          <w:rFonts w:hint="eastAsia" w:ascii="楷体_GB2312" w:hAnsi="华文中宋" w:eastAsia="楷体_GB2312"/>
          <w:bCs/>
          <w:color w:val="auto"/>
          <w:spacing w:val="20"/>
          <w:sz w:val="30"/>
          <w:szCs w:val="30"/>
          <w:highlight w:val="none"/>
        </w:rPr>
        <w:t>7</w:t>
      </w:r>
    </w:p>
    <w:p w14:paraId="0BBA9622">
      <w:pPr>
        <w:tabs>
          <w:tab w:val="right" w:leader="dot" w:pos="8778"/>
        </w:tabs>
        <w:spacing w:line="360" w:lineRule="auto"/>
        <w:ind w:firstLine="680" w:firstLineChars="200"/>
        <w:rPr>
          <w:rFonts w:ascii="楷体_GB2312" w:hAnsi="华文中宋" w:eastAsia="楷体_GB2312"/>
          <w:bCs/>
          <w:color w:val="auto"/>
          <w:spacing w:val="20"/>
          <w:sz w:val="30"/>
          <w:szCs w:val="30"/>
          <w:highlight w:val="none"/>
        </w:rPr>
      </w:pPr>
      <w:r>
        <w:rPr>
          <w:rFonts w:hint="eastAsia" w:ascii="楷体_GB2312" w:hAnsi="华文中宋" w:eastAsia="楷体_GB2312"/>
          <w:bCs/>
          <w:color w:val="auto"/>
          <w:spacing w:val="20"/>
          <w:sz w:val="30"/>
          <w:szCs w:val="30"/>
          <w:highlight w:val="none"/>
        </w:rPr>
        <w:t>11. 补充条款</w:t>
      </w:r>
      <w:r>
        <w:rPr>
          <w:rFonts w:hint="eastAsia" w:ascii="楷体_GB2312" w:hAnsi="华文中宋" w:eastAsia="楷体_GB2312"/>
          <w:bCs/>
          <w:color w:val="auto"/>
          <w:spacing w:val="20"/>
          <w:sz w:val="30"/>
          <w:szCs w:val="30"/>
          <w:highlight w:val="none"/>
        </w:rPr>
        <w:tab/>
      </w:r>
      <w:r>
        <w:rPr>
          <w:rFonts w:hint="eastAsia" w:ascii="楷体_GB2312" w:hAnsi="华文中宋" w:eastAsia="楷体_GB2312"/>
          <w:bCs/>
          <w:color w:val="auto"/>
          <w:spacing w:val="20"/>
          <w:sz w:val="30"/>
          <w:szCs w:val="30"/>
          <w:highlight w:val="none"/>
        </w:rPr>
        <w:t>7</w:t>
      </w:r>
      <w:bookmarkStart w:id="783" w:name="_Toc407261892"/>
    </w:p>
    <w:p w14:paraId="0311F6DC">
      <w:pPr>
        <w:rPr>
          <w:color w:val="auto"/>
          <w:szCs w:val="22"/>
          <w:highlight w:val="none"/>
        </w:rPr>
      </w:pPr>
    </w:p>
    <w:p w14:paraId="34318473">
      <w:pPr>
        <w:rPr>
          <w:color w:val="auto"/>
          <w:szCs w:val="22"/>
          <w:highlight w:val="none"/>
        </w:rPr>
      </w:pPr>
    </w:p>
    <w:p w14:paraId="0D6B7AB2">
      <w:pPr>
        <w:rPr>
          <w:color w:val="auto"/>
          <w:szCs w:val="22"/>
          <w:highlight w:val="none"/>
        </w:rPr>
      </w:pPr>
    </w:p>
    <w:p w14:paraId="455BF106">
      <w:pPr>
        <w:rPr>
          <w:color w:val="auto"/>
          <w:szCs w:val="22"/>
          <w:highlight w:val="none"/>
        </w:rPr>
      </w:pPr>
    </w:p>
    <w:p w14:paraId="23B47669">
      <w:pPr>
        <w:rPr>
          <w:color w:val="auto"/>
          <w:szCs w:val="22"/>
          <w:highlight w:val="none"/>
        </w:rPr>
      </w:pPr>
    </w:p>
    <w:p w14:paraId="4591D9CE">
      <w:pPr>
        <w:rPr>
          <w:color w:val="auto"/>
          <w:szCs w:val="22"/>
          <w:highlight w:val="none"/>
        </w:rPr>
      </w:pPr>
    </w:p>
    <w:p w14:paraId="76867558">
      <w:pPr>
        <w:rPr>
          <w:color w:val="auto"/>
          <w:szCs w:val="22"/>
          <w:highlight w:val="none"/>
        </w:rPr>
      </w:pPr>
    </w:p>
    <w:p w14:paraId="4AC0E334">
      <w:pPr>
        <w:rPr>
          <w:color w:val="auto"/>
          <w:szCs w:val="22"/>
          <w:highlight w:val="none"/>
        </w:rPr>
      </w:pPr>
    </w:p>
    <w:p w14:paraId="624B6932">
      <w:pPr>
        <w:rPr>
          <w:color w:val="auto"/>
          <w:szCs w:val="22"/>
          <w:highlight w:val="none"/>
        </w:rPr>
      </w:pPr>
    </w:p>
    <w:p w14:paraId="5BEC93D4">
      <w:pPr>
        <w:rPr>
          <w:color w:val="auto"/>
          <w:szCs w:val="22"/>
          <w:highlight w:val="none"/>
        </w:rPr>
      </w:pPr>
    </w:p>
    <w:p w14:paraId="3090D079">
      <w:pPr>
        <w:rPr>
          <w:color w:val="auto"/>
          <w:szCs w:val="22"/>
          <w:highlight w:val="none"/>
        </w:rPr>
      </w:pPr>
    </w:p>
    <w:p w14:paraId="1D07475A">
      <w:pPr>
        <w:rPr>
          <w:color w:val="auto"/>
          <w:szCs w:val="22"/>
          <w:highlight w:val="none"/>
        </w:rPr>
      </w:pPr>
    </w:p>
    <w:p w14:paraId="534320CB">
      <w:pPr>
        <w:bidi w:val="0"/>
        <w:jc w:val="center"/>
        <w:rPr>
          <w:color w:val="auto"/>
          <w:kern w:val="2"/>
          <w:sz w:val="21"/>
          <w:szCs w:val="24"/>
          <w:highlight w:val="none"/>
          <w:lang w:val="en-US" w:eastAsia="zh-CN" w:bidi="ar-SA"/>
        </w:rPr>
      </w:pPr>
    </w:p>
    <w:p w14:paraId="35B3E45F">
      <w:pPr>
        <w:keepNext/>
        <w:keepLines/>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outlineLvl w:val="0"/>
        <w:rPr>
          <w:rFonts w:ascii="楷体_GB2312" w:hAnsi="华文中宋" w:eastAsia="楷体_GB2312"/>
          <w:b/>
          <w:bCs/>
          <w:color w:val="auto"/>
          <w:kern w:val="44"/>
          <w:sz w:val="32"/>
          <w:szCs w:val="32"/>
          <w:highlight w:val="none"/>
        </w:rPr>
      </w:pPr>
      <w:r>
        <w:rPr>
          <w:rFonts w:hint="eastAsia" w:ascii="楷体_GB2312" w:hAnsi="华文中宋" w:eastAsia="楷体_GB2312"/>
          <w:b/>
          <w:bCs/>
          <w:color w:val="auto"/>
          <w:kern w:val="44"/>
          <w:sz w:val="32"/>
          <w:szCs w:val="32"/>
          <w:highlight w:val="none"/>
        </w:rPr>
        <w:t>第一部分  合同协议书</w:t>
      </w:r>
      <w:bookmarkEnd w:id="783"/>
    </w:p>
    <w:p w14:paraId="2B561D11">
      <w:pPr>
        <w:keepNext w:val="0"/>
        <w:keepLines w:val="0"/>
        <w:pageBreakBefore w:val="0"/>
        <w:widowControl w:val="0"/>
        <w:kinsoku/>
        <w:wordWrap/>
        <w:overflowPunct/>
        <w:topLinePunct w:val="0"/>
        <w:bidi w:val="0"/>
        <w:spacing w:line="500" w:lineRule="exact"/>
        <w:jc w:val="left"/>
        <w:textAlignment w:val="auto"/>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委托人（全称）：</w:t>
      </w:r>
      <w:r>
        <w:rPr>
          <w:rFonts w:hint="eastAsia" w:ascii="宋体" w:hAnsi="宋体" w:eastAsia="宋体" w:cs="宋体"/>
          <w:b/>
          <w:color w:val="auto"/>
          <w:sz w:val="21"/>
          <w:szCs w:val="21"/>
          <w:highlight w:val="none"/>
          <w:u w:val="single"/>
        </w:rPr>
        <w:t xml:space="preserve">                                </w:t>
      </w:r>
    </w:p>
    <w:p w14:paraId="5B1C517C">
      <w:pPr>
        <w:keepNext w:val="0"/>
        <w:keepLines w:val="0"/>
        <w:pageBreakBefore w:val="0"/>
        <w:widowControl w:val="0"/>
        <w:kinsoku/>
        <w:wordWrap/>
        <w:overflowPunct/>
        <w:topLinePunct w:val="0"/>
        <w:bidi w:val="0"/>
        <w:adjustRightInd w:val="0"/>
        <w:snapToGrid w:val="0"/>
        <w:spacing w:line="50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咨询人（全称）：</w:t>
      </w:r>
      <w:r>
        <w:rPr>
          <w:rFonts w:hint="eastAsia" w:ascii="宋体" w:hAnsi="宋体" w:eastAsia="宋体" w:cs="宋体"/>
          <w:b/>
          <w:color w:val="auto"/>
          <w:sz w:val="21"/>
          <w:szCs w:val="21"/>
          <w:highlight w:val="none"/>
          <w:u w:val="single"/>
        </w:rPr>
        <w:t xml:space="preserve">                                </w:t>
      </w:r>
    </w:p>
    <w:p w14:paraId="69F3187D">
      <w:pPr>
        <w:keepNext w:val="0"/>
        <w:keepLines w:val="0"/>
        <w:pageBreakBefore w:val="0"/>
        <w:widowControl w:val="0"/>
        <w:kinsoku/>
        <w:wordWrap/>
        <w:overflowPunct/>
        <w:topLinePunct w:val="0"/>
        <w:bidi w:val="0"/>
        <w:adjustRightInd w:val="0"/>
        <w:snapToGrid w:val="0"/>
        <w:spacing w:line="500" w:lineRule="exact"/>
        <w:ind w:left="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根据《中华人民共和国民法典》 及有关法律规定，遵循平等、自愿、公平和诚实信用的原则，双方就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工程造价咨询及有关事项协商一致，共同达成如下协议：</w:t>
      </w:r>
    </w:p>
    <w:p w14:paraId="29CB6651">
      <w:pPr>
        <w:keepNext w:val="0"/>
        <w:keepLines w:val="0"/>
        <w:pageBreakBefore w:val="0"/>
        <w:widowControl w:val="0"/>
        <w:kinsoku/>
        <w:wordWrap/>
        <w:overflowPunct/>
        <w:topLinePunct w:val="0"/>
        <w:bidi w:val="0"/>
        <w:spacing w:line="500" w:lineRule="exact"/>
        <w:ind w:lef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一、工程概况</w:t>
      </w:r>
    </w:p>
    <w:p w14:paraId="4133286E">
      <w:pPr>
        <w:keepNext w:val="0"/>
        <w:keepLines w:val="0"/>
        <w:pageBreakBefore w:val="0"/>
        <w:widowControl w:val="0"/>
        <w:kinsoku/>
        <w:wordWrap/>
        <w:overflowPunct/>
        <w:topLinePunct w:val="0"/>
        <w:bidi w:val="0"/>
        <w:spacing w:line="500" w:lineRule="exact"/>
        <w:ind w:left="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1. </w:t>
      </w:r>
      <w:r>
        <w:rPr>
          <w:rFonts w:hint="eastAsia" w:ascii="宋体" w:hAnsi="宋体" w:eastAsia="宋体" w:cs="宋体"/>
          <w:bCs/>
          <w:color w:val="auto"/>
          <w:sz w:val="21"/>
          <w:szCs w:val="21"/>
          <w:highlight w:val="none"/>
        </w:rPr>
        <w:t>工程名称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9EDF7AB">
      <w:pPr>
        <w:keepNext w:val="0"/>
        <w:keepLines w:val="0"/>
        <w:pageBreakBefore w:val="0"/>
        <w:widowControl w:val="0"/>
        <w:kinsoku/>
        <w:wordWrap/>
        <w:overflowPunct/>
        <w:topLinePunct w:val="0"/>
        <w:bidi w:val="0"/>
        <w:spacing w:line="500" w:lineRule="exact"/>
        <w:ind w:left="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 xml:space="preserve">2. </w:t>
      </w:r>
      <w:r>
        <w:rPr>
          <w:rFonts w:hint="eastAsia" w:ascii="宋体" w:hAnsi="宋体" w:eastAsia="宋体" w:cs="宋体"/>
          <w:bCs/>
          <w:color w:val="auto"/>
          <w:sz w:val="21"/>
          <w:szCs w:val="21"/>
          <w:highlight w:val="none"/>
        </w:rPr>
        <w:t>工程地点：</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滁州经开区辖区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5519043">
      <w:pPr>
        <w:keepNext w:val="0"/>
        <w:keepLines w:val="0"/>
        <w:pageBreakBefore w:val="0"/>
        <w:widowControl w:val="0"/>
        <w:kinsoku/>
        <w:wordWrap/>
        <w:overflowPunct/>
        <w:topLinePunct w:val="0"/>
        <w:bidi w:val="0"/>
        <w:spacing w:line="500" w:lineRule="exact"/>
        <w:ind w:left="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 xml:space="preserve">3. </w:t>
      </w:r>
      <w:r>
        <w:rPr>
          <w:rFonts w:hint="eastAsia" w:ascii="宋体" w:hAnsi="宋体" w:eastAsia="宋体" w:cs="宋体"/>
          <w:bCs/>
          <w:color w:val="auto"/>
          <w:sz w:val="21"/>
          <w:szCs w:val="21"/>
          <w:highlight w:val="none"/>
        </w:rPr>
        <w:t>工程规模：</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rPr>
        <w:t>。</w:t>
      </w:r>
    </w:p>
    <w:p w14:paraId="27B591AE">
      <w:pPr>
        <w:keepNext w:val="0"/>
        <w:keepLines w:val="0"/>
        <w:pageBreakBefore w:val="0"/>
        <w:widowControl w:val="0"/>
        <w:kinsoku/>
        <w:wordWrap/>
        <w:overflowPunct/>
        <w:topLinePunct w:val="0"/>
        <w:bidi w:val="0"/>
        <w:spacing w:line="500" w:lineRule="exact"/>
        <w:ind w:lef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二、咨询业务范围</w:t>
      </w:r>
    </w:p>
    <w:p w14:paraId="4688B953">
      <w:pPr>
        <w:keepNext w:val="0"/>
        <w:keepLines w:val="0"/>
        <w:pageBreakBefore w:val="0"/>
        <w:widowControl w:val="0"/>
        <w:kinsoku/>
        <w:wordWrap/>
        <w:overflowPunct/>
        <w:topLinePunct w:val="0"/>
        <w:bidi w:val="0"/>
        <w:spacing w:line="500" w:lineRule="exact"/>
        <w:ind w:left="0" w:firstLine="420" w:firstLineChars="200"/>
        <w:textAlignment w:val="auto"/>
        <w:rPr>
          <w:rFonts w:hint="eastAsia" w:ascii="宋体" w:hAnsi="宋体" w:cs="宋体"/>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依据招标人提供的全套设计施工图纸进行本项目的工程量清单及最高投标限价的编制，并向招标人提交造价成果文件。如需备案应根据市造价主管部门相关规定完成工作，并向招标人提交最高限价备案表。</w:t>
      </w:r>
    </w:p>
    <w:p w14:paraId="62F0417C">
      <w:pPr>
        <w:keepNext w:val="0"/>
        <w:keepLines w:val="0"/>
        <w:pageBreakBefore w:val="0"/>
        <w:widowControl w:val="0"/>
        <w:kinsoku/>
        <w:wordWrap/>
        <w:overflowPunct/>
        <w:topLinePunct w:val="0"/>
        <w:bidi w:val="0"/>
        <w:spacing w:line="500" w:lineRule="exact"/>
        <w:ind w:lef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三、咨询期限</w:t>
      </w:r>
    </w:p>
    <w:p w14:paraId="383C1237">
      <w:pPr>
        <w:keepNext w:val="0"/>
        <w:keepLines w:val="0"/>
        <w:pageBreakBefore w:val="0"/>
        <w:widowControl w:val="0"/>
        <w:kinsoku/>
        <w:wordWrap/>
        <w:overflowPunct/>
        <w:topLinePunct w:val="0"/>
        <w:bidi w:val="0"/>
        <w:spacing w:line="500" w:lineRule="exact"/>
        <w:ind w:left="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计划开始日期：</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日。</w:t>
      </w:r>
    </w:p>
    <w:p w14:paraId="2A795A54">
      <w:pPr>
        <w:keepNext w:val="0"/>
        <w:keepLines w:val="0"/>
        <w:pageBreakBefore w:val="0"/>
        <w:widowControl w:val="0"/>
        <w:kinsoku/>
        <w:wordWrap/>
        <w:overflowPunct/>
        <w:topLinePunct w:val="0"/>
        <w:bidi w:val="0"/>
        <w:spacing w:line="500" w:lineRule="exact"/>
        <w:ind w:left="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计划结束日期：</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日。</w:t>
      </w:r>
    </w:p>
    <w:p w14:paraId="2B86241A">
      <w:pPr>
        <w:keepNext w:val="0"/>
        <w:keepLines w:val="0"/>
        <w:pageBreakBefore w:val="0"/>
        <w:widowControl w:val="0"/>
        <w:kinsoku/>
        <w:wordWrap/>
        <w:overflowPunct/>
        <w:topLinePunct w:val="0"/>
        <w:bidi w:val="0"/>
        <w:spacing w:line="500" w:lineRule="exact"/>
        <w:ind w:left="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注：</w:t>
      </w:r>
    </w:p>
    <w:p w14:paraId="05772CC3">
      <w:pPr>
        <w:keepNext w:val="0"/>
        <w:keepLines w:val="0"/>
        <w:pageBreakBefore w:val="0"/>
        <w:widowControl w:val="0"/>
        <w:kinsoku/>
        <w:wordWrap/>
        <w:overflowPunct/>
        <w:topLinePunct w:val="0"/>
        <w:bidi w:val="0"/>
        <w:spacing w:line="500" w:lineRule="exact"/>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.招标人提供分阶段施工图纸后7个日历天内，中标人向招标人提交造价成果。（根据市造价主管部门相关规定完成工作，并向招标人提交最高限价备案表，如有）</w:t>
      </w:r>
    </w:p>
    <w:p w14:paraId="10FD20CB">
      <w:pPr>
        <w:keepNext w:val="0"/>
        <w:keepLines w:val="0"/>
        <w:pageBreakBefore w:val="0"/>
        <w:widowControl w:val="0"/>
        <w:kinsoku/>
        <w:wordWrap/>
        <w:overflowPunct/>
        <w:topLinePunct w:val="0"/>
        <w:bidi w:val="0"/>
        <w:spacing w:line="500" w:lineRule="exact"/>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.服务期计算节点：</w:t>
      </w:r>
    </w:p>
    <w:p w14:paraId="69335194">
      <w:pPr>
        <w:keepNext w:val="0"/>
        <w:keepLines w:val="0"/>
        <w:pageBreakBefore w:val="0"/>
        <w:widowControl w:val="0"/>
        <w:kinsoku/>
        <w:wordWrap/>
        <w:overflowPunct/>
        <w:topLinePunct w:val="0"/>
        <w:bidi w:val="0"/>
        <w:spacing w:line="500" w:lineRule="exact"/>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.1中标人接收图纸与送达成果时间均在一张联系单上注明，此类联系单作为请款资料附件。</w:t>
      </w:r>
    </w:p>
    <w:p w14:paraId="554DD60B">
      <w:pPr>
        <w:keepNext w:val="0"/>
        <w:keepLines w:val="0"/>
        <w:pageBreakBefore w:val="0"/>
        <w:widowControl w:val="0"/>
        <w:kinsoku/>
        <w:wordWrap/>
        <w:overflowPunct/>
        <w:topLinePunct w:val="0"/>
        <w:bidi w:val="0"/>
        <w:spacing w:line="500" w:lineRule="exact"/>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.2因中标人原因逾期提交成果的，每次处罚2000元，在请款申请中直接注明兑现。</w:t>
      </w:r>
    </w:p>
    <w:p w14:paraId="27FA737E">
      <w:pPr>
        <w:keepNext w:val="0"/>
        <w:keepLines w:val="0"/>
        <w:pageBreakBefore w:val="0"/>
        <w:widowControl w:val="0"/>
        <w:kinsoku/>
        <w:wordWrap/>
        <w:overflowPunct/>
        <w:topLinePunct w:val="0"/>
        <w:bidi w:val="0"/>
        <w:spacing w:line="500" w:lineRule="exact"/>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.3因施工单位或招标人原因可延期交付造价成果，但须由招标人在联系单上予以说明。</w:t>
      </w:r>
    </w:p>
    <w:p w14:paraId="2447B121">
      <w:pPr>
        <w:keepNext w:val="0"/>
        <w:keepLines w:val="0"/>
        <w:pageBreakBefore w:val="0"/>
        <w:widowControl w:val="0"/>
        <w:kinsoku/>
        <w:wordWrap/>
        <w:overflowPunct/>
        <w:topLinePunct w:val="0"/>
        <w:bidi w:val="0"/>
        <w:spacing w:line="500" w:lineRule="exact"/>
        <w:ind w:lef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四、质量标准</w:t>
      </w:r>
    </w:p>
    <w:p w14:paraId="6B4F3AF2">
      <w:pPr>
        <w:keepNext w:val="0"/>
        <w:keepLines w:val="0"/>
        <w:pageBreakBefore w:val="0"/>
        <w:widowControl w:val="0"/>
        <w:kinsoku/>
        <w:wordWrap/>
        <w:overflowPunct/>
        <w:topLinePunct w:val="0"/>
        <w:bidi w:val="0"/>
        <w:spacing w:line="500" w:lineRule="exact"/>
        <w:ind w:left="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工程造价咨询成果文件质量符合</w:t>
      </w:r>
      <w:r>
        <w:rPr>
          <w:rFonts w:hint="eastAsia" w:ascii="宋体" w:hAnsi="宋体" w:eastAsia="宋体" w:cs="宋体"/>
          <w:color w:val="auto"/>
          <w:sz w:val="21"/>
          <w:szCs w:val="21"/>
          <w:highlight w:val="none"/>
          <w:u w:val="single"/>
        </w:rPr>
        <w:t xml:space="preserve"> 中国建设工程造价管理协会《建设工程造价咨询成果文件质量标准》（CECA/GC7-2012）的</w:t>
      </w:r>
      <w:r>
        <w:rPr>
          <w:rFonts w:hint="eastAsia" w:ascii="宋体" w:hAnsi="宋体" w:eastAsia="宋体" w:cs="宋体"/>
          <w:b/>
          <w:color w:val="auto"/>
          <w:sz w:val="21"/>
          <w:szCs w:val="21"/>
          <w:highlight w:val="none"/>
          <w:u w:val="single"/>
        </w:rPr>
        <w:t>合格</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标准。</w:t>
      </w:r>
    </w:p>
    <w:p w14:paraId="2052E24D">
      <w:pPr>
        <w:keepNext w:val="0"/>
        <w:keepLines w:val="0"/>
        <w:pageBreakBefore w:val="0"/>
        <w:widowControl w:val="0"/>
        <w:kinsoku/>
        <w:wordWrap/>
        <w:overflowPunct/>
        <w:topLinePunct w:val="0"/>
        <w:bidi w:val="0"/>
        <w:spacing w:line="500" w:lineRule="exact"/>
        <w:ind w:left="0"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五、咨询酬金</w:t>
      </w:r>
    </w:p>
    <w:p w14:paraId="43BA4091">
      <w:pPr>
        <w:keepNext w:val="0"/>
        <w:keepLines w:val="0"/>
        <w:pageBreakBefore w:val="0"/>
        <w:widowControl w:val="0"/>
        <w:kinsoku/>
        <w:wordWrap/>
        <w:overflowPunct/>
        <w:topLinePunct w:val="0"/>
        <w:bidi w:val="0"/>
        <w:spacing w:line="500" w:lineRule="exact"/>
        <w:ind w:left="0" w:firstLine="422" w:firstLineChars="200"/>
        <w:textAlignment w:val="auto"/>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none"/>
          <w:lang w:val="en-US" w:eastAsia="zh-CN"/>
        </w:rPr>
        <w:t>合同（中标）</w:t>
      </w:r>
      <w:r>
        <w:rPr>
          <w:rFonts w:hint="eastAsia" w:ascii="宋体" w:hAnsi="宋体" w:eastAsia="宋体" w:cs="宋体"/>
          <w:b/>
          <w:bCs/>
          <w:color w:val="auto"/>
          <w:sz w:val="21"/>
          <w:szCs w:val="21"/>
          <w:highlight w:val="none"/>
          <w:u w:val="none"/>
        </w:rPr>
        <w:t>费率</w:t>
      </w:r>
      <w:r>
        <w:rPr>
          <w:rFonts w:hint="eastAsia" w:ascii="宋体" w:hAnsi="宋体" w:eastAsia="宋体" w:cs="宋体"/>
          <w:b/>
          <w:bCs/>
          <w:color w:val="auto"/>
          <w:sz w:val="21"/>
          <w:szCs w:val="21"/>
          <w:highlight w:val="none"/>
          <w:u w:val="single"/>
        </w:rPr>
        <w:t xml:space="preserve">      </w:t>
      </w:r>
      <w:r>
        <w:rPr>
          <w:rFonts w:hint="eastAsia" w:ascii="宋体" w:hAnsi="宋体" w:cs="宋体"/>
          <w:b/>
          <w:bCs/>
          <w:color w:val="auto"/>
          <w:sz w:val="21"/>
          <w:szCs w:val="21"/>
          <w:highlight w:val="none"/>
          <w:u w:val="single"/>
          <w:lang w:val="en-US" w:eastAsia="zh-CN"/>
        </w:rPr>
        <w:t>‰</w:t>
      </w:r>
      <w:r>
        <w:rPr>
          <w:rFonts w:hint="eastAsia" w:ascii="宋体" w:hAnsi="宋体" w:eastAsia="宋体" w:cs="宋体"/>
          <w:b/>
          <w:bCs/>
          <w:color w:val="auto"/>
          <w:sz w:val="21"/>
          <w:szCs w:val="21"/>
          <w:highlight w:val="none"/>
          <w:u w:val="single"/>
        </w:rPr>
        <w:t>。</w:t>
      </w:r>
    </w:p>
    <w:p w14:paraId="071D0ADB">
      <w:pPr>
        <w:keepNext w:val="0"/>
        <w:keepLines w:val="0"/>
        <w:pageBreakBefore w:val="0"/>
        <w:widowControl w:val="0"/>
        <w:kinsoku/>
        <w:wordWrap/>
        <w:overflowPunct/>
        <w:topLinePunct w:val="0"/>
        <w:bidi w:val="0"/>
        <w:spacing w:line="500" w:lineRule="exact"/>
        <w:ind w:left="0" w:firstLine="420" w:firstLine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人民币</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大写</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整</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元</w:t>
      </w:r>
      <w:r>
        <w:rPr>
          <w:rFonts w:hint="eastAsia" w:ascii="宋体" w:hAnsi="宋体" w:eastAsia="宋体" w:cs="宋体"/>
          <w:color w:val="auto"/>
          <w:kern w:val="0"/>
          <w:sz w:val="21"/>
          <w:szCs w:val="21"/>
          <w:highlight w:val="none"/>
          <w:lang w:eastAsia="zh-CN"/>
        </w:rPr>
        <w:t>）</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暂以项目投资额44909.31万元*（1-施工项目中标下浮率）</w:t>
      </w:r>
      <w:r>
        <w:rPr>
          <w:rFonts w:hint="eastAsia" w:ascii="宋体" w:hAnsi="宋体" w:cs="宋体"/>
          <w:b/>
          <w:bCs/>
          <w:color w:val="auto"/>
          <w:kern w:val="0"/>
          <w:sz w:val="21"/>
          <w:szCs w:val="21"/>
          <w:highlight w:val="none"/>
          <w:lang w:val="en-US" w:eastAsia="zh-CN"/>
        </w:rPr>
        <w:t>计算，即：44909.31万元*（1-施工项目中标下浮率）</w:t>
      </w:r>
      <w:r>
        <w:rPr>
          <w:rFonts w:hint="eastAsia" w:ascii="宋体" w:hAnsi="宋体" w:cs="宋体"/>
          <w:b/>
          <w:bCs/>
          <w:color w:val="auto"/>
          <w:kern w:val="0"/>
          <w:sz w:val="21"/>
          <w:szCs w:val="21"/>
          <w:highlight w:val="none"/>
          <w:lang w:val="en-US" w:eastAsia="zh-CN"/>
        </w:rPr>
        <w:t>*合同（中标）费率）</w:t>
      </w:r>
      <w:r>
        <w:rPr>
          <w:rFonts w:hint="eastAsia" w:ascii="宋体" w:hAnsi="宋体" w:eastAsia="宋体" w:cs="宋体"/>
          <w:b/>
          <w:bCs/>
          <w:color w:val="auto"/>
          <w:kern w:val="0"/>
          <w:sz w:val="21"/>
          <w:szCs w:val="21"/>
          <w:highlight w:val="none"/>
        </w:rPr>
        <w:t>；</w:t>
      </w:r>
    </w:p>
    <w:p w14:paraId="4B0E0035">
      <w:pPr>
        <w:keepNext w:val="0"/>
        <w:keepLines w:val="0"/>
        <w:pageBreakBefore w:val="0"/>
        <w:widowControl w:val="0"/>
        <w:kinsoku/>
        <w:wordWrap/>
        <w:overflowPunct/>
        <w:topLinePunct w:val="0"/>
        <w:bidi w:val="0"/>
        <w:spacing w:line="500" w:lineRule="exact"/>
        <w:ind w:left="0" w:firstLine="420" w:firstLineChars="200"/>
        <w:textAlignment w:val="auto"/>
        <w:rPr>
          <w:rFonts w:hint="eastAsia" w:ascii="宋体" w:hAnsi="宋体" w:eastAsia="宋体" w:cs="宋体"/>
          <w:color w:val="auto"/>
          <w:kern w:val="0"/>
          <w:sz w:val="21"/>
          <w:szCs w:val="21"/>
          <w:highlight w:val="none"/>
          <w:u w:val="none"/>
        </w:rPr>
      </w:pPr>
      <w:r>
        <w:rPr>
          <w:rFonts w:hint="eastAsia" w:ascii="宋体" w:hAnsi="宋体" w:cs="宋体"/>
          <w:color w:val="auto"/>
          <w:sz w:val="21"/>
          <w:szCs w:val="21"/>
          <w:highlight w:val="none"/>
          <w:u w:val="none"/>
          <w:lang w:val="en-US" w:eastAsia="zh-CN"/>
        </w:rPr>
        <w:t>注：1.</w:t>
      </w:r>
      <w:r>
        <w:rPr>
          <w:rFonts w:hint="eastAsia" w:ascii="宋体" w:hAnsi="宋体" w:eastAsia="宋体" w:cs="宋体"/>
          <w:color w:val="auto"/>
          <w:sz w:val="21"/>
          <w:szCs w:val="21"/>
          <w:highlight w:val="none"/>
          <w:u w:val="none"/>
        </w:rPr>
        <w:t>如</w:t>
      </w:r>
      <w:r>
        <w:rPr>
          <w:rFonts w:hint="eastAsia" w:ascii="宋体" w:hAnsi="宋体" w:eastAsia="宋体" w:cs="宋体"/>
          <w:color w:val="auto"/>
          <w:sz w:val="21"/>
          <w:szCs w:val="21"/>
          <w:highlight w:val="none"/>
          <w:u w:val="none"/>
          <w:lang w:val="en-US" w:eastAsia="zh-CN"/>
        </w:rPr>
        <w:t>项目终止</w:t>
      </w:r>
      <w:r>
        <w:rPr>
          <w:rFonts w:hint="eastAsia" w:ascii="宋体" w:hAnsi="宋体" w:eastAsia="宋体" w:cs="宋体"/>
          <w:color w:val="auto"/>
          <w:sz w:val="21"/>
          <w:szCs w:val="21"/>
          <w:highlight w:val="none"/>
          <w:u w:val="none"/>
        </w:rPr>
        <w:t>且咨询人提交成果文件后</w:t>
      </w:r>
      <w:r>
        <w:rPr>
          <w:rFonts w:hint="eastAsia" w:ascii="宋体" w:hAnsi="宋体" w:eastAsia="宋体" w:cs="宋体"/>
          <w:color w:val="auto"/>
          <w:kern w:val="0"/>
          <w:sz w:val="21"/>
          <w:szCs w:val="21"/>
          <w:highlight w:val="none"/>
          <w:u w:val="none"/>
        </w:rPr>
        <w:t>，计费基数为</w:t>
      </w:r>
      <w:r>
        <w:rPr>
          <w:rFonts w:hint="eastAsia" w:ascii="宋体" w:hAnsi="宋体" w:cs="宋体"/>
          <w:color w:val="auto"/>
          <w:kern w:val="0"/>
          <w:sz w:val="21"/>
          <w:szCs w:val="21"/>
          <w:highlight w:val="none"/>
          <w:u w:val="none"/>
          <w:lang w:val="en-US" w:eastAsia="zh-CN"/>
        </w:rPr>
        <w:t>成果文件总金额</w:t>
      </w:r>
      <w:r>
        <w:rPr>
          <w:rFonts w:hint="eastAsia" w:ascii="宋体" w:hAnsi="宋体" w:eastAsia="宋体" w:cs="宋体"/>
          <w:color w:val="auto"/>
          <w:kern w:val="0"/>
          <w:sz w:val="21"/>
          <w:szCs w:val="21"/>
          <w:highlight w:val="none"/>
          <w:u w:val="none"/>
        </w:rPr>
        <w:t>下浮40%；</w:t>
      </w:r>
    </w:p>
    <w:p w14:paraId="610CEEF1">
      <w:pPr>
        <w:keepNext w:val="0"/>
        <w:keepLines w:val="0"/>
        <w:pageBreakBefore w:val="0"/>
        <w:widowControl w:val="0"/>
        <w:kinsoku/>
        <w:wordWrap/>
        <w:overflowPunct/>
        <w:topLinePunct w:val="0"/>
        <w:bidi w:val="0"/>
        <w:spacing w:line="500" w:lineRule="exact"/>
        <w:ind w:left="0" w:firstLine="420" w:firstLineChars="200"/>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2.本项目具体编制费用以本项目结算总金额</w:t>
      </w:r>
      <w:r>
        <w:rPr>
          <w:rFonts w:hint="eastAsia" w:ascii="宋体" w:hAnsi="宋体" w:cs="宋体"/>
          <w:b w:val="0"/>
          <w:bCs w:val="0"/>
          <w:color w:val="auto"/>
          <w:sz w:val="21"/>
          <w:szCs w:val="21"/>
          <w:highlight w:val="none"/>
          <w:lang w:val="en-US" w:eastAsia="zh-CN"/>
        </w:rPr>
        <w:t>为基数计算，合同（中标）费率不予调整。即咨询服务费用为本项目结算总金额*合同（中标）费率。</w:t>
      </w:r>
      <w:r>
        <w:rPr>
          <w:rFonts w:hint="eastAsia" w:ascii="宋体" w:hAnsi="宋体" w:cs="宋体"/>
          <w:b/>
          <w:bCs/>
          <w:color w:val="auto"/>
          <w:sz w:val="21"/>
          <w:szCs w:val="21"/>
          <w:highlight w:val="none"/>
          <w:lang w:val="en-US" w:eastAsia="zh-CN"/>
        </w:rPr>
        <w:t>注：结算总金额如超过44909.31万元，按44909.31万元计算。</w:t>
      </w:r>
    </w:p>
    <w:p w14:paraId="55B21152">
      <w:pPr>
        <w:keepNext w:val="0"/>
        <w:keepLines w:val="0"/>
        <w:pageBreakBefore w:val="0"/>
        <w:widowControl w:val="0"/>
        <w:kinsoku/>
        <w:wordWrap/>
        <w:overflowPunct/>
        <w:topLinePunct w:val="0"/>
        <w:bidi w:val="0"/>
        <w:spacing w:line="500" w:lineRule="exact"/>
        <w:ind w:lef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六、合同文件构成</w:t>
      </w:r>
    </w:p>
    <w:p w14:paraId="3842BCF8">
      <w:pPr>
        <w:keepNext w:val="0"/>
        <w:keepLines w:val="0"/>
        <w:pageBreakBefore w:val="0"/>
        <w:widowControl w:val="0"/>
        <w:kinsoku/>
        <w:wordWrap/>
        <w:overflowPunct/>
        <w:topLinePunct w:val="0"/>
        <w:bidi w:val="0"/>
        <w:spacing w:line="5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本协议书与下列文件一起构成造价咨询合同文件：</w:t>
      </w:r>
    </w:p>
    <w:p w14:paraId="5BABA204">
      <w:pPr>
        <w:keepNext w:val="0"/>
        <w:keepLines w:val="0"/>
        <w:pageBreakBefore w:val="0"/>
        <w:widowControl w:val="0"/>
        <w:kinsoku/>
        <w:wordWrap/>
        <w:overflowPunct/>
        <w:topLinePunct w:val="0"/>
        <w:bidi w:val="0"/>
        <w:spacing w:line="5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sz w:val="21"/>
          <w:szCs w:val="21"/>
          <w:highlight w:val="none"/>
        </w:rPr>
        <w:t>中标通知书（如果有）；</w:t>
      </w:r>
    </w:p>
    <w:p w14:paraId="334E6269">
      <w:pPr>
        <w:keepNext w:val="0"/>
        <w:keepLines w:val="0"/>
        <w:pageBreakBefore w:val="0"/>
        <w:widowControl w:val="0"/>
        <w:kinsoku/>
        <w:wordWrap/>
        <w:overflowPunct/>
        <w:topLinePunct w:val="0"/>
        <w:bidi w:val="0"/>
        <w:spacing w:line="5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sz w:val="21"/>
          <w:szCs w:val="21"/>
          <w:highlight w:val="none"/>
        </w:rPr>
        <w:t xml:space="preserve">投标函及其附录（如果有）； </w:t>
      </w:r>
    </w:p>
    <w:p w14:paraId="0DC73EDE">
      <w:pPr>
        <w:keepNext w:val="0"/>
        <w:keepLines w:val="0"/>
        <w:pageBreakBefore w:val="0"/>
        <w:widowControl w:val="0"/>
        <w:kinsoku/>
        <w:wordWrap/>
        <w:overflowPunct/>
        <w:topLinePunct w:val="0"/>
        <w:bidi w:val="0"/>
        <w:spacing w:line="5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sz w:val="21"/>
          <w:szCs w:val="21"/>
          <w:highlight w:val="none"/>
        </w:rPr>
        <w:t>通用合同条款；</w:t>
      </w:r>
    </w:p>
    <w:p w14:paraId="25AEDAC0">
      <w:pPr>
        <w:keepNext w:val="0"/>
        <w:keepLines w:val="0"/>
        <w:pageBreakBefore w:val="0"/>
        <w:widowControl w:val="0"/>
        <w:kinsoku/>
        <w:wordWrap/>
        <w:overflowPunct/>
        <w:topLinePunct w:val="0"/>
        <w:bidi w:val="0"/>
        <w:spacing w:line="5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w:t>
      </w:r>
      <w:r>
        <w:rPr>
          <w:rFonts w:hint="eastAsia" w:ascii="宋体" w:hAnsi="宋体" w:eastAsia="宋体" w:cs="宋体"/>
          <w:color w:val="auto"/>
          <w:sz w:val="21"/>
          <w:szCs w:val="21"/>
          <w:highlight w:val="none"/>
        </w:rPr>
        <w:t>专用合同条款。</w:t>
      </w:r>
    </w:p>
    <w:p w14:paraId="049D942E">
      <w:pPr>
        <w:keepNext w:val="0"/>
        <w:keepLines w:val="0"/>
        <w:pageBreakBefore w:val="0"/>
        <w:widowControl w:val="0"/>
        <w:kinsoku/>
        <w:wordWrap/>
        <w:overflowPunct/>
        <w:topLinePunct w:val="0"/>
        <w:autoSpaceDE w:val="0"/>
        <w:autoSpaceDN w:val="0"/>
        <w:bidi w:val="0"/>
        <w:adjustRightInd w:val="0"/>
        <w:spacing w:line="5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在合同订立及履行过程中形成的与合同有关的文件均构成合同文件组成部分。</w:t>
      </w:r>
    </w:p>
    <w:p w14:paraId="3F9C514E">
      <w:pPr>
        <w:keepNext w:val="0"/>
        <w:keepLines w:val="0"/>
        <w:pageBreakBefore w:val="0"/>
        <w:widowControl w:val="0"/>
        <w:kinsoku/>
        <w:wordWrap/>
        <w:overflowPunct/>
        <w:topLinePunct w:val="0"/>
        <w:bidi w:val="0"/>
        <w:spacing w:line="5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上述各项合同文件包括合同当事人就该项合同文件所作出的补充和修改，属于同一类内容的文件，应以最新签署的为准。</w:t>
      </w:r>
    </w:p>
    <w:p w14:paraId="0950AFA4">
      <w:pPr>
        <w:keepNext w:val="0"/>
        <w:keepLines w:val="0"/>
        <w:pageBreakBefore w:val="0"/>
        <w:widowControl w:val="0"/>
        <w:kinsoku/>
        <w:wordWrap/>
        <w:overflowPunct/>
        <w:topLinePunct w:val="0"/>
        <w:bidi w:val="0"/>
        <w:spacing w:line="500" w:lineRule="exact"/>
        <w:ind w:lef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七、词语含义</w:t>
      </w:r>
    </w:p>
    <w:p w14:paraId="5A6B4007">
      <w:pPr>
        <w:keepNext w:val="0"/>
        <w:keepLines w:val="0"/>
        <w:pageBreakBefore w:val="0"/>
        <w:widowControl w:val="0"/>
        <w:kinsoku/>
        <w:wordWrap/>
        <w:overflowPunct/>
        <w:topLinePunct w:val="0"/>
        <w:bidi w:val="0"/>
        <w:spacing w:line="5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本协议书中词语含义与第二部分通用合同条款中赋予的含义相同。</w:t>
      </w:r>
    </w:p>
    <w:p w14:paraId="0C0EAB13">
      <w:pPr>
        <w:keepNext w:val="0"/>
        <w:keepLines w:val="0"/>
        <w:pageBreakBefore w:val="0"/>
        <w:widowControl w:val="0"/>
        <w:kinsoku/>
        <w:wordWrap/>
        <w:overflowPunct/>
        <w:topLinePunct w:val="0"/>
        <w:bidi w:val="0"/>
        <w:spacing w:line="500" w:lineRule="exact"/>
        <w:ind w:lef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八、签订时间</w:t>
      </w:r>
    </w:p>
    <w:p w14:paraId="792ACEB1">
      <w:pPr>
        <w:keepNext w:val="0"/>
        <w:keepLines w:val="0"/>
        <w:pageBreakBefore w:val="0"/>
        <w:widowControl w:val="0"/>
        <w:kinsoku/>
        <w:wordWrap/>
        <w:overflowPunct/>
        <w:topLinePunct w:val="0"/>
        <w:bidi w:val="0"/>
        <w:spacing w:line="5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本合同于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bCs/>
          <w:color w:val="auto"/>
          <w:sz w:val="21"/>
          <w:szCs w:val="21"/>
          <w:highlight w:val="none"/>
        </w:rPr>
        <w:t>签订</w:t>
      </w:r>
      <w:r>
        <w:rPr>
          <w:rFonts w:hint="eastAsia" w:ascii="宋体" w:hAnsi="宋体" w:eastAsia="宋体" w:cs="宋体"/>
          <w:color w:val="auto"/>
          <w:sz w:val="21"/>
          <w:szCs w:val="21"/>
          <w:highlight w:val="none"/>
        </w:rPr>
        <w:t>。</w:t>
      </w:r>
    </w:p>
    <w:p w14:paraId="4B43B5BD">
      <w:pPr>
        <w:keepNext w:val="0"/>
        <w:keepLines w:val="0"/>
        <w:pageBreakBefore w:val="0"/>
        <w:widowControl w:val="0"/>
        <w:kinsoku/>
        <w:wordWrap/>
        <w:overflowPunct/>
        <w:topLinePunct w:val="0"/>
        <w:bidi w:val="0"/>
        <w:spacing w:line="500" w:lineRule="exact"/>
        <w:ind w:lef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九、签订地点</w:t>
      </w:r>
    </w:p>
    <w:p w14:paraId="77D35879">
      <w:pPr>
        <w:keepNext w:val="0"/>
        <w:keepLines w:val="0"/>
        <w:pageBreakBefore w:val="0"/>
        <w:widowControl w:val="0"/>
        <w:kinsoku/>
        <w:wordWrap/>
        <w:overflowPunct/>
        <w:topLinePunct w:val="0"/>
        <w:bidi w:val="0"/>
        <w:spacing w:line="5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本合同在</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签订。</w:t>
      </w:r>
    </w:p>
    <w:p w14:paraId="6FCABDEC">
      <w:pPr>
        <w:keepNext w:val="0"/>
        <w:keepLines w:val="0"/>
        <w:pageBreakBefore w:val="0"/>
        <w:widowControl w:val="0"/>
        <w:kinsoku/>
        <w:wordWrap/>
        <w:overflowPunct/>
        <w:topLinePunct w:val="0"/>
        <w:bidi w:val="0"/>
        <w:spacing w:line="500" w:lineRule="exact"/>
        <w:ind w:lef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十、补充协议</w:t>
      </w:r>
    </w:p>
    <w:p w14:paraId="1F23F04F">
      <w:pPr>
        <w:keepNext w:val="0"/>
        <w:keepLines w:val="0"/>
        <w:pageBreakBefore w:val="0"/>
        <w:widowControl w:val="0"/>
        <w:kinsoku/>
        <w:wordWrap/>
        <w:overflowPunct/>
        <w:topLinePunct w:val="0"/>
        <w:bidi w:val="0"/>
        <w:spacing w:line="5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合同未尽事宜，合同当事人另行签订补充协议，补充协议是合同的组成部分。</w:t>
      </w:r>
    </w:p>
    <w:p w14:paraId="798C8179">
      <w:pPr>
        <w:keepNext w:val="0"/>
        <w:keepLines w:val="0"/>
        <w:pageBreakBefore w:val="0"/>
        <w:widowControl w:val="0"/>
        <w:kinsoku/>
        <w:wordWrap/>
        <w:overflowPunct/>
        <w:topLinePunct w:val="0"/>
        <w:bidi w:val="0"/>
        <w:spacing w:line="500" w:lineRule="exact"/>
        <w:ind w:lef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十一、合同生效</w:t>
      </w:r>
    </w:p>
    <w:p w14:paraId="0B6D2235">
      <w:pPr>
        <w:keepNext w:val="0"/>
        <w:keepLines w:val="0"/>
        <w:pageBreakBefore w:val="0"/>
        <w:widowControl w:val="0"/>
        <w:kinsoku/>
        <w:wordWrap/>
        <w:overflowPunct/>
        <w:topLinePunct w:val="0"/>
        <w:bidi w:val="0"/>
        <w:spacing w:line="5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本合同自</w:t>
      </w:r>
      <w:r>
        <w:rPr>
          <w:rFonts w:hint="eastAsia" w:ascii="宋体" w:hAnsi="宋体" w:eastAsia="宋体" w:cs="宋体"/>
          <w:color w:val="auto"/>
          <w:sz w:val="21"/>
          <w:szCs w:val="21"/>
          <w:highlight w:val="none"/>
          <w:u w:val="single"/>
        </w:rPr>
        <w:t xml:space="preserve"> 签订之日起 </w:t>
      </w:r>
      <w:r>
        <w:rPr>
          <w:rFonts w:hint="eastAsia" w:ascii="宋体" w:hAnsi="宋体" w:eastAsia="宋体" w:cs="宋体"/>
          <w:color w:val="auto"/>
          <w:sz w:val="21"/>
          <w:szCs w:val="21"/>
          <w:highlight w:val="none"/>
        </w:rPr>
        <w:t>生效。</w:t>
      </w:r>
    </w:p>
    <w:p w14:paraId="1A72F94A">
      <w:pPr>
        <w:keepNext w:val="0"/>
        <w:keepLines w:val="0"/>
        <w:pageBreakBefore w:val="0"/>
        <w:widowControl w:val="0"/>
        <w:kinsoku/>
        <w:wordWrap/>
        <w:overflowPunct/>
        <w:topLinePunct w:val="0"/>
        <w:bidi w:val="0"/>
        <w:spacing w:line="500" w:lineRule="exact"/>
        <w:ind w:lef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十二、合同份数</w:t>
      </w:r>
    </w:p>
    <w:p w14:paraId="28DEF23E">
      <w:pPr>
        <w:keepNext w:val="0"/>
        <w:keepLines w:val="0"/>
        <w:pageBreakBefore w:val="0"/>
        <w:widowControl w:val="0"/>
        <w:kinsoku/>
        <w:wordWrap/>
        <w:overflowPunct/>
        <w:topLinePunct w:val="0"/>
        <w:bidi w:val="0"/>
        <w:spacing w:line="5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本合同一式</w:t>
      </w:r>
      <w:r>
        <w:rPr>
          <w:rFonts w:hint="eastAsia" w:ascii="宋体" w:hAnsi="宋体" w:eastAsia="宋体" w:cs="宋体"/>
          <w:color w:val="auto"/>
          <w:sz w:val="21"/>
          <w:szCs w:val="21"/>
          <w:highlight w:val="none"/>
          <w:u w:val="single"/>
        </w:rPr>
        <w:t xml:space="preserve"> 陆 </w:t>
      </w:r>
      <w:r>
        <w:rPr>
          <w:rFonts w:hint="eastAsia" w:ascii="宋体" w:hAnsi="宋体" w:eastAsia="宋体" w:cs="宋体"/>
          <w:color w:val="auto"/>
          <w:sz w:val="21"/>
          <w:szCs w:val="21"/>
          <w:highlight w:val="none"/>
        </w:rPr>
        <w:t>份，均具有同等法律效力，委托人</w:t>
      </w:r>
      <w:r>
        <w:rPr>
          <w:rFonts w:hint="eastAsia" w:ascii="宋体" w:hAnsi="宋体" w:eastAsia="宋体" w:cs="宋体"/>
          <w:color w:val="auto"/>
          <w:sz w:val="21"/>
          <w:szCs w:val="21"/>
          <w:highlight w:val="none"/>
          <w:u w:val="single"/>
        </w:rPr>
        <w:t xml:space="preserve"> 叁 </w:t>
      </w:r>
      <w:r>
        <w:rPr>
          <w:rFonts w:hint="eastAsia" w:ascii="宋体" w:hAnsi="宋体" w:eastAsia="宋体" w:cs="宋体"/>
          <w:color w:val="auto"/>
          <w:sz w:val="21"/>
          <w:szCs w:val="21"/>
          <w:highlight w:val="none"/>
        </w:rPr>
        <w:t>份，咨询人</w:t>
      </w:r>
      <w:r>
        <w:rPr>
          <w:rFonts w:hint="eastAsia" w:ascii="宋体" w:hAnsi="宋体" w:eastAsia="宋体" w:cs="宋体"/>
          <w:color w:val="auto"/>
          <w:sz w:val="21"/>
          <w:szCs w:val="21"/>
          <w:highlight w:val="none"/>
          <w:u w:val="single"/>
        </w:rPr>
        <w:t xml:space="preserve"> 叁 </w:t>
      </w:r>
      <w:r>
        <w:rPr>
          <w:rFonts w:hint="eastAsia" w:ascii="宋体" w:hAnsi="宋体" w:eastAsia="宋体" w:cs="宋体"/>
          <w:color w:val="auto"/>
          <w:sz w:val="21"/>
          <w:szCs w:val="21"/>
          <w:highlight w:val="none"/>
        </w:rPr>
        <w:t>份。</w:t>
      </w:r>
    </w:p>
    <w:p w14:paraId="1793C781">
      <w:pPr>
        <w:keepNext w:val="0"/>
        <w:keepLines w:val="0"/>
        <w:pageBreakBefore w:val="0"/>
        <w:widowControl w:val="0"/>
        <w:tabs>
          <w:tab w:val="left" w:pos="4830"/>
        </w:tabs>
        <w:kinsoku/>
        <w:wordWrap/>
        <w:overflowPunct/>
        <w:topLinePunct w:val="0"/>
        <w:bidi w:val="0"/>
        <w:spacing w:line="500" w:lineRule="exact"/>
        <w:ind w:left="0" w:firstLine="420" w:firstLineChars="200"/>
        <w:textAlignment w:val="auto"/>
        <w:rPr>
          <w:rFonts w:hint="eastAsia" w:ascii="宋体" w:hAnsi="宋体" w:eastAsia="宋体" w:cs="宋体"/>
          <w:color w:val="auto"/>
          <w:sz w:val="21"/>
          <w:szCs w:val="21"/>
          <w:highlight w:val="none"/>
        </w:rPr>
      </w:pPr>
    </w:p>
    <w:p w14:paraId="164AA5F1">
      <w:pPr>
        <w:keepNext w:val="0"/>
        <w:keepLines w:val="0"/>
        <w:pageBreakBefore w:val="0"/>
        <w:widowControl w:val="0"/>
        <w:tabs>
          <w:tab w:val="left" w:pos="4830"/>
        </w:tabs>
        <w:kinsoku/>
        <w:wordWrap/>
        <w:overflowPunct/>
        <w:topLinePunct w:val="0"/>
        <w:bidi w:val="0"/>
        <w:spacing w:line="5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委托人：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咨询人：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eastAsia="zh-CN"/>
        </w:rPr>
        <w:t>）</w:t>
      </w:r>
    </w:p>
    <w:p w14:paraId="74F4646F">
      <w:pPr>
        <w:keepNext w:val="0"/>
        <w:keepLines w:val="0"/>
        <w:pageBreakBefore w:val="0"/>
        <w:widowControl w:val="0"/>
        <w:kinsoku/>
        <w:wordWrap/>
        <w:overflowPunct/>
        <w:topLinePunct w:val="0"/>
        <w:bidi w:val="0"/>
        <w:spacing w:line="500" w:lineRule="exact"/>
        <w:ind w:left="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p>
    <w:p w14:paraId="738E915A">
      <w:pPr>
        <w:keepNext w:val="0"/>
        <w:keepLines w:val="0"/>
        <w:pageBreakBefore w:val="0"/>
        <w:widowControl w:val="0"/>
        <w:kinsoku/>
        <w:wordWrap/>
        <w:overflowPunct/>
        <w:topLinePunct w:val="0"/>
        <w:bidi w:val="0"/>
        <w:spacing w:line="5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          法定代表人或其委托代理人：</w:t>
      </w:r>
    </w:p>
    <w:p w14:paraId="333141D1">
      <w:pPr>
        <w:keepNext w:val="0"/>
        <w:keepLines w:val="0"/>
        <w:pageBreakBefore w:val="0"/>
        <w:widowControl w:val="0"/>
        <w:kinsoku/>
        <w:wordWrap/>
        <w:overflowPunct/>
        <w:topLinePunct w:val="0"/>
        <w:bidi w:val="0"/>
        <w:spacing w:line="5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                            （签字）</w:t>
      </w:r>
    </w:p>
    <w:p w14:paraId="05077F7C">
      <w:pPr>
        <w:keepNext w:val="0"/>
        <w:keepLines w:val="0"/>
        <w:pageBreakBefore w:val="0"/>
        <w:widowControl w:val="0"/>
        <w:kinsoku/>
        <w:wordWrap/>
        <w:overflowPunct/>
        <w:topLinePunct w:val="0"/>
        <w:bidi w:val="0"/>
        <w:spacing w:line="500" w:lineRule="exact"/>
        <w:ind w:left="0" w:firstLine="420" w:firstLineChars="200"/>
        <w:textAlignment w:val="auto"/>
        <w:rPr>
          <w:rFonts w:hint="eastAsia" w:ascii="宋体" w:hAnsi="宋体" w:eastAsia="宋体" w:cs="宋体"/>
          <w:color w:val="auto"/>
          <w:sz w:val="21"/>
          <w:szCs w:val="21"/>
          <w:highlight w:val="none"/>
        </w:rPr>
      </w:pPr>
    </w:p>
    <w:p w14:paraId="2652106E">
      <w:pPr>
        <w:keepNext w:val="0"/>
        <w:keepLines w:val="0"/>
        <w:pageBreakBefore w:val="0"/>
        <w:widowControl w:val="0"/>
        <w:kinsoku/>
        <w:wordWrap/>
        <w:overflowPunct/>
        <w:topLinePunct w:val="0"/>
        <w:bidi w:val="0"/>
        <w:spacing w:line="5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0D58010">
      <w:pPr>
        <w:keepNext w:val="0"/>
        <w:keepLines w:val="0"/>
        <w:pageBreakBefore w:val="0"/>
        <w:widowControl w:val="0"/>
        <w:kinsoku/>
        <w:wordWrap/>
        <w:overflowPunct/>
        <w:topLinePunct w:val="0"/>
        <w:autoSpaceDE/>
        <w:autoSpaceDN/>
        <w:bidi w:val="0"/>
        <w:adjustRightInd/>
        <w:snapToGrid/>
        <w:spacing w:line="500" w:lineRule="exact"/>
        <w:ind w:left="0" w:firstLine="0" w:firstLineChars="0"/>
        <w:textAlignment w:val="auto"/>
        <w:rPr>
          <w:rFonts w:hint="eastAsia" w:ascii="宋体" w:hAnsi="宋体" w:eastAsia="宋体" w:cs="宋体"/>
          <w:color w:val="auto"/>
          <w:spacing w:val="-20"/>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地    址：</w:t>
      </w:r>
      <w:r>
        <w:rPr>
          <w:rFonts w:hint="eastAsia" w:ascii="宋体" w:hAnsi="宋体" w:eastAsia="宋体" w:cs="宋体"/>
          <w:color w:val="auto"/>
          <w:sz w:val="21"/>
          <w:szCs w:val="21"/>
          <w:highlight w:val="none"/>
          <w:u w:val="single"/>
        </w:rPr>
        <w:t xml:space="preserve">                          </w:t>
      </w:r>
    </w:p>
    <w:p w14:paraId="4874632B">
      <w:pPr>
        <w:keepNext w:val="0"/>
        <w:keepLines w:val="0"/>
        <w:pageBreakBefore w:val="0"/>
        <w:widowControl w:val="0"/>
        <w:kinsoku/>
        <w:wordWrap/>
        <w:overflowPunct/>
        <w:topLinePunct w:val="0"/>
        <w:autoSpaceDE/>
        <w:autoSpaceDN/>
        <w:bidi w:val="0"/>
        <w:adjustRightInd/>
        <w:snapToGrid/>
        <w:spacing w:line="500" w:lineRule="exact"/>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p>
    <w:p w14:paraId="6063127F">
      <w:pPr>
        <w:keepNext w:val="0"/>
        <w:keepLines w:val="0"/>
        <w:pageBreakBefore w:val="0"/>
        <w:widowControl w:val="0"/>
        <w:kinsoku/>
        <w:wordWrap/>
        <w:overflowPunct/>
        <w:topLinePunct w:val="0"/>
        <w:autoSpaceDE/>
        <w:autoSpaceDN/>
        <w:bidi w:val="0"/>
        <w:adjustRightInd/>
        <w:snapToGrid/>
        <w:spacing w:line="500" w:lineRule="exact"/>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    话：</w:t>
      </w:r>
      <w:r>
        <w:rPr>
          <w:rFonts w:hint="eastAsia" w:ascii="宋体" w:hAnsi="宋体" w:eastAsia="宋体" w:cs="宋体"/>
          <w:color w:val="auto"/>
          <w:sz w:val="21"/>
          <w:szCs w:val="21"/>
          <w:highlight w:val="none"/>
          <w:u w:val="single"/>
        </w:rPr>
        <w:t xml:space="preserve">                          </w:t>
      </w:r>
    </w:p>
    <w:p w14:paraId="2723D592">
      <w:pPr>
        <w:keepNext w:val="0"/>
        <w:keepLines w:val="0"/>
        <w:pageBreakBefore w:val="0"/>
        <w:widowControl w:val="0"/>
        <w:kinsoku/>
        <w:wordWrap/>
        <w:overflowPunct/>
        <w:topLinePunct w:val="0"/>
        <w:autoSpaceDE/>
        <w:autoSpaceDN/>
        <w:bidi w:val="0"/>
        <w:adjustRightInd/>
        <w:snapToGrid/>
        <w:spacing w:line="500" w:lineRule="exact"/>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    真：</w:t>
      </w:r>
      <w:r>
        <w:rPr>
          <w:rFonts w:hint="eastAsia" w:ascii="宋体" w:hAnsi="宋体" w:eastAsia="宋体" w:cs="宋体"/>
          <w:color w:val="auto"/>
          <w:sz w:val="21"/>
          <w:szCs w:val="21"/>
          <w:highlight w:val="none"/>
          <w:u w:val="single"/>
        </w:rPr>
        <w:t xml:space="preserve">                          </w:t>
      </w:r>
    </w:p>
    <w:p w14:paraId="62C229CD">
      <w:pPr>
        <w:keepNext w:val="0"/>
        <w:keepLines w:val="0"/>
        <w:pageBreakBefore w:val="0"/>
        <w:widowControl w:val="0"/>
        <w:kinsoku/>
        <w:wordWrap/>
        <w:overflowPunct/>
        <w:topLinePunct w:val="0"/>
        <w:autoSpaceDE/>
        <w:autoSpaceDN/>
        <w:bidi w:val="0"/>
        <w:adjustRightInd/>
        <w:snapToGrid/>
        <w:spacing w:line="500" w:lineRule="exact"/>
        <w:ind w:left="0" w:firstLine="0" w:firstLineChars="0"/>
        <w:textAlignment w:val="auto"/>
        <w:rPr>
          <w:rFonts w:hint="eastAsia" w:ascii="宋体" w:hAnsi="宋体" w:eastAsia="宋体" w:cs="宋体"/>
          <w:color w:val="auto"/>
          <w:spacing w:val="-20"/>
          <w:sz w:val="21"/>
          <w:szCs w:val="21"/>
          <w:highlight w:val="none"/>
          <w:u w:val="singl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电子信箱：</w:t>
      </w:r>
      <w:r>
        <w:rPr>
          <w:rFonts w:hint="eastAsia" w:ascii="宋体" w:hAnsi="宋体" w:eastAsia="宋体" w:cs="宋体"/>
          <w:color w:val="auto"/>
          <w:spacing w:val="-20"/>
          <w:sz w:val="21"/>
          <w:szCs w:val="21"/>
          <w:highlight w:val="none"/>
          <w:u w:val="single"/>
        </w:rPr>
        <w:t xml:space="preserve">                                       </w:t>
      </w:r>
    </w:p>
    <w:p w14:paraId="242BC852">
      <w:pPr>
        <w:keepNext w:val="0"/>
        <w:keepLines w:val="0"/>
        <w:pageBreakBefore w:val="0"/>
        <w:widowControl w:val="0"/>
        <w:kinsoku/>
        <w:wordWrap/>
        <w:overflowPunct/>
        <w:topLinePunct w:val="0"/>
        <w:autoSpaceDE/>
        <w:autoSpaceDN/>
        <w:bidi w:val="0"/>
        <w:adjustRightInd/>
        <w:snapToGrid/>
        <w:spacing w:line="500" w:lineRule="exact"/>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pacing w:val="-20"/>
          <w:sz w:val="21"/>
          <w:szCs w:val="21"/>
          <w:highlight w:val="none"/>
          <w:u w:val="single"/>
        </w:rPr>
        <w:t xml:space="preserve">                                       </w:t>
      </w:r>
    </w:p>
    <w:p w14:paraId="7B925AA9">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both"/>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账    号：</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账    号：</w:t>
      </w:r>
      <w:r>
        <w:rPr>
          <w:rFonts w:hint="eastAsia" w:ascii="宋体" w:hAnsi="宋体" w:eastAsia="宋体" w:cs="宋体"/>
          <w:color w:val="auto"/>
          <w:sz w:val="21"/>
          <w:szCs w:val="21"/>
          <w:highlight w:val="none"/>
          <w:u w:val="single"/>
        </w:rPr>
        <w:t xml:space="preserve">                          </w:t>
      </w:r>
    </w:p>
    <w:p w14:paraId="555509C8">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left="0" w:firstLine="0" w:firstLineChars="0"/>
        <w:jc w:val="center"/>
        <w:textAlignment w:val="auto"/>
        <w:rPr>
          <w:rFonts w:hint="eastAsia" w:ascii="宋体" w:hAnsi="宋体" w:eastAsia="宋体" w:cs="宋体"/>
          <w:b/>
          <w:bCs/>
          <w:color w:val="auto"/>
          <w:kern w:val="44"/>
          <w:sz w:val="21"/>
          <w:szCs w:val="21"/>
          <w:highlight w:val="none"/>
        </w:rPr>
      </w:pPr>
      <w:r>
        <w:rPr>
          <w:rFonts w:hint="eastAsia" w:ascii="楷体_GB2312" w:eastAsia="楷体_GB2312"/>
          <w:b/>
          <w:bCs/>
          <w:color w:val="auto"/>
          <w:sz w:val="24"/>
          <w:highlight w:val="none"/>
        </w:rPr>
        <w:br w:type="page"/>
      </w:r>
      <w:bookmarkStart w:id="784" w:name="_Toc407261893"/>
      <w:r>
        <w:rPr>
          <w:rFonts w:hint="eastAsia" w:ascii="宋体" w:hAnsi="宋体" w:eastAsia="宋体" w:cs="宋体"/>
          <w:b/>
          <w:bCs/>
          <w:color w:val="auto"/>
          <w:kern w:val="44"/>
          <w:sz w:val="21"/>
          <w:szCs w:val="21"/>
          <w:highlight w:val="none"/>
        </w:rPr>
        <w:t>第二部分  通用合同条款</w:t>
      </w:r>
      <w:bookmarkEnd w:id="784"/>
    </w:p>
    <w:p w14:paraId="3E8F802B">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使用安徽省住房和城乡建设厅、安徽省工商行政管理局印发的《安徽省建设工程造价咨询合同》（WF-2014-05示范文本）第二部分通用合同条款。</w:t>
      </w:r>
    </w:p>
    <w:p w14:paraId="522A4883">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left="0" w:firstLine="0" w:firstLineChars="0"/>
        <w:jc w:val="center"/>
        <w:textAlignment w:val="auto"/>
        <w:rPr>
          <w:rFonts w:hint="eastAsia" w:ascii="宋体" w:hAnsi="宋体" w:eastAsia="宋体" w:cs="宋体"/>
          <w:b/>
          <w:bCs/>
          <w:color w:val="auto"/>
          <w:kern w:val="44"/>
          <w:sz w:val="21"/>
          <w:szCs w:val="21"/>
          <w:highlight w:val="none"/>
        </w:rPr>
      </w:pPr>
      <w:bookmarkStart w:id="785" w:name="_Toc407261943"/>
      <w:r>
        <w:rPr>
          <w:rFonts w:hint="eastAsia" w:ascii="宋体" w:hAnsi="宋体" w:eastAsia="宋体" w:cs="宋体"/>
          <w:b/>
          <w:bCs/>
          <w:color w:val="auto"/>
          <w:kern w:val="44"/>
          <w:sz w:val="21"/>
          <w:szCs w:val="21"/>
          <w:highlight w:val="none"/>
        </w:rPr>
        <w:t>第三部分  专用合同条款</w:t>
      </w:r>
      <w:bookmarkEnd w:id="785"/>
      <w:bookmarkStart w:id="786" w:name="_Toc351203633"/>
      <w:bookmarkStart w:id="787" w:name="_Toc407261944"/>
    </w:p>
    <w:p w14:paraId="362919AE">
      <w:pPr>
        <w:keepNext/>
        <w:keepLines/>
        <w:pageBreakBefore w:val="0"/>
        <w:widowControl w:val="0"/>
        <w:kinsoku/>
        <w:wordWrap/>
        <w:overflowPunct/>
        <w:topLinePunct w:val="0"/>
        <w:bidi w:val="0"/>
        <w:snapToGrid/>
        <w:spacing w:line="500" w:lineRule="exact"/>
        <w:ind w:left="0" w:leftChars="0" w:firstLine="422" w:firstLineChars="200"/>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bookmarkStart w:id="788" w:name="_Toc296346657"/>
      <w:bookmarkStart w:id="789" w:name="_Toc296503156"/>
      <w:bookmarkStart w:id="790" w:name="_Toc296347155"/>
      <w:bookmarkStart w:id="791" w:name="_Toc292559361"/>
      <w:bookmarkStart w:id="792" w:name="_Toc297048342"/>
      <w:bookmarkStart w:id="793" w:name="_Toc296891196"/>
      <w:bookmarkStart w:id="794" w:name="_Toc296944495"/>
      <w:bookmarkStart w:id="795" w:name="_Toc297120456"/>
      <w:bookmarkStart w:id="796" w:name="_Toc292559866"/>
      <w:bookmarkStart w:id="797" w:name="_Toc296890984"/>
      <w:r>
        <w:rPr>
          <w:rFonts w:hint="eastAsia" w:ascii="宋体" w:hAnsi="宋体" w:eastAsia="宋体" w:cs="宋体"/>
          <w:b/>
          <w:color w:val="auto"/>
          <w:sz w:val="21"/>
          <w:szCs w:val="21"/>
          <w:highlight w:val="none"/>
        </w:rPr>
        <w:t>. 一般约定</w:t>
      </w:r>
      <w:bookmarkEnd w:id="786"/>
      <w:bookmarkEnd w:id="787"/>
    </w:p>
    <w:bookmarkEnd w:id="788"/>
    <w:bookmarkEnd w:id="789"/>
    <w:bookmarkEnd w:id="790"/>
    <w:bookmarkEnd w:id="791"/>
    <w:bookmarkEnd w:id="792"/>
    <w:bookmarkEnd w:id="793"/>
    <w:bookmarkEnd w:id="794"/>
    <w:bookmarkEnd w:id="795"/>
    <w:bookmarkEnd w:id="796"/>
    <w:bookmarkEnd w:id="797"/>
    <w:p w14:paraId="23A577F4">
      <w:pPr>
        <w:pageBreakBefore w:val="0"/>
        <w:widowControl w:val="0"/>
        <w:kinsoku/>
        <w:wordWrap/>
        <w:overflowPunct/>
        <w:topLinePunct w:val="0"/>
        <w:bidi w:val="0"/>
        <w:snapToGrid/>
        <w:spacing w:line="500" w:lineRule="exact"/>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1.3法律</w:t>
      </w:r>
    </w:p>
    <w:p w14:paraId="0AD96064">
      <w:pPr>
        <w:pageBreakBefore w:val="0"/>
        <w:widowControl w:val="0"/>
        <w:kinsoku/>
        <w:wordWrap/>
        <w:overflowPunct/>
        <w:topLinePunct w:val="0"/>
        <w:autoSpaceDE w:val="0"/>
        <w:autoSpaceDN w:val="0"/>
        <w:bidi w:val="0"/>
        <w:adjustRightInd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适用于合同的其他规范性文件：</w:t>
      </w:r>
      <w:r>
        <w:rPr>
          <w:rFonts w:hint="eastAsia" w:ascii="宋体" w:hAnsi="宋体" w:eastAsia="宋体" w:cs="宋体"/>
          <w:color w:val="auto"/>
          <w:sz w:val="21"/>
          <w:szCs w:val="21"/>
          <w:highlight w:val="none"/>
          <w:u w:val="single"/>
        </w:rPr>
        <w:t xml:space="preserve">执行通用条款  </w:t>
      </w:r>
      <w:r>
        <w:rPr>
          <w:rFonts w:hint="eastAsia" w:ascii="宋体" w:hAnsi="宋体" w:eastAsia="宋体" w:cs="宋体"/>
          <w:color w:val="auto"/>
          <w:sz w:val="21"/>
          <w:szCs w:val="21"/>
          <w:highlight w:val="none"/>
        </w:rPr>
        <w:t>。</w:t>
      </w:r>
    </w:p>
    <w:p w14:paraId="61E3B574">
      <w:pPr>
        <w:pageBreakBefore w:val="0"/>
        <w:widowControl w:val="0"/>
        <w:kinsoku/>
        <w:wordWrap/>
        <w:overflowPunct/>
        <w:topLinePunct w:val="0"/>
        <w:bidi w:val="0"/>
        <w:snapToGrid/>
        <w:spacing w:line="500" w:lineRule="exact"/>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 标准和规范</w:t>
      </w:r>
    </w:p>
    <w:p w14:paraId="6CB7E5DE">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适用于工程造价咨询的标准规范包括：</w:t>
      </w:r>
      <w:r>
        <w:rPr>
          <w:rFonts w:hint="eastAsia" w:ascii="宋体" w:hAnsi="宋体" w:eastAsia="宋体" w:cs="宋体"/>
          <w:color w:val="auto"/>
          <w:sz w:val="21"/>
          <w:szCs w:val="21"/>
          <w:highlight w:val="none"/>
          <w:u w:val="single"/>
        </w:rPr>
        <w:t xml:space="preserve"> 中价协现行行业工程计价有关规程、标准等 </w:t>
      </w:r>
      <w:r>
        <w:rPr>
          <w:rFonts w:hint="eastAsia" w:ascii="宋体" w:hAnsi="宋体" w:eastAsia="宋体" w:cs="宋体"/>
          <w:color w:val="auto"/>
          <w:sz w:val="21"/>
          <w:szCs w:val="21"/>
          <w:highlight w:val="none"/>
        </w:rPr>
        <w:t>。</w:t>
      </w:r>
    </w:p>
    <w:p w14:paraId="133BB0EF">
      <w:pPr>
        <w:pageBreakBefore w:val="0"/>
        <w:widowControl w:val="0"/>
        <w:kinsoku/>
        <w:wordWrap/>
        <w:overflowPunct/>
        <w:topLinePunct w:val="0"/>
        <w:bidi w:val="0"/>
        <w:snapToGrid/>
        <w:spacing w:line="500" w:lineRule="exact"/>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 合同文件的优先顺序</w:t>
      </w:r>
    </w:p>
    <w:p w14:paraId="1F7C58FC">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合同文件组成及优先顺序为：</w:t>
      </w:r>
      <w:r>
        <w:rPr>
          <w:rFonts w:hint="eastAsia" w:ascii="宋体" w:hAnsi="宋体" w:eastAsia="宋体" w:cs="宋体"/>
          <w:color w:val="auto"/>
          <w:sz w:val="21"/>
          <w:szCs w:val="21"/>
          <w:highlight w:val="none"/>
          <w:u w:val="single"/>
        </w:rPr>
        <w:t xml:space="preserve">执行通用条款  </w:t>
      </w:r>
      <w:r>
        <w:rPr>
          <w:rFonts w:hint="eastAsia" w:ascii="宋体" w:hAnsi="宋体" w:eastAsia="宋体" w:cs="宋体"/>
          <w:color w:val="auto"/>
          <w:sz w:val="21"/>
          <w:szCs w:val="21"/>
          <w:highlight w:val="none"/>
        </w:rPr>
        <w:t>。</w:t>
      </w:r>
    </w:p>
    <w:p w14:paraId="0C33D9EB">
      <w:pPr>
        <w:pageBreakBefore w:val="0"/>
        <w:widowControl w:val="0"/>
        <w:kinsoku/>
        <w:wordWrap/>
        <w:overflowPunct/>
        <w:topLinePunct w:val="0"/>
        <w:bidi w:val="0"/>
        <w:snapToGrid/>
        <w:spacing w:line="500" w:lineRule="exact"/>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 联络</w:t>
      </w:r>
    </w:p>
    <w:p w14:paraId="68E8AC40">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rPr>
        <w:t>1.6.1</w:t>
      </w:r>
      <w:r>
        <w:rPr>
          <w:rFonts w:hint="eastAsia" w:ascii="宋体" w:hAnsi="宋体" w:eastAsia="宋体" w:cs="宋体"/>
          <w:color w:val="auto"/>
          <w:kern w:val="0"/>
          <w:sz w:val="21"/>
          <w:szCs w:val="21"/>
          <w:highlight w:val="none"/>
        </w:rPr>
        <w:t>委托人和咨询人应当在</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kern w:val="0"/>
          <w:sz w:val="21"/>
          <w:szCs w:val="21"/>
          <w:highlight w:val="none"/>
        </w:rPr>
        <w:t>天内将与合同有关的通知、批准、证明、证书、指示、指令、要求、请求、同意、意见、确定和决定等书面函件送达对方当事人。</w:t>
      </w:r>
    </w:p>
    <w:p w14:paraId="7CC89AB4">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rPr>
        <w:t>1.6.2</w:t>
      </w:r>
      <w:r>
        <w:rPr>
          <w:rFonts w:hint="eastAsia" w:ascii="宋体" w:hAnsi="宋体" w:eastAsia="宋体" w:cs="宋体"/>
          <w:color w:val="auto"/>
          <w:kern w:val="0"/>
          <w:sz w:val="21"/>
          <w:szCs w:val="21"/>
          <w:highlight w:val="none"/>
        </w:rPr>
        <w:t xml:space="preserve"> 委托人接收文件的地点：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6AE86855">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委托人指定的接收人为：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5D18A591">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委托人指定的电子邮箱：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147DD102">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咨询人接收文件的地点：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5F85E17B">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咨询人指定的接收人为：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EE0D892">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咨询</w:t>
      </w:r>
      <w:r>
        <w:rPr>
          <w:rFonts w:hint="eastAsia" w:ascii="宋体" w:hAnsi="宋体" w:eastAsia="宋体" w:cs="宋体"/>
          <w:color w:val="auto"/>
          <w:sz w:val="21"/>
          <w:szCs w:val="21"/>
          <w:highlight w:val="none"/>
        </w:rPr>
        <w:t>人</w:t>
      </w:r>
      <w:r>
        <w:rPr>
          <w:rFonts w:hint="eastAsia" w:ascii="宋体" w:hAnsi="宋体" w:eastAsia="宋体" w:cs="宋体"/>
          <w:color w:val="auto"/>
          <w:kern w:val="0"/>
          <w:sz w:val="21"/>
          <w:szCs w:val="21"/>
          <w:highlight w:val="none"/>
        </w:rPr>
        <w:t>指定的电子邮箱：</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5661E05">
      <w:pPr>
        <w:keepNext/>
        <w:keepLines/>
        <w:pageBreakBefore w:val="0"/>
        <w:widowControl w:val="0"/>
        <w:kinsoku/>
        <w:wordWrap/>
        <w:overflowPunct/>
        <w:topLinePunct w:val="0"/>
        <w:bidi w:val="0"/>
        <w:snapToGrid/>
        <w:spacing w:line="500" w:lineRule="exact"/>
        <w:ind w:left="0" w:leftChars="0" w:firstLine="422" w:firstLineChars="200"/>
        <w:textAlignment w:val="auto"/>
        <w:outlineLvl w:val="1"/>
        <w:rPr>
          <w:rFonts w:hint="eastAsia" w:ascii="宋体" w:hAnsi="宋体" w:eastAsia="宋体" w:cs="宋体"/>
          <w:b/>
          <w:color w:val="auto"/>
          <w:sz w:val="21"/>
          <w:szCs w:val="21"/>
          <w:highlight w:val="none"/>
        </w:rPr>
      </w:pPr>
      <w:bookmarkStart w:id="798" w:name="_Toc351203634"/>
      <w:bookmarkStart w:id="799" w:name="_Toc407261945"/>
      <w:r>
        <w:rPr>
          <w:rFonts w:hint="eastAsia" w:ascii="宋体" w:hAnsi="宋体" w:eastAsia="宋体" w:cs="宋体"/>
          <w:b/>
          <w:color w:val="auto"/>
          <w:sz w:val="21"/>
          <w:szCs w:val="21"/>
          <w:highlight w:val="none"/>
        </w:rPr>
        <w:t>2</w:t>
      </w:r>
      <w:bookmarkStart w:id="800" w:name="_Toc292559867"/>
      <w:bookmarkStart w:id="801" w:name="_Toc297120457"/>
      <w:bookmarkStart w:id="802" w:name="_Toc296944496"/>
      <w:bookmarkStart w:id="803" w:name="_Toc297048343"/>
      <w:bookmarkStart w:id="804" w:name="_Toc296347156"/>
      <w:bookmarkStart w:id="805" w:name="_Toc296890985"/>
      <w:bookmarkStart w:id="806" w:name="_Toc296346658"/>
      <w:bookmarkStart w:id="807" w:name="_Toc296891197"/>
      <w:bookmarkStart w:id="808" w:name="_Toc296503157"/>
      <w:bookmarkStart w:id="809" w:name="_Toc292559362"/>
      <w:r>
        <w:rPr>
          <w:rFonts w:hint="eastAsia" w:ascii="宋体" w:hAnsi="宋体" w:eastAsia="宋体" w:cs="宋体"/>
          <w:b/>
          <w:color w:val="auto"/>
          <w:sz w:val="21"/>
          <w:szCs w:val="21"/>
          <w:highlight w:val="none"/>
        </w:rPr>
        <w:t>. 委托人</w:t>
      </w:r>
      <w:bookmarkEnd w:id="798"/>
      <w:bookmarkEnd w:id="799"/>
    </w:p>
    <w:bookmarkEnd w:id="800"/>
    <w:bookmarkEnd w:id="801"/>
    <w:bookmarkEnd w:id="802"/>
    <w:bookmarkEnd w:id="803"/>
    <w:bookmarkEnd w:id="804"/>
    <w:bookmarkEnd w:id="805"/>
    <w:bookmarkEnd w:id="806"/>
    <w:bookmarkEnd w:id="807"/>
    <w:bookmarkEnd w:id="808"/>
    <w:bookmarkEnd w:id="809"/>
    <w:p w14:paraId="5F1BF487">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2.1 委托人代表</w:t>
      </w:r>
    </w:p>
    <w:p w14:paraId="236F4B81">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委托人代表：</w:t>
      </w:r>
    </w:p>
    <w:p w14:paraId="775B8DDC">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119C7BE">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70009DD">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91D292B">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9F015A4">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4C4C5ECC">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9F1E679">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委托人对委托人代表的授权范围如下：</w:t>
      </w:r>
      <w:r>
        <w:rPr>
          <w:rFonts w:hint="eastAsia" w:ascii="宋体" w:hAnsi="宋体" w:eastAsia="宋体" w:cs="宋体"/>
          <w:color w:val="auto"/>
          <w:sz w:val="21"/>
          <w:szCs w:val="21"/>
          <w:highlight w:val="none"/>
          <w:u w:val="single"/>
        </w:rPr>
        <w:t>负责本工程</w:t>
      </w:r>
      <w:r>
        <w:rPr>
          <w:rFonts w:hint="eastAsia" w:ascii="宋体" w:hAnsi="宋体" w:cs="宋体"/>
          <w:color w:val="auto"/>
          <w:sz w:val="21"/>
          <w:szCs w:val="21"/>
          <w:highlight w:val="none"/>
          <w:u w:val="single"/>
          <w:lang w:val="en-US" w:eastAsia="zh-CN"/>
        </w:rPr>
        <w:t>工程造价咨询</w:t>
      </w:r>
      <w:r>
        <w:rPr>
          <w:rFonts w:hint="eastAsia" w:ascii="宋体" w:hAnsi="宋体" w:eastAsia="宋体" w:cs="宋体"/>
          <w:color w:val="auto"/>
          <w:sz w:val="21"/>
          <w:szCs w:val="21"/>
          <w:highlight w:val="none"/>
          <w:u w:val="single"/>
        </w:rPr>
        <w:t xml:space="preserve">的资料收集、提供、协调、沟通、确认等相关事宜 </w:t>
      </w:r>
      <w:r>
        <w:rPr>
          <w:rFonts w:hint="eastAsia" w:ascii="宋体" w:hAnsi="宋体" w:eastAsia="宋体" w:cs="宋体"/>
          <w:color w:val="auto"/>
          <w:sz w:val="21"/>
          <w:szCs w:val="21"/>
          <w:highlight w:val="none"/>
        </w:rPr>
        <w:t>。</w:t>
      </w:r>
    </w:p>
    <w:p w14:paraId="5960925E">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2.2 提供资料</w:t>
      </w:r>
    </w:p>
    <w:p w14:paraId="625B3F45">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委托人向咨询人提供的资料包括：</w:t>
      </w:r>
      <w:r>
        <w:rPr>
          <w:rFonts w:hint="eastAsia" w:ascii="宋体" w:hAnsi="宋体" w:eastAsia="宋体" w:cs="宋体"/>
          <w:color w:val="auto"/>
          <w:sz w:val="21"/>
          <w:szCs w:val="21"/>
          <w:highlight w:val="none"/>
          <w:u w:val="single"/>
        </w:rPr>
        <w:t xml:space="preserve">本工程的施工方案、预估的施工工程量及其他相关资料等 </w:t>
      </w:r>
      <w:r>
        <w:rPr>
          <w:rFonts w:hint="eastAsia" w:ascii="宋体" w:hAnsi="宋体" w:eastAsia="宋体" w:cs="宋体"/>
          <w:color w:val="auto"/>
          <w:sz w:val="21"/>
          <w:szCs w:val="21"/>
          <w:highlight w:val="none"/>
        </w:rPr>
        <w:t>。</w:t>
      </w:r>
    </w:p>
    <w:p w14:paraId="47D409C0">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委托人向咨询人提供资料的期限为：</w:t>
      </w:r>
      <w:r>
        <w:rPr>
          <w:rFonts w:hint="eastAsia" w:ascii="宋体" w:hAnsi="宋体" w:eastAsia="宋体" w:cs="宋体"/>
          <w:color w:val="auto"/>
          <w:sz w:val="21"/>
          <w:szCs w:val="21"/>
          <w:highlight w:val="none"/>
          <w:u w:val="single"/>
        </w:rPr>
        <w:t>在每个工程实施前15日</w:t>
      </w:r>
      <w:r>
        <w:rPr>
          <w:rFonts w:hint="eastAsia" w:ascii="宋体" w:hAnsi="宋体" w:eastAsia="宋体" w:cs="宋体"/>
          <w:color w:val="auto"/>
          <w:sz w:val="21"/>
          <w:szCs w:val="21"/>
          <w:highlight w:val="none"/>
        </w:rPr>
        <w:t>。</w:t>
      </w:r>
    </w:p>
    <w:p w14:paraId="23133A81">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关于委托人向咨询人提供资料的特别约定：</w:t>
      </w:r>
      <w:r>
        <w:rPr>
          <w:rFonts w:hint="eastAsia" w:ascii="宋体" w:hAnsi="宋体" w:eastAsia="宋体" w:cs="宋体"/>
          <w:color w:val="auto"/>
          <w:kern w:val="0"/>
          <w:sz w:val="21"/>
          <w:szCs w:val="21"/>
          <w:highlight w:val="none"/>
          <w:u w:val="single"/>
        </w:rPr>
        <w:t xml:space="preserve"> 若委托人逾期或不能完整提供相关咨询资料，以最终提供完整资料的时间相应顺延咨询时间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74C5D3C">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2.4 答复</w:t>
      </w:r>
    </w:p>
    <w:p w14:paraId="7E892A11">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 委托人对咨询人以书面形式提交并要求作出决定事宜的答复期限为：</w:t>
      </w:r>
      <w:r>
        <w:rPr>
          <w:rFonts w:hint="eastAsia" w:ascii="宋体" w:hAnsi="宋体" w:eastAsia="宋体" w:cs="宋体"/>
          <w:color w:val="auto"/>
          <w:sz w:val="21"/>
          <w:szCs w:val="21"/>
          <w:highlight w:val="none"/>
          <w:u w:val="single"/>
        </w:rPr>
        <w:t xml:space="preserve"> 3个工作日内 </w:t>
      </w:r>
      <w:r>
        <w:rPr>
          <w:rFonts w:hint="eastAsia" w:ascii="宋体" w:hAnsi="宋体" w:eastAsia="宋体" w:cs="宋体"/>
          <w:color w:val="auto"/>
          <w:sz w:val="21"/>
          <w:szCs w:val="21"/>
          <w:highlight w:val="none"/>
        </w:rPr>
        <w:t>。</w:t>
      </w:r>
    </w:p>
    <w:p w14:paraId="090A8D61">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 关于咨询人以书面形式提交并要求第三人作出决定的事宜，由委托人送达第三人的特别约定：</w:t>
      </w:r>
      <w:r>
        <w:rPr>
          <w:rFonts w:hint="eastAsia" w:ascii="宋体" w:hAnsi="宋体" w:eastAsia="宋体" w:cs="宋体"/>
          <w:color w:val="auto"/>
          <w:sz w:val="21"/>
          <w:szCs w:val="21"/>
          <w:highlight w:val="none"/>
          <w:u w:val="single"/>
        </w:rPr>
        <w:t xml:space="preserve">3个工作日内 </w:t>
      </w:r>
      <w:r>
        <w:rPr>
          <w:rFonts w:hint="eastAsia" w:ascii="宋体" w:hAnsi="宋体" w:eastAsia="宋体" w:cs="宋体"/>
          <w:color w:val="auto"/>
          <w:sz w:val="21"/>
          <w:szCs w:val="21"/>
          <w:highlight w:val="none"/>
        </w:rPr>
        <w:t>。</w:t>
      </w:r>
      <w:bookmarkStart w:id="810" w:name="_Toc407261946"/>
    </w:p>
    <w:p w14:paraId="40A58145">
      <w:pPr>
        <w:pageBreakBefore w:val="0"/>
        <w:widowControl w:val="0"/>
        <w:kinsoku/>
        <w:wordWrap/>
        <w:overflowPunct/>
        <w:topLinePunct w:val="0"/>
        <w:bidi w:val="0"/>
        <w:snapToGrid/>
        <w:spacing w:line="500" w:lineRule="exact"/>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 咨询人</w:t>
      </w:r>
      <w:bookmarkEnd w:id="810"/>
    </w:p>
    <w:p w14:paraId="7F7CC496">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3.2 项目负责人</w:t>
      </w:r>
    </w:p>
    <w:p w14:paraId="0127B512">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3D62BA1E">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47F63D9">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造价工程师注册证书号：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89A777B">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755AC11E">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719F602">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A6C06A8">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咨询人对项目负责人的授权范围如下：</w:t>
      </w:r>
      <w:r>
        <w:rPr>
          <w:rFonts w:hint="eastAsia" w:ascii="宋体" w:hAnsi="宋体" w:eastAsia="宋体" w:cs="宋体"/>
          <w:color w:val="auto"/>
          <w:sz w:val="21"/>
          <w:szCs w:val="21"/>
          <w:highlight w:val="none"/>
          <w:u w:val="single"/>
        </w:rPr>
        <w:t xml:space="preserve"> 全权负责本工程</w:t>
      </w:r>
      <w:r>
        <w:rPr>
          <w:rFonts w:hint="eastAsia" w:ascii="宋体" w:hAnsi="宋体" w:cs="宋体"/>
          <w:color w:val="auto"/>
          <w:sz w:val="21"/>
          <w:szCs w:val="21"/>
          <w:highlight w:val="none"/>
          <w:u w:val="single"/>
          <w:lang w:val="en-US" w:eastAsia="zh-CN"/>
        </w:rPr>
        <w:t>最高投标限价编制服务</w:t>
      </w:r>
      <w:r>
        <w:rPr>
          <w:rFonts w:hint="eastAsia" w:ascii="宋体" w:hAnsi="宋体" w:eastAsia="宋体" w:cs="宋体"/>
          <w:color w:val="auto"/>
          <w:sz w:val="21"/>
          <w:szCs w:val="21"/>
          <w:highlight w:val="none"/>
          <w:u w:val="single"/>
        </w:rPr>
        <w:t xml:space="preserve">的相关事宜 </w:t>
      </w:r>
      <w:r>
        <w:rPr>
          <w:rFonts w:hint="eastAsia" w:ascii="宋体" w:hAnsi="宋体" w:eastAsia="宋体" w:cs="宋体"/>
          <w:color w:val="auto"/>
          <w:sz w:val="21"/>
          <w:szCs w:val="21"/>
          <w:highlight w:val="none"/>
        </w:rPr>
        <w:t>。</w:t>
      </w:r>
    </w:p>
    <w:p w14:paraId="242F7A7B">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3.3 工程造价专业人员</w:t>
      </w:r>
    </w:p>
    <w:p w14:paraId="2867C90C">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3.3.1</w:t>
      </w:r>
      <w:r>
        <w:rPr>
          <w:rFonts w:hint="eastAsia" w:ascii="宋体" w:hAnsi="宋体" w:eastAsia="宋体" w:cs="宋体"/>
          <w:color w:val="auto"/>
          <w:sz w:val="21"/>
          <w:szCs w:val="21"/>
          <w:highlight w:val="none"/>
        </w:rPr>
        <w:t xml:space="preserve"> 咨询人提交工程造价专业人员任命文件及其注册证书或资格证书的期限：</w:t>
      </w:r>
      <w:r>
        <w:rPr>
          <w:rFonts w:hint="eastAsia" w:ascii="宋体" w:hAnsi="宋体" w:eastAsia="宋体" w:cs="宋体"/>
          <w:color w:val="auto"/>
          <w:sz w:val="21"/>
          <w:szCs w:val="21"/>
          <w:highlight w:val="none"/>
          <w:u w:val="single"/>
        </w:rPr>
        <w:t xml:space="preserve"> 本条不采用 </w:t>
      </w:r>
      <w:r>
        <w:rPr>
          <w:rFonts w:hint="eastAsia" w:ascii="宋体" w:hAnsi="宋体" w:eastAsia="宋体" w:cs="宋体"/>
          <w:color w:val="auto"/>
          <w:sz w:val="21"/>
          <w:szCs w:val="21"/>
          <w:highlight w:val="none"/>
        </w:rPr>
        <w:t>。</w:t>
      </w:r>
    </w:p>
    <w:p w14:paraId="44F10EFD">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咨询人未提交</w:t>
      </w:r>
      <w:r>
        <w:rPr>
          <w:rFonts w:hint="eastAsia" w:ascii="宋体" w:hAnsi="宋体" w:eastAsia="宋体" w:cs="宋体"/>
          <w:color w:val="auto"/>
          <w:sz w:val="21"/>
          <w:szCs w:val="21"/>
          <w:highlight w:val="none"/>
        </w:rPr>
        <w:t>为工程造价专业人员缴纳的社会保险有效证明</w:t>
      </w:r>
      <w:r>
        <w:rPr>
          <w:rFonts w:hint="eastAsia" w:ascii="宋体" w:hAnsi="宋体" w:eastAsia="宋体" w:cs="宋体"/>
          <w:color w:val="auto"/>
          <w:kern w:val="0"/>
          <w:sz w:val="21"/>
          <w:szCs w:val="21"/>
          <w:highlight w:val="none"/>
        </w:rPr>
        <w:t>的违约责任：</w:t>
      </w:r>
      <w:r>
        <w:rPr>
          <w:rFonts w:hint="eastAsia" w:ascii="宋体" w:hAnsi="宋体" w:eastAsia="宋体" w:cs="宋体"/>
          <w:color w:val="auto"/>
          <w:sz w:val="21"/>
          <w:szCs w:val="21"/>
          <w:highlight w:val="none"/>
          <w:u w:val="single"/>
        </w:rPr>
        <w:t xml:space="preserve"> 本条不采用 </w:t>
      </w:r>
      <w:r>
        <w:rPr>
          <w:rFonts w:hint="eastAsia" w:ascii="宋体" w:hAnsi="宋体" w:eastAsia="宋体" w:cs="宋体"/>
          <w:color w:val="auto"/>
          <w:sz w:val="21"/>
          <w:szCs w:val="21"/>
          <w:highlight w:val="none"/>
        </w:rPr>
        <w:t>。</w:t>
      </w:r>
    </w:p>
    <w:p w14:paraId="66340057">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3.3.2</w:t>
      </w:r>
      <w:r>
        <w:rPr>
          <w:rFonts w:hint="eastAsia" w:ascii="宋体" w:hAnsi="宋体" w:eastAsia="宋体" w:cs="宋体"/>
          <w:color w:val="auto"/>
          <w:sz w:val="21"/>
          <w:szCs w:val="21"/>
          <w:highlight w:val="none"/>
        </w:rPr>
        <w:t xml:space="preserve"> 咨询人擅自更换工程造价专业人员的违约责任：</w:t>
      </w:r>
      <w:r>
        <w:rPr>
          <w:rFonts w:hint="eastAsia" w:ascii="宋体" w:hAnsi="宋体" w:eastAsia="宋体" w:cs="宋体"/>
          <w:color w:val="auto"/>
          <w:sz w:val="21"/>
          <w:szCs w:val="21"/>
          <w:highlight w:val="none"/>
          <w:u w:val="single"/>
        </w:rPr>
        <w:t xml:space="preserve"> 执行通用条款 </w:t>
      </w:r>
      <w:r>
        <w:rPr>
          <w:rFonts w:hint="eastAsia" w:ascii="宋体" w:hAnsi="宋体" w:eastAsia="宋体" w:cs="宋体"/>
          <w:color w:val="auto"/>
          <w:sz w:val="21"/>
          <w:szCs w:val="21"/>
          <w:highlight w:val="none"/>
        </w:rPr>
        <w:t>。</w:t>
      </w:r>
    </w:p>
    <w:p w14:paraId="144F559D">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3.3.3</w:t>
      </w:r>
      <w:r>
        <w:rPr>
          <w:rFonts w:hint="eastAsia" w:ascii="宋体" w:hAnsi="宋体" w:eastAsia="宋体" w:cs="宋体"/>
          <w:color w:val="auto"/>
          <w:sz w:val="21"/>
          <w:szCs w:val="21"/>
          <w:highlight w:val="none"/>
        </w:rPr>
        <w:t xml:space="preserve"> 咨询人安排的工程造价专业人员</w:t>
      </w:r>
      <w:r>
        <w:rPr>
          <w:rFonts w:hint="eastAsia" w:ascii="宋体" w:hAnsi="宋体" w:eastAsia="宋体" w:cs="宋体"/>
          <w:color w:val="auto"/>
          <w:kern w:val="0"/>
          <w:sz w:val="21"/>
          <w:szCs w:val="21"/>
          <w:highlight w:val="none"/>
        </w:rPr>
        <w:t>每月在施工现场的时间要求：</w:t>
      </w:r>
      <w:r>
        <w:rPr>
          <w:rFonts w:hint="eastAsia" w:ascii="宋体" w:hAnsi="宋体" w:eastAsia="宋体" w:cs="宋体"/>
          <w:color w:val="auto"/>
          <w:sz w:val="21"/>
          <w:szCs w:val="21"/>
          <w:highlight w:val="none"/>
          <w:u w:val="single"/>
        </w:rPr>
        <w:t xml:space="preserve"> 编制时及时</w:t>
      </w:r>
      <w:r>
        <w:rPr>
          <w:rFonts w:hint="eastAsia" w:ascii="宋体" w:hAnsi="宋体" w:eastAsia="宋体" w:cs="宋体"/>
          <w:color w:val="auto"/>
          <w:sz w:val="21"/>
          <w:szCs w:val="21"/>
          <w:highlight w:val="none"/>
          <w:u w:val="single"/>
          <w:lang w:eastAsia="zh-CN"/>
        </w:rPr>
        <w:t>勘察</w:t>
      </w:r>
      <w:r>
        <w:rPr>
          <w:rFonts w:hint="eastAsia" w:ascii="宋体" w:hAnsi="宋体" w:eastAsia="宋体" w:cs="宋体"/>
          <w:color w:val="auto"/>
          <w:sz w:val="21"/>
          <w:szCs w:val="21"/>
          <w:highlight w:val="none"/>
          <w:u w:val="single"/>
        </w:rPr>
        <w:t xml:space="preserve">现场 </w:t>
      </w:r>
      <w:r>
        <w:rPr>
          <w:rFonts w:hint="eastAsia" w:ascii="宋体" w:hAnsi="宋体" w:eastAsia="宋体" w:cs="宋体"/>
          <w:color w:val="auto"/>
          <w:sz w:val="21"/>
          <w:szCs w:val="21"/>
          <w:highlight w:val="none"/>
        </w:rPr>
        <w:t>。</w:t>
      </w:r>
    </w:p>
    <w:p w14:paraId="748F43AC">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工程造价专业人员</w:t>
      </w:r>
      <w:r>
        <w:rPr>
          <w:rFonts w:hint="eastAsia" w:ascii="宋体" w:hAnsi="宋体" w:eastAsia="宋体" w:cs="宋体"/>
          <w:color w:val="auto"/>
          <w:kern w:val="0"/>
          <w:sz w:val="21"/>
          <w:szCs w:val="21"/>
          <w:highlight w:val="none"/>
        </w:rPr>
        <w:t>未经批准，擅自离开施工现场的违约责任：</w:t>
      </w:r>
      <w:r>
        <w:rPr>
          <w:rFonts w:hint="eastAsia" w:ascii="宋体" w:hAnsi="宋体" w:eastAsia="宋体" w:cs="宋体"/>
          <w:color w:val="auto"/>
          <w:sz w:val="21"/>
          <w:szCs w:val="21"/>
          <w:highlight w:val="none"/>
          <w:u w:val="single"/>
        </w:rPr>
        <w:t xml:space="preserve">执行通用条款 </w:t>
      </w:r>
      <w:r>
        <w:rPr>
          <w:rFonts w:hint="eastAsia" w:ascii="宋体" w:hAnsi="宋体" w:eastAsia="宋体" w:cs="宋体"/>
          <w:color w:val="auto"/>
          <w:sz w:val="21"/>
          <w:szCs w:val="21"/>
          <w:highlight w:val="none"/>
        </w:rPr>
        <w:t>。</w:t>
      </w:r>
    </w:p>
    <w:p w14:paraId="3ABA5489">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3.3.4</w:t>
      </w:r>
      <w:r>
        <w:rPr>
          <w:rFonts w:hint="eastAsia" w:ascii="宋体" w:hAnsi="宋体" w:eastAsia="宋体" w:cs="宋体"/>
          <w:color w:val="auto"/>
          <w:sz w:val="21"/>
          <w:szCs w:val="21"/>
          <w:highlight w:val="none"/>
        </w:rPr>
        <w:t xml:space="preserve"> 咨询人无正当理由拒绝撤换工程造价专业人员的违约责任：</w:t>
      </w:r>
      <w:r>
        <w:rPr>
          <w:rFonts w:hint="eastAsia" w:ascii="宋体" w:hAnsi="宋体" w:eastAsia="宋体" w:cs="宋体"/>
          <w:color w:val="auto"/>
          <w:sz w:val="21"/>
          <w:szCs w:val="21"/>
          <w:highlight w:val="none"/>
          <w:u w:val="single"/>
        </w:rPr>
        <w:t xml:space="preserve">执行通用条款 </w:t>
      </w:r>
      <w:r>
        <w:rPr>
          <w:rFonts w:hint="eastAsia" w:ascii="宋体" w:hAnsi="宋体" w:eastAsia="宋体" w:cs="宋体"/>
          <w:color w:val="auto"/>
          <w:sz w:val="21"/>
          <w:szCs w:val="21"/>
          <w:highlight w:val="none"/>
        </w:rPr>
        <w:t>。</w:t>
      </w:r>
    </w:p>
    <w:p w14:paraId="002A41D4">
      <w:pPr>
        <w:keepNext/>
        <w:keepLines/>
        <w:pageBreakBefore w:val="0"/>
        <w:widowControl w:val="0"/>
        <w:kinsoku/>
        <w:wordWrap/>
        <w:overflowPunct/>
        <w:topLinePunct w:val="0"/>
        <w:bidi w:val="0"/>
        <w:snapToGrid/>
        <w:spacing w:line="500" w:lineRule="exact"/>
        <w:ind w:left="0" w:leftChars="0" w:firstLine="422" w:firstLineChars="200"/>
        <w:textAlignment w:val="auto"/>
        <w:outlineLvl w:val="1"/>
        <w:rPr>
          <w:rFonts w:hint="eastAsia" w:ascii="宋体" w:hAnsi="宋体" w:eastAsia="宋体" w:cs="宋体"/>
          <w:b/>
          <w:color w:val="auto"/>
          <w:sz w:val="21"/>
          <w:szCs w:val="21"/>
          <w:highlight w:val="none"/>
        </w:rPr>
      </w:pPr>
      <w:bookmarkStart w:id="811" w:name="_Toc407261947"/>
      <w:r>
        <w:rPr>
          <w:rFonts w:hint="eastAsia" w:ascii="宋体" w:hAnsi="宋体" w:eastAsia="宋体" w:cs="宋体"/>
          <w:b/>
          <w:color w:val="auto"/>
          <w:sz w:val="21"/>
          <w:szCs w:val="21"/>
          <w:highlight w:val="none"/>
        </w:rPr>
        <w:t>4. 咨询业务范围和工作内容</w:t>
      </w:r>
      <w:bookmarkEnd w:id="811"/>
    </w:p>
    <w:p w14:paraId="433BD805">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4.2 咨询工作内容</w:t>
      </w:r>
    </w:p>
    <w:p w14:paraId="6F49DE3A">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工程造价咨询工作内容包括：</w:t>
      </w:r>
      <w:r>
        <w:rPr>
          <w:rFonts w:hint="eastAsia" w:ascii="宋体" w:hAnsi="宋体" w:eastAsia="宋体" w:cs="宋体"/>
          <w:color w:val="auto"/>
          <w:sz w:val="21"/>
          <w:szCs w:val="21"/>
          <w:highlight w:val="none"/>
          <w:u w:val="single"/>
        </w:rPr>
        <w:t xml:space="preserve"> 1.</w:t>
      </w:r>
      <w:r>
        <w:rPr>
          <w:rFonts w:hint="eastAsia" w:ascii="宋体" w:hAnsi="宋体" w:cs="宋体"/>
          <w:color w:val="auto"/>
          <w:sz w:val="21"/>
          <w:szCs w:val="21"/>
          <w:highlight w:val="none"/>
          <w:u w:val="single"/>
          <w:lang w:val="en-US" w:eastAsia="zh-CN"/>
        </w:rPr>
        <w:t>最高投标限价编制服务成果文件的</w:t>
      </w:r>
      <w:r>
        <w:rPr>
          <w:rFonts w:hint="eastAsia" w:ascii="宋体" w:hAnsi="宋体" w:eastAsia="宋体" w:cs="宋体"/>
          <w:color w:val="auto"/>
          <w:sz w:val="21"/>
          <w:szCs w:val="21"/>
          <w:highlight w:val="none"/>
          <w:u w:val="single"/>
        </w:rPr>
        <w:t>编制；2.积极配合业主做好造价咨询和施工过程中的交底、询价、答疑、复核等有关的工作；3.成果文件必须符合滁州市相关部门的规定，并在规定时间内完成最高投标限价备案工作</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lang w:val="en-US" w:eastAsia="zh-CN"/>
        </w:rPr>
        <w:t>如有）</w:t>
      </w:r>
      <w:r>
        <w:rPr>
          <w:rFonts w:hint="eastAsia" w:ascii="宋体" w:hAnsi="宋体" w:eastAsia="宋体" w:cs="宋体"/>
          <w:color w:val="auto"/>
          <w:sz w:val="21"/>
          <w:szCs w:val="21"/>
          <w:highlight w:val="none"/>
          <w:u w:val="single"/>
        </w:rPr>
        <w:t>。</w:t>
      </w:r>
    </w:p>
    <w:p w14:paraId="6FB323D6">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sz w:val="21"/>
          <w:szCs w:val="21"/>
          <w:highlight w:val="none"/>
          <w:u w:val="single"/>
          <w:lang w:val="en-US" w:eastAsia="zh-CN"/>
        </w:rPr>
      </w:pPr>
      <w:bookmarkStart w:id="812" w:name="_Toc407261948"/>
      <w:r>
        <w:rPr>
          <w:rFonts w:hint="eastAsia" w:ascii="宋体" w:hAnsi="宋体" w:cs="宋体"/>
          <w:color w:val="auto"/>
          <w:sz w:val="21"/>
          <w:szCs w:val="21"/>
          <w:highlight w:val="none"/>
          <w:u w:val="single"/>
          <w:lang w:val="en-US" w:eastAsia="zh-CN"/>
        </w:rPr>
        <w:t>具体项目管理需求如下：</w:t>
      </w:r>
    </w:p>
    <w:p w14:paraId="7F926AE9">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cs="宋体"/>
          <w:color w:val="auto"/>
          <w:sz w:val="21"/>
          <w:szCs w:val="21"/>
          <w:highlight w:val="none"/>
          <w:u w:val="single"/>
          <w:lang w:val="en-US" w:eastAsia="zh-CN"/>
        </w:rPr>
      </w:pPr>
      <w:r>
        <w:rPr>
          <w:rFonts w:hint="eastAsia" w:ascii="宋体" w:hAnsi="宋体" w:cs="宋体"/>
          <w:color w:val="auto"/>
          <w:sz w:val="21"/>
          <w:szCs w:val="21"/>
          <w:highlight w:val="none"/>
          <w:u w:val="single"/>
          <w:lang w:val="en-US" w:eastAsia="zh-CN"/>
        </w:rPr>
        <w:t>1.招标人提供分阶段施工图纸后7个日历天内，中标人向招标人提交造价成果。中标人接收图纸与送达成果时间均在一张联系单上注明，此类联系单作为请款资料附件。因中标人原因逾期提交成果的，每次处罚2000元，在请款申请中直接注明兑现。因施工单位或招标人原因可延期交付造价成果，但须由招标人在联系单上予以说明。</w:t>
      </w:r>
    </w:p>
    <w:p w14:paraId="36206110">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cs="宋体"/>
          <w:color w:val="auto"/>
          <w:sz w:val="21"/>
          <w:szCs w:val="21"/>
          <w:highlight w:val="none"/>
          <w:u w:val="single"/>
          <w:lang w:val="en-US" w:eastAsia="zh-CN"/>
        </w:rPr>
      </w:pPr>
      <w:r>
        <w:rPr>
          <w:rFonts w:hint="eastAsia" w:ascii="宋体" w:hAnsi="宋体" w:cs="宋体"/>
          <w:color w:val="auto"/>
          <w:sz w:val="21"/>
          <w:szCs w:val="21"/>
          <w:highlight w:val="none"/>
          <w:u w:val="single"/>
          <w:lang w:val="en-US" w:eastAsia="zh-CN"/>
        </w:rPr>
        <w:t>2.本项目为EPC项目，造价咨询服务工作会根据工程进度同步开展，过程繁琐。过程中，中标人应秉持负责任的态度，强化成果质量，每一阶段的造价成果都需要盖章签字。</w:t>
      </w:r>
    </w:p>
    <w:p w14:paraId="5E4C5E0B">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cs="宋体"/>
          <w:color w:val="auto"/>
          <w:sz w:val="21"/>
          <w:szCs w:val="21"/>
          <w:highlight w:val="none"/>
          <w:u w:val="single"/>
          <w:lang w:val="en-US" w:eastAsia="zh-CN"/>
        </w:rPr>
      </w:pPr>
      <w:r>
        <w:rPr>
          <w:rFonts w:hint="eastAsia" w:ascii="宋体" w:hAnsi="宋体" w:cs="宋体"/>
          <w:color w:val="auto"/>
          <w:sz w:val="21"/>
          <w:szCs w:val="21"/>
          <w:highlight w:val="none"/>
          <w:u w:val="single"/>
          <w:lang w:val="en-US" w:eastAsia="zh-CN"/>
        </w:rPr>
        <w:t>3.中标人在开展施工全过程清单控制价编制、协助招标人进行总价控制等工作中若出现工作失误，甲方将按每次2000元进行违约处罚。处罚事由记录在工作联系单中并在付款时兑现。</w:t>
      </w:r>
    </w:p>
    <w:p w14:paraId="5EC7F5D1">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cs="宋体"/>
          <w:color w:val="auto"/>
          <w:sz w:val="21"/>
          <w:szCs w:val="21"/>
          <w:highlight w:val="none"/>
          <w:u w:val="single"/>
          <w:lang w:val="en-US" w:eastAsia="zh-CN"/>
        </w:rPr>
      </w:pPr>
      <w:r>
        <w:rPr>
          <w:rFonts w:hint="eastAsia" w:ascii="宋体" w:hAnsi="宋体" w:cs="宋体"/>
          <w:color w:val="auto"/>
          <w:sz w:val="21"/>
          <w:szCs w:val="21"/>
          <w:highlight w:val="none"/>
          <w:u w:val="single"/>
          <w:lang w:val="en-US" w:eastAsia="zh-CN"/>
        </w:rPr>
        <w:t>4.为减少错误发生，中标人可要求施工单位提供完备的基础资料作为计算支撑，建设单位将予以督促配合。</w:t>
      </w:r>
    </w:p>
    <w:p w14:paraId="16B38B44">
      <w:pPr>
        <w:keepNext/>
        <w:keepLines/>
        <w:pageBreakBefore w:val="0"/>
        <w:widowControl w:val="0"/>
        <w:kinsoku/>
        <w:wordWrap/>
        <w:overflowPunct/>
        <w:topLinePunct w:val="0"/>
        <w:bidi w:val="0"/>
        <w:snapToGrid/>
        <w:spacing w:line="500" w:lineRule="exact"/>
        <w:ind w:left="0" w:leftChars="0" w:firstLine="422" w:firstLineChars="200"/>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 咨询期限</w:t>
      </w:r>
      <w:bookmarkEnd w:id="812"/>
    </w:p>
    <w:p w14:paraId="27D75343">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5.2 咨询期限延误</w:t>
      </w:r>
    </w:p>
    <w:p w14:paraId="2499046F">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5.2.1</w:t>
      </w:r>
      <w:r>
        <w:rPr>
          <w:rFonts w:hint="eastAsia" w:ascii="宋体" w:hAnsi="宋体" w:eastAsia="宋体" w:cs="宋体"/>
          <w:color w:val="auto"/>
          <w:sz w:val="21"/>
          <w:szCs w:val="21"/>
          <w:highlight w:val="none"/>
        </w:rPr>
        <w:t xml:space="preserve"> 因委托人原因导致咨询期限延误</w:t>
      </w:r>
    </w:p>
    <w:p w14:paraId="23853BEE">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w:t>
      </w:r>
      <w:r>
        <w:rPr>
          <w:rFonts w:hint="eastAsia" w:ascii="宋体" w:hAnsi="宋体" w:eastAsia="宋体" w:cs="宋体"/>
          <w:color w:val="auto"/>
          <w:sz w:val="21"/>
          <w:szCs w:val="21"/>
          <w:highlight w:val="none"/>
        </w:rPr>
        <w:t>因委托人原因导致咨询期限延误的其他情形：</w:t>
      </w:r>
      <w:r>
        <w:rPr>
          <w:rFonts w:hint="eastAsia" w:ascii="宋体" w:hAnsi="宋体" w:eastAsia="宋体" w:cs="宋体"/>
          <w:color w:val="auto"/>
          <w:sz w:val="21"/>
          <w:szCs w:val="21"/>
          <w:highlight w:val="none"/>
          <w:u w:val="single"/>
        </w:rPr>
        <w:t xml:space="preserve"> 本条不采用 </w:t>
      </w:r>
      <w:r>
        <w:rPr>
          <w:rFonts w:hint="eastAsia" w:ascii="宋体" w:hAnsi="宋体" w:eastAsia="宋体" w:cs="宋体"/>
          <w:color w:val="auto"/>
          <w:sz w:val="21"/>
          <w:szCs w:val="21"/>
          <w:highlight w:val="none"/>
        </w:rPr>
        <w:t>。</w:t>
      </w:r>
    </w:p>
    <w:p w14:paraId="5EDDDB26">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bookmarkStart w:id="813" w:name="_Toc297216177"/>
      <w:bookmarkStart w:id="814" w:name="_Toc297123518"/>
      <w:bookmarkStart w:id="815" w:name="_Toc303539127"/>
      <w:bookmarkStart w:id="816" w:name="_Toc300934970"/>
      <w:bookmarkStart w:id="817" w:name="_Toc304295548"/>
      <w:r>
        <w:rPr>
          <w:rFonts w:hint="eastAsia" w:ascii="宋体" w:hAnsi="宋体" w:eastAsia="宋体" w:cs="宋体"/>
          <w:bCs/>
          <w:color w:val="auto"/>
          <w:sz w:val="21"/>
          <w:szCs w:val="21"/>
          <w:highlight w:val="none"/>
        </w:rPr>
        <w:t>5.2.2</w:t>
      </w:r>
      <w:r>
        <w:rPr>
          <w:rFonts w:hint="eastAsia" w:ascii="宋体" w:hAnsi="宋体" w:eastAsia="宋体" w:cs="宋体"/>
          <w:color w:val="auto"/>
          <w:sz w:val="21"/>
          <w:szCs w:val="21"/>
          <w:highlight w:val="none"/>
        </w:rPr>
        <w:t xml:space="preserve"> 因咨询人原因导致咨询期限延误</w:t>
      </w:r>
    </w:p>
    <w:p w14:paraId="3ED0185C">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w:t>
      </w:r>
      <w:bookmarkStart w:id="818" w:name="_Toc312677487"/>
      <w:bookmarkStart w:id="819" w:name="_Toc312678013"/>
      <w:bookmarkStart w:id="820" w:name="_Toc318581170"/>
      <w:r>
        <w:rPr>
          <w:rFonts w:hint="eastAsia" w:ascii="宋体" w:hAnsi="宋体" w:eastAsia="宋体" w:cs="宋体"/>
          <w:color w:val="auto"/>
          <w:sz w:val="21"/>
          <w:szCs w:val="21"/>
          <w:highlight w:val="none"/>
        </w:rPr>
        <w:t>咨询人原因造成咨询期限延误，逾期完成咨询业务违约金的计算方法为：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 xml:space="preserve">000元/天 </w:t>
      </w:r>
      <w:r>
        <w:rPr>
          <w:rFonts w:hint="eastAsia" w:ascii="宋体" w:hAnsi="宋体" w:eastAsia="宋体" w:cs="宋体"/>
          <w:color w:val="auto"/>
          <w:sz w:val="21"/>
          <w:szCs w:val="21"/>
          <w:highlight w:val="none"/>
        </w:rPr>
        <w:t>。</w:t>
      </w:r>
      <w:bookmarkEnd w:id="813"/>
      <w:bookmarkEnd w:id="814"/>
      <w:bookmarkEnd w:id="815"/>
      <w:bookmarkEnd w:id="816"/>
      <w:bookmarkEnd w:id="817"/>
      <w:bookmarkEnd w:id="818"/>
      <w:bookmarkEnd w:id="819"/>
    </w:p>
    <w:bookmarkEnd w:id="820"/>
    <w:p w14:paraId="79D8CAE7">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因咨询人原因造成咨询期限延误，</w:t>
      </w:r>
      <w:bookmarkStart w:id="821" w:name="_Toc318581171"/>
      <w:bookmarkStart w:id="822" w:name="_Toc312678014"/>
      <w:r>
        <w:rPr>
          <w:rFonts w:hint="eastAsia" w:ascii="宋体" w:hAnsi="宋体" w:eastAsia="宋体" w:cs="宋体"/>
          <w:color w:val="auto"/>
          <w:sz w:val="21"/>
          <w:szCs w:val="21"/>
          <w:highlight w:val="none"/>
        </w:rPr>
        <w:t>逾期完成咨询业务违约金的上限：</w:t>
      </w:r>
      <w:bookmarkEnd w:id="821"/>
      <w:bookmarkEnd w:id="822"/>
      <w:r>
        <w:rPr>
          <w:rFonts w:hint="eastAsia" w:ascii="宋体" w:hAnsi="宋体" w:eastAsia="宋体" w:cs="宋体"/>
          <w:color w:val="auto"/>
          <w:sz w:val="21"/>
          <w:szCs w:val="21"/>
          <w:highlight w:val="none"/>
          <w:u w:val="single"/>
        </w:rPr>
        <w:t xml:space="preserve">执行通用条款 </w:t>
      </w:r>
      <w:r>
        <w:rPr>
          <w:rFonts w:hint="eastAsia" w:ascii="宋体" w:hAnsi="宋体" w:eastAsia="宋体" w:cs="宋体"/>
          <w:color w:val="auto"/>
          <w:sz w:val="21"/>
          <w:szCs w:val="21"/>
          <w:highlight w:val="none"/>
        </w:rPr>
        <w:t>。</w:t>
      </w:r>
    </w:p>
    <w:p w14:paraId="503469A6">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5.2.3</w:t>
      </w:r>
      <w:r>
        <w:rPr>
          <w:rFonts w:hint="eastAsia" w:ascii="宋体" w:hAnsi="宋体" w:eastAsia="宋体" w:cs="宋体"/>
          <w:color w:val="auto"/>
          <w:sz w:val="21"/>
          <w:szCs w:val="21"/>
          <w:highlight w:val="none"/>
        </w:rPr>
        <w:t xml:space="preserve"> 因第三人原因导致咨询期限延误</w:t>
      </w:r>
    </w:p>
    <w:p w14:paraId="2CFD7518">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sz w:val="21"/>
          <w:szCs w:val="21"/>
          <w:highlight w:val="none"/>
        </w:rPr>
        <w:t>因第三人原因导致咨询期限延误的其他情形：</w:t>
      </w:r>
      <w:r>
        <w:rPr>
          <w:rFonts w:hint="eastAsia" w:ascii="宋体" w:hAnsi="宋体" w:eastAsia="宋体" w:cs="宋体"/>
          <w:color w:val="auto"/>
          <w:sz w:val="21"/>
          <w:szCs w:val="21"/>
          <w:highlight w:val="none"/>
          <w:u w:val="single"/>
        </w:rPr>
        <w:t xml:space="preserve">执行通用条款 </w:t>
      </w:r>
      <w:r>
        <w:rPr>
          <w:rFonts w:hint="eastAsia" w:ascii="宋体" w:hAnsi="宋体" w:eastAsia="宋体" w:cs="宋体"/>
          <w:color w:val="auto"/>
          <w:sz w:val="21"/>
          <w:szCs w:val="21"/>
          <w:highlight w:val="none"/>
        </w:rPr>
        <w:t>。</w:t>
      </w:r>
    </w:p>
    <w:p w14:paraId="1988FBE4">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5.3 工程造价咨询成果文件交付期限</w:t>
      </w:r>
    </w:p>
    <w:p w14:paraId="5ADF637D">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5.3.1</w:t>
      </w:r>
      <w:r>
        <w:rPr>
          <w:rFonts w:hint="eastAsia" w:ascii="宋体" w:hAnsi="宋体" w:eastAsia="宋体" w:cs="宋体"/>
          <w:color w:val="auto"/>
          <w:sz w:val="21"/>
          <w:szCs w:val="21"/>
          <w:highlight w:val="none"/>
        </w:rPr>
        <w:t>咨询人向委托人提交工程造价咨询成果文件的份数</w:t>
      </w:r>
      <w:r>
        <w:rPr>
          <w:rFonts w:hint="eastAsia" w:ascii="宋体" w:hAnsi="宋体" w:eastAsia="宋体" w:cs="宋体"/>
          <w:color w:val="auto"/>
          <w:sz w:val="21"/>
          <w:szCs w:val="21"/>
          <w:highlight w:val="none"/>
          <w:u w:val="single"/>
        </w:rPr>
        <w:t xml:space="preserve"> 五份 </w:t>
      </w:r>
      <w:r>
        <w:rPr>
          <w:rFonts w:hint="eastAsia" w:ascii="宋体" w:hAnsi="宋体" w:eastAsia="宋体" w:cs="宋体"/>
          <w:color w:val="auto"/>
          <w:sz w:val="21"/>
          <w:szCs w:val="21"/>
          <w:highlight w:val="none"/>
        </w:rPr>
        <w:t>。</w:t>
      </w:r>
    </w:p>
    <w:p w14:paraId="40FE0642">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委托人在收到咨询人提交的工程造价咨询成果文件后确认或提出修改意见的期限：</w:t>
      </w:r>
      <w:r>
        <w:rPr>
          <w:rFonts w:hint="eastAsia" w:ascii="宋体" w:hAnsi="宋体" w:eastAsia="宋体" w:cs="宋体"/>
          <w:color w:val="auto"/>
          <w:sz w:val="21"/>
          <w:szCs w:val="21"/>
          <w:highlight w:val="none"/>
          <w:u w:val="single"/>
        </w:rPr>
        <w:t xml:space="preserve">5个工作日 </w:t>
      </w:r>
      <w:r>
        <w:rPr>
          <w:rFonts w:hint="eastAsia" w:ascii="宋体" w:hAnsi="宋体" w:eastAsia="宋体" w:cs="宋体"/>
          <w:color w:val="auto"/>
          <w:sz w:val="21"/>
          <w:szCs w:val="21"/>
          <w:highlight w:val="none"/>
        </w:rPr>
        <w:t>。</w:t>
      </w:r>
    </w:p>
    <w:p w14:paraId="13C33730">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5.3.2</w:t>
      </w:r>
      <w:r>
        <w:rPr>
          <w:rFonts w:hint="eastAsia" w:ascii="宋体" w:hAnsi="宋体" w:eastAsia="宋体" w:cs="宋体"/>
          <w:color w:val="auto"/>
          <w:sz w:val="21"/>
          <w:szCs w:val="21"/>
          <w:highlight w:val="none"/>
        </w:rPr>
        <w:t>因咨询人原因未能在合理的期限内完成工程计量与支付、合同价款调整等文件编制或审核，给委托人造成损失的违约责任</w:t>
      </w:r>
      <w:r>
        <w:rPr>
          <w:rFonts w:hint="eastAsia" w:ascii="宋体" w:hAnsi="宋体" w:eastAsia="宋体" w:cs="宋体"/>
          <w:color w:val="auto"/>
          <w:sz w:val="21"/>
          <w:szCs w:val="21"/>
          <w:highlight w:val="none"/>
          <w:u w:val="single"/>
        </w:rPr>
        <w:t xml:space="preserve"> 本条不采用 </w:t>
      </w:r>
      <w:r>
        <w:rPr>
          <w:rFonts w:hint="eastAsia" w:ascii="宋体" w:hAnsi="宋体" w:eastAsia="宋体" w:cs="宋体"/>
          <w:color w:val="auto"/>
          <w:sz w:val="21"/>
          <w:szCs w:val="21"/>
          <w:highlight w:val="none"/>
        </w:rPr>
        <w:t>。</w:t>
      </w:r>
    </w:p>
    <w:p w14:paraId="40FFFB8B">
      <w:pPr>
        <w:keepNext/>
        <w:keepLines/>
        <w:pageBreakBefore w:val="0"/>
        <w:widowControl w:val="0"/>
        <w:kinsoku/>
        <w:wordWrap/>
        <w:overflowPunct/>
        <w:topLinePunct w:val="0"/>
        <w:bidi w:val="0"/>
        <w:snapToGrid/>
        <w:spacing w:line="500" w:lineRule="exact"/>
        <w:ind w:left="0" w:leftChars="0" w:firstLine="422" w:firstLineChars="200"/>
        <w:textAlignment w:val="auto"/>
        <w:outlineLvl w:val="1"/>
        <w:rPr>
          <w:rFonts w:hint="eastAsia" w:ascii="宋体" w:hAnsi="宋体" w:eastAsia="宋体" w:cs="宋体"/>
          <w:b/>
          <w:color w:val="auto"/>
          <w:sz w:val="21"/>
          <w:szCs w:val="21"/>
          <w:highlight w:val="none"/>
        </w:rPr>
      </w:pPr>
      <w:bookmarkStart w:id="823" w:name="_Toc407261949"/>
      <w:r>
        <w:rPr>
          <w:rFonts w:hint="eastAsia" w:ascii="宋体" w:hAnsi="宋体" w:eastAsia="宋体" w:cs="宋体"/>
          <w:b/>
          <w:color w:val="auto"/>
          <w:sz w:val="21"/>
          <w:szCs w:val="21"/>
          <w:highlight w:val="none"/>
        </w:rPr>
        <w:t>6. 咨询质量</w:t>
      </w:r>
      <w:bookmarkEnd w:id="823"/>
    </w:p>
    <w:p w14:paraId="64B0F6C4">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6.1 质量要求</w:t>
      </w:r>
    </w:p>
    <w:p w14:paraId="6D457F74">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工程造价咨询成果文件质量标准：</w:t>
      </w:r>
      <w:r>
        <w:rPr>
          <w:rFonts w:hint="eastAsia" w:ascii="宋体" w:hAnsi="宋体" w:eastAsia="宋体" w:cs="宋体"/>
          <w:color w:val="auto"/>
          <w:sz w:val="21"/>
          <w:szCs w:val="21"/>
          <w:highlight w:val="none"/>
          <w:u w:val="single"/>
        </w:rPr>
        <w:t>中国建设工程造价管理协会《建设工程造价咨询成果文件质量标准》（CECA/GC7-2012）的</w:t>
      </w:r>
      <w:r>
        <w:rPr>
          <w:rFonts w:hint="eastAsia" w:ascii="宋体" w:hAnsi="宋体" w:eastAsia="宋体" w:cs="宋体"/>
          <w:b/>
          <w:color w:val="auto"/>
          <w:sz w:val="21"/>
          <w:szCs w:val="21"/>
          <w:highlight w:val="none"/>
          <w:u w:val="single"/>
        </w:rPr>
        <w:t>合格</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标准。</w:t>
      </w:r>
    </w:p>
    <w:p w14:paraId="5B05310E">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6.3质量不合格处理</w:t>
      </w:r>
    </w:p>
    <w:p w14:paraId="51542694">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因咨询人原因造成工程造价咨询成果文件质量未达到合同约定标准，委托人相应减少咨询酬金的计算方法为：</w:t>
      </w:r>
      <w:r>
        <w:rPr>
          <w:rFonts w:hint="eastAsia" w:hAnsi="宋体" w:cs="宋体"/>
          <w:b w:val="0"/>
          <w:bCs w:val="0"/>
          <w:color w:val="auto"/>
          <w:kern w:val="0"/>
          <w:sz w:val="21"/>
          <w:szCs w:val="21"/>
          <w:highlight w:val="none"/>
          <w:u w:val="single"/>
          <w:lang w:val="en-US" w:eastAsia="zh-CN" w:bidi="ar"/>
        </w:rPr>
        <w:t xml:space="preserve">  </w:t>
      </w:r>
      <w:r>
        <w:rPr>
          <w:rFonts w:hint="eastAsia" w:ascii="宋体" w:hAnsi="宋体" w:eastAsia="宋体" w:cs="宋体"/>
          <w:color w:val="auto"/>
          <w:sz w:val="21"/>
          <w:szCs w:val="21"/>
          <w:highlight w:val="none"/>
          <w:u w:val="single"/>
        </w:rPr>
        <w:t>执行通用条款</w:t>
      </w:r>
      <w:r>
        <w:rPr>
          <w:rFonts w:hint="eastAsia" w:hAnsi="宋体" w:cs="宋体"/>
          <w:b w:val="0"/>
          <w:bCs w:val="0"/>
          <w:color w:val="auto"/>
          <w:kern w:val="0"/>
          <w:sz w:val="21"/>
          <w:szCs w:val="21"/>
          <w:highlight w:val="none"/>
          <w:u w:val="single"/>
          <w:lang w:val="en-US" w:eastAsia="zh-CN" w:bidi="ar"/>
        </w:rPr>
        <w:t xml:space="preserve">         。</w:t>
      </w:r>
    </w:p>
    <w:p w14:paraId="5295CD54">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因咨询人原因造成工程造价咨询成果文件质量不合格产生的损失赔偿额的计算方法为：</w:t>
      </w:r>
      <w:r>
        <w:rPr>
          <w:rFonts w:hint="eastAsia" w:ascii="宋体" w:hAnsi="宋体" w:eastAsia="宋体" w:cs="宋体"/>
          <w:color w:val="auto"/>
          <w:sz w:val="21"/>
          <w:szCs w:val="21"/>
          <w:highlight w:val="none"/>
          <w:u w:val="single"/>
        </w:rPr>
        <w:t xml:space="preserve">执行通用条款 </w:t>
      </w:r>
      <w:r>
        <w:rPr>
          <w:rFonts w:hint="eastAsia" w:ascii="宋体" w:hAnsi="宋体" w:eastAsia="宋体" w:cs="宋体"/>
          <w:color w:val="auto"/>
          <w:sz w:val="21"/>
          <w:szCs w:val="21"/>
          <w:highlight w:val="none"/>
        </w:rPr>
        <w:t>。</w:t>
      </w:r>
    </w:p>
    <w:p w14:paraId="37D226FC">
      <w:pPr>
        <w:keepNext/>
        <w:keepLines/>
        <w:pageBreakBefore w:val="0"/>
        <w:widowControl w:val="0"/>
        <w:kinsoku/>
        <w:wordWrap/>
        <w:overflowPunct/>
        <w:topLinePunct w:val="0"/>
        <w:bidi w:val="0"/>
        <w:snapToGrid/>
        <w:spacing w:line="500" w:lineRule="exact"/>
        <w:ind w:left="0" w:leftChars="0" w:firstLine="422" w:firstLineChars="200"/>
        <w:textAlignment w:val="auto"/>
        <w:outlineLvl w:val="1"/>
        <w:rPr>
          <w:rFonts w:hint="eastAsia" w:ascii="宋体" w:hAnsi="宋体" w:eastAsia="宋体" w:cs="宋体"/>
          <w:b/>
          <w:color w:val="auto"/>
          <w:sz w:val="21"/>
          <w:szCs w:val="21"/>
          <w:highlight w:val="none"/>
        </w:rPr>
      </w:pPr>
      <w:bookmarkStart w:id="824" w:name="_Toc407261950"/>
      <w:r>
        <w:rPr>
          <w:rFonts w:hint="eastAsia" w:ascii="宋体" w:hAnsi="宋体" w:eastAsia="宋体" w:cs="宋体"/>
          <w:b/>
          <w:color w:val="auto"/>
          <w:sz w:val="21"/>
          <w:szCs w:val="21"/>
          <w:highlight w:val="none"/>
        </w:rPr>
        <w:t>7. 咨询酬金</w:t>
      </w:r>
      <w:bookmarkEnd w:id="824"/>
    </w:p>
    <w:p w14:paraId="28D6214B">
      <w:pPr>
        <w:pageBreakBefore w:val="0"/>
        <w:widowControl w:val="0"/>
        <w:kinsoku/>
        <w:wordWrap/>
        <w:overflowPunct/>
        <w:topLinePunct w:val="0"/>
        <w:bidi w:val="0"/>
        <w:snapToGrid/>
        <w:spacing w:line="500" w:lineRule="exact"/>
        <w:ind w:left="0" w:leftChars="0" w:firstLine="422" w:firstLineChars="20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7.1 酬金计算方式</w:t>
      </w:r>
    </w:p>
    <w:p w14:paraId="7FC4509D">
      <w:pPr>
        <w:keepNext w:val="0"/>
        <w:keepLines w:val="0"/>
        <w:pageBreakBefore w:val="0"/>
        <w:widowControl w:val="0"/>
        <w:kinsoku/>
        <w:wordWrap/>
        <w:overflowPunct/>
        <w:topLinePunct w:val="0"/>
        <w:bidi w:val="0"/>
        <w:spacing w:line="500" w:lineRule="exact"/>
        <w:ind w:left="0" w:firstLine="422" w:firstLineChars="200"/>
        <w:textAlignment w:val="auto"/>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none"/>
          <w:lang w:val="en-US" w:eastAsia="zh-CN"/>
        </w:rPr>
        <w:t>合同（中标）</w:t>
      </w:r>
      <w:r>
        <w:rPr>
          <w:rFonts w:hint="eastAsia" w:ascii="宋体" w:hAnsi="宋体" w:eastAsia="宋体" w:cs="宋体"/>
          <w:b/>
          <w:bCs/>
          <w:color w:val="auto"/>
          <w:sz w:val="21"/>
          <w:szCs w:val="21"/>
          <w:highlight w:val="none"/>
          <w:u w:val="none"/>
        </w:rPr>
        <w:t>费率</w:t>
      </w:r>
      <w:r>
        <w:rPr>
          <w:rFonts w:hint="eastAsia" w:ascii="宋体" w:hAnsi="宋体" w:eastAsia="宋体" w:cs="宋体"/>
          <w:b/>
          <w:bCs/>
          <w:color w:val="auto"/>
          <w:sz w:val="21"/>
          <w:szCs w:val="21"/>
          <w:highlight w:val="none"/>
          <w:u w:val="single"/>
        </w:rPr>
        <w:t xml:space="preserve">      </w:t>
      </w:r>
      <w:r>
        <w:rPr>
          <w:rFonts w:hint="eastAsia" w:ascii="宋体" w:hAnsi="宋体" w:cs="宋体"/>
          <w:b/>
          <w:bCs/>
          <w:color w:val="auto"/>
          <w:sz w:val="21"/>
          <w:szCs w:val="21"/>
          <w:highlight w:val="none"/>
          <w:u w:val="single"/>
          <w:lang w:val="en-US" w:eastAsia="zh-CN"/>
        </w:rPr>
        <w:t>‰</w:t>
      </w:r>
      <w:r>
        <w:rPr>
          <w:rFonts w:hint="eastAsia" w:ascii="宋体" w:hAnsi="宋体" w:eastAsia="宋体" w:cs="宋体"/>
          <w:b/>
          <w:bCs/>
          <w:color w:val="auto"/>
          <w:sz w:val="21"/>
          <w:szCs w:val="21"/>
          <w:highlight w:val="none"/>
          <w:u w:val="single"/>
        </w:rPr>
        <w:t>。</w:t>
      </w:r>
    </w:p>
    <w:p w14:paraId="44B7A9A4">
      <w:pPr>
        <w:keepNext w:val="0"/>
        <w:keepLines w:val="0"/>
        <w:pageBreakBefore w:val="0"/>
        <w:widowControl w:val="0"/>
        <w:kinsoku/>
        <w:wordWrap/>
        <w:overflowPunct/>
        <w:topLinePunct w:val="0"/>
        <w:bidi w:val="0"/>
        <w:spacing w:line="500" w:lineRule="exact"/>
        <w:ind w:left="0" w:firstLine="420" w:firstLine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人民币</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大写</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整</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元</w:t>
      </w:r>
      <w:r>
        <w:rPr>
          <w:rFonts w:hint="eastAsia" w:ascii="宋体" w:hAnsi="宋体" w:eastAsia="宋体" w:cs="宋体"/>
          <w:color w:val="auto"/>
          <w:kern w:val="0"/>
          <w:sz w:val="21"/>
          <w:szCs w:val="21"/>
          <w:highlight w:val="none"/>
          <w:lang w:eastAsia="zh-CN"/>
        </w:rPr>
        <w:t>）</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暂以项目投资额44909.31万元*（1-施工项目中标下浮率）</w:t>
      </w:r>
      <w:r>
        <w:rPr>
          <w:rFonts w:hint="eastAsia" w:ascii="宋体" w:hAnsi="宋体" w:cs="宋体"/>
          <w:b/>
          <w:bCs/>
          <w:color w:val="auto"/>
          <w:kern w:val="0"/>
          <w:sz w:val="21"/>
          <w:szCs w:val="21"/>
          <w:highlight w:val="none"/>
          <w:lang w:val="en-US" w:eastAsia="zh-CN"/>
        </w:rPr>
        <w:t>计算，即：44909.31万元*（1-施工项目中标下浮率）</w:t>
      </w:r>
      <w:r>
        <w:rPr>
          <w:rFonts w:hint="eastAsia" w:ascii="宋体" w:hAnsi="宋体" w:cs="宋体"/>
          <w:b/>
          <w:bCs/>
          <w:color w:val="auto"/>
          <w:kern w:val="0"/>
          <w:sz w:val="21"/>
          <w:szCs w:val="21"/>
          <w:highlight w:val="none"/>
          <w:lang w:val="en-US" w:eastAsia="zh-CN"/>
        </w:rPr>
        <w:t>*合同（中标）费率）</w:t>
      </w:r>
      <w:r>
        <w:rPr>
          <w:rFonts w:hint="eastAsia" w:ascii="宋体" w:hAnsi="宋体" w:eastAsia="宋体" w:cs="宋体"/>
          <w:b/>
          <w:bCs/>
          <w:color w:val="auto"/>
          <w:kern w:val="0"/>
          <w:sz w:val="21"/>
          <w:szCs w:val="21"/>
          <w:highlight w:val="none"/>
        </w:rPr>
        <w:t>；</w:t>
      </w:r>
    </w:p>
    <w:p w14:paraId="4B440956">
      <w:pPr>
        <w:keepNext w:val="0"/>
        <w:keepLines w:val="0"/>
        <w:pageBreakBefore w:val="0"/>
        <w:widowControl w:val="0"/>
        <w:kinsoku/>
        <w:wordWrap/>
        <w:overflowPunct/>
        <w:topLinePunct w:val="0"/>
        <w:bidi w:val="0"/>
        <w:spacing w:line="500" w:lineRule="exact"/>
        <w:ind w:left="0" w:firstLine="420" w:firstLineChars="200"/>
        <w:textAlignment w:val="auto"/>
        <w:rPr>
          <w:rFonts w:hint="eastAsia" w:ascii="宋体" w:hAnsi="宋体" w:eastAsia="宋体" w:cs="宋体"/>
          <w:color w:val="auto"/>
          <w:kern w:val="0"/>
          <w:sz w:val="21"/>
          <w:szCs w:val="21"/>
          <w:highlight w:val="none"/>
          <w:u w:val="none"/>
        </w:rPr>
      </w:pPr>
      <w:r>
        <w:rPr>
          <w:rFonts w:hint="eastAsia" w:ascii="宋体" w:hAnsi="宋体" w:cs="宋体"/>
          <w:color w:val="auto"/>
          <w:sz w:val="21"/>
          <w:szCs w:val="21"/>
          <w:highlight w:val="none"/>
          <w:u w:val="none"/>
          <w:lang w:val="en-US" w:eastAsia="zh-CN"/>
        </w:rPr>
        <w:t>注：1.</w:t>
      </w:r>
      <w:r>
        <w:rPr>
          <w:rFonts w:hint="eastAsia" w:ascii="宋体" w:hAnsi="宋体" w:eastAsia="宋体" w:cs="宋体"/>
          <w:color w:val="auto"/>
          <w:sz w:val="21"/>
          <w:szCs w:val="21"/>
          <w:highlight w:val="none"/>
          <w:u w:val="none"/>
        </w:rPr>
        <w:t>如</w:t>
      </w:r>
      <w:r>
        <w:rPr>
          <w:rFonts w:hint="eastAsia" w:ascii="宋体" w:hAnsi="宋体" w:eastAsia="宋体" w:cs="宋体"/>
          <w:color w:val="auto"/>
          <w:sz w:val="21"/>
          <w:szCs w:val="21"/>
          <w:highlight w:val="none"/>
          <w:u w:val="none"/>
          <w:lang w:val="en-US" w:eastAsia="zh-CN"/>
        </w:rPr>
        <w:t>项目终止</w:t>
      </w:r>
      <w:r>
        <w:rPr>
          <w:rFonts w:hint="eastAsia" w:ascii="宋体" w:hAnsi="宋体" w:eastAsia="宋体" w:cs="宋体"/>
          <w:color w:val="auto"/>
          <w:sz w:val="21"/>
          <w:szCs w:val="21"/>
          <w:highlight w:val="none"/>
          <w:u w:val="none"/>
        </w:rPr>
        <w:t>且咨询人提交成果文件后</w:t>
      </w:r>
      <w:r>
        <w:rPr>
          <w:rFonts w:hint="eastAsia" w:ascii="宋体" w:hAnsi="宋体" w:eastAsia="宋体" w:cs="宋体"/>
          <w:color w:val="auto"/>
          <w:kern w:val="0"/>
          <w:sz w:val="21"/>
          <w:szCs w:val="21"/>
          <w:highlight w:val="none"/>
          <w:u w:val="none"/>
        </w:rPr>
        <w:t>，计费基数为</w:t>
      </w:r>
      <w:r>
        <w:rPr>
          <w:rFonts w:hint="eastAsia" w:ascii="宋体" w:hAnsi="宋体" w:cs="宋体"/>
          <w:color w:val="auto"/>
          <w:kern w:val="0"/>
          <w:sz w:val="21"/>
          <w:szCs w:val="21"/>
          <w:highlight w:val="none"/>
          <w:u w:val="none"/>
          <w:lang w:val="en-US" w:eastAsia="zh-CN"/>
        </w:rPr>
        <w:t>成果文件总金额</w:t>
      </w:r>
      <w:r>
        <w:rPr>
          <w:rFonts w:hint="eastAsia" w:ascii="宋体" w:hAnsi="宋体" w:eastAsia="宋体" w:cs="宋体"/>
          <w:color w:val="auto"/>
          <w:kern w:val="0"/>
          <w:sz w:val="21"/>
          <w:szCs w:val="21"/>
          <w:highlight w:val="none"/>
          <w:u w:val="none"/>
        </w:rPr>
        <w:t>下浮40%；</w:t>
      </w:r>
    </w:p>
    <w:p w14:paraId="282F2AE3">
      <w:pPr>
        <w:keepNext w:val="0"/>
        <w:keepLines w:val="0"/>
        <w:pageBreakBefore w:val="0"/>
        <w:widowControl w:val="0"/>
        <w:kinsoku/>
        <w:wordWrap/>
        <w:overflowPunct/>
        <w:topLinePunct w:val="0"/>
        <w:bidi w:val="0"/>
        <w:spacing w:line="500" w:lineRule="exact"/>
        <w:ind w:left="0" w:firstLine="420" w:firstLineChars="200"/>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2.本项目具体编制费用以本项目结算总金额</w:t>
      </w:r>
      <w:r>
        <w:rPr>
          <w:rFonts w:hint="eastAsia" w:ascii="宋体" w:hAnsi="宋体" w:cs="宋体"/>
          <w:b w:val="0"/>
          <w:bCs w:val="0"/>
          <w:color w:val="auto"/>
          <w:sz w:val="21"/>
          <w:szCs w:val="21"/>
          <w:highlight w:val="none"/>
          <w:lang w:val="en-US" w:eastAsia="zh-CN"/>
        </w:rPr>
        <w:t>为基数计算，合同（中标）费率不予调整。即咨询服务费用为本项目结算总金额*合同（中标）费率。</w:t>
      </w:r>
      <w:r>
        <w:rPr>
          <w:rFonts w:hint="eastAsia" w:ascii="宋体" w:hAnsi="宋体" w:cs="宋体"/>
          <w:b/>
          <w:bCs/>
          <w:color w:val="auto"/>
          <w:sz w:val="21"/>
          <w:szCs w:val="21"/>
          <w:highlight w:val="none"/>
          <w:lang w:val="en-US" w:eastAsia="zh-CN"/>
        </w:rPr>
        <w:t>注：结算总金额如超过44909.31万元，按44909.31万元计算。</w:t>
      </w:r>
    </w:p>
    <w:p w14:paraId="1B10E87E">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7.1.2</w:t>
      </w:r>
      <w:r>
        <w:rPr>
          <w:rFonts w:hint="eastAsia" w:ascii="宋体" w:hAnsi="宋体" w:eastAsia="宋体" w:cs="宋体"/>
          <w:color w:val="auto"/>
          <w:sz w:val="21"/>
          <w:szCs w:val="21"/>
          <w:highlight w:val="none"/>
        </w:rPr>
        <w:t xml:space="preserve"> 基本酬金加绩效酬金</w:t>
      </w:r>
    </w:p>
    <w:p w14:paraId="1548C6EF">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sz w:val="21"/>
          <w:szCs w:val="21"/>
          <w:highlight w:val="none"/>
        </w:rPr>
        <w:t>基本酬金比率：</w:t>
      </w:r>
      <w:r>
        <w:rPr>
          <w:rFonts w:hint="eastAsia" w:ascii="宋体" w:hAnsi="宋体" w:eastAsia="宋体" w:cs="宋体"/>
          <w:color w:val="auto"/>
          <w:sz w:val="21"/>
          <w:szCs w:val="21"/>
          <w:highlight w:val="none"/>
          <w:u w:val="single"/>
        </w:rPr>
        <w:t xml:space="preserve"> 本条不采用 </w:t>
      </w:r>
      <w:r>
        <w:rPr>
          <w:rFonts w:hint="eastAsia" w:ascii="宋体" w:hAnsi="宋体" w:eastAsia="宋体" w:cs="宋体"/>
          <w:color w:val="auto"/>
          <w:sz w:val="21"/>
          <w:szCs w:val="21"/>
          <w:highlight w:val="none"/>
        </w:rPr>
        <w:t>。</w:t>
      </w:r>
    </w:p>
    <w:p w14:paraId="3EC82987">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sz w:val="21"/>
          <w:szCs w:val="21"/>
          <w:highlight w:val="none"/>
        </w:rPr>
        <w:t>绩效酬金比率：</w:t>
      </w:r>
      <w:r>
        <w:rPr>
          <w:rFonts w:hint="eastAsia" w:ascii="宋体" w:hAnsi="宋体" w:eastAsia="宋体" w:cs="宋体"/>
          <w:color w:val="auto"/>
          <w:sz w:val="21"/>
          <w:szCs w:val="21"/>
          <w:highlight w:val="none"/>
          <w:u w:val="single"/>
        </w:rPr>
        <w:t xml:space="preserve"> 本条不采用 </w:t>
      </w:r>
      <w:r>
        <w:rPr>
          <w:rFonts w:hint="eastAsia" w:ascii="宋体" w:hAnsi="宋体" w:eastAsia="宋体" w:cs="宋体"/>
          <w:color w:val="auto"/>
          <w:sz w:val="21"/>
          <w:szCs w:val="21"/>
          <w:highlight w:val="none"/>
        </w:rPr>
        <w:t>。</w:t>
      </w:r>
    </w:p>
    <w:p w14:paraId="75062E00">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7.2 预付酬金</w:t>
      </w:r>
    </w:p>
    <w:p w14:paraId="74952C0F">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预付酬金支付比例或金额：</w:t>
      </w:r>
      <w:r>
        <w:rPr>
          <w:rFonts w:hint="eastAsia" w:ascii="宋体" w:hAnsi="宋体" w:eastAsia="宋体" w:cs="宋体"/>
          <w:color w:val="auto"/>
          <w:sz w:val="21"/>
          <w:szCs w:val="21"/>
          <w:highlight w:val="none"/>
          <w:u w:val="single"/>
        </w:rPr>
        <w:t xml:space="preserve"> 本条不采用 </w:t>
      </w:r>
      <w:r>
        <w:rPr>
          <w:rFonts w:hint="eastAsia" w:ascii="宋体" w:hAnsi="宋体" w:eastAsia="宋体" w:cs="宋体"/>
          <w:color w:val="auto"/>
          <w:sz w:val="21"/>
          <w:szCs w:val="21"/>
          <w:highlight w:val="none"/>
        </w:rPr>
        <w:t>。</w:t>
      </w:r>
    </w:p>
    <w:p w14:paraId="1E370A06">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预付酬金支付期限：</w:t>
      </w:r>
      <w:r>
        <w:rPr>
          <w:rFonts w:hint="eastAsia" w:ascii="宋体" w:hAnsi="宋体" w:eastAsia="宋体" w:cs="宋体"/>
          <w:color w:val="auto"/>
          <w:sz w:val="21"/>
          <w:szCs w:val="21"/>
          <w:highlight w:val="none"/>
          <w:u w:val="single"/>
        </w:rPr>
        <w:t xml:space="preserve"> 本条不采用 </w:t>
      </w:r>
      <w:r>
        <w:rPr>
          <w:rFonts w:hint="eastAsia" w:ascii="宋体" w:hAnsi="宋体" w:eastAsia="宋体" w:cs="宋体"/>
          <w:color w:val="auto"/>
          <w:sz w:val="21"/>
          <w:szCs w:val="21"/>
          <w:highlight w:val="none"/>
        </w:rPr>
        <w:t>。</w:t>
      </w:r>
    </w:p>
    <w:p w14:paraId="32D7A97B">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委托人逾期支付预付酬金的违约金的计算方式：</w:t>
      </w:r>
      <w:r>
        <w:rPr>
          <w:rFonts w:hint="eastAsia" w:ascii="宋体" w:hAnsi="宋体" w:eastAsia="宋体" w:cs="宋体"/>
          <w:color w:val="auto"/>
          <w:sz w:val="21"/>
          <w:szCs w:val="21"/>
          <w:highlight w:val="none"/>
          <w:u w:val="single"/>
        </w:rPr>
        <w:t xml:space="preserve"> 本条不采用 </w:t>
      </w:r>
      <w:r>
        <w:rPr>
          <w:rFonts w:hint="eastAsia" w:ascii="宋体" w:hAnsi="宋体" w:eastAsia="宋体" w:cs="宋体"/>
          <w:color w:val="auto"/>
          <w:sz w:val="21"/>
          <w:szCs w:val="21"/>
          <w:highlight w:val="none"/>
        </w:rPr>
        <w:t>。</w:t>
      </w:r>
    </w:p>
    <w:p w14:paraId="44BC15CD">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7.3 酬金分段结算与支付</w:t>
      </w:r>
    </w:p>
    <w:p w14:paraId="08B9E102">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7.3.1</w:t>
      </w:r>
      <w:r>
        <w:rPr>
          <w:rFonts w:hint="eastAsia" w:ascii="宋体" w:hAnsi="宋体" w:eastAsia="宋体" w:cs="宋体"/>
          <w:color w:val="auto"/>
          <w:sz w:val="21"/>
          <w:szCs w:val="21"/>
          <w:highlight w:val="none"/>
        </w:rPr>
        <w:t xml:space="preserve"> 酬金分段结算与支付的比例或金额：</w:t>
      </w:r>
      <w:r>
        <w:rPr>
          <w:rFonts w:hint="eastAsia" w:ascii="宋体" w:hAnsi="宋体" w:eastAsia="宋体" w:cs="宋体"/>
          <w:color w:val="auto"/>
          <w:sz w:val="21"/>
          <w:szCs w:val="21"/>
          <w:highlight w:val="none"/>
          <w:u w:val="single"/>
        </w:rPr>
        <w:t xml:space="preserve"> 本条不采用  </w:t>
      </w:r>
      <w:r>
        <w:rPr>
          <w:rFonts w:hint="eastAsia" w:ascii="宋体" w:hAnsi="宋体" w:eastAsia="宋体" w:cs="宋体"/>
          <w:color w:val="auto"/>
          <w:sz w:val="21"/>
          <w:szCs w:val="21"/>
          <w:highlight w:val="none"/>
        </w:rPr>
        <w:t>。</w:t>
      </w:r>
    </w:p>
    <w:p w14:paraId="029E0A69">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咨询人提交酬金分段结算与支付申请书的期限：</w:t>
      </w:r>
      <w:r>
        <w:rPr>
          <w:rFonts w:hint="eastAsia" w:ascii="宋体" w:hAnsi="宋体" w:eastAsia="宋体" w:cs="宋体"/>
          <w:color w:val="auto"/>
          <w:sz w:val="21"/>
          <w:szCs w:val="21"/>
          <w:highlight w:val="none"/>
          <w:u w:val="single"/>
        </w:rPr>
        <w:t xml:space="preserve"> 本条不采用 </w:t>
      </w:r>
      <w:r>
        <w:rPr>
          <w:rFonts w:hint="eastAsia" w:ascii="宋体" w:hAnsi="宋体" w:eastAsia="宋体" w:cs="宋体"/>
          <w:color w:val="auto"/>
          <w:sz w:val="21"/>
          <w:szCs w:val="21"/>
          <w:highlight w:val="none"/>
        </w:rPr>
        <w:t>。</w:t>
      </w:r>
    </w:p>
    <w:p w14:paraId="2FA5CCB3">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7.3.2</w:t>
      </w:r>
      <w:r>
        <w:rPr>
          <w:rFonts w:hint="eastAsia" w:ascii="宋体" w:hAnsi="宋体" w:eastAsia="宋体" w:cs="宋体"/>
          <w:color w:val="auto"/>
          <w:sz w:val="21"/>
          <w:szCs w:val="21"/>
          <w:highlight w:val="none"/>
        </w:rPr>
        <w:t xml:space="preserve"> 委托人审核确认酬金分段结算与支付申请书并完成酬金支付的期限：</w:t>
      </w:r>
      <w:r>
        <w:rPr>
          <w:rFonts w:hint="eastAsia" w:ascii="宋体" w:hAnsi="宋体" w:eastAsia="宋体" w:cs="宋体"/>
          <w:color w:val="auto"/>
          <w:sz w:val="21"/>
          <w:szCs w:val="21"/>
          <w:highlight w:val="none"/>
          <w:u w:val="single"/>
        </w:rPr>
        <w:t xml:space="preserve"> 本条不采用 </w:t>
      </w:r>
      <w:r>
        <w:rPr>
          <w:rFonts w:hint="eastAsia" w:ascii="宋体" w:hAnsi="宋体" w:eastAsia="宋体" w:cs="宋体"/>
          <w:color w:val="auto"/>
          <w:sz w:val="21"/>
          <w:szCs w:val="21"/>
          <w:highlight w:val="none"/>
        </w:rPr>
        <w:t>。</w:t>
      </w:r>
    </w:p>
    <w:p w14:paraId="0164FA94">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7.4 酬金结清与支付</w:t>
      </w:r>
    </w:p>
    <w:p w14:paraId="44BF027C">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7.4.1</w:t>
      </w:r>
      <w:r>
        <w:rPr>
          <w:rFonts w:hint="eastAsia" w:ascii="宋体" w:hAnsi="宋体" w:eastAsia="宋体" w:cs="宋体"/>
          <w:color w:val="auto"/>
          <w:sz w:val="21"/>
          <w:szCs w:val="21"/>
          <w:highlight w:val="none"/>
        </w:rPr>
        <w:t>咨询人提交酬金结清与支付申请书的期限：</w:t>
      </w:r>
      <w:r>
        <w:rPr>
          <w:rFonts w:hint="eastAsia" w:ascii="宋体" w:hAnsi="宋体" w:eastAsia="宋体" w:cs="宋体"/>
          <w:color w:val="auto"/>
          <w:sz w:val="21"/>
          <w:szCs w:val="21"/>
          <w:highlight w:val="none"/>
          <w:u w:val="single"/>
        </w:rPr>
        <w:t xml:space="preserve"> 执行通用条款 </w:t>
      </w:r>
      <w:r>
        <w:rPr>
          <w:rFonts w:hint="eastAsia" w:ascii="宋体" w:hAnsi="宋体" w:eastAsia="宋体" w:cs="宋体"/>
          <w:color w:val="auto"/>
          <w:sz w:val="21"/>
          <w:szCs w:val="21"/>
          <w:highlight w:val="none"/>
        </w:rPr>
        <w:t>。</w:t>
      </w:r>
    </w:p>
    <w:p w14:paraId="04F988FA">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7.4.2</w:t>
      </w:r>
      <w:r>
        <w:rPr>
          <w:rFonts w:hint="eastAsia" w:ascii="宋体" w:hAnsi="宋体" w:eastAsia="宋体" w:cs="宋体"/>
          <w:color w:val="auto"/>
          <w:sz w:val="21"/>
          <w:szCs w:val="21"/>
          <w:highlight w:val="none"/>
        </w:rPr>
        <w:t>委托人审核确认酬金结清与支付申请书的期限：</w:t>
      </w:r>
      <w:r>
        <w:rPr>
          <w:rFonts w:hint="eastAsia" w:ascii="宋体" w:hAnsi="宋体" w:eastAsia="宋体" w:cs="宋体"/>
          <w:color w:val="auto"/>
          <w:sz w:val="21"/>
          <w:szCs w:val="21"/>
          <w:highlight w:val="none"/>
          <w:u w:val="single"/>
        </w:rPr>
        <w:t xml:space="preserve">执行通用条款 </w:t>
      </w:r>
      <w:r>
        <w:rPr>
          <w:rFonts w:hint="eastAsia" w:ascii="宋体" w:hAnsi="宋体" w:eastAsia="宋体" w:cs="宋体"/>
          <w:color w:val="auto"/>
          <w:sz w:val="21"/>
          <w:szCs w:val="21"/>
          <w:highlight w:val="none"/>
        </w:rPr>
        <w:t>。</w:t>
      </w:r>
    </w:p>
    <w:p w14:paraId="7CA9C7C8">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cs="宋体"/>
          <w:b/>
          <w:bCs/>
          <w:color w:val="auto"/>
          <w:sz w:val="21"/>
          <w:szCs w:val="21"/>
          <w:highlight w:val="none"/>
          <w:u w:val="single"/>
          <w:lang w:val="en-US" w:eastAsia="zh-CN"/>
        </w:rPr>
      </w:pPr>
      <w:r>
        <w:rPr>
          <w:rFonts w:hint="eastAsia" w:ascii="宋体" w:hAnsi="宋体" w:eastAsia="宋体" w:cs="宋体"/>
          <w:color w:val="auto"/>
          <w:sz w:val="21"/>
          <w:szCs w:val="21"/>
          <w:highlight w:val="none"/>
        </w:rPr>
        <w:t>7.4.3委托人完成酬金支付的期限：</w:t>
      </w:r>
      <w:r>
        <w:rPr>
          <w:rFonts w:hint="eastAsia" w:ascii="宋体" w:hAnsi="宋体" w:cs="宋体"/>
          <w:b/>
          <w:bCs/>
          <w:color w:val="auto"/>
          <w:sz w:val="21"/>
          <w:szCs w:val="21"/>
          <w:highlight w:val="none"/>
          <w:u w:val="single"/>
          <w:lang w:val="en-US" w:eastAsia="zh-CN"/>
        </w:rPr>
        <w:t>咨询人提交</w:t>
      </w:r>
      <w:r>
        <w:rPr>
          <w:rFonts w:hint="eastAsia" w:ascii="宋体" w:hAnsi="宋体" w:eastAsia="宋体" w:cs="宋体"/>
          <w:b/>
          <w:bCs/>
          <w:color w:val="auto"/>
          <w:sz w:val="21"/>
          <w:szCs w:val="21"/>
          <w:highlight w:val="none"/>
          <w:u w:val="single"/>
          <w:lang w:val="en-US" w:eastAsia="zh-CN"/>
        </w:rPr>
        <w:t>完整的工程造价咨询成果文件后支付酬金的60%，剩余40%，待项目完工并结算复审完成后一次性付清（须扣除对</w:t>
      </w:r>
      <w:r>
        <w:rPr>
          <w:rFonts w:hint="eastAsia" w:ascii="宋体" w:hAnsi="宋体" w:cs="宋体"/>
          <w:b/>
          <w:bCs/>
          <w:color w:val="auto"/>
          <w:sz w:val="21"/>
          <w:szCs w:val="21"/>
          <w:highlight w:val="none"/>
          <w:u w:val="single"/>
          <w:lang w:val="en-US" w:eastAsia="zh-CN"/>
        </w:rPr>
        <w:t>应期项目服务期间的所有罚款）。</w:t>
      </w:r>
    </w:p>
    <w:p w14:paraId="10ECFC6A">
      <w:pPr>
        <w:keepNext/>
        <w:keepLines/>
        <w:pageBreakBefore w:val="0"/>
        <w:widowControl w:val="0"/>
        <w:kinsoku/>
        <w:wordWrap/>
        <w:overflowPunct/>
        <w:topLinePunct w:val="0"/>
        <w:bidi w:val="0"/>
        <w:snapToGrid/>
        <w:spacing w:line="500" w:lineRule="exact"/>
        <w:ind w:left="0" w:leftChars="0" w:firstLine="422" w:firstLineChars="200"/>
        <w:textAlignment w:val="auto"/>
        <w:outlineLvl w:val="1"/>
        <w:rPr>
          <w:rFonts w:hint="eastAsia" w:ascii="宋体" w:hAnsi="宋体" w:eastAsia="宋体" w:cs="宋体"/>
          <w:b/>
          <w:color w:val="auto"/>
          <w:sz w:val="21"/>
          <w:szCs w:val="21"/>
          <w:highlight w:val="none"/>
        </w:rPr>
      </w:pPr>
      <w:bookmarkStart w:id="825" w:name="_Toc407261951"/>
      <w:r>
        <w:rPr>
          <w:rFonts w:hint="eastAsia" w:ascii="宋体" w:hAnsi="宋体" w:eastAsia="宋体" w:cs="宋体"/>
          <w:b/>
          <w:color w:val="auto"/>
          <w:sz w:val="21"/>
          <w:szCs w:val="21"/>
          <w:highlight w:val="none"/>
        </w:rPr>
        <w:t>8. 变更</w:t>
      </w:r>
      <w:bookmarkEnd w:id="825"/>
    </w:p>
    <w:p w14:paraId="40B266DC">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8.1 变更的范围</w:t>
      </w:r>
    </w:p>
    <w:p w14:paraId="66CE023D">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w:t>
      </w:r>
      <w:r>
        <w:rPr>
          <w:rFonts w:hint="eastAsia" w:ascii="宋体" w:hAnsi="宋体" w:eastAsia="宋体" w:cs="宋体"/>
          <w:color w:val="auto"/>
          <w:sz w:val="21"/>
          <w:szCs w:val="21"/>
          <w:highlight w:val="none"/>
        </w:rPr>
        <w:t>变更的其他情形：</w:t>
      </w:r>
      <w:r>
        <w:rPr>
          <w:rFonts w:hint="eastAsia" w:ascii="宋体" w:hAnsi="宋体" w:eastAsia="宋体" w:cs="宋体"/>
          <w:color w:val="auto"/>
          <w:sz w:val="21"/>
          <w:szCs w:val="21"/>
          <w:highlight w:val="none"/>
          <w:u w:val="single"/>
        </w:rPr>
        <w:t xml:space="preserve"> 依据委托人当时提供资料编制以外的其他资料 </w:t>
      </w:r>
      <w:r>
        <w:rPr>
          <w:rFonts w:hint="eastAsia" w:ascii="宋体" w:hAnsi="宋体" w:eastAsia="宋体" w:cs="宋体"/>
          <w:color w:val="auto"/>
          <w:sz w:val="21"/>
          <w:szCs w:val="21"/>
          <w:highlight w:val="none"/>
        </w:rPr>
        <w:t>。</w:t>
      </w:r>
    </w:p>
    <w:p w14:paraId="41A4D879">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8.2 变更引起的咨询酬金和期限调整</w:t>
      </w:r>
    </w:p>
    <w:p w14:paraId="537F35E7">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8.2.1 变更引起咨询酬金调整的计算方法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本条不采用 </w:t>
      </w:r>
      <w:r>
        <w:rPr>
          <w:rFonts w:hint="eastAsia" w:ascii="宋体" w:hAnsi="宋体" w:eastAsia="宋体" w:cs="宋体"/>
          <w:color w:val="auto"/>
          <w:sz w:val="21"/>
          <w:szCs w:val="21"/>
          <w:highlight w:val="none"/>
        </w:rPr>
        <w:t>。</w:t>
      </w:r>
    </w:p>
    <w:p w14:paraId="295D801A">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变更引起咨询期限调整的计算方法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本条不采用 </w:t>
      </w:r>
      <w:r>
        <w:rPr>
          <w:rFonts w:hint="eastAsia" w:ascii="宋体" w:hAnsi="宋体" w:eastAsia="宋体" w:cs="宋体"/>
          <w:color w:val="auto"/>
          <w:sz w:val="21"/>
          <w:szCs w:val="21"/>
          <w:highlight w:val="none"/>
        </w:rPr>
        <w:t>。</w:t>
      </w:r>
    </w:p>
    <w:p w14:paraId="0ACF081B">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8.3 咨询人的合理化建议</w:t>
      </w:r>
    </w:p>
    <w:p w14:paraId="04782DAD">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合理化建议奖励金额的比率：</w:t>
      </w:r>
      <w:r>
        <w:rPr>
          <w:rFonts w:hint="eastAsia" w:ascii="宋体" w:hAnsi="宋体" w:eastAsia="宋体" w:cs="宋体"/>
          <w:color w:val="auto"/>
          <w:sz w:val="21"/>
          <w:szCs w:val="21"/>
          <w:highlight w:val="none"/>
          <w:u w:val="single"/>
        </w:rPr>
        <w:t xml:space="preserve"> 本条不采用 </w:t>
      </w:r>
      <w:r>
        <w:rPr>
          <w:rFonts w:hint="eastAsia" w:ascii="宋体" w:hAnsi="宋体" w:eastAsia="宋体" w:cs="宋体"/>
          <w:color w:val="auto"/>
          <w:sz w:val="21"/>
          <w:szCs w:val="21"/>
          <w:highlight w:val="none"/>
        </w:rPr>
        <w:t>。</w:t>
      </w:r>
    </w:p>
    <w:p w14:paraId="043E75A8">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合理化建议奖励的其他计算方法：</w:t>
      </w:r>
      <w:r>
        <w:rPr>
          <w:rFonts w:hint="eastAsia" w:ascii="宋体" w:hAnsi="宋体" w:eastAsia="宋体" w:cs="宋体"/>
          <w:color w:val="auto"/>
          <w:sz w:val="21"/>
          <w:szCs w:val="21"/>
          <w:highlight w:val="none"/>
          <w:u w:val="single"/>
        </w:rPr>
        <w:t xml:space="preserve"> 本条不采用 </w:t>
      </w:r>
      <w:r>
        <w:rPr>
          <w:rFonts w:hint="eastAsia" w:ascii="宋体" w:hAnsi="宋体" w:eastAsia="宋体" w:cs="宋体"/>
          <w:color w:val="auto"/>
          <w:sz w:val="21"/>
          <w:szCs w:val="21"/>
          <w:highlight w:val="none"/>
        </w:rPr>
        <w:t>。</w:t>
      </w:r>
    </w:p>
    <w:p w14:paraId="2D140FF2">
      <w:pPr>
        <w:keepNext/>
        <w:keepLines/>
        <w:pageBreakBefore w:val="0"/>
        <w:widowControl w:val="0"/>
        <w:kinsoku/>
        <w:wordWrap/>
        <w:overflowPunct/>
        <w:topLinePunct w:val="0"/>
        <w:bidi w:val="0"/>
        <w:snapToGrid/>
        <w:spacing w:line="500" w:lineRule="exact"/>
        <w:ind w:left="0" w:leftChars="0" w:firstLine="422" w:firstLineChars="200"/>
        <w:textAlignment w:val="auto"/>
        <w:outlineLvl w:val="1"/>
        <w:rPr>
          <w:rFonts w:hint="eastAsia" w:ascii="宋体" w:hAnsi="宋体" w:eastAsia="宋体" w:cs="宋体"/>
          <w:bCs/>
          <w:color w:val="auto"/>
          <w:sz w:val="21"/>
          <w:szCs w:val="21"/>
          <w:highlight w:val="none"/>
        </w:rPr>
      </w:pPr>
      <w:bookmarkStart w:id="826" w:name="_Toc407261952"/>
      <w:r>
        <w:rPr>
          <w:rFonts w:hint="eastAsia" w:ascii="宋体" w:hAnsi="宋体" w:eastAsia="宋体" w:cs="宋体"/>
          <w:b/>
          <w:color w:val="auto"/>
          <w:sz w:val="21"/>
          <w:szCs w:val="21"/>
          <w:highlight w:val="none"/>
        </w:rPr>
        <w:t>9. 违约</w:t>
      </w:r>
      <w:bookmarkEnd w:id="826"/>
    </w:p>
    <w:p w14:paraId="19816970">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9.1 委托人违约</w:t>
      </w:r>
    </w:p>
    <w:p w14:paraId="0A756FB6">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关于委托人违约解除合同的特别约定：</w:t>
      </w:r>
      <w:r>
        <w:rPr>
          <w:rFonts w:hint="eastAsia" w:ascii="宋体" w:hAnsi="宋体" w:eastAsia="宋体" w:cs="宋体"/>
          <w:color w:val="auto"/>
          <w:kern w:val="0"/>
          <w:sz w:val="21"/>
          <w:szCs w:val="21"/>
          <w:highlight w:val="none"/>
          <w:u w:val="single"/>
        </w:rPr>
        <w:t xml:space="preserve">本条不采用 </w:t>
      </w:r>
      <w:r>
        <w:rPr>
          <w:rFonts w:hint="eastAsia" w:ascii="宋体" w:hAnsi="宋体" w:eastAsia="宋体" w:cs="宋体"/>
          <w:color w:val="auto"/>
          <w:kern w:val="0"/>
          <w:sz w:val="21"/>
          <w:szCs w:val="21"/>
          <w:highlight w:val="none"/>
        </w:rPr>
        <w:t>。</w:t>
      </w:r>
    </w:p>
    <w:p w14:paraId="6BCE08FE">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因委托人违约解除合同的，关于已完咨询业务酬金结算和付款的约定：</w:t>
      </w:r>
      <w:r>
        <w:rPr>
          <w:rFonts w:hint="eastAsia" w:ascii="宋体" w:hAnsi="宋体" w:eastAsia="宋体" w:cs="宋体"/>
          <w:color w:val="auto"/>
          <w:kern w:val="0"/>
          <w:sz w:val="21"/>
          <w:szCs w:val="21"/>
          <w:highlight w:val="none"/>
          <w:u w:val="single"/>
        </w:rPr>
        <w:t xml:space="preserve">本条不采用 </w:t>
      </w:r>
      <w:r>
        <w:rPr>
          <w:rFonts w:hint="eastAsia" w:ascii="宋体" w:hAnsi="宋体" w:eastAsia="宋体" w:cs="宋体"/>
          <w:color w:val="auto"/>
          <w:kern w:val="0"/>
          <w:sz w:val="21"/>
          <w:szCs w:val="21"/>
          <w:highlight w:val="none"/>
        </w:rPr>
        <w:t>。</w:t>
      </w:r>
    </w:p>
    <w:p w14:paraId="506C27A8">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9.2 咨询人违约</w:t>
      </w:r>
    </w:p>
    <w:p w14:paraId="4B64902E">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关于咨询人违约解除合同的特别约定：</w:t>
      </w:r>
      <w:r>
        <w:rPr>
          <w:rFonts w:hint="eastAsia" w:ascii="宋体" w:hAnsi="宋体" w:eastAsia="宋体" w:cs="宋体"/>
          <w:color w:val="auto"/>
          <w:kern w:val="0"/>
          <w:sz w:val="21"/>
          <w:szCs w:val="21"/>
          <w:highlight w:val="none"/>
          <w:u w:val="single"/>
        </w:rPr>
        <w:t xml:space="preserve"> 本条不采用 </w:t>
      </w:r>
      <w:r>
        <w:rPr>
          <w:rFonts w:hint="eastAsia" w:ascii="宋体" w:hAnsi="宋体" w:eastAsia="宋体" w:cs="宋体"/>
          <w:color w:val="auto"/>
          <w:kern w:val="0"/>
          <w:sz w:val="21"/>
          <w:szCs w:val="21"/>
          <w:highlight w:val="none"/>
        </w:rPr>
        <w:t>。</w:t>
      </w:r>
    </w:p>
    <w:p w14:paraId="3D9DA897">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因咨询人违约解除合同的，关于已完咨询业务酬金结算和付款的约定：</w:t>
      </w:r>
      <w:bookmarkStart w:id="827" w:name="_Toc407261953"/>
      <w:r>
        <w:rPr>
          <w:rFonts w:hint="eastAsia" w:ascii="宋体" w:hAnsi="宋体" w:eastAsia="宋体" w:cs="宋体"/>
          <w:color w:val="auto"/>
          <w:kern w:val="0"/>
          <w:sz w:val="21"/>
          <w:szCs w:val="21"/>
          <w:highlight w:val="none"/>
          <w:u w:val="single"/>
        </w:rPr>
        <w:t xml:space="preserve">本条不采用 </w:t>
      </w:r>
      <w:r>
        <w:rPr>
          <w:rFonts w:hint="eastAsia" w:ascii="宋体" w:hAnsi="宋体" w:eastAsia="宋体" w:cs="宋体"/>
          <w:color w:val="auto"/>
          <w:kern w:val="0"/>
          <w:sz w:val="21"/>
          <w:szCs w:val="21"/>
          <w:highlight w:val="none"/>
        </w:rPr>
        <w:t>。</w:t>
      </w:r>
    </w:p>
    <w:p w14:paraId="7E38FDAD">
      <w:pPr>
        <w:pageBreakBefore w:val="0"/>
        <w:widowControl w:val="0"/>
        <w:kinsoku/>
        <w:wordWrap/>
        <w:overflowPunct/>
        <w:topLinePunct w:val="0"/>
        <w:bidi w:val="0"/>
        <w:snapToGrid/>
        <w:spacing w:line="500" w:lineRule="exact"/>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10. 争议解决</w:t>
      </w:r>
      <w:bookmarkEnd w:id="827"/>
    </w:p>
    <w:p w14:paraId="5061F69B">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10.3 仲裁或诉讼</w:t>
      </w:r>
    </w:p>
    <w:p w14:paraId="29496F35">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因合同及合同有关事项发生的争议，按下列第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种方式解决：</w:t>
      </w:r>
    </w:p>
    <w:p w14:paraId="1B3CC76F">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sz w:val="21"/>
          <w:szCs w:val="21"/>
          <w:highlight w:val="none"/>
        </w:rPr>
        <w:t>向</w:t>
      </w:r>
      <w:r>
        <w:rPr>
          <w:rFonts w:hint="eastAsia" w:ascii="宋体" w:hAnsi="宋体" w:eastAsia="宋体" w:cs="宋体"/>
          <w:color w:val="auto"/>
          <w:sz w:val="21"/>
          <w:szCs w:val="21"/>
          <w:highlight w:val="none"/>
          <w:u w:val="single"/>
        </w:rPr>
        <w:t xml:space="preserve"> 滁州 </w:t>
      </w:r>
      <w:r>
        <w:rPr>
          <w:rFonts w:hint="eastAsia" w:ascii="宋体" w:hAnsi="宋体" w:eastAsia="宋体" w:cs="宋体"/>
          <w:color w:val="auto"/>
          <w:sz w:val="21"/>
          <w:szCs w:val="21"/>
          <w:highlight w:val="none"/>
        </w:rPr>
        <w:t>仲裁委员会申请仲裁；</w:t>
      </w:r>
    </w:p>
    <w:p w14:paraId="5F467974">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sz w:val="21"/>
          <w:szCs w:val="21"/>
          <w:highlight w:val="none"/>
        </w:rPr>
        <w:t>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滁州 </w:t>
      </w:r>
      <w:r>
        <w:rPr>
          <w:rFonts w:hint="eastAsia" w:ascii="宋体" w:hAnsi="宋体" w:eastAsia="宋体" w:cs="宋体"/>
          <w:color w:val="auto"/>
          <w:sz w:val="21"/>
          <w:szCs w:val="21"/>
          <w:highlight w:val="none"/>
        </w:rPr>
        <w:t>人民法院起诉。</w:t>
      </w:r>
      <w:bookmarkStart w:id="828" w:name="_Toc407261954"/>
    </w:p>
    <w:p w14:paraId="4D88C942">
      <w:pPr>
        <w:pageBreakBefore w:val="0"/>
        <w:widowControl w:val="0"/>
        <w:kinsoku/>
        <w:wordWrap/>
        <w:overflowPunct/>
        <w:topLinePunct w:val="0"/>
        <w:bidi w:val="0"/>
        <w:snapToGrid/>
        <w:spacing w:line="500" w:lineRule="exact"/>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11. </w:t>
      </w:r>
      <w:r>
        <w:rPr>
          <w:rFonts w:hint="eastAsia" w:ascii="宋体" w:hAnsi="宋体" w:cs="宋体"/>
          <w:b/>
          <w:bCs/>
          <w:color w:val="auto"/>
          <w:sz w:val="21"/>
          <w:szCs w:val="21"/>
          <w:highlight w:val="none"/>
          <w:lang w:val="en-US" w:eastAsia="zh-CN"/>
        </w:rPr>
        <w:t>违约</w:t>
      </w:r>
      <w:r>
        <w:rPr>
          <w:rFonts w:hint="eastAsia" w:ascii="宋体" w:hAnsi="宋体" w:eastAsia="宋体" w:cs="宋体"/>
          <w:b/>
          <w:bCs/>
          <w:color w:val="auto"/>
          <w:sz w:val="21"/>
          <w:szCs w:val="21"/>
          <w:highlight w:val="none"/>
        </w:rPr>
        <w:t>条款</w:t>
      </w:r>
      <w:bookmarkEnd w:id="828"/>
      <w:r>
        <w:rPr>
          <w:rFonts w:hint="eastAsia" w:ascii="宋体" w:hAnsi="宋体" w:eastAsia="宋体" w:cs="宋体"/>
          <w:b/>
          <w:bCs/>
          <w:color w:val="auto"/>
          <w:sz w:val="21"/>
          <w:szCs w:val="21"/>
          <w:highlight w:val="none"/>
        </w:rPr>
        <w:t>：</w:t>
      </w:r>
    </w:p>
    <w:p w14:paraId="2F38586C">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（1）工程量清单会审过程中，发现工程造价咨询单位存在转包、违法分包等行为的，造价成果错漏较多或严重错误的，暂停委托其承接滁州市经济技术开发区及其隶属单位造价咨询业务。</w:t>
      </w:r>
    </w:p>
    <w:p w14:paraId="721773A3">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（2）招标文件公告期间出现工程量清单错漏项、最高投标限价编制错误的，未造成项目开标延期的，暂停委托其承接滁州经济技术开发区管委会及其隶属单位造价咨询业务6个月</w:t>
      </w:r>
      <w:r>
        <w:rPr>
          <w:rFonts w:hint="eastAsia" w:ascii="宋体" w:hAnsi="宋体" w:eastAsia="宋体" w:cs="宋体"/>
          <w:color w:val="auto"/>
          <w:sz w:val="21"/>
          <w:szCs w:val="21"/>
          <w:highlight w:val="none"/>
        </w:rPr>
        <w:t>；造成项目开标延期的，暂停委托其承接滁州经济技术开发区管委会及其隶属单位造价咨询业务12个月。</w:t>
      </w:r>
    </w:p>
    <w:p w14:paraId="5E468BDA">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（3）项目施工过程中发现清单错漏项，单项达5万元的，处以2000元违约金；达30万元的，处以4000元违约金，且暂停委托其承接滁州经济技术开发区管委会及其隶属单位造价咨询业务3个月；</w:t>
      </w:r>
      <w:r>
        <w:rPr>
          <w:rFonts w:hint="eastAsia" w:ascii="宋体" w:hAnsi="宋体" w:eastAsia="宋体" w:cs="宋体"/>
          <w:color w:val="auto"/>
          <w:sz w:val="21"/>
          <w:szCs w:val="21"/>
          <w:highlight w:val="none"/>
        </w:rPr>
        <w:t>达60万元的，处以6000元违约金，且暂停委托其承接滁州经济技术开发区管委会及其隶属单位造价咨询业务6个月</w:t>
      </w:r>
      <w:r>
        <w:rPr>
          <w:rFonts w:hint="eastAsia" w:ascii="宋体" w:hAnsi="宋体" w:eastAsia="宋体" w:cs="宋体"/>
          <w:color w:val="auto"/>
          <w:sz w:val="21"/>
          <w:szCs w:val="21"/>
          <w:highlight w:val="none"/>
        </w:rPr>
        <w:t>；达100万元的，处以20000元违约金，且暂停委托其承接滁州经济技术开发区管委会及其隶属单位造价咨询业务12个月</w:t>
      </w:r>
      <w:r>
        <w:rPr>
          <w:rFonts w:hint="eastAsia" w:ascii="宋体" w:hAnsi="宋体" w:eastAsia="宋体" w:cs="宋体"/>
          <w:color w:val="auto"/>
          <w:sz w:val="21"/>
          <w:szCs w:val="21"/>
          <w:highlight w:val="none"/>
        </w:rPr>
        <w:t>。误差率累计超过3%，视情节轻重，处罚10%至30%咨询服务费用，且暂停委托其承接滁州市经济技术开发区及其隶属单位造价咨询业务。</w:t>
      </w:r>
    </w:p>
    <w:p w14:paraId="6E24D8E4">
      <w:pPr>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（4）如受托人未能按照委托人要求完成造价咨询工作的，委托人有权终止合同。</w:t>
      </w:r>
    </w:p>
    <w:p w14:paraId="65F340D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011B0B4B">
      <w:pPr>
        <w:pageBreakBefore w:val="0"/>
        <w:widowControl w:val="0"/>
        <w:kinsoku/>
        <w:wordWrap/>
        <w:overflowPunct/>
        <w:topLinePunct w:val="0"/>
        <w:bidi w:val="0"/>
        <w:snapToGrid/>
        <w:spacing w:line="500" w:lineRule="exact"/>
        <w:ind w:left="0" w:leftChars="0" w:firstLine="562" w:firstLineChars="200"/>
        <w:textAlignment w:val="auto"/>
        <w:rPr>
          <w:rFonts w:hint="eastAsia" w:ascii="黑体" w:eastAsia="黑体" w:cs="宋体"/>
          <w:b/>
          <w:bCs/>
          <w:color w:val="auto"/>
          <w:sz w:val="28"/>
          <w:szCs w:val="28"/>
          <w:highlight w:val="none"/>
        </w:rPr>
      </w:pPr>
      <w:r>
        <w:rPr>
          <w:rFonts w:hint="eastAsia" w:ascii="黑体" w:eastAsia="黑体" w:cs="宋体"/>
          <w:b/>
          <w:bCs/>
          <w:color w:val="auto"/>
          <w:sz w:val="28"/>
          <w:szCs w:val="28"/>
          <w:highlight w:val="none"/>
        </w:rPr>
        <w:t xml:space="preserve">附件：      </w:t>
      </w:r>
    </w:p>
    <w:p w14:paraId="36C372D3">
      <w:pPr>
        <w:rPr>
          <w:rFonts w:hint="eastAsia" w:ascii="黑体" w:eastAsia="黑体" w:cs="宋体"/>
          <w:b/>
          <w:bCs/>
          <w:color w:val="auto"/>
          <w:sz w:val="28"/>
          <w:szCs w:val="28"/>
          <w:highlight w:val="none"/>
        </w:rPr>
      </w:pPr>
    </w:p>
    <w:p w14:paraId="376B95C5">
      <w:pPr>
        <w:rPr>
          <w:rFonts w:hint="eastAsia" w:ascii="黑体" w:eastAsia="黑体" w:cs="宋体"/>
          <w:b/>
          <w:bCs/>
          <w:color w:val="auto"/>
          <w:sz w:val="28"/>
          <w:szCs w:val="28"/>
          <w:highlight w:val="none"/>
        </w:rPr>
      </w:pPr>
    </w:p>
    <w:p w14:paraId="7B77C8BD">
      <w:pPr>
        <w:rPr>
          <w:rFonts w:hint="eastAsia" w:ascii="黑体" w:eastAsia="黑体" w:cs="宋体"/>
          <w:b/>
          <w:bCs/>
          <w:color w:val="auto"/>
          <w:sz w:val="28"/>
          <w:szCs w:val="28"/>
          <w:highlight w:val="none"/>
        </w:rPr>
      </w:pPr>
    </w:p>
    <w:p w14:paraId="6A68D2CE">
      <w:pPr>
        <w:rPr>
          <w:rFonts w:hint="eastAsia" w:ascii="黑体" w:eastAsia="黑体" w:cs="宋体"/>
          <w:b/>
          <w:bCs/>
          <w:color w:val="auto"/>
          <w:sz w:val="28"/>
          <w:szCs w:val="28"/>
          <w:highlight w:val="none"/>
        </w:rPr>
      </w:pPr>
    </w:p>
    <w:p w14:paraId="1B722D8A">
      <w:pPr>
        <w:keepNext w:val="0"/>
        <w:keepLines w:val="0"/>
        <w:pageBreakBefore w:val="0"/>
        <w:widowControl/>
        <w:kinsoku/>
        <w:wordWrap/>
        <w:overflowPunct/>
        <w:topLinePunct w:val="0"/>
        <w:autoSpaceDE/>
        <w:autoSpaceDN/>
        <w:bidi w:val="0"/>
        <w:adjustRightInd/>
        <w:spacing w:line="540" w:lineRule="exact"/>
        <w:jc w:val="center"/>
        <w:textAlignment w:val="auto"/>
        <w:rPr>
          <w:rFonts w:hint="eastAsia" w:ascii="仿宋" w:hAnsi="仿宋" w:eastAsia="仿宋" w:cs="宋体"/>
          <w:b w:val="0"/>
          <w:bCs/>
          <w:color w:val="auto"/>
          <w:kern w:val="0"/>
          <w:sz w:val="32"/>
          <w:szCs w:val="32"/>
          <w:highlight w:val="none"/>
        </w:rPr>
      </w:pPr>
      <w:r>
        <w:rPr>
          <w:rFonts w:hint="eastAsia" w:ascii="黑体" w:eastAsia="黑体"/>
          <w:b/>
          <w:color w:val="auto"/>
          <w:sz w:val="32"/>
          <w:szCs w:val="32"/>
          <w:highlight w:val="none"/>
        </w:rPr>
        <w:t xml:space="preserve">   </w:t>
      </w:r>
      <w:r>
        <w:rPr>
          <w:rFonts w:hint="eastAsia" w:ascii="仿宋" w:hAnsi="仿宋" w:eastAsia="仿宋" w:cs="宋体"/>
          <w:b w:val="0"/>
          <w:bCs/>
          <w:color w:val="auto"/>
          <w:kern w:val="0"/>
          <w:sz w:val="32"/>
          <w:szCs w:val="32"/>
          <w:highlight w:val="none"/>
        </w:rPr>
        <w:t>滁开管发〔202</w:t>
      </w:r>
      <w:r>
        <w:rPr>
          <w:rFonts w:hint="eastAsia" w:ascii="仿宋" w:hAnsi="仿宋" w:eastAsia="仿宋" w:cs="宋体"/>
          <w:b w:val="0"/>
          <w:bCs/>
          <w:color w:val="auto"/>
          <w:kern w:val="0"/>
          <w:sz w:val="32"/>
          <w:szCs w:val="32"/>
          <w:highlight w:val="none"/>
          <w:lang w:val="en-US" w:eastAsia="zh-CN"/>
        </w:rPr>
        <w:t>4</w:t>
      </w:r>
      <w:r>
        <w:rPr>
          <w:rFonts w:hint="eastAsia" w:ascii="仿宋" w:hAnsi="仿宋" w:eastAsia="仿宋" w:cs="宋体"/>
          <w:b w:val="0"/>
          <w:bCs/>
          <w:color w:val="auto"/>
          <w:kern w:val="0"/>
          <w:sz w:val="32"/>
          <w:szCs w:val="32"/>
          <w:highlight w:val="none"/>
        </w:rPr>
        <w:t>〕</w:t>
      </w:r>
      <w:r>
        <w:rPr>
          <w:rFonts w:hint="eastAsia" w:ascii="仿宋" w:hAnsi="仿宋" w:eastAsia="仿宋" w:cs="宋体"/>
          <w:b w:val="0"/>
          <w:bCs/>
          <w:color w:val="auto"/>
          <w:kern w:val="0"/>
          <w:sz w:val="32"/>
          <w:szCs w:val="32"/>
          <w:highlight w:val="none"/>
          <w:lang w:val="en-US" w:eastAsia="zh-CN"/>
        </w:rPr>
        <w:t>47</w:t>
      </w:r>
      <w:r>
        <w:rPr>
          <w:rFonts w:hint="eastAsia" w:ascii="仿宋" w:hAnsi="仿宋" w:eastAsia="仿宋" w:cs="宋体"/>
          <w:b w:val="0"/>
          <w:bCs/>
          <w:color w:val="auto"/>
          <w:kern w:val="0"/>
          <w:sz w:val="32"/>
          <w:szCs w:val="32"/>
          <w:highlight w:val="none"/>
        </w:rPr>
        <w:t>号</w:t>
      </w:r>
    </w:p>
    <w:p w14:paraId="179D9654">
      <w:pPr>
        <w:keepNext w:val="0"/>
        <w:keepLines w:val="0"/>
        <w:pageBreakBefore w:val="0"/>
        <w:widowControl/>
        <w:kinsoku/>
        <w:wordWrap/>
        <w:overflowPunct/>
        <w:topLinePunct w:val="0"/>
        <w:autoSpaceDE/>
        <w:autoSpaceDN/>
        <w:bidi w:val="0"/>
        <w:adjustRightInd/>
        <w:spacing w:line="540" w:lineRule="exact"/>
        <w:jc w:val="center"/>
        <w:textAlignment w:val="auto"/>
        <w:rPr>
          <w:rFonts w:hint="eastAsia" w:ascii="仿宋" w:hAnsi="仿宋" w:eastAsia="仿宋" w:cs="宋体"/>
          <w:b w:val="0"/>
          <w:bCs/>
          <w:color w:val="auto"/>
          <w:kern w:val="0"/>
          <w:sz w:val="32"/>
          <w:szCs w:val="32"/>
          <w:highlight w:val="none"/>
        </w:rPr>
      </w:pPr>
    </w:p>
    <w:p w14:paraId="404C254C">
      <w:pPr>
        <w:keepNext w:val="0"/>
        <w:keepLines w:val="0"/>
        <w:pageBreakBefore w:val="0"/>
        <w:kinsoku/>
        <w:wordWrap/>
        <w:overflowPunct/>
        <w:topLinePunct w:val="0"/>
        <w:autoSpaceDE/>
        <w:autoSpaceDN/>
        <w:bidi w:val="0"/>
        <w:adjustRightInd/>
        <w:spacing w:line="540" w:lineRule="exact"/>
        <w:jc w:val="center"/>
        <w:textAlignment w:val="auto"/>
        <w:rPr>
          <w:rFonts w:hint="eastAsia" w:ascii="华文中宋" w:hAnsi="华文中宋" w:eastAsia="华文中宋"/>
          <w:b/>
          <w:color w:val="auto"/>
          <w:sz w:val="44"/>
          <w:szCs w:val="44"/>
          <w:highlight w:val="none"/>
        </w:rPr>
      </w:pPr>
      <w:r>
        <w:rPr>
          <w:rFonts w:hint="eastAsia" w:ascii="华文中宋" w:hAnsi="华文中宋" w:eastAsia="华文中宋"/>
          <w:b/>
          <w:color w:val="auto"/>
          <w:sz w:val="44"/>
          <w:szCs w:val="44"/>
          <w:highlight w:val="none"/>
        </w:rPr>
        <w:t>关于印发滁州经开区政府投资建设项目</w:t>
      </w:r>
    </w:p>
    <w:p w14:paraId="15826509">
      <w:pPr>
        <w:keepNext w:val="0"/>
        <w:keepLines w:val="0"/>
        <w:pageBreakBefore w:val="0"/>
        <w:kinsoku/>
        <w:wordWrap/>
        <w:overflowPunct/>
        <w:topLinePunct w:val="0"/>
        <w:autoSpaceDE/>
        <w:autoSpaceDN/>
        <w:bidi w:val="0"/>
        <w:adjustRightInd/>
        <w:spacing w:line="540" w:lineRule="exact"/>
        <w:jc w:val="center"/>
        <w:textAlignment w:val="auto"/>
        <w:rPr>
          <w:rFonts w:hint="eastAsia" w:ascii="华文中宋" w:hAnsi="华文中宋" w:eastAsia="华文中宋"/>
          <w:b/>
          <w:color w:val="auto"/>
          <w:sz w:val="44"/>
          <w:szCs w:val="44"/>
          <w:highlight w:val="none"/>
        </w:rPr>
      </w:pPr>
      <w:r>
        <w:rPr>
          <w:rFonts w:hint="eastAsia" w:ascii="华文中宋" w:hAnsi="华文中宋" w:eastAsia="华文中宋"/>
          <w:b/>
          <w:color w:val="auto"/>
          <w:sz w:val="44"/>
          <w:szCs w:val="44"/>
          <w:highlight w:val="none"/>
        </w:rPr>
        <w:t>工程变更管理暂行办法的通知</w:t>
      </w:r>
    </w:p>
    <w:p w14:paraId="2116277F">
      <w:pPr>
        <w:spacing w:line="600" w:lineRule="exact"/>
        <w:rPr>
          <w:rFonts w:ascii="宋体"/>
          <w:b/>
          <w:color w:val="auto"/>
          <w:sz w:val="44"/>
          <w:szCs w:val="44"/>
          <w:highlight w:val="none"/>
        </w:rPr>
      </w:pPr>
    </w:p>
    <w:p w14:paraId="040617D8">
      <w:pPr>
        <w:spacing w:line="600" w:lineRule="exact"/>
        <w:rPr>
          <w:rFonts w:ascii="宋体"/>
          <w:b/>
          <w:color w:val="auto"/>
          <w:sz w:val="44"/>
          <w:szCs w:val="44"/>
          <w:highlight w:val="none"/>
        </w:rPr>
      </w:pPr>
    </w:p>
    <w:p w14:paraId="531B6DCA">
      <w:pPr>
        <w:keepNext w:val="0"/>
        <w:keepLines w:val="0"/>
        <w:pageBreakBefore w:val="0"/>
        <w:widowControl/>
        <w:kinsoku/>
        <w:wordWrap/>
        <w:overflowPunct/>
        <w:topLinePunct w:val="0"/>
        <w:autoSpaceDE/>
        <w:autoSpaceDN/>
        <w:bidi w:val="0"/>
        <w:adjustRightInd/>
        <w:spacing w:line="540" w:lineRule="exact"/>
        <w:jc w:val="left"/>
        <w:textAlignment w:val="auto"/>
        <w:rPr>
          <w:rFonts w:hint="eastAsia" w:ascii="仿宋" w:hAnsi="仿宋" w:eastAsia="仿宋" w:cs="宋体"/>
          <w:b w:val="0"/>
          <w:bCs/>
          <w:color w:val="auto"/>
          <w:kern w:val="0"/>
          <w:sz w:val="32"/>
          <w:szCs w:val="32"/>
          <w:highlight w:val="none"/>
        </w:rPr>
      </w:pPr>
      <w:r>
        <w:rPr>
          <w:rFonts w:hint="eastAsia" w:ascii="仿宋" w:hAnsi="仿宋" w:eastAsia="仿宋" w:cs="宋体"/>
          <w:b w:val="0"/>
          <w:bCs/>
          <w:color w:val="auto"/>
          <w:kern w:val="0"/>
          <w:sz w:val="32"/>
          <w:szCs w:val="32"/>
          <w:highlight w:val="none"/>
        </w:rPr>
        <w:t>各办、局、办事处，各直属单位：</w:t>
      </w:r>
    </w:p>
    <w:p w14:paraId="323B5FA3">
      <w:pPr>
        <w:keepNext w:val="0"/>
        <w:keepLines w:val="0"/>
        <w:pageBreakBefore w:val="0"/>
        <w:widowControl/>
        <w:kinsoku/>
        <w:wordWrap/>
        <w:overflowPunct/>
        <w:topLinePunct w:val="0"/>
        <w:autoSpaceDE/>
        <w:autoSpaceDN/>
        <w:bidi w:val="0"/>
        <w:adjustRightInd/>
        <w:spacing w:line="540" w:lineRule="exact"/>
        <w:ind w:firstLine="640" w:firstLineChars="200"/>
        <w:jc w:val="left"/>
        <w:textAlignment w:val="auto"/>
        <w:rPr>
          <w:rFonts w:hint="eastAsia" w:ascii="仿宋" w:hAnsi="仿宋" w:eastAsia="仿宋" w:cs="宋体"/>
          <w:b w:val="0"/>
          <w:bCs/>
          <w:color w:val="auto"/>
          <w:kern w:val="0"/>
          <w:sz w:val="32"/>
          <w:szCs w:val="32"/>
          <w:highlight w:val="none"/>
        </w:rPr>
      </w:pPr>
      <w:r>
        <w:rPr>
          <w:rFonts w:hint="eastAsia" w:ascii="仿宋" w:hAnsi="仿宋" w:eastAsia="仿宋" w:cs="宋体"/>
          <w:b w:val="0"/>
          <w:bCs/>
          <w:color w:val="auto"/>
          <w:kern w:val="0"/>
          <w:sz w:val="32"/>
          <w:szCs w:val="32"/>
          <w:highlight w:val="none"/>
        </w:rPr>
        <w:t>现将《滁州经开区政府投资建设项目工程变更管理暂行办法》印发给你们，请遵照执行。</w:t>
      </w:r>
    </w:p>
    <w:p w14:paraId="2E373A7B">
      <w:pPr>
        <w:keepNext w:val="0"/>
        <w:keepLines w:val="0"/>
        <w:pageBreakBefore w:val="0"/>
        <w:widowControl/>
        <w:kinsoku/>
        <w:wordWrap/>
        <w:overflowPunct/>
        <w:topLinePunct w:val="0"/>
        <w:autoSpaceDE/>
        <w:autoSpaceDN/>
        <w:bidi w:val="0"/>
        <w:adjustRightInd/>
        <w:spacing w:line="540" w:lineRule="exact"/>
        <w:ind w:firstLine="640" w:firstLineChars="200"/>
        <w:jc w:val="left"/>
        <w:textAlignment w:val="auto"/>
        <w:rPr>
          <w:rFonts w:hint="eastAsia" w:ascii="仿宋" w:hAnsi="仿宋" w:eastAsia="仿宋" w:cs="宋体"/>
          <w:b w:val="0"/>
          <w:bCs/>
          <w:color w:val="auto"/>
          <w:kern w:val="0"/>
          <w:sz w:val="32"/>
          <w:szCs w:val="32"/>
          <w:highlight w:val="none"/>
        </w:rPr>
      </w:pPr>
    </w:p>
    <w:p w14:paraId="4731AADA">
      <w:pPr>
        <w:keepNext w:val="0"/>
        <w:keepLines w:val="0"/>
        <w:pageBreakBefore w:val="0"/>
        <w:widowControl/>
        <w:kinsoku/>
        <w:wordWrap/>
        <w:overflowPunct/>
        <w:topLinePunct w:val="0"/>
        <w:autoSpaceDE/>
        <w:autoSpaceDN/>
        <w:bidi w:val="0"/>
        <w:adjustRightInd/>
        <w:spacing w:line="540" w:lineRule="exact"/>
        <w:ind w:firstLine="640" w:firstLineChars="200"/>
        <w:jc w:val="left"/>
        <w:textAlignment w:val="auto"/>
        <w:rPr>
          <w:rFonts w:hint="eastAsia" w:ascii="仿宋" w:hAnsi="仿宋" w:eastAsia="仿宋" w:cs="宋体"/>
          <w:b w:val="0"/>
          <w:bCs/>
          <w:color w:val="auto"/>
          <w:kern w:val="0"/>
          <w:sz w:val="32"/>
          <w:szCs w:val="32"/>
          <w:highlight w:val="none"/>
        </w:rPr>
      </w:pPr>
    </w:p>
    <w:p w14:paraId="781D9FCD">
      <w:pPr>
        <w:keepNext w:val="0"/>
        <w:keepLines w:val="0"/>
        <w:pageBreakBefore w:val="0"/>
        <w:widowControl/>
        <w:kinsoku/>
        <w:wordWrap/>
        <w:overflowPunct/>
        <w:topLinePunct w:val="0"/>
        <w:autoSpaceDE/>
        <w:autoSpaceDN/>
        <w:bidi w:val="0"/>
        <w:adjustRightInd/>
        <w:spacing w:line="540" w:lineRule="exact"/>
        <w:ind w:firstLine="640" w:firstLineChars="200"/>
        <w:jc w:val="right"/>
        <w:textAlignment w:val="auto"/>
        <w:rPr>
          <w:rFonts w:hint="eastAsia" w:ascii="仿宋" w:hAnsi="仿宋" w:eastAsia="仿宋" w:cs="宋体"/>
          <w:b w:val="0"/>
          <w:bCs/>
          <w:color w:val="auto"/>
          <w:kern w:val="0"/>
          <w:sz w:val="32"/>
          <w:szCs w:val="32"/>
          <w:highlight w:val="none"/>
        </w:rPr>
      </w:pPr>
    </w:p>
    <w:p w14:paraId="727E58BE">
      <w:pPr>
        <w:keepNext w:val="0"/>
        <w:keepLines w:val="0"/>
        <w:pageBreakBefore w:val="0"/>
        <w:widowControl/>
        <w:kinsoku/>
        <w:wordWrap/>
        <w:overflowPunct/>
        <w:topLinePunct w:val="0"/>
        <w:autoSpaceDE/>
        <w:autoSpaceDN/>
        <w:bidi w:val="0"/>
        <w:adjustRightInd/>
        <w:spacing w:line="540" w:lineRule="exact"/>
        <w:ind w:firstLine="640" w:firstLineChars="200"/>
        <w:jc w:val="right"/>
        <w:textAlignment w:val="auto"/>
        <w:rPr>
          <w:rFonts w:hint="eastAsia" w:ascii="仿宋" w:hAnsi="仿宋" w:eastAsia="仿宋" w:cs="宋体"/>
          <w:b w:val="0"/>
          <w:bCs/>
          <w:color w:val="auto"/>
          <w:kern w:val="0"/>
          <w:sz w:val="32"/>
          <w:szCs w:val="32"/>
          <w:highlight w:val="none"/>
        </w:rPr>
      </w:pPr>
    </w:p>
    <w:p w14:paraId="4923D513">
      <w:pPr>
        <w:keepNext w:val="0"/>
        <w:keepLines w:val="0"/>
        <w:pageBreakBefore w:val="0"/>
        <w:widowControl/>
        <w:kinsoku/>
        <w:wordWrap/>
        <w:overflowPunct/>
        <w:topLinePunct w:val="0"/>
        <w:autoSpaceDE/>
        <w:autoSpaceDN/>
        <w:bidi w:val="0"/>
        <w:adjustRightInd/>
        <w:spacing w:line="540" w:lineRule="exact"/>
        <w:ind w:firstLine="640" w:firstLineChars="200"/>
        <w:jc w:val="right"/>
        <w:textAlignment w:val="auto"/>
        <w:rPr>
          <w:rFonts w:hint="eastAsia" w:ascii="仿宋" w:hAnsi="仿宋" w:eastAsia="仿宋" w:cs="宋体"/>
          <w:b w:val="0"/>
          <w:bCs/>
          <w:color w:val="auto"/>
          <w:kern w:val="0"/>
          <w:sz w:val="32"/>
          <w:szCs w:val="32"/>
          <w:highlight w:val="none"/>
        </w:rPr>
      </w:pPr>
      <w:r>
        <w:rPr>
          <w:rFonts w:hint="eastAsia" w:ascii="仿宋" w:hAnsi="仿宋" w:eastAsia="仿宋" w:cs="宋体"/>
          <w:b w:val="0"/>
          <w:bCs/>
          <w:color w:val="auto"/>
          <w:kern w:val="0"/>
          <w:sz w:val="32"/>
          <w:szCs w:val="32"/>
          <w:highlight w:val="none"/>
        </w:rPr>
        <w:t xml:space="preserve">滁州经济技术开发区管委会   </w:t>
      </w:r>
    </w:p>
    <w:p w14:paraId="441A1251">
      <w:pPr>
        <w:keepNext w:val="0"/>
        <w:keepLines w:val="0"/>
        <w:pageBreakBefore w:val="0"/>
        <w:widowControl/>
        <w:kinsoku/>
        <w:wordWrap/>
        <w:overflowPunct/>
        <w:topLinePunct w:val="0"/>
        <w:autoSpaceDE/>
        <w:autoSpaceDN/>
        <w:bidi w:val="0"/>
        <w:adjustRightInd/>
        <w:spacing w:line="540" w:lineRule="exact"/>
        <w:ind w:firstLine="640" w:firstLineChars="200"/>
        <w:jc w:val="left"/>
        <w:textAlignment w:val="auto"/>
        <w:rPr>
          <w:rFonts w:hint="eastAsia" w:ascii="仿宋" w:hAnsi="仿宋" w:eastAsia="仿宋" w:cs="宋体"/>
          <w:b w:val="0"/>
          <w:bCs/>
          <w:color w:val="auto"/>
          <w:kern w:val="0"/>
          <w:sz w:val="32"/>
          <w:szCs w:val="32"/>
          <w:highlight w:val="none"/>
        </w:rPr>
      </w:pPr>
      <w:r>
        <w:rPr>
          <w:rFonts w:hint="eastAsia" w:ascii="仿宋" w:hAnsi="仿宋" w:eastAsia="仿宋" w:cs="宋体"/>
          <w:b w:val="0"/>
          <w:bCs/>
          <w:color w:val="auto"/>
          <w:kern w:val="0"/>
          <w:sz w:val="32"/>
          <w:szCs w:val="32"/>
          <w:highlight w:val="none"/>
        </w:rPr>
        <w:t xml:space="preserve">               </w:t>
      </w:r>
      <w:r>
        <w:rPr>
          <w:rFonts w:hint="eastAsia" w:ascii="仿宋" w:hAnsi="仿宋" w:eastAsia="仿宋" w:cs="宋体"/>
          <w:b w:val="0"/>
          <w:bCs/>
          <w:color w:val="auto"/>
          <w:kern w:val="0"/>
          <w:sz w:val="32"/>
          <w:szCs w:val="32"/>
          <w:highlight w:val="none"/>
          <w:lang w:val="en-US" w:eastAsia="zh-CN"/>
        </w:rPr>
        <w:t xml:space="preserve">                 </w:t>
      </w:r>
      <w:r>
        <w:rPr>
          <w:rFonts w:hint="eastAsia" w:ascii="仿宋" w:hAnsi="仿宋" w:eastAsia="仿宋" w:cs="宋体"/>
          <w:b w:val="0"/>
          <w:bCs/>
          <w:color w:val="auto"/>
          <w:kern w:val="0"/>
          <w:sz w:val="32"/>
          <w:szCs w:val="32"/>
          <w:highlight w:val="none"/>
        </w:rPr>
        <w:t>202</w:t>
      </w:r>
      <w:r>
        <w:rPr>
          <w:rFonts w:hint="eastAsia" w:ascii="仿宋" w:hAnsi="仿宋" w:eastAsia="仿宋" w:cs="宋体"/>
          <w:b w:val="0"/>
          <w:bCs/>
          <w:color w:val="auto"/>
          <w:kern w:val="0"/>
          <w:sz w:val="32"/>
          <w:szCs w:val="32"/>
          <w:highlight w:val="none"/>
          <w:lang w:val="en-US" w:eastAsia="zh-CN"/>
        </w:rPr>
        <w:t>4</w:t>
      </w:r>
      <w:r>
        <w:rPr>
          <w:rFonts w:hint="eastAsia" w:ascii="仿宋" w:hAnsi="仿宋" w:eastAsia="仿宋" w:cs="宋体"/>
          <w:b w:val="0"/>
          <w:bCs/>
          <w:color w:val="auto"/>
          <w:kern w:val="0"/>
          <w:sz w:val="32"/>
          <w:szCs w:val="32"/>
          <w:highlight w:val="none"/>
        </w:rPr>
        <w:t>年</w:t>
      </w:r>
      <w:r>
        <w:rPr>
          <w:rFonts w:hint="eastAsia" w:ascii="仿宋" w:hAnsi="仿宋" w:eastAsia="仿宋" w:cs="宋体"/>
          <w:b w:val="0"/>
          <w:bCs/>
          <w:color w:val="auto"/>
          <w:kern w:val="0"/>
          <w:sz w:val="32"/>
          <w:szCs w:val="32"/>
          <w:highlight w:val="none"/>
          <w:lang w:val="en-US" w:eastAsia="zh-CN"/>
        </w:rPr>
        <w:t>5</w:t>
      </w:r>
      <w:r>
        <w:rPr>
          <w:rFonts w:hint="eastAsia" w:ascii="仿宋" w:hAnsi="仿宋" w:eastAsia="仿宋" w:cs="宋体"/>
          <w:b w:val="0"/>
          <w:bCs/>
          <w:color w:val="auto"/>
          <w:kern w:val="0"/>
          <w:sz w:val="32"/>
          <w:szCs w:val="32"/>
          <w:highlight w:val="none"/>
        </w:rPr>
        <w:t>月</w:t>
      </w:r>
      <w:r>
        <w:rPr>
          <w:rFonts w:hint="eastAsia" w:ascii="仿宋" w:hAnsi="仿宋" w:eastAsia="仿宋" w:cs="宋体"/>
          <w:b w:val="0"/>
          <w:bCs/>
          <w:color w:val="auto"/>
          <w:kern w:val="0"/>
          <w:sz w:val="32"/>
          <w:szCs w:val="32"/>
          <w:highlight w:val="none"/>
          <w:lang w:val="en-US" w:eastAsia="zh-CN"/>
        </w:rPr>
        <w:t>21</w:t>
      </w:r>
      <w:r>
        <w:rPr>
          <w:rFonts w:hint="eastAsia" w:ascii="仿宋" w:hAnsi="仿宋" w:eastAsia="仿宋" w:cs="宋体"/>
          <w:b w:val="0"/>
          <w:bCs/>
          <w:color w:val="auto"/>
          <w:kern w:val="0"/>
          <w:sz w:val="32"/>
          <w:szCs w:val="32"/>
          <w:highlight w:val="none"/>
        </w:rPr>
        <w:t xml:space="preserve">日   </w:t>
      </w:r>
    </w:p>
    <w:p w14:paraId="1564D3C4">
      <w:pPr>
        <w:keepNext w:val="0"/>
        <w:keepLines w:val="0"/>
        <w:pageBreakBefore w:val="0"/>
        <w:kinsoku/>
        <w:wordWrap/>
        <w:overflowPunct/>
        <w:topLinePunct w:val="0"/>
        <w:autoSpaceDE/>
        <w:autoSpaceDN/>
        <w:bidi w:val="0"/>
        <w:adjustRightInd/>
        <w:spacing w:line="540" w:lineRule="exact"/>
        <w:jc w:val="center"/>
        <w:textAlignment w:val="auto"/>
        <w:rPr>
          <w:rFonts w:hint="eastAsia" w:ascii="仿宋_GB2312" w:hAnsi="宋体" w:eastAsia="仿宋_GB2312"/>
          <w:color w:val="auto"/>
          <w:highlight w:val="none"/>
        </w:rPr>
      </w:pPr>
    </w:p>
    <w:p w14:paraId="25051DB4">
      <w:pPr>
        <w:keepNext w:val="0"/>
        <w:keepLines w:val="0"/>
        <w:pageBreakBefore w:val="0"/>
        <w:kinsoku/>
        <w:wordWrap/>
        <w:overflowPunct/>
        <w:topLinePunct w:val="0"/>
        <w:autoSpaceDE/>
        <w:autoSpaceDN/>
        <w:bidi w:val="0"/>
        <w:adjustRightInd/>
        <w:spacing w:line="540" w:lineRule="exact"/>
        <w:jc w:val="center"/>
        <w:textAlignment w:val="auto"/>
        <w:rPr>
          <w:rFonts w:hint="eastAsia" w:ascii="仿宋_GB2312" w:hAnsi="宋体" w:eastAsia="仿宋_GB2312"/>
          <w:color w:val="auto"/>
          <w:highlight w:val="none"/>
        </w:rPr>
      </w:pPr>
    </w:p>
    <w:p w14:paraId="59E0EFF6">
      <w:pPr>
        <w:keepNext w:val="0"/>
        <w:keepLines w:val="0"/>
        <w:pageBreakBefore w:val="0"/>
        <w:kinsoku/>
        <w:wordWrap/>
        <w:overflowPunct/>
        <w:topLinePunct w:val="0"/>
        <w:autoSpaceDE/>
        <w:autoSpaceDN/>
        <w:bidi w:val="0"/>
        <w:adjustRightInd/>
        <w:spacing w:line="540" w:lineRule="exact"/>
        <w:jc w:val="center"/>
        <w:textAlignment w:val="auto"/>
        <w:rPr>
          <w:rFonts w:hint="eastAsia" w:ascii="仿宋_GB2312" w:hAnsi="宋体" w:eastAsia="仿宋_GB2312"/>
          <w:color w:val="auto"/>
          <w:highlight w:val="none"/>
        </w:rPr>
      </w:pPr>
    </w:p>
    <w:p w14:paraId="3B6CE2FC">
      <w:pPr>
        <w:keepNext w:val="0"/>
        <w:keepLines w:val="0"/>
        <w:pageBreakBefore w:val="0"/>
        <w:kinsoku/>
        <w:wordWrap/>
        <w:overflowPunct/>
        <w:topLinePunct w:val="0"/>
        <w:autoSpaceDE/>
        <w:autoSpaceDN/>
        <w:bidi w:val="0"/>
        <w:adjustRightInd/>
        <w:spacing w:line="540" w:lineRule="exact"/>
        <w:jc w:val="center"/>
        <w:textAlignment w:val="auto"/>
        <w:rPr>
          <w:rFonts w:hint="eastAsia" w:ascii="仿宋_GB2312" w:hAnsi="宋体" w:eastAsia="仿宋_GB2312"/>
          <w:color w:val="auto"/>
          <w:highlight w:val="none"/>
        </w:rPr>
      </w:pPr>
    </w:p>
    <w:p w14:paraId="65D594A8">
      <w:pPr>
        <w:keepNext w:val="0"/>
        <w:keepLines w:val="0"/>
        <w:pageBreakBefore w:val="0"/>
        <w:kinsoku/>
        <w:wordWrap/>
        <w:overflowPunct/>
        <w:topLinePunct w:val="0"/>
        <w:autoSpaceDE/>
        <w:autoSpaceDN/>
        <w:bidi w:val="0"/>
        <w:adjustRightInd/>
        <w:spacing w:line="540" w:lineRule="exact"/>
        <w:jc w:val="both"/>
        <w:textAlignment w:val="auto"/>
        <w:rPr>
          <w:rFonts w:hint="eastAsia" w:ascii="仿宋_GB2312" w:hAnsi="宋体" w:eastAsia="仿宋_GB2312"/>
          <w:color w:val="auto"/>
          <w:highlight w:val="none"/>
        </w:rPr>
      </w:pPr>
    </w:p>
    <w:p w14:paraId="60DBA8E7">
      <w:pPr>
        <w:keepNext w:val="0"/>
        <w:keepLines w:val="0"/>
        <w:pageBreakBefore w:val="0"/>
        <w:kinsoku/>
        <w:wordWrap/>
        <w:overflowPunct/>
        <w:topLinePunct w:val="0"/>
        <w:autoSpaceDE/>
        <w:autoSpaceDN/>
        <w:bidi w:val="0"/>
        <w:adjustRightInd/>
        <w:spacing w:line="540" w:lineRule="exact"/>
        <w:jc w:val="center"/>
        <w:textAlignment w:val="auto"/>
        <w:rPr>
          <w:rFonts w:ascii="华文中宋" w:hAnsi="华文中宋" w:eastAsia="华文中宋"/>
          <w:b/>
          <w:color w:val="auto"/>
          <w:sz w:val="44"/>
          <w:szCs w:val="44"/>
          <w:highlight w:val="none"/>
        </w:rPr>
      </w:pPr>
      <w:r>
        <w:rPr>
          <w:rFonts w:hint="eastAsia" w:ascii="华文中宋" w:hAnsi="华文中宋" w:eastAsia="华文中宋"/>
          <w:b/>
          <w:color w:val="auto"/>
          <w:sz w:val="44"/>
          <w:szCs w:val="44"/>
          <w:highlight w:val="none"/>
        </w:rPr>
        <w:t>滁州经开区政府投资建设项目工程变更</w:t>
      </w:r>
    </w:p>
    <w:p w14:paraId="5EAAD9AC">
      <w:pPr>
        <w:keepNext w:val="0"/>
        <w:keepLines w:val="0"/>
        <w:pageBreakBefore w:val="0"/>
        <w:kinsoku/>
        <w:wordWrap/>
        <w:overflowPunct/>
        <w:topLinePunct w:val="0"/>
        <w:autoSpaceDE/>
        <w:autoSpaceDN/>
        <w:bidi w:val="0"/>
        <w:adjustRightInd/>
        <w:spacing w:line="540" w:lineRule="exact"/>
        <w:jc w:val="center"/>
        <w:textAlignment w:val="auto"/>
        <w:rPr>
          <w:rFonts w:ascii="黑体" w:hAnsi="黑体" w:eastAsia="黑体" w:cs="黑体"/>
          <w:b/>
          <w:color w:val="auto"/>
          <w:kern w:val="0"/>
          <w:sz w:val="32"/>
          <w:szCs w:val="32"/>
          <w:highlight w:val="none"/>
        </w:rPr>
      </w:pPr>
      <w:r>
        <w:rPr>
          <w:rFonts w:hint="eastAsia" w:ascii="华文中宋" w:hAnsi="华文中宋" w:eastAsia="华文中宋"/>
          <w:b/>
          <w:color w:val="auto"/>
          <w:sz w:val="44"/>
          <w:szCs w:val="44"/>
          <w:highlight w:val="none"/>
        </w:rPr>
        <w:t>管理暂行办法</w:t>
      </w:r>
    </w:p>
    <w:p w14:paraId="0938D6F0">
      <w:pPr>
        <w:keepNext w:val="0"/>
        <w:keepLines w:val="0"/>
        <w:pageBreakBefore w:val="0"/>
        <w:widowControl/>
        <w:numPr>
          <w:ilvl w:val="0"/>
          <w:numId w:val="0"/>
        </w:numPr>
        <w:kinsoku/>
        <w:wordWrap/>
        <w:overflowPunct/>
        <w:topLinePunct w:val="0"/>
        <w:autoSpaceDE/>
        <w:autoSpaceDN/>
        <w:bidi w:val="0"/>
        <w:adjustRightInd/>
        <w:spacing w:line="540" w:lineRule="exact"/>
        <w:jc w:val="center"/>
        <w:textAlignment w:val="auto"/>
        <w:rPr>
          <w:rFonts w:hint="eastAsia" w:ascii="黑体" w:hAnsi="黑体" w:eastAsia="黑体" w:cs="黑体"/>
          <w:b w:val="0"/>
          <w:bCs/>
          <w:color w:val="auto"/>
          <w:kern w:val="0"/>
          <w:sz w:val="32"/>
          <w:szCs w:val="32"/>
          <w:highlight w:val="none"/>
        </w:rPr>
      </w:pPr>
      <w:r>
        <w:rPr>
          <w:rFonts w:hint="eastAsia" w:ascii="黑体" w:hAnsi="黑体" w:eastAsia="黑体" w:cs="黑体"/>
          <w:bCs/>
          <w:color w:val="auto"/>
          <w:kern w:val="0"/>
          <w:sz w:val="32"/>
          <w:szCs w:val="32"/>
          <w:highlight w:val="none"/>
          <w:lang w:eastAsia="zh-CN"/>
        </w:rPr>
        <w:t>第一章</w:t>
      </w:r>
      <w:r>
        <w:rPr>
          <w:rFonts w:hint="eastAsia" w:ascii="黑体" w:hAnsi="黑体" w:eastAsia="黑体" w:cs="黑体"/>
          <w:bCs/>
          <w:color w:val="auto"/>
          <w:kern w:val="0"/>
          <w:sz w:val="32"/>
          <w:szCs w:val="32"/>
          <w:highlight w:val="none"/>
        </w:rPr>
        <w:t xml:space="preserve"> 总则</w:t>
      </w:r>
    </w:p>
    <w:p w14:paraId="797AFDF2">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ascii="仿宋" w:hAnsi="仿宋" w:eastAsia="仿宋" w:cs="宋体"/>
          <w:b w:val="0"/>
          <w:bCs/>
          <w:color w:val="auto"/>
          <w:kern w:val="0"/>
          <w:sz w:val="32"/>
          <w:szCs w:val="32"/>
          <w:highlight w:val="none"/>
        </w:rPr>
      </w:pPr>
      <w:r>
        <w:rPr>
          <w:rFonts w:hint="eastAsia" w:ascii="仿宋" w:hAnsi="仿宋" w:eastAsia="仿宋"/>
          <w:b w:val="0"/>
          <w:bCs/>
          <w:color w:val="auto"/>
          <w:sz w:val="32"/>
          <w:szCs w:val="32"/>
          <w:highlight w:val="none"/>
        </w:rPr>
        <w:t>第一条</w:t>
      </w:r>
      <w:r>
        <w:rPr>
          <w:rFonts w:ascii="仿宋" w:hAnsi="仿宋" w:eastAsia="仿宋"/>
          <w:b w:val="0"/>
          <w:bCs/>
          <w:color w:val="auto"/>
          <w:sz w:val="32"/>
          <w:szCs w:val="32"/>
          <w:highlight w:val="none"/>
        </w:rPr>
        <w:t xml:space="preserve"> </w:t>
      </w:r>
      <w:r>
        <w:rPr>
          <w:rFonts w:hint="eastAsia" w:ascii="仿宋" w:hAnsi="仿宋" w:eastAsia="仿宋"/>
          <w:b w:val="0"/>
          <w:bCs/>
          <w:color w:val="auto"/>
          <w:sz w:val="32"/>
          <w:szCs w:val="32"/>
          <w:highlight w:val="none"/>
        </w:rPr>
        <w:t xml:space="preserve"> </w:t>
      </w:r>
      <w:r>
        <w:rPr>
          <w:rFonts w:hint="eastAsia" w:ascii="仿宋" w:hAnsi="仿宋" w:eastAsia="仿宋" w:cs="宋体"/>
          <w:b w:val="0"/>
          <w:bCs/>
          <w:color w:val="auto"/>
          <w:kern w:val="0"/>
          <w:sz w:val="32"/>
          <w:szCs w:val="32"/>
          <w:highlight w:val="none"/>
        </w:rPr>
        <w:t>为加强滁州经开区政府投资项目工程变更管理，根据《滁州市政府投资项目管理暂行办法》《滁州市市级投资建设项目工程变更管理规定（试行）》</w:t>
      </w:r>
      <w:r>
        <w:rPr>
          <w:rFonts w:hint="eastAsia" w:ascii="仿宋" w:hAnsi="仿宋" w:eastAsia="仿宋" w:cs="宋体"/>
          <w:b w:val="0"/>
          <w:bCs/>
          <w:color w:val="auto"/>
          <w:kern w:val="0"/>
          <w:sz w:val="32"/>
          <w:szCs w:val="32"/>
          <w:highlight w:val="none"/>
          <w:lang w:eastAsia="zh-CN"/>
        </w:rPr>
        <w:t>、</w:t>
      </w:r>
      <w:r>
        <w:rPr>
          <w:rFonts w:hint="eastAsia" w:ascii="仿宋" w:hAnsi="仿宋" w:eastAsia="仿宋" w:cs="宋体"/>
          <w:b w:val="0"/>
          <w:bCs/>
          <w:color w:val="auto"/>
          <w:kern w:val="0"/>
          <w:sz w:val="32"/>
          <w:szCs w:val="32"/>
          <w:highlight w:val="none"/>
        </w:rPr>
        <w:t>《滁州市人民政府关于加强国有资金投资建筑工程项目监管的实施意见》，结合经开区实际，特制</w:t>
      </w:r>
      <w:r>
        <w:rPr>
          <w:rFonts w:hint="eastAsia" w:ascii="仿宋" w:hAnsi="仿宋" w:eastAsia="仿宋" w:cs="宋体"/>
          <w:b w:val="0"/>
          <w:bCs/>
          <w:color w:val="auto"/>
          <w:kern w:val="0"/>
          <w:sz w:val="32"/>
          <w:szCs w:val="32"/>
          <w:highlight w:val="none"/>
          <w:lang w:eastAsia="zh-CN"/>
        </w:rPr>
        <w:t>定</w:t>
      </w:r>
      <w:r>
        <w:rPr>
          <w:rFonts w:hint="eastAsia" w:ascii="仿宋" w:hAnsi="仿宋" w:eastAsia="仿宋" w:cs="宋体"/>
          <w:b w:val="0"/>
          <w:bCs/>
          <w:color w:val="auto"/>
          <w:kern w:val="0"/>
          <w:sz w:val="32"/>
          <w:szCs w:val="32"/>
          <w:highlight w:val="none"/>
        </w:rPr>
        <w:t xml:space="preserve">本办法。     </w:t>
      </w:r>
    </w:p>
    <w:p w14:paraId="3E4972A7">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 xml:space="preserve">第二条 </w:t>
      </w:r>
      <w:r>
        <w:rPr>
          <w:rFonts w:hint="eastAsia" w:ascii="仿宋" w:hAnsi="仿宋" w:eastAsia="仿宋" w:cs="宋体"/>
          <w:b w:val="0"/>
          <w:bCs/>
          <w:color w:val="auto"/>
          <w:kern w:val="0"/>
          <w:sz w:val="32"/>
          <w:szCs w:val="32"/>
          <w:highlight w:val="none"/>
        </w:rPr>
        <w:t xml:space="preserve"> 本办法所称政府投资项目是指使用滁州经开区财政性资金、各投融资平台资金的建设项目</w:t>
      </w:r>
      <w:r>
        <w:rPr>
          <w:rFonts w:hint="eastAsia" w:ascii="仿宋" w:hAnsi="仿宋" w:eastAsia="仿宋"/>
          <w:b w:val="0"/>
          <w:bCs/>
          <w:color w:val="auto"/>
          <w:sz w:val="32"/>
          <w:szCs w:val="32"/>
          <w:highlight w:val="none"/>
        </w:rPr>
        <w:t>。</w:t>
      </w:r>
    </w:p>
    <w:p w14:paraId="518CF6AC">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b w:val="0"/>
          <w:bCs/>
          <w:color w:val="auto"/>
          <w:sz w:val="32"/>
          <w:szCs w:val="32"/>
          <w:highlight w:val="none"/>
        </w:rPr>
        <w:t>第三条  政府投资项目</w:t>
      </w:r>
      <w:r>
        <w:rPr>
          <w:rFonts w:hint="eastAsia" w:ascii="仿宋" w:hAnsi="仿宋" w:eastAsia="仿宋" w:cs="宋体"/>
          <w:b w:val="0"/>
          <w:bCs/>
          <w:color w:val="auto"/>
          <w:kern w:val="0"/>
          <w:sz w:val="32"/>
          <w:szCs w:val="32"/>
          <w:highlight w:val="none"/>
        </w:rPr>
        <w:t>工程变更，是指项目自施工招标结束之日起至通过竣工验收、正式交付使用之日止，</w:t>
      </w:r>
      <w:r>
        <w:rPr>
          <w:rFonts w:hint="eastAsia" w:ascii="仿宋" w:hAnsi="仿宋" w:eastAsia="仿宋" w:cs="仿宋"/>
          <w:b w:val="0"/>
          <w:bCs/>
          <w:color w:val="auto"/>
          <w:sz w:val="32"/>
          <w:szCs w:val="32"/>
          <w:highlight w:val="none"/>
        </w:rPr>
        <w:t>对已批准的初步设计文件、技术设计文件或施工图设计文件在实施阶段所发生的工程规模、技术标准、工作内容、结构型式等进行的调整和修改。</w:t>
      </w:r>
    </w:p>
    <w:p w14:paraId="582B3E84">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第</w:t>
      </w:r>
      <w:r>
        <w:rPr>
          <w:rFonts w:hint="eastAsia" w:ascii="仿宋" w:hAnsi="仿宋" w:eastAsia="仿宋" w:cs="仿宋"/>
          <w:b w:val="0"/>
          <w:bCs/>
          <w:color w:val="auto"/>
          <w:sz w:val="32"/>
          <w:szCs w:val="32"/>
          <w:highlight w:val="none"/>
          <w:lang w:eastAsia="zh-CN"/>
        </w:rPr>
        <w:t>四</w:t>
      </w:r>
      <w:r>
        <w:rPr>
          <w:rFonts w:hint="eastAsia" w:ascii="仿宋" w:hAnsi="仿宋" w:eastAsia="仿宋" w:cs="仿宋"/>
          <w:b w:val="0"/>
          <w:bCs/>
          <w:color w:val="auto"/>
          <w:sz w:val="32"/>
          <w:szCs w:val="32"/>
          <w:highlight w:val="none"/>
        </w:rPr>
        <w:t>条  有下列情形之一的，可以提出变更申请：</w:t>
      </w:r>
    </w:p>
    <w:p w14:paraId="1D870F1D">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（一）设计文件中漏项缺项、错误或其他原因导致的设计不准确。</w:t>
      </w:r>
    </w:p>
    <w:p w14:paraId="356D95BC">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（二）勘测成果与自然条件（含地质、水文、地形等）不符。</w:t>
      </w:r>
    </w:p>
    <w:p w14:paraId="71953035">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（三）有利于确保工程施工安全和环境保护、节省占地和避免水土流失，改善施工条件的设计调整或修改。</w:t>
      </w:r>
    </w:p>
    <w:p w14:paraId="36BE80E8">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（四）为推广应用先进实用技术，更好地保证工程质量安全。</w:t>
      </w:r>
    </w:p>
    <w:p w14:paraId="4DAD2F07">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（五）涉及农田、水利、工矿、城镇规划、征收、景区开发、生态建设以及文物、环境保护等工作，需要对原设计进行修改和完善的。</w:t>
      </w:r>
    </w:p>
    <w:p w14:paraId="0C631756">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（六）因国家法律、法规和各类技术标准、规范修改，需要对原项目建设内容、建设规模、建设标准等进行调整的。</w:t>
      </w:r>
    </w:p>
    <w:p w14:paraId="288FFC6F">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（七）因不可抗力原因，须对项目建设规模、建设标准和施工进度进行调整的。</w:t>
      </w:r>
    </w:p>
    <w:p w14:paraId="0913413F">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（八）因工程施工过程中存在重大安全隐患或可能发生重大安全事故，需进行紧急抢险救灾而采取的工程措施的。</w:t>
      </w:r>
    </w:p>
    <w:p w14:paraId="2BBC5C15">
      <w:pPr>
        <w:keepNext w:val="0"/>
        <w:keepLines w:val="0"/>
        <w:pageBreakBefore w:val="0"/>
        <w:numPr>
          <w:ilvl w:val="0"/>
          <w:numId w:val="1"/>
        </w:numPr>
        <w:kinsoku/>
        <w:wordWrap/>
        <w:overflowPunct/>
        <w:topLinePunct w:val="0"/>
        <w:autoSpaceDE/>
        <w:autoSpaceDN/>
        <w:bidi w:val="0"/>
        <w:adjustRightInd/>
        <w:spacing w:line="540" w:lineRule="exact"/>
        <w:ind w:firstLine="640" w:firstLineChars="200"/>
        <w:textAlignment w:val="auto"/>
        <w:rPr>
          <w:rFonts w:ascii="仿宋" w:hAnsi="仿宋" w:eastAsia="仿宋"/>
          <w:b w:val="0"/>
          <w:bCs/>
          <w:color w:val="auto"/>
          <w:sz w:val="32"/>
          <w:szCs w:val="32"/>
          <w:highlight w:val="none"/>
        </w:rPr>
      </w:pPr>
      <w:r>
        <w:rPr>
          <w:rFonts w:hint="eastAsia" w:ascii="仿宋" w:hAnsi="仿宋" w:eastAsia="仿宋" w:cs="仿宋"/>
          <w:b w:val="0"/>
          <w:bCs/>
          <w:color w:val="auto"/>
          <w:sz w:val="32"/>
          <w:szCs w:val="32"/>
          <w:highlight w:val="none"/>
        </w:rPr>
        <w:t>其他需要工程变更申请的情形。</w:t>
      </w:r>
    </w:p>
    <w:p w14:paraId="65FCF20B">
      <w:pPr>
        <w:keepNext w:val="0"/>
        <w:keepLines w:val="0"/>
        <w:pageBreakBefore w:val="0"/>
        <w:shd w:val="clear" w:color="auto" w:fill="FFFFFF"/>
        <w:kinsoku/>
        <w:wordWrap/>
        <w:overflowPunct/>
        <w:topLinePunct w:val="0"/>
        <w:autoSpaceDE/>
        <w:autoSpaceDN/>
        <w:bidi w:val="0"/>
        <w:adjustRightInd/>
        <w:snapToGrid w:val="0"/>
        <w:spacing w:line="540" w:lineRule="exact"/>
        <w:ind w:firstLine="640" w:firstLineChars="200"/>
        <w:textAlignment w:val="auto"/>
        <w:rPr>
          <w:rFonts w:hint="eastAsia" w:ascii="黑体" w:hAnsi="黑体" w:eastAsia="黑体" w:cs="黑体"/>
          <w:b w:val="0"/>
          <w:bCs/>
          <w:color w:val="auto"/>
          <w:kern w:val="0"/>
          <w:sz w:val="32"/>
          <w:szCs w:val="32"/>
          <w:highlight w:val="none"/>
        </w:rPr>
      </w:pPr>
      <w:r>
        <w:rPr>
          <w:rFonts w:hint="eastAsia" w:ascii="仿宋" w:hAnsi="仿宋" w:eastAsia="仿宋"/>
          <w:b w:val="0"/>
          <w:bCs/>
          <w:color w:val="auto"/>
          <w:sz w:val="32"/>
          <w:szCs w:val="32"/>
          <w:highlight w:val="none"/>
        </w:rPr>
        <w:t>第</w:t>
      </w:r>
      <w:r>
        <w:rPr>
          <w:rFonts w:hint="eastAsia" w:ascii="仿宋" w:hAnsi="仿宋" w:eastAsia="仿宋"/>
          <w:b w:val="0"/>
          <w:bCs/>
          <w:color w:val="auto"/>
          <w:sz w:val="32"/>
          <w:szCs w:val="32"/>
          <w:highlight w:val="none"/>
          <w:lang w:eastAsia="zh-CN"/>
        </w:rPr>
        <w:t>五</w:t>
      </w:r>
      <w:r>
        <w:rPr>
          <w:rFonts w:hint="eastAsia" w:ascii="仿宋" w:hAnsi="仿宋" w:eastAsia="仿宋"/>
          <w:b w:val="0"/>
          <w:bCs/>
          <w:color w:val="auto"/>
          <w:sz w:val="32"/>
          <w:szCs w:val="32"/>
          <w:highlight w:val="none"/>
        </w:rPr>
        <w:t xml:space="preserve">条  </w:t>
      </w:r>
      <w:r>
        <w:rPr>
          <w:rFonts w:hint="eastAsia" w:ascii="仿宋" w:hAnsi="仿宋" w:eastAsia="仿宋"/>
          <w:b w:val="0"/>
          <w:bCs/>
          <w:color w:val="auto"/>
          <w:sz w:val="32"/>
          <w:szCs w:val="32"/>
          <w:highlight w:val="none"/>
          <w:lang w:eastAsia="zh-CN"/>
        </w:rPr>
        <w:t>滁州</w:t>
      </w:r>
      <w:r>
        <w:rPr>
          <w:rFonts w:hint="eastAsia" w:ascii="仿宋" w:hAnsi="仿宋" w:eastAsia="仿宋"/>
          <w:b w:val="0"/>
          <w:bCs/>
          <w:color w:val="auto"/>
          <w:sz w:val="32"/>
          <w:szCs w:val="32"/>
          <w:highlight w:val="none"/>
        </w:rPr>
        <w:t>经开区政府投资建设项目应当</w:t>
      </w:r>
      <w:r>
        <w:rPr>
          <w:rFonts w:hint="eastAsia" w:ascii="仿宋" w:hAnsi="仿宋" w:eastAsia="仿宋" w:cs="黑体"/>
          <w:b w:val="0"/>
          <w:bCs/>
          <w:color w:val="auto"/>
          <w:kern w:val="0"/>
          <w:sz w:val="32"/>
          <w:szCs w:val="32"/>
          <w:highlight w:val="none"/>
        </w:rPr>
        <w:t>遵循先批准、后变更，先设计、后施工的原则。</w:t>
      </w:r>
      <w:r>
        <w:rPr>
          <w:rFonts w:ascii="仿宋" w:hAnsi="仿宋" w:eastAsia="仿宋"/>
          <w:b w:val="0"/>
          <w:bCs/>
          <w:color w:val="auto"/>
          <w:sz w:val="32"/>
          <w:szCs w:val="32"/>
          <w:highlight w:val="none"/>
        </w:rPr>
        <w:t xml:space="preserve">对未经审批和设计擅自变更并施工的，不予纳入竣工结算。 </w:t>
      </w:r>
    </w:p>
    <w:p w14:paraId="4EA0D52E">
      <w:pPr>
        <w:keepNext w:val="0"/>
        <w:keepLines w:val="0"/>
        <w:pageBreakBefore w:val="0"/>
        <w:widowControl/>
        <w:kinsoku/>
        <w:wordWrap/>
        <w:overflowPunct/>
        <w:topLinePunct w:val="0"/>
        <w:autoSpaceDE/>
        <w:autoSpaceDN/>
        <w:bidi w:val="0"/>
        <w:adjustRightInd/>
        <w:spacing w:line="540" w:lineRule="exact"/>
        <w:jc w:val="center"/>
        <w:textAlignment w:val="auto"/>
        <w:rPr>
          <w:rFonts w:hint="eastAsia" w:ascii="仿宋" w:hAnsi="仿宋" w:eastAsia="仿宋"/>
          <w:b w:val="0"/>
          <w:bCs/>
          <w:color w:val="auto"/>
          <w:sz w:val="32"/>
          <w:szCs w:val="32"/>
          <w:highlight w:val="none"/>
        </w:rPr>
      </w:pPr>
      <w:r>
        <w:rPr>
          <w:rFonts w:hint="eastAsia" w:ascii="黑体" w:hAnsi="黑体" w:eastAsia="黑体" w:cs="黑体"/>
          <w:b w:val="0"/>
          <w:bCs/>
          <w:color w:val="auto"/>
          <w:kern w:val="0"/>
          <w:sz w:val="32"/>
          <w:szCs w:val="32"/>
          <w:highlight w:val="none"/>
        </w:rPr>
        <w:t>第二章  工程变更管理</w:t>
      </w:r>
    </w:p>
    <w:p w14:paraId="733D2E8C">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黑体" w:hAnsi="黑体" w:eastAsia="黑体"/>
          <w:b w:val="0"/>
          <w:bCs/>
          <w:color w:val="auto"/>
          <w:sz w:val="32"/>
          <w:szCs w:val="32"/>
          <w:highlight w:val="none"/>
        </w:rPr>
      </w:pPr>
      <w:r>
        <w:rPr>
          <w:rFonts w:hint="eastAsia" w:ascii="仿宋" w:hAnsi="仿宋" w:eastAsia="仿宋"/>
          <w:b w:val="0"/>
          <w:bCs/>
          <w:color w:val="auto"/>
          <w:sz w:val="32"/>
          <w:szCs w:val="32"/>
          <w:highlight w:val="none"/>
        </w:rPr>
        <w:t>第</w:t>
      </w:r>
      <w:r>
        <w:rPr>
          <w:rFonts w:hint="eastAsia" w:ascii="仿宋" w:hAnsi="仿宋" w:eastAsia="仿宋"/>
          <w:b w:val="0"/>
          <w:bCs/>
          <w:color w:val="auto"/>
          <w:sz w:val="32"/>
          <w:szCs w:val="32"/>
          <w:highlight w:val="none"/>
          <w:lang w:eastAsia="zh-CN"/>
        </w:rPr>
        <w:t>六</w:t>
      </w:r>
      <w:r>
        <w:rPr>
          <w:rFonts w:hint="eastAsia" w:ascii="仿宋" w:hAnsi="仿宋" w:eastAsia="仿宋"/>
          <w:b w:val="0"/>
          <w:bCs/>
          <w:color w:val="auto"/>
          <w:sz w:val="32"/>
          <w:szCs w:val="32"/>
          <w:highlight w:val="none"/>
        </w:rPr>
        <w:t xml:space="preserve">条 </w:t>
      </w:r>
      <w:r>
        <w:rPr>
          <w:rFonts w:ascii="仿宋" w:hAnsi="仿宋" w:eastAsia="仿宋"/>
          <w:b w:val="0"/>
          <w:bCs/>
          <w:color w:val="auto"/>
          <w:sz w:val="32"/>
          <w:szCs w:val="32"/>
          <w:highlight w:val="none"/>
        </w:rPr>
        <w:t xml:space="preserve"> </w:t>
      </w:r>
      <w:r>
        <w:rPr>
          <w:rFonts w:hint="eastAsia" w:ascii="仿宋" w:hAnsi="仿宋" w:eastAsia="仿宋"/>
          <w:b w:val="0"/>
          <w:bCs/>
          <w:color w:val="auto"/>
          <w:sz w:val="32"/>
          <w:szCs w:val="32"/>
          <w:highlight w:val="none"/>
          <w:lang w:eastAsia="zh-CN"/>
        </w:rPr>
        <w:t>滁州</w:t>
      </w:r>
      <w:r>
        <w:rPr>
          <w:rFonts w:hint="eastAsia" w:ascii="仿宋" w:hAnsi="仿宋" w:eastAsia="仿宋"/>
          <w:b w:val="0"/>
          <w:bCs/>
          <w:color w:val="auto"/>
          <w:sz w:val="32"/>
          <w:szCs w:val="32"/>
          <w:highlight w:val="none"/>
        </w:rPr>
        <w:t>经开区成立</w:t>
      </w:r>
      <w:r>
        <w:rPr>
          <w:rFonts w:ascii="仿宋" w:hAnsi="仿宋" w:eastAsia="仿宋"/>
          <w:b w:val="0"/>
          <w:bCs/>
          <w:color w:val="auto"/>
          <w:sz w:val="32"/>
          <w:szCs w:val="32"/>
          <w:highlight w:val="none"/>
        </w:rPr>
        <w:t>政府投资项目工程变更管理领导小组</w:t>
      </w:r>
      <w:r>
        <w:rPr>
          <w:rFonts w:hint="eastAsia" w:ascii="仿宋" w:hAnsi="仿宋" w:eastAsia="仿宋"/>
          <w:b w:val="0"/>
          <w:bCs/>
          <w:color w:val="auto"/>
          <w:sz w:val="32"/>
          <w:szCs w:val="32"/>
          <w:highlight w:val="none"/>
        </w:rPr>
        <w:t>（以下简称领导小组），负责建设项目的工程变更审批管理。</w:t>
      </w:r>
      <w:r>
        <w:rPr>
          <w:rFonts w:hint="eastAsia" w:ascii="仿宋" w:hAnsi="仿宋" w:eastAsia="仿宋"/>
          <w:b w:val="0"/>
          <w:bCs/>
          <w:color w:val="auto"/>
          <w:sz w:val="32"/>
          <w:szCs w:val="32"/>
          <w:highlight w:val="none"/>
          <w:lang w:eastAsia="zh-CN"/>
        </w:rPr>
        <w:t>领导小组</w:t>
      </w:r>
      <w:r>
        <w:rPr>
          <w:rFonts w:hint="eastAsia" w:ascii="仿宋" w:hAnsi="仿宋" w:eastAsia="仿宋"/>
          <w:b w:val="0"/>
          <w:bCs/>
          <w:color w:val="auto"/>
          <w:sz w:val="32"/>
          <w:szCs w:val="32"/>
          <w:highlight w:val="none"/>
        </w:rPr>
        <w:t>由管委会分管建设副主任任组长，</w:t>
      </w:r>
      <w:r>
        <w:rPr>
          <w:rFonts w:hint="eastAsia" w:ascii="仿宋" w:hAnsi="仿宋" w:eastAsia="仿宋"/>
          <w:b w:val="0"/>
          <w:bCs/>
          <w:color w:val="auto"/>
          <w:sz w:val="32"/>
          <w:szCs w:val="32"/>
          <w:highlight w:val="none"/>
          <w:lang w:val="en-US" w:eastAsia="zh-CN"/>
        </w:rPr>
        <w:t>经济运行局、</w:t>
      </w:r>
      <w:r>
        <w:rPr>
          <w:rFonts w:hint="eastAsia" w:ascii="仿宋" w:hAnsi="仿宋" w:eastAsia="仿宋"/>
          <w:b w:val="0"/>
          <w:bCs/>
          <w:color w:val="auto"/>
          <w:sz w:val="32"/>
          <w:szCs w:val="32"/>
          <w:highlight w:val="none"/>
        </w:rPr>
        <w:t>财政局、</w:t>
      </w:r>
      <w:r>
        <w:rPr>
          <w:rFonts w:hint="eastAsia" w:ascii="仿宋" w:hAnsi="仿宋" w:eastAsia="仿宋"/>
          <w:b w:val="0"/>
          <w:bCs/>
          <w:color w:val="auto"/>
          <w:sz w:val="32"/>
          <w:szCs w:val="32"/>
          <w:highlight w:val="none"/>
          <w:lang w:val="en-US" w:eastAsia="zh-CN"/>
        </w:rPr>
        <w:t>规划国土局、</w:t>
      </w:r>
      <w:r>
        <w:rPr>
          <w:rFonts w:hint="eastAsia" w:ascii="仿宋" w:hAnsi="仿宋" w:eastAsia="仿宋"/>
          <w:b w:val="0"/>
          <w:bCs/>
          <w:color w:val="auto"/>
          <w:sz w:val="32"/>
          <w:szCs w:val="32"/>
          <w:highlight w:val="none"/>
        </w:rPr>
        <w:t>建设局</w:t>
      </w:r>
      <w:r>
        <w:rPr>
          <w:rFonts w:hint="eastAsia" w:ascii="仿宋" w:hAnsi="仿宋" w:eastAsia="仿宋"/>
          <w:b w:val="0"/>
          <w:bCs/>
          <w:color w:val="auto"/>
          <w:sz w:val="32"/>
          <w:szCs w:val="32"/>
          <w:highlight w:val="none"/>
          <w:lang w:val="en-US" w:eastAsia="zh-CN"/>
        </w:rPr>
        <w:t>、同创公司</w:t>
      </w:r>
      <w:r>
        <w:rPr>
          <w:rFonts w:hint="eastAsia" w:ascii="仿宋" w:hAnsi="仿宋" w:eastAsia="仿宋"/>
          <w:b w:val="0"/>
          <w:bCs/>
          <w:color w:val="auto"/>
          <w:sz w:val="32"/>
          <w:szCs w:val="32"/>
          <w:highlight w:val="none"/>
        </w:rPr>
        <w:t>等为</w:t>
      </w:r>
      <w:r>
        <w:rPr>
          <w:rFonts w:hint="eastAsia" w:ascii="仿宋" w:hAnsi="仿宋" w:eastAsia="仿宋"/>
          <w:b w:val="0"/>
          <w:bCs/>
          <w:color w:val="auto"/>
          <w:sz w:val="32"/>
          <w:szCs w:val="32"/>
          <w:highlight w:val="none"/>
          <w:lang w:val="en-US" w:eastAsia="zh-CN"/>
        </w:rPr>
        <w:t>成员单位</w:t>
      </w:r>
      <w:r>
        <w:rPr>
          <w:rFonts w:hint="eastAsia" w:ascii="仿宋" w:hAnsi="仿宋" w:eastAsia="仿宋"/>
          <w:b w:val="0"/>
          <w:bCs/>
          <w:color w:val="auto"/>
          <w:sz w:val="32"/>
          <w:szCs w:val="32"/>
          <w:highlight w:val="none"/>
        </w:rPr>
        <w:t>，</w:t>
      </w:r>
      <w:r>
        <w:rPr>
          <w:rFonts w:hint="eastAsia" w:ascii="仿宋" w:hAnsi="仿宋" w:eastAsia="仿宋"/>
          <w:b w:val="0"/>
          <w:bCs/>
          <w:color w:val="auto"/>
          <w:sz w:val="32"/>
          <w:szCs w:val="32"/>
          <w:highlight w:val="none"/>
          <w:lang w:val="en-US" w:eastAsia="zh-CN"/>
        </w:rPr>
        <w:t>纪检监察工委负责监督。</w:t>
      </w:r>
      <w:r>
        <w:rPr>
          <w:rFonts w:hint="eastAsia" w:ascii="仿宋" w:hAnsi="仿宋" w:eastAsia="仿宋"/>
          <w:b w:val="0"/>
          <w:bCs/>
          <w:color w:val="auto"/>
          <w:sz w:val="32"/>
          <w:szCs w:val="32"/>
          <w:highlight w:val="none"/>
        </w:rPr>
        <w:t>领导小组下设办公室，办公室设在建设局，办公室主任由建设局局长担任。</w:t>
      </w:r>
    </w:p>
    <w:p w14:paraId="5E9F52B1">
      <w:pPr>
        <w:keepNext w:val="0"/>
        <w:keepLines w:val="0"/>
        <w:pageBreakBefore w:val="0"/>
        <w:shd w:val="clear" w:color="auto" w:fill="FFFFFF"/>
        <w:kinsoku/>
        <w:wordWrap/>
        <w:overflowPunct/>
        <w:topLinePunct w:val="0"/>
        <w:autoSpaceDE/>
        <w:autoSpaceDN/>
        <w:bidi w:val="0"/>
        <w:adjustRightInd/>
        <w:snapToGrid w:val="0"/>
        <w:spacing w:line="540" w:lineRule="exact"/>
        <w:jc w:val="center"/>
        <w:textAlignment w:val="auto"/>
        <w:rPr>
          <w:rFonts w:hint="eastAsia" w:ascii="仿宋" w:hAnsi="仿宋" w:eastAsia="仿宋" w:cs="仿宋"/>
          <w:b w:val="0"/>
          <w:bCs/>
          <w:color w:val="auto"/>
          <w:sz w:val="32"/>
          <w:szCs w:val="32"/>
          <w:highlight w:val="none"/>
        </w:rPr>
      </w:pPr>
      <w:r>
        <w:rPr>
          <w:rFonts w:hint="eastAsia" w:ascii="黑体" w:hAnsi="黑体" w:eastAsia="黑体"/>
          <w:b w:val="0"/>
          <w:bCs/>
          <w:color w:val="auto"/>
          <w:sz w:val="32"/>
          <w:szCs w:val="32"/>
          <w:highlight w:val="none"/>
        </w:rPr>
        <w:t>第三章  工程变更申请及审批流程</w:t>
      </w:r>
    </w:p>
    <w:p w14:paraId="20630266">
      <w:pPr>
        <w:keepNext w:val="0"/>
        <w:keepLines w:val="0"/>
        <w:pageBreakBefore w:val="0"/>
        <w:shd w:val="clear" w:color="auto" w:fill="FFFFFF"/>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b w:val="0"/>
          <w:bCs/>
          <w:color w:val="auto"/>
          <w:sz w:val="32"/>
          <w:szCs w:val="32"/>
          <w:highlight w:val="none"/>
        </w:rPr>
      </w:pPr>
      <w:r>
        <w:rPr>
          <w:rFonts w:hint="eastAsia" w:ascii="仿宋" w:hAnsi="仿宋" w:eastAsia="仿宋" w:cs="仿宋"/>
          <w:b w:val="0"/>
          <w:bCs/>
          <w:color w:val="auto"/>
          <w:sz w:val="32"/>
          <w:szCs w:val="32"/>
          <w:highlight w:val="none"/>
        </w:rPr>
        <w:t>第</w:t>
      </w:r>
      <w:r>
        <w:rPr>
          <w:rFonts w:hint="eastAsia" w:ascii="仿宋" w:hAnsi="仿宋" w:eastAsia="仿宋" w:cs="仿宋"/>
          <w:b w:val="0"/>
          <w:bCs/>
          <w:color w:val="auto"/>
          <w:sz w:val="32"/>
          <w:szCs w:val="32"/>
          <w:highlight w:val="none"/>
          <w:lang w:eastAsia="zh-CN"/>
        </w:rPr>
        <w:t>七</w:t>
      </w:r>
      <w:r>
        <w:rPr>
          <w:rFonts w:hint="eastAsia" w:ascii="仿宋" w:hAnsi="仿宋" w:eastAsia="仿宋" w:cs="仿宋"/>
          <w:b w:val="0"/>
          <w:bCs/>
          <w:color w:val="auto"/>
          <w:sz w:val="32"/>
          <w:szCs w:val="32"/>
          <w:highlight w:val="none"/>
        </w:rPr>
        <w:t>条</w:t>
      </w:r>
      <w:r>
        <w:rPr>
          <w:rFonts w:hint="eastAsia" w:ascii="仿宋" w:hAnsi="仿宋" w:eastAsia="仿宋"/>
          <w:b w:val="0"/>
          <w:bCs/>
          <w:color w:val="auto"/>
          <w:sz w:val="32"/>
          <w:szCs w:val="32"/>
          <w:highlight w:val="none"/>
        </w:rPr>
        <w:t xml:space="preserve">  工程勘察、设计、施工及监理单位均可向建设单位提出工程变更申请。</w:t>
      </w:r>
      <w:r>
        <w:rPr>
          <w:rFonts w:hint="eastAsia" w:ascii="仿宋" w:hAnsi="仿宋" w:eastAsia="仿宋"/>
          <w:b w:val="0"/>
          <w:bCs/>
          <w:color w:val="auto"/>
          <w:sz w:val="32"/>
          <w:szCs w:val="32"/>
          <w:highlight w:val="none"/>
          <w:lang w:val="en-US" w:eastAsia="zh-CN"/>
        </w:rPr>
        <w:t>对于</w:t>
      </w:r>
      <w:r>
        <w:rPr>
          <w:rFonts w:hint="eastAsia" w:ascii="仿宋" w:hAnsi="仿宋" w:eastAsia="仿宋"/>
          <w:b w:val="0"/>
          <w:bCs/>
          <w:color w:val="auto"/>
          <w:sz w:val="32"/>
          <w:szCs w:val="32"/>
          <w:highlight w:val="none"/>
        </w:rPr>
        <w:t>提出合理化</w:t>
      </w:r>
      <w:r>
        <w:rPr>
          <w:rFonts w:hint="eastAsia" w:ascii="仿宋" w:hAnsi="仿宋" w:eastAsia="仿宋"/>
          <w:b w:val="0"/>
          <w:bCs/>
          <w:color w:val="auto"/>
          <w:sz w:val="32"/>
          <w:szCs w:val="32"/>
          <w:highlight w:val="none"/>
          <w:lang w:val="en-US" w:eastAsia="zh-CN"/>
        </w:rPr>
        <w:t>工程</w:t>
      </w:r>
      <w:r>
        <w:rPr>
          <w:rFonts w:hint="eastAsia" w:ascii="仿宋" w:hAnsi="仿宋" w:eastAsia="仿宋"/>
          <w:b w:val="0"/>
          <w:bCs/>
          <w:color w:val="auto"/>
          <w:sz w:val="32"/>
          <w:szCs w:val="32"/>
          <w:highlight w:val="none"/>
        </w:rPr>
        <w:t>变更，经审核并被采纳并节省造价的，按照节省金额5%予以奖励。</w:t>
      </w:r>
    </w:p>
    <w:p w14:paraId="752C72F2">
      <w:pPr>
        <w:keepNext w:val="0"/>
        <w:keepLines w:val="0"/>
        <w:pageBreakBefore w:val="0"/>
        <w:shd w:val="clear" w:color="auto" w:fill="FFFFFF"/>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第</w:t>
      </w:r>
      <w:r>
        <w:rPr>
          <w:rFonts w:hint="eastAsia" w:ascii="仿宋" w:hAnsi="仿宋" w:eastAsia="仿宋"/>
          <w:b w:val="0"/>
          <w:bCs/>
          <w:color w:val="auto"/>
          <w:sz w:val="32"/>
          <w:szCs w:val="32"/>
          <w:highlight w:val="none"/>
          <w:lang w:eastAsia="zh-CN"/>
        </w:rPr>
        <w:t>八</w:t>
      </w:r>
      <w:r>
        <w:rPr>
          <w:rFonts w:hint="eastAsia" w:ascii="仿宋" w:hAnsi="仿宋" w:eastAsia="仿宋"/>
          <w:b w:val="0"/>
          <w:bCs/>
          <w:color w:val="auto"/>
          <w:sz w:val="32"/>
          <w:szCs w:val="32"/>
          <w:highlight w:val="none"/>
        </w:rPr>
        <w:t>条</w:t>
      </w:r>
      <w:r>
        <w:rPr>
          <w:rFonts w:hint="eastAsia" w:ascii="仿宋" w:hAnsi="仿宋" w:eastAsia="仿宋"/>
          <w:b w:val="0"/>
          <w:bCs/>
          <w:color w:val="auto"/>
          <w:sz w:val="32"/>
          <w:szCs w:val="32"/>
          <w:highlight w:val="none"/>
          <w:lang w:val="en-US" w:eastAsia="zh-CN"/>
        </w:rPr>
        <w:t xml:space="preserve">  </w:t>
      </w:r>
      <w:r>
        <w:rPr>
          <w:rFonts w:hint="eastAsia" w:ascii="仿宋" w:hAnsi="仿宋" w:eastAsia="仿宋" w:cs="仿宋_GB2312"/>
          <w:b w:val="0"/>
          <w:bCs/>
          <w:color w:val="auto"/>
          <w:kern w:val="0"/>
          <w:sz w:val="32"/>
          <w:szCs w:val="32"/>
          <w:highlight w:val="none"/>
        </w:rPr>
        <w:t>建设单位</w:t>
      </w:r>
      <w:r>
        <w:rPr>
          <w:rFonts w:hint="eastAsia" w:ascii="仿宋" w:hAnsi="仿宋" w:eastAsia="仿宋"/>
          <w:b w:val="0"/>
          <w:bCs/>
          <w:color w:val="auto"/>
          <w:sz w:val="32"/>
          <w:szCs w:val="32"/>
          <w:highlight w:val="none"/>
        </w:rPr>
        <w:t>组织施工单位、监理单位、设计单位、审计单位等主体建设单位召开工程变更审查会议，对工程变更的科学性、必要性和经济性等进行审查，确定变更方案及金额</w:t>
      </w:r>
      <w:r>
        <w:rPr>
          <w:rFonts w:hint="eastAsia" w:ascii="仿宋" w:hAnsi="仿宋" w:eastAsia="仿宋"/>
          <w:b w:val="0"/>
          <w:bCs/>
          <w:color w:val="auto"/>
          <w:sz w:val="32"/>
          <w:szCs w:val="32"/>
          <w:highlight w:val="none"/>
          <w:lang w:eastAsia="zh-CN"/>
        </w:rPr>
        <w:t>。</w:t>
      </w:r>
      <w:r>
        <w:rPr>
          <w:rFonts w:hint="eastAsia" w:ascii="仿宋" w:hAnsi="仿宋" w:eastAsia="仿宋" w:cs="仿宋"/>
          <w:b w:val="0"/>
          <w:bCs/>
          <w:color w:val="auto"/>
          <w:sz w:val="32"/>
          <w:szCs w:val="32"/>
          <w:highlight w:val="none"/>
        </w:rPr>
        <w:t>工程变更应提供情况说明、变更原因和责任分析等必要材料。</w:t>
      </w:r>
    </w:p>
    <w:p w14:paraId="7144D96B">
      <w:pPr>
        <w:keepNext w:val="0"/>
        <w:keepLines w:val="0"/>
        <w:pageBreakBefore w:val="0"/>
        <w:shd w:val="clear" w:color="auto" w:fill="FFFFFF"/>
        <w:kinsoku/>
        <w:wordWrap/>
        <w:overflowPunct/>
        <w:topLinePunct w:val="0"/>
        <w:autoSpaceDE/>
        <w:autoSpaceDN/>
        <w:bidi w:val="0"/>
        <w:adjustRightInd/>
        <w:snapToGrid w:val="0"/>
        <w:spacing w:line="540" w:lineRule="exact"/>
        <w:ind w:firstLine="640" w:firstLineChars="200"/>
        <w:textAlignment w:val="auto"/>
        <w:rPr>
          <w:rFonts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第</w:t>
      </w:r>
      <w:r>
        <w:rPr>
          <w:rFonts w:hint="eastAsia" w:ascii="仿宋" w:hAnsi="仿宋" w:eastAsia="仿宋"/>
          <w:b w:val="0"/>
          <w:bCs/>
          <w:color w:val="auto"/>
          <w:sz w:val="32"/>
          <w:szCs w:val="32"/>
          <w:highlight w:val="none"/>
          <w:lang w:eastAsia="zh-CN"/>
        </w:rPr>
        <w:t>九</w:t>
      </w:r>
      <w:r>
        <w:rPr>
          <w:rFonts w:hint="eastAsia" w:ascii="仿宋" w:hAnsi="仿宋" w:eastAsia="仿宋"/>
          <w:b w:val="0"/>
          <w:bCs/>
          <w:color w:val="auto"/>
          <w:sz w:val="32"/>
          <w:szCs w:val="32"/>
          <w:highlight w:val="none"/>
        </w:rPr>
        <w:t>条  工程变更审批根据按照以下流程办理，其中：</w:t>
      </w:r>
    </w:p>
    <w:p w14:paraId="5E29AAAE">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（一）</w:t>
      </w:r>
      <w:r>
        <w:rPr>
          <w:rFonts w:hint="eastAsia" w:ascii="仿宋" w:hAnsi="仿宋" w:eastAsia="仿宋"/>
          <w:b w:val="0"/>
          <w:bCs/>
          <w:color w:val="auto"/>
          <w:sz w:val="32"/>
          <w:szCs w:val="32"/>
          <w:highlight w:val="none"/>
          <w:lang w:eastAsia="zh-CN"/>
        </w:rPr>
        <w:t>单项变更</w:t>
      </w:r>
      <w:r>
        <w:rPr>
          <w:rFonts w:hint="eastAsia" w:ascii="仿宋" w:hAnsi="仿宋" w:eastAsia="仿宋"/>
          <w:b w:val="0"/>
          <w:bCs/>
          <w:color w:val="auto"/>
          <w:sz w:val="32"/>
          <w:szCs w:val="32"/>
          <w:highlight w:val="none"/>
        </w:rPr>
        <w:t>造价</w:t>
      </w:r>
      <w:r>
        <w:rPr>
          <w:rFonts w:hint="eastAsia" w:ascii="仿宋" w:hAnsi="仿宋" w:eastAsia="仿宋"/>
          <w:b w:val="0"/>
          <w:bCs/>
          <w:color w:val="auto"/>
          <w:sz w:val="32"/>
          <w:szCs w:val="32"/>
          <w:highlight w:val="none"/>
          <w:lang w:eastAsia="zh-CN"/>
        </w:rPr>
        <w:t>净</w:t>
      </w:r>
      <w:r>
        <w:rPr>
          <w:rFonts w:hint="eastAsia" w:ascii="仿宋" w:hAnsi="仿宋" w:eastAsia="仿宋"/>
          <w:b w:val="0"/>
          <w:bCs/>
          <w:color w:val="auto"/>
          <w:sz w:val="32"/>
          <w:szCs w:val="32"/>
          <w:highlight w:val="none"/>
        </w:rPr>
        <w:t>增</w:t>
      </w:r>
      <w:r>
        <w:rPr>
          <w:rFonts w:hint="eastAsia" w:ascii="仿宋" w:hAnsi="仿宋" w:eastAsia="仿宋"/>
          <w:b w:val="0"/>
          <w:bCs/>
          <w:color w:val="auto"/>
          <w:sz w:val="32"/>
          <w:szCs w:val="32"/>
          <w:highlight w:val="none"/>
          <w:lang w:eastAsia="zh-CN"/>
        </w:rPr>
        <w:t>加</w:t>
      </w:r>
      <w:r>
        <w:rPr>
          <w:rFonts w:hint="eastAsia" w:ascii="仿宋" w:hAnsi="仿宋" w:eastAsia="仿宋"/>
          <w:b w:val="0"/>
          <w:bCs/>
          <w:color w:val="auto"/>
          <w:sz w:val="32"/>
          <w:szCs w:val="32"/>
          <w:highlight w:val="none"/>
        </w:rPr>
        <w:t>10万元以下变更，由项目</w:t>
      </w:r>
      <w:r>
        <w:rPr>
          <w:rFonts w:hint="eastAsia" w:ascii="仿宋" w:hAnsi="仿宋" w:eastAsia="仿宋"/>
          <w:b w:val="0"/>
          <w:bCs/>
          <w:color w:val="auto"/>
          <w:sz w:val="32"/>
          <w:szCs w:val="32"/>
          <w:highlight w:val="none"/>
          <w:lang w:eastAsia="zh-CN"/>
        </w:rPr>
        <w:t>建设单位研究审批</w:t>
      </w:r>
      <w:r>
        <w:rPr>
          <w:rFonts w:hint="eastAsia" w:ascii="仿宋" w:hAnsi="仿宋" w:eastAsia="仿宋"/>
          <w:b w:val="0"/>
          <w:bCs/>
          <w:color w:val="auto"/>
          <w:sz w:val="32"/>
          <w:szCs w:val="32"/>
          <w:highlight w:val="none"/>
        </w:rPr>
        <w:t>。</w:t>
      </w:r>
    </w:p>
    <w:p w14:paraId="5D127B48">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（二）</w:t>
      </w:r>
      <w:r>
        <w:rPr>
          <w:rFonts w:hint="eastAsia" w:ascii="仿宋" w:hAnsi="仿宋" w:eastAsia="仿宋"/>
          <w:b w:val="0"/>
          <w:bCs/>
          <w:color w:val="auto"/>
          <w:sz w:val="32"/>
          <w:szCs w:val="32"/>
          <w:highlight w:val="none"/>
          <w:lang w:eastAsia="zh-CN"/>
        </w:rPr>
        <w:t>单项变更</w:t>
      </w:r>
      <w:r>
        <w:rPr>
          <w:rFonts w:hint="eastAsia" w:ascii="仿宋" w:hAnsi="仿宋" w:eastAsia="仿宋"/>
          <w:b w:val="0"/>
          <w:bCs/>
          <w:color w:val="auto"/>
          <w:sz w:val="32"/>
          <w:szCs w:val="32"/>
          <w:highlight w:val="none"/>
        </w:rPr>
        <w:t>造价</w:t>
      </w:r>
      <w:r>
        <w:rPr>
          <w:rFonts w:hint="eastAsia" w:ascii="仿宋" w:hAnsi="仿宋" w:eastAsia="仿宋"/>
          <w:b w:val="0"/>
          <w:bCs/>
          <w:color w:val="auto"/>
          <w:sz w:val="32"/>
          <w:szCs w:val="32"/>
          <w:highlight w:val="none"/>
          <w:lang w:eastAsia="zh-CN"/>
        </w:rPr>
        <w:t>净</w:t>
      </w:r>
      <w:r>
        <w:rPr>
          <w:rFonts w:hint="eastAsia" w:ascii="仿宋" w:hAnsi="仿宋" w:eastAsia="仿宋"/>
          <w:b w:val="0"/>
          <w:bCs/>
          <w:color w:val="auto"/>
          <w:sz w:val="32"/>
          <w:szCs w:val="32"/>
          <w:highlight w:val="none"/>
        </w:rPr>
        <w:t>增</w:t>
      </w:r>
      <w:r>
        <w:rPr>
          <w:rFonts w:hint="eastAsia" w:ascii="仿宋" w:hAnsi="仿宋" w:eastAsia="仿宋"/>
          <w:b w:val="0"/>
          <w:bCs/>
          <w:color w:val="auto"/>
          <w:sz w:val="32"/>
          <w:szCs w:val="32"/>
          <w:highlight w:val="none"/>
          <w:lang w:eastAsia="zh-CN"/>
        </w:rPr>
        <w:t>加</w:t>
      </w:r>
      <w:r>
        <w:rPr>
          <w:rFonts w:hint="eastAsia" w:ascii="仿宋" w:hAnsi="仿宋" w:eastAsia="仿宋"/>
          <w:b w:val="0"/>
          <w:bCs/>
          <w:color w:val="auto"/>
          <w:sz w:val="32"/>
          <w:szCs w:val="32"/>
          <w:highlight w:val="none"/>
        </w:rPr>
        <w:t>10</w:t>
      </w:r>
      <w:r>
        <w:rPr>
          <w:rFonts w:hint="eastAsia" w:ascii="仿宋" w:hAnsi="仿宋" w:eastAsia="仿宋"/>
          <w:b w:val="0"/>
          <w:bCs/>
          <w:color w:val="auto"/>
          <w:sz w:val="32"/>
          <w:szCs w:val="32"/>
          <w:highlight w:val="none"/>
          <w:lang w:eastAsia="zh-CN"/>
        </w:rPr>
        <w:t>万元</w:t>
      </w:r>
      <w:r>
        <w:rPr>
          <w:rFonts w:hint="eastAsia" w:ascii="仿宋" w:hAnsi="仿宋" w:eastAsia="仿宋"/>
          <w:b w:val="0"/>
          <w:bCs/>
          <w:color w:val="auto"/>
          <w:sz w:val="32"/>
          <w:szCs w:val="32"/>
          <w:highlight w:val="none"/>
        </w:rPr>
        <w:t>-</w:t>
      </w:r>
      <w:r>
        <w:rPr>
          <w:rFonts w:ascii="仿宋" w:hAnsi="仿宋" w:eastAsia="仿宋"/>
          <w:b w:val="0"/>
          <w:bCs/>
          <w:color w:val="auto"/>
          <w:sz w:val="32"/>
          <w:szCs w:val="32"/>
          <w:highlight w:val="none"/>
        </w:rPr>
        <w:t>30</w:t>
      </w:r>
      <w:r>
        <w:rPr>
          <w:rFonts w:hint="eastAsia" w:ascii="仿宋" w:hAnsi="仿宋" w:eastAsia="仿宋"/>
          <w:b w:val="0"/>
          <w:bCs/>
          <w:color w:val="auto"/>
          <w:sz w:val="32"/>
          <w:szCs w:val="32"/>
          <w:highlight w:val="none"/>
        </w:rPr>
        <w:t>万元之间变更，由变更领导小组办公室审批。</w:t>
      </w:r>
    </w:p>
    <w:p w14:paraId="037AEBB4">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hint="eastAsia"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（三）</w:t>
      </w:r>
      <w:r>
        <w:rPr>
          <w:rFonts w:hint="eastAsia" w:ascii="仿宋" w:hAnsi="仿宋" w:eastAsia="仿宋"/>
          <w:b w:val="0"/>
          <w:bCs/>
          <w:color w:val="auto"/>
          <w:sz w:val="32"/>
          <w:szCs w:val="32"/>
          <w:highlight w:val="none"/>
          <w:lang w:eastAsia="zh-CN"/>
        </w:rPr>
        <w:t>单项变更</w:t>
      </w:r>
      <w:r>
        <w:rPr>
          <w:rFonts w:hint="eastAsia" w:ascii="仿宋" w:hAnsi="仿宋" w:eastAsia="仿宋"/>
          <w:b w:val="0"/>
          <w:bCs/>
          <w:color w:val="auto"/>
          <w:sz w:val="32"/>
          <w:szCs w:val="32"/>
          <w:highlight w:val="none"/>
        </w:rPr>
        <w:t>造价</w:t>
      </w:r>
      <w:r>
        <w:rPr>
          <w:rFonts w:hint="eastAsia" w:ascii="仿宋" w:hAnsi="仿宋" w:eastAsia="仿宋"/>
          <w:b w:val="0"/>
          <w:bCs/>
          <w:color w:val="auto"/>
          <w:sz w:val="32"/>
          <w:szCs w:val="32"/>
          <w:highlight w:val="none"/>
          <w:lang w:eastAsia="zh-CN"/>
        </w:rPr>
        <w:t>净</w:t>
      </w:r>
      <w:r>
        <w:rPr>
          <w:rFonts w:hint="eastAsia" w:ascii="仿宋" w:hAnsi="仿宋" w:eastAsia="仿宋"/>
          <w:b w:val="0"/>
          <w:bCs/>
          <w:color w:val="auto"/>
          <w:sz w:val="32"/>
          <w:szCs w:val="32"/>
          <w:highlight w:val="none"/>
        </w:rPr>
        <w:t>增</w:t>
      </w:r>
      <w:r>
        <w:rPr>
          <w:rFonts w:hint="eastAsia" w:ascii="仿宋" w:hAnsi="仿宋" w:eastAsia="仿宋"/>
          <w:b w:val="0"/>
          <w:bCs/>
          <w:color w:val="auto"/>
          <w:sz w:val="32"/>
          <w:szCs w:val="32"/>
          <w:highlight w:val="none"/>
          <w:lang w:eastAsia="zh-CN"/>
        </w:rPr>
        <w:t>加</w:t>
      </w:r>
      <w:r>
        <w:rPr>
          <w:rFonts w:hint="eastAsia" w:ascii="仿宋" w:hAnsi="仿宋" w:eastAsia="仿宋"/>
          <w:b w:val="0"/>
          <w:bCs/>
          <w:color w:val="auto"/>
          <w:sz w:val="32"/>
          <w:szCs w:val="32"/>
          <w:highlight w:val="none"/>
          <w:lang w:val="en-US" w:eastAsia="zh-CN"/>
        </w:rPr>
        <w:t>3</w:t>
      </w:r>
      <w:r>
        <w:rPr>
          <w:rFonts w:ascii="仿宋" w:hAnsi="仿宋" w:eastAsia="仿宋"/>
          <w:b w:val="0"/>
          <w:bCs/>
          <w:color w:val="auto"/>
          <w:sz w:val="32"/>
          <w:szCs w:val="32"/>
          <w:highlight w:val="none"/>
        </w:rPr>
        <w:t>0</w:t>
      </w:r>
      <w:r>
        <w:rPr>
          <w:rFonts w:hint="eastAsia" w:ascii="仿宋" w:hAnsi="仿宋" w:eastAsia="仿宋"/>
          <w:b w:val="0"/>
          <w:bCs/>
          <w:color w:val="auto"/>
          <w:sz w:val="32"/>
          <w:szCs w:val="32"/>
          <w:highlight w:val="none"/>
        </w:rPr>
        <w:t>万元-</w:t>
      </w:r>
      <w:r>
        <w:rPr>
          <w:rFonts w:hint="eastAsia" w:ascii="仿宋" w:hAnsi="仿宋" w:eastAsia="仿宋"/>
          <w:b w:val="0"/>
          <w:bCs/>
          <w:color w:val="auto"/>
          <w:sz w:val="32"/>
          <w:szCs w:val="32"/>
          <w:highlight w:val="none"/>
          <w:lang w:val="en-US" w:eastAsia="zh-CN"/>
        </w:rPr>
        <w:t>5</w:t>
      </w:r>
      <w:r>
        <w:rPr>
          <w:rFonts w:ascii="仿宋" w:hAnsi="仿宋" w:eastAsia="仿宋"/>
          <w:b w:val="0"/>
          <w:bCs/>
          <w:color w:val="auto"/>
          <w:sz w:val="32"/>
          <w:szCs w:val="32"/>
          <w:highlight w:val="none"/>
        </w:rPr>
        <w:t>0</w:t>
      </w:r>
      <w:r>
        <w:rPr>
          <w:rFonts w:hint="eastAsia" w:ascii="仿宋" w:hAnsi="仿宋" w:eastAsia="仿宋"/>
          <w:b w:val="0"/>
          <w:bCs/>
          <w:color w:val="auto"/>
          <w:sz w:val="32"/>
          <w:szCs w:val="32"/>
          <w:highlight w:val="none"/>
        </w:rPr>
        <w:t>万元之间变更，由领导小组办公室审核</w:t>
      </w:r>
      <w:r>
        <w:rPr>
          <w:rFonts w:hint="eastAsia" w:ascii="仿宋" w:hAnsi="仿宋" w:eastAsia="仿宋"/>
          <w:b w:val="0"/>
          <w:bCs/>
          <w:color w:val="auto"/>
          <w:sz w:val="32"/>
          <w:szCs w:val="32"/>
          <w:highlight w:val="none"/>
          <w:lang w:eastAsia="zh-CN"/>
        </w:rPr>
        <w:t>后</w:t>
      </w:r>
      <w:r>
        <w:rPr>
          <w:rFonts w:hint="eastAsia" w:ascii="仿宋" w:hAnsi="仿宋" w:eastAsia="仿宋"/>
          <w:b w:val="0"/>
          <w:bCs/>
          <w:color w:val="auto"/>
          <w:sz w:val="32"/>
          <w:szCs w:val="32"/>
          <w:highlight w:val="none"/>
        </w:rPr>
        <w:t>，报变更领导小组</w:t>
      </w:r>
      <w:r>
        <w:rPr>
          <w:rFonts w:hint="eastAsia" w:ascii="仿宋" w:hAnsi="仿宋" w:eastAsia="仿宋"/>
          <w:b w:val="0"/>
          <w:bCs/>
          <w:color w:val="auto"/>
          <w:sz w:val="32"/>
          <w:szCs w:val="32"/>
          <w:highlight w:val="none"/>
          <w:lang w:eastAsia="zh-CN"/>
        </w:rPr>
        <w:t>组长</w:t>
      </w:r>
      <w:r>
        <w:rPr>
          <w:rFonts w:hint="eastAsia" w:ascii="仿宋" w:hAnsi="仿宋" w:eastAsia="仿宋"/>
          <w:b w:val="0"/>
          <w:bCs/>
          <w:color w:val="auto"/>
          <w:sz w:val="32"/>
          <w:szCs w:val="32"/>
          <w:highlight w:val="none"/>
        </w:rPr>
        <w:t>审批。</w:t>
      </w:r>
    </w:p>
    <w:p w14:paraId="263A74ED">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hint="eastAsia"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w:t>
      </w:r>
      <w:r>
        <w:rPr>
          <w:rFonts w:hint="eastAsia" w:ascii="仿宋" w:hAnsi="仿宋" w:eastAsia="仿宋"/>
          <w:b w:val="0"/>
          <w:bCs/>
          <w:color w:val="auto"/>
          <w:sz w:val="32"/>
          <w:szCs w:val="32"/>
          <w:highlight w:val="none"/>
          <w:lang w:eastAsia="zh-CN"/>
        </w:rPr>
        <w:t>四</w:t>
      </w:r>
      <w:r>
        <w:rPr>
          <w:rFonts w:hint="eastAsia" w:ascii="仿宋" w:hAnsi="仿宋" w:eastAsia="仿宋"/>
          <w:b w:val="0"/>
          <w:bCs/>
          <w:color w:val="auto"/>
          <w:sz w:val="32"/>
          <w:szCs w:val="32"/>
          <w:highlight w:val="none"/>
        </w:rPr>
        <w:t>）</w:t>
      </w:r>
      <w:r>
        <w:rPr>
          <w:rFonts w:hint="eastAsia" w:ascii="仿宋" w:hAnsi="仿宋" w:eastAsia="仿宋"/>
          <w:b w:val="0"/>
          <w:bCs/>
          <w:color w:val="auto"/>
          <w:sz w:val="32"/>
          <w:szCs w:val="32"/>
          <w:highlight w:val="none"/>
          <w:lang w:eastAsia="zh-CN"/>
        </w:rPr>
        <w:t>单项变更</w:t>
      </w:r>
      <w:r>
        <w:rPr>
          <w:rFonts w:hint="eastAsia" w:ascii="仿宋" w:hAnsi="仿宋" w:eastAsia="仿宋"/>
          <w:b w:val="0"/>
          <w:bCs/>
          <w:color w:val="auto"/>
          <w:sz w:val="32"/>
          <w:szCs w:val="32"/>
          <w:highlight w:val="none"/>
        </w:rPr>
        <w:t>造价</w:t>
      </w:r>
      <w:r>
        <w:rPr>
          <w:rFonts w:hint="eastAsia" w:ascii="仿宋" w:hAnsi="仿宋" w:eastAsia="仿宋"/>
          <w:b w:val="0"/>
          <w:bCs/>
          <w:color w:val="auto"/>
          <w:sz w:val="32"/>
          <w:szCs w:val="32"/>
          <w:highlight w:val="none"/>
          <w:lang w:eastAsia="zh-CN"/>
        </w:rPr>
        <w:t>净</w:t>
      </w:r>
      <w:r>
        <w:rPr>
          <w:rFonts w:hint="eastAsia" w:ascii="仿宋" w:hAnsi="仿宋" w:eastAsia="仿宋"/>
          <w:b w:val="0"/>
          <w:bCs/>
          <w:color w:val="auto"/>
          <w:sz w:val="32"/>
          <w:szCs w:val="32"/>
          <w:highlight w:val="none"/>
        </w:rPr>
        <w:t>增</w:t>
      </w:r>
      <w:r>
        <w:rPr>
          <w:rFonts w:hint="eastAsia" w:ascii="仿宋" w:hAnsi="仿宋" w:eastAsia="仿宋"/>
          <w:b w:val="0"/>
          <w:bCs/>
          <w:color w:val="auto"/>
          <w:sz w:val="32"/>
          <w:szCs w:val="32"/>
          <w:highlight w:val="none"/>
          <w:lang w:eastAsia="zh-CN"/>
        </w:rPr>
        <w:t>加</w:t>
      </w:r>
      <w:r>
        <w:rPr>
          <w:rFonts w:hint="eastAsia" w:ascii="仿宋" w:hAnsi="仿宋" w:eastAsia="仿宋"/>
          <w:b w:val="0"/>
          <w:bCs/>
          <w:color w:val="auto"/>
          <w:sz w:val="32"/>
          <w:szCs w:val="32"/>
          <w:highlight w:val="none"/>
          <w:lang w:val="en-US" w:eastAsia="zh-CN"/>
        </w:rPr>
        <w:t>5</w:t>
      </w:r>
      <w:r>
        <w:rPr>
          <w:rFonts w:ascii="仿宋" w:hAnsi="仿宋" w:eastAsia="仿宋"/>
          <w:b w:val="0"/>
          <w:bCs/>
          <w:color w:val="auto"/>
          <w:sz w:val="32"/>
          <w:szCs w:val="32"/>
          <w:highlight w:val="none"/>
        </w:rPr>
        <w:t>0</w:t>
      </w:r>
      <w:r>
        <w:rPr>
          <w:rFonts w:hint="eastAsia" w:ascii="仿宋" w:hAnsi="仿宋" w:eastAsia="仿宋"/>
          <w:b w:val="0"/>
          <w:bCs/>
          <w:color w:val="auto"/>
          <w:sz w:val="32"/>
          <w:szCs w:val="32"/>
          <w:highlight w:val="none"/>
        </w:rPr>
        <w:t>万元-</w:t>
      </w:r>
      <w:r>
        <w:rPr>
          <w:rFonts w:ascii="仿宋" w:hAnsi="仿宋" w:eastAsia="仿宋"/>
          <w:b w:val="0"/>
          <w:bCs/>
          <w:color w:val="auto"/>
          <w:sz w:val="32"/>
          <w:szCs w:val="32"/>
          <w:highlight w:val="none"/>
        </w:rPr>
        <w:t>100</w:t>
      </w:r>
      <w:r>
        <w:rPr>
          <w:rFonts w:hint="eastAsia" w:ascii="仿宋" w:hAnsi="仿宋" w:eastAsia="仿宋"/>
          <w:b w:val="0"/>
          <w:bCs/>
          <w:color w:val="auto"/>
          <w:sz w:val="32"/>
          <w:szCs w:val="32"/>
          <w:highlight w:val="none"/>
        </w:rPr>
        <w:t>万元之间变更，由领导小组办公室审核</w:t>
      </w:r>
      <w:r>
        <w:rPr>
          <w:rFonts w:hint="eastAsia" w:ascii="仿宋" w:hAnsi="仿宋" w:eastAsia="仿宋"/>
          <w:b w:val="0"/>
          <w:bCs/>
          <w:color w:val="auto"/>
          <w:sz w:val="32"/>
          <w:szCs w:val="32"/>
          <w:highlight w:val="none"/>
          <w:lang w:eastAsia="zh-CN"/>
        </w:rPr>
        <w:t>后</w:t>
      </w:r>
      <w:r>
        <w:rPr>
          <w:rFonts w:hint="eastAsia" w:ascii="仿宋" w:hAnsi="仿宋" w:eastAsia="仿宋"/>
          <w:b w:val="0"/>
          <w:bCs/>
          <w:color w:val="auto"/>
          <w:sz w:val="32"/>
          <w:szCs w:val="32"/>
          <w:highlight w:val="none"/>
        </w:rPr>
        <w:t>，并提请召开领导小组会议</w:t>
      </w:r>
      <w:r>
        <w:rPr>
          <w:rFonts w:hint="eastAsia" w:ascii="仿宋" w:hAnsi="仿宋" w:eastAsia="仿宋" w:cs="仿宋_GB2312"/>
          <w:b w:val="0"/>
          <w:bCs/>
          <w:color w:val="auto"/>
          <w:kern w:val="0"/>
          <w:sz w:val="32"/>
          <w:szCs w:val="32"/>
          <w:highlight w:val="none"/>
        </w:rPr>
        <w:t>研究</w:t>
      </w:r>
      <w:r>
        <w:rPr>
          <w:rFonts w:hint="eastAsia" w:ascii="仿宋" w:hAnsi="仿宋" w:eastAsia="仿宋"/>
          <w:b w:val="0"/>
          <w:bCs/>
          <w:color w:val="auto"/>
          <w:sz w:val="32"/>
          <w:szCs w:val="32"/>
          <w:highlight w:val="none"/>
        </w:rPr>
        <w:t>。</w:t>
      </w:r>
    </w:p>
    <w:p w14:paraId="1242D1AA">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hint="eastAsia" w:ascii="黑体" w:hAnsi="黑体" w:eastAsia="黑体" w:cs="黑体"/>
          <w:b w:val="0"/>
          <w:bCs/>
          <w:color w:val="auto"/>
          <w:kern w:val="0"/>
          <w:sz w:val="32"/>
          <w:szCs w:val="32"/>
          <w:highlight w:val="none"/>
        </w:rPr>
      </w:pPr>
      <w:r>
        <w:rPr>
          <w:rFonts w:hint="eastAsia" w:ascii="仿宋" w:hAnsi="仿宋" w:eastAsia="仿宋"/>
          <w:b w:val="0"/>
          <w:bCs/>
          <w:color w:val="auto"/>
          <w:sz w:val="32"/>
          <w:szCs w:val="32"/>
          <w:highlight w:val="none"/>
        </w:rPr>
        <w:t>（</w:t>
      </w:r>
      <w:r>
        <w:rPr>
          <w:rFonts w:hint="eastAsia" w:ascii="仿宋" w:hAnsi="仿宋" w:eastAsia="仿宋"/>
          <w:b w:val="0"/>
          <w:bCs/>
          <w:color w:val="auto"/>
          <w:sz w:val="32"/>
          <w:szCs w:val="32"/>
          <w:highlight w:val="none"/>
          <w:lang w:eastAsia="zh-CN"/>
        </w:rPr>
        <w:t>五</w:t>
      </w:r>
      <w:r>
        <w:rPr>
          <w:rFonts w:hint="eastAsia" w:ascii="仿宋" w:hAnsi="仿宋" w:eastAsia="仿宋"/>
          <w:b w:val="0"/>
          <w:bCs/>
          <w:color w:val="auto"/>
          <w:sz w:val="32"/>
          <w:szCs w:val="32"/>
          <w:highlight w:val="none"/>
        </w:rPr>
        <w:t>）</w:t>
      </w:r>
      <w:r>
        <w:rPr>
          <w:rFonts w:hint="eastAsia" w:ascii="仿宋" w:hAnsi="仿宋" w:eastAsia="仿宋"/>
          <w:b w:val="0"/>
          <w:bCs/>
          <w:color w:val="auto"/>
          <w:sz w:val="32"/>
          <w:szCs w:val="32"/>
          <w:highlight w:val="none"/>
          <w:lang w:eastAsia="zh-CN"/>
        </w:rPr>
        <w:t>单项变更</w:t>
      </w:r>
      <w:r>
        <w:rPr>
          <w:rFonts w:hint="eastAsia" w:ascii="仿宋" w:hAnsi="仿宋" w:eastAsia="仿宋"/>
          <w:b w:val="0"/>
          <w:bCs/>
          <w:color w:val="auto"/>
          <w:sz w:val="32"/>
          <w:szCs w:val="32"/>
          <w:highlight w:val="none"/>
        </w:rPr>
        <w:t>造价</w:t>
      </w:r>
      <w:r>
        <w:rPr>
          <w:rFonts w:hint="eastAsia" w:ascii="仿宋" w:hAnsi="仿宋" w:eastAsia="仿宋"/>
          <w:b w:val="0"/>
          <w:bCs/>
          <w:color w:val="auto"/>
          <w:sz w:val="32"/>
          <w:szCs w:val="32"/>
          <w:highlight w:val="none"/>
          <w:lang w:eastAsia="zh-CN"/>
        </w:rPr>
        <w:t>净</w:t>
      </w:r>
      <w:r>
        <w:rPr>
          <w:rFonts w:hint="eastAsia" w:ascii="仿宋" w:hAnsi="仿宋" w:eastAsia="仿宋"/>
          <w:b w:val="0"/>
          <w:bCs/>
          <w:color w:val="auto"/>
          <w:sz w:val="32"/>
          <w:szCs w:val="32"/>
          <w:highlight w:val="none"/>
        </w:rPr>
        <w:t>增</w:t>
      </w:r>
      <w:r>
        <w:rPr>
          <w:rFonts w:hint="eastAsia" w:ascii="仿宋" w:hAnsi="仿宋" w:eastAsia="仿宋"/>
          <w:b w:val="0"/>
          <w:bCs/>
          <w:color w:val="auto"/>
          <w:sz w:val="32"/>
          <w:szCs w:val="32"/>
          <w:highlight w:val="none"/>
          <w:lang w:eastAsia="zh-CN"/>
        </w:rPr>
        <w:t>加</w:t>
      </w:r>
      <w:r>
        <w:rPr>
          <w:rFonts w:ascii="仿宋" w:hAnsi="仿宋" w:eastAsia="仿宋"/>
          <w:b w:val="0"/>
          <w:bCs/>
          <w:color w:val="auto"/>
          <w:sz w:val="32"/>
          <w:szCs w:val="32"/>
          <w:highlight w:val="none"/>
        </w:rPr>
        <w:t>100</w:t>
      </w:r>
      <w:r>
        <w:rPr>
          <w:rFonts w:hint="eastAsia" w:ascii="仿宋" w:hAnsi="仿宋" w:eastAsia="仿宋"/>
          <w:b w:val="0"/>
          <w:bCs/>
          <w:color w:val="auto"/>
          <w:sz w:val="32"/>
          <w:szCs w:val="32"/>
          <w:highlight w:val="none"/>
        </w:rPr>
        <w:t>万元以上的变更</w:t>
      </w:r>
      <w:r>
        <w:rPr>
          <w:rFonts w:hint="eastAsia" w:ascii="仿宋" w:hAnsi="仿宋" w:eastAsia="仿宋"/>
          <w:b w:val="0"/>
          <w:bCs/>
          <w:color w:val="auto"/>
          <w:sz w:val="32"/>
          <w:szCs w:val="32"/>
          <w:highlight w:val="none"/>
          <w:lang w:eastAsia="zh-CN"/>
        </w:rPr>
        <w:t>，由</w:t>
      </w:r>
      <w:r>
        <w:rPr>
          <w:rFonts w:hint="eastAsia" w:ascii="仿宋" w:hAnsi="仿宋" w:eastAsia="仿宋"/>
          <w:b w:val="0"/>
          <w:bCs/>
          <w:color w:val="auto"/>
          <w:sz w:val="32"/>
          <w:szCs w:val="32"/>
          <w:highlight w:val="none"/>
        </w:rPr>
        <w:t>领导小组会议研究通过后</w:t>
      </w:r>
      <w:r>
        <w:rPr>
          <w:rFonts w:hint="eastAsia" w:ascii="仿宋" w:hAnsi="仿宋" w:eastAsia="仿宋"/>
          <w:b w:val="0"/>
          <w:bCs/>
          <w:color w:val="auto"/>
          <w:sz w:val="32"/>
          <w:szCs w:val="32"/>
          <w:highlight w:val="none"/>
          <w:lang w:eastAsia="zh-CN"/>
        </w:rPr>
        <w:t>，</w:t>
      </w:r>
      <w:r>
        <w:rPr>
          <w:rFonts w:hint="eastAsia" w:ascii="仿宋" w:hAnsi="仿宋" w:eastAsia="仿宋"/>
          <w:b w:val="0"/>
          <w:bCs/>
          <w:color w:val="auto"/>
          <w:sz w:val="32"/>
          <w:szCs w:val="32"/>
          <w:highlight w:val="none"/>
        </w:rPr>
        <w:t>报请主任办公会议</w:t>
      </w:r>
      <w:r>
        <w:rPr>
          <w:rFonts w:hint="eastAsia" w:ascii="仿宋" w:hAnsi="仿宋" w:eastAsia="仿宋"/>
          <w:b w:val="0"/>
          <w:bCs/>
          <w:color w:val="auto"/>
          <w:sz w:val="32"/>
          <w:szCs w:val="32"/>
          <w:highlight w:val="none"/>
          <w:lang w:val="en-US" w:eastAsia="zh-CN"/>
        </w:rPr>
        <w:t>批准</w:t>
      </w:r>
      <w:r>
        <w:rPr>
          <w:rFonts w:hint="eastAsia" w:ascii="仿宋" w:hAnsi="仿宋" w:eastAsia="仿宋"/>
          <w:b w:val="0"/>
          <w:bCs/>
          <w:color w:val="auto"/>
          <w:sz w:val="32"/>
          <w:szCs w:val="32"/>
          <w:highlight w:val="none"/>
        </w:rPr>
        <w:t>。</w:t>
      </w:r>
    </w:p>
    <w:p w14:paraId="78C31592">
      <w:pPr>
        <w:keepNext w:val="0"/>
        <w:keepLines w:val="0"/>
        <w:pageBreakBefore w:val="0"/>
        <w:widowControl/>
        <w:kinsoku/>
        <w:wordWrap/>
        <w:overflowPunct/>
        <w:topLinePunct w:val="0"/>
        <w:autoSpaceDE/>
        <w:autoSpaceDN/>
        <w:bidi w:val="0"/>
        <w:adjustRightInd/>
        <w:spacing w:line="540" w:lineRule="exact"/>
        <w:jc w:val="center"/>
        <w:textAlignment w:val="auto"/>
        <w:rPr>
          <w:rFonts w:ascii="仿宋" w:hAnsi="仿宋" w:eastAsia="仿宋"/>
          <w:b w:val="0"/>
          <w:bCs/>
          <w:color w:val="auto"/>
          <w:sz w:val="32"/>
          <w:szCs w:val="32"/>
          <w:highlight w:val="none"/>
        </w:rPr>
      </w:pPr>
      <w:r>
        <w:rPr>
          <w:rFonts w:hint="eastAsia" w:ascii="黑体" w:hAnsi="黑体" w:eastAsia="黑体" w:cs="黑体"/>
          <w:b w:val="0"/>
          <w:bCs/>
          <w:color w:val="auto"/>
          <w:kern w:val="0"/>
          <w:sz w:val="32"/>
          <w:szCs w:val="32"/>
          <w:highlight w:val="none"/>
        </w:rPr>
        <w:t>第四章　工程变更实施</w:t>
      </w:r>
    </w:p>
    <w:p w14:paraId="4C316ADD">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hint="eastAsia"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第十条  工程变更后，由项目建设单位组织实施。因抢险救灾</w:t>
      </w:r>
      <w:r>
        <w:rPr>
          <w:rFonts w:hint="eastAsia" w:ascii="仿宋" w:hAnsi="仿宋" w:eastAsia="仿宋"/>
          <w:b w:val="0"/>
          <w:bCs/>
          <w:color w:val="auto"/>
          <w:sz w:val="32"/>
          <w:szCs w:val="32"/>
          <w:highlight w:val="none"/>
          <w:lang w:eastAsia="zh-CN"/>
        </w:rPr>
        <w:t>、环保等</w:t>
      </w:r>
      <w:r>
        <w:rPr>
          <w:rFonts w:hint="eastAsia" w:ascii="仿宋" w:hAnsi="仿宋" w:eastAsia="仿宋"/>
          <w:b w:val="0"/>
          <w:bCs/>
          <w:color w:val="auto"/>
          <w:sz w:val="32"/>
          <w:szCs w:val="32"/>
          <w:highlight w:val="none"/>
        </w:rPr>
        <w:t>紧急采取工程措施的，可先行组织实施，同步办理变更相关手续后，报领导小组会议研定。</w:t>
      </w:r>
    </w:p>
    <w:p w14:paraId="1490D648">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hint="eastAsia"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第十</w:t>
      </w:r>
      <w:r>
        <w:rPr>
          <w:rFonts w:hint="eastAsia" w:ascii="仿宋" w:hAnsi="仿宋" w:eastAsia="仿宋"/>
          <w:b w:val="0"/>
          <w:bCs/>
          <w:color w:val="auto"/>
          <w:sz w:val="32"/>
          <w:szCs w:val="32"/>
          <w:highlight w:val="none"/>
          <w:lang w:eastAsia="zh-CN"/>
        </w:rPr>
        <w:t>一</w:t>
      </w:r>
      <w:r>
        <w:rPr>
          <w:rFonts w:hint="eastAsia" w:ascii="仿宋" w:hAnsi="仿宋" w:eastAsia="仿宋"/>
          <w:b w:val="0"/>
          <w:bCs/>
          <w:color w:val="auto"/>
          <w:sz w:val="32"/>
          <w:szCs w:val="32"/>
          <w:highlight w:val="none"/>
        </w:rPr>
        <w:t>条  工程变更需要补充勘察设计监理等服务的，一般由原服务单位承担。原服务单位不具备资质，或符合《必须招标的工程项目规定》情形的，项目建设单位应当通过招标方式选择勘察设计监理单位。</w:t>
      </w:r>
    </w:p>
    <w:p w14:paraId="6C9CA153">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hint="eastAsia"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第十</w:t>
      </w:r>
      <w:r>
        <w:rPr>
          <w:rFonts w:hint="eastAsia" w:ascii="仿宋" w:hAnsi="仿宋" w:eastAsia="仿宋"/>
          <w:b w:val="0"/>
          <w:bCs/>
          <w:color w:val="auto"/>
          <w:sz w:val="32"/>
          <w:szCs w:val="32"/>
          <w:highlight w:val="none"/>
          <w:lang w:eastAsia="zh-CN"/>
        </w:rPr>
        <w:t>二</w:t>
      </w:r>
      <w:r>
        <w:rPr>
          <w:rFonts w:hint="eastAsia" w:ascii="仿宋" w:hAnsi="仿宋" w:eastAsia="仿宋"/>
          <w:b w:val="0"/>
          <w:bCs/>
          <w:color w:val="auto"/>
          <w:sz w:val="32"/>
          <w:szCs w:val="32"/>
          <w:highlight w:val="none"/>
        </w:rPr>
        <w:t>条  工程变更内容一般由原施工单位实施。原施工单位不具备实施变更工程资质，或符合《必须招标的工程项目规定》情形的，项目建设单位应当通过招标方式选择施工单位，但相关法律法规规定可以不进行招标的除外。</w:t>
      </w:r>
    </w:p>
    <w:p w14:paraId="5B43F833">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hint="eastAsia"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第十</w:t>
      </w:r>
      <w:r>
        <w:rPr>
          <w:rFonts w:hint="eastAsia" w:ascii="仿宋" w:hAnsi="仿宋" w:eastAsia="仿宋"/>
          <w:b w:val="0"/>
          <w:bCs/>
          <w:color w:val="auto"/>
          <w:sz w:val="32"/>
          <w:szCs w:val="32"/>
          <w:highlight w:val="none"/>
          <w:lang w:eastAsia="zh-CN"/>
        </w:rPr>
        <w:t>三</w:t>
      </w:r>
      <w:r>
        <w:rPr>
          <w:rFonts w:hint="eastAsia" w:ascii="仿宋" w:hAnsi="仿宋" w:eastAsia="仿宋"/>
          <w:b w:val="0"/>
          <w:bCs/>
          <w:color w:val="auto"/>
          <w:sz w:val="32"/>
          <w:szCs w:val="32"/>
          <w:highlight w:val="none"/>
        </w:rPr>
        <w:t>条  因征收等原因导致项目部分工程无法实施而需进行甩项处理的，报</w:t>
      </w:r>
      <w:r>
        <w:rPr>
          <w:rFonts w:hint="eastAsia" w:ascii="仿宋" w:hAnsi="仿宋" w:eastAsia="仿宋"/>
          <w:b w:val="0"/>
          <w:bCs/>
          <w:color w:val="auto"/>
          <w:sz w:val="32"/>
          <w:szCs w:val="32"/>
          <w:highlight w:val="none"/>
          <w:lang w:eastAsia="zh-CN"/>
        </w:rPr>
        <w:t>管委会</w:t>
      </w:r>
      <w:r>
        <w:rPr>
          <w:rFonts w:hint="eastAsia" w:ascii="仿宋" w:hAnsi="仿宋" w:eastAsia="仿宋"/>
          <w:b w:val="0"/>
          <w:bCs/>
          <w:color w:val="auto"/>
          <w:sz w:val="32"/>
          <w:szCs w:val="32"/>
          <w:highlight w:val="none"/>
        </w:rPr>
        <w:t>同意后做甩项处理。</w:t>
      </w:r>
    </w:p>
    <w:p w14:paraId="1BBA695A">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eastAsia="仿宋"/>
          <w:b w:val="0"/>
          <w:bCs/>
          <w:color w:val="auto"/>
          <w:sz w:val="32"/>
          <w:szCs w:val="32"/>
          <w:highlight w:val="none"/>
        </w:rPr>
      </w:pPr>
      <w:r>
        <w:rPr>
          <w:rFonts w:hint="eastAsia" w:ascii="仿宋" w:hAnsi="仿宋" w:eastAsia="仿宋" w:cs="仿宋_GB2312"/>
          <w:b w:val="0"/>
          <w:bCs/>
          <w:color w:val="auto"/>
          <w:kern w:val="0"/>
          <w:sz w:val="32"/>
          <w:szCs w:val="32"/>
          <w:highlight w:val="none"/>
        </w:rPr>
        <w:t>第</w:t>
      </w:r>
      <w:r>
        <w:rPr>
          <w:rFonts w:hint="eastAsia" w:ascii="仿宋" w:hAnsi="仿宋" w:eastAsia="仿宋" w:cs="仿宋_GB2312"/>
          <w:b w:val="0"/>
          <w:bCs/>
          <w:color w:val="auto"/>
          <w:kern w:val="0"/>
          <w:sz w:val="32"/>
          <w:szCs w:val="32"/>
          <w:highlight w:val="none"/>
          <w:lang w:val="en-US" w:eastAsia="zh-CN"/>
        </w:rPr>
        <w:t>十</w:t>
      </w:r>
      <w:r>
        <w:rPr>
          <w:rFonts w:hint="eastAsia" w:ascii="仿宋" w:hAnsi="仿宋" w:eastAsia="仿宋"/>
          <w:b w:val="0"/>
          <w:bCs/>
          <w:color w:val="auto"/>
          <w:sz w:val="32"/>
          <w:szCs w:val="32"/>
          <w:highlight w:val="none"/>
          <w:lang w:eastAsia="zh-CN"/>
        </w:rPr>
        <w:t>四</w:t>
      </w:r>
      <w:r>
        <w:rPr>
          <w:rFonts w:hint="eastAsia" w:ascii="仿宋" w:hAnsi="仿宋" w:eastAsia="仿宋" w:cs="仿宋_GB2312"/>
          <w:b w:val="0"/>
          <w:bCs/>
          <w:color w:val="auto"/>
          <w:kern w:val="0"/>
          <w:sz w:val="32"/>
          <w:szCs w:val="32"/>
          <w:highlight w:val="none"/>
        </w:rPr>
        <w:t>条  工程变更涉及重大方案变化及概算调整的，项目建设单位依据相关项目投资管理办法办理。</w:t>
      </w:r>
    </w:p>
    <w:p w14:paraId="5DD54989">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黑体" w:hAnsi="黑体" w:eastAsia="黑体" w:cs="黑体"/>
          <w:b w:val="0"/>
          <w:bCs/>
          <w:color w:val="auto"/>
          <w:kern w:val="0"/>
          <w:sz w:val="32"/>
          <w:szCs w:val="32"/>
          <w:highlight w:val="none"/>
          <w:lang w:val="en-US" w:eastAsia="zh-CN"/>
        </w:rPr>
      </w:pPr>
      <w:r>
        <w:rPr>
          <w:rFonts w:hint="eastAsia" w:ascii="仿宋" w:hAnsi="仿宋" w:eastAsia="仿宋" w:cs="仿宋_GB2312"/>
          <w:b w:val="0"/>
          <w:bCs/>
          <w:color w:val="auto"/>
          <w:kern w:val="0"/>
          <w:sz w:val="32"/>
          <w:szCs w:val="32"/>
          <w:highlight w:val="none"/>
        </w:rPr>
        <w:t>第十</w:t>
      </w:r>
      <w:r>
        <w:rPr>
          <w:rFonts w:hint="eastAsia" w:ascii="仿宋" w:hAnsi="仿宋" w:eastAsia="仿宋"/>
          <w:b w:val="0"/>
          <w:bCs/>
          <w:color w:val="auto"/>
          <w:sz w:val="32"/>
          <w:szCs w:val="32"/>
          <w:highlight w:val="none"/>
          <w:lang w:eastAsia="zh-CN"/>
        </w:rPr>
        <w:t>五</w:t>
      </w:r>
      <w:r>
        <w:rPr>
          <w:rFonts w:hint="eastAsia" w:ascii="仿宋" w:hAnsi="仿宋" w:eastAsia="仿宋" w:cs="仿宋_GB2312"/>
          <w:b w:val="0"/>
          <w:bCs/>
          <w:color w:val="auto"/>
          <w:kern w:val="0"/>
          <w:sz w:val="32"/>
          <w:szCs w:val="32"/>
          <w:highlight w:val="none"/>
        </w:rPr>
        <w:t>条  未经审查或未按规定程序进行变更的项目一律不予认可，严禁将变更内容进行拆分申报。</w:t>
      </w:r>
    </w:p>
    <w:p w14:paraId="68FDC49A">
      <w:pPr>
        <w:keepNext w:val="0"/>
        <w:keepLines w:val="0"/>
        <w:pageBreakBefore w:val="0"/>
        <w:widowControl/>
        <w:kinsoku/>
        <w:wordWrap/>
        <w:overflowPunct/>
        <w:topLinePunct w:val="0"/>
        <w:autoSpaceDE/>
        <w:autoSpaceDN/>
        <w:bidi w:val="0"/>
        <w:adjustRightInd/>
        <w:spacing w:line="540" w:lineRule="exact"/>
        <w:jc w:val="center"/>
        <w:textAlignment w:val="auto"/>
        <w:rPr>
          <w:rFonts w:hint="eastAsia" w:ascii="黑体" w:hAnsi="黑体" w:eastAsia="黑体" w:cs="黑体"/>
          <w:b w:val="0"/>
          <w:bCs/>
          <w:color w:val="auto"/>
          <w:kern w:val="0"/>
          <w:sz w:val="32"/>
          <w:szCs w:val="32"/>
          <w:highlight w:val="none"/>
        </w:rPr>
      </w:pPr>
    </w:p>
    <w:p w14:paraId="541B31A3">
      <w:pPr>
        <w:keepNext w:val="0"/>
        <w:keepLines w:val="0"/>
        <w:pageBreakBefore w:val="0"/>
        <w:widowControl/>
        <w:kinsoku/>
        <w:wordWrap/>
        <w:overflowPunct/>
        <w:topLinePunct w:val="0"/>
        <w:autoSpaceDE/>
        <w:autoSpaceDN/>
        <w:bidi w:val="0"/>
        <w:adjustRightInd/>
        <w:spacing w:line="540" w:lineRule="exact"/>
        <w:jc w:val="center"/>
        <w:textAlignment w:val="auto"/>
        <w:rPr>
          <w:rFonts w:hint="eastAsia" w:ascii="黑体" w:hAnsi="黑体" w:eastAsia="黑体" w:cs="黑体"/>
          <w:b w:val="0"/>
          <w:bCs/>
          <w:color w:val="auto"/>
          <w:kern w:val="0"/>
          <w:sz w:val="32"/>
          <w:szCs w:val="32"/>
          <w:highlight w:val="none"/>
        </w:rPr>
      </w:pPr>
      <w:r>
        <w:rPr>
          <w:rFonts w:hint="eastAsia" w:ascii="黑体" w:hAnsi="黑体" w:eastAsia="黑体" w:cs="黑体"/>
          <w:b w:val="0"/>
          <w:bCs/>
          <w:color w:val="auto"/>
          <w:kern w:val="0"/>
          <w:sz w:val="32"/>
          <w:szCs w:val="32"/>
          <w:highlight w:val="none"/>
        </w:rPr>
        <w:t>第五章　</w:t>
      </w:r>
      <w:r>
        <w:rPr>
          <w:rFonts w:hint="eastAsia" w:ascii="黑体" w:hAnsi="黑体" w:eastAsia="黑体" w:cs="黑体"/>
          <w:b w:val="0"/>
          <w:bCs/>
          <w:color w:val="auto"/>
          <w:kern w:val="0"/>
          <w:sz w:val="32"/>
          <w:szCs w:val="32"/>
          <w:highlight w:val="none"/>
          <w:lang w:eastAsia="zh-CN"/>
        </w:rPr>
        <w:t>法律</w:t>
      </w:r>
      <w:r>
        <w:rPr>
          <w:rFonts w:hint="eastAsia" w:ascii="黑体" w:hAnsi="黑体" w:eastAsia="黑体" w:cs="黑体"/>
          <w:b w:val="0"/>
          <w:bCs/>
          <w:color w:val="auto"/>
          <w:kern w:val="0"/>
          <w:sz w:val="32"/>
          <w:szCs w:val="32"/>
          <w:highlight w:val="none"/>
        </w:rPr>
        <w:t>责任追究</w:t>
      </w:r>
    </w:p>
    <w:p w14:paraId="10F4E3E8">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hint="eastAsia"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第十</w:t>
      </w:r>
      <w:r>
        <w:rPr>
          <w:rFonts w:hint="eastAsia" w:ascii="仿宋" w:hAnsi="仿宋" w:eastAsia="仿宋" w:cs="仿宋_GB2312"/>
          <w:b w:val="0"/>
          <w:bCs/>
          <w:color w:val="auto"/>
          <w:kern w:val="0"/>
          <w:sz w:val="32"/>
          <w:szCs w:val="32"/>
          <w:highlight w:val="none"/>
          <w:lang w:eastAsia="zh-CN"/>
        </w:rPr>
        <w:t>六</w:t>
      </w:r>
      <w:r>
        <w:rPr>
          <w:rFonts w:hint="eastAsia" w:ascii="仿宋" w:hAnsi="仿宋" w:eastAsia="仿宋"/>
          <w:b w:val="0"/>
          <w:bCs/>
          <w:color w:val="auto"/>
          <w:sz w:val="32"/>
          <w:szCs w:val="32"/>
          <w:highlight w:val="none"/>
        </w:rPr>
        <w:t>条　项目建设单位违反本规定擅自进行变更并组织实施的，相关部门责令其限期整改。未按要求整改的，视情节轻重给予处分，同时，资金管理部门暂停项目资金拨付。</w:t>
      </w:r>
    </w:p>
    <w:p w14:paraId="2C028141">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hint="eastAsia"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第十</w:t>
      </w:r>
      <w:r>
        <w:rPr>
          <w:rFonts w:hint="eastAsia" w:ascii="仿宋" w:hAnsi="仿宋" w:eastAsia="仿宋"/>
          <w:b w:val="0"/>
          <w:bCs/>
          <w:color w:val="auto"/>
          <w:sz w:val="32"/>
          <w:szCs w:val="32"/>
          <w:highlight w:val="none"/>
          <w:lang w:eastAsia="zh-CN"/>
        </w:rPr>
        <w:t>七</w:t>
      </w:r>
      <w:r>
        <w:rPr>
          <w:rFonts w:hint="eastAsia" w:ascii="仿宋" w:hAnsi="仿宋" w:eastAsia="仿宋"/>
          <w:b w:val="0"/>
          <w:bCs/>
          <w:color w:val="auto"/>
          <w:sz w:val="32"/>
          <w:szCs w:val="32"/>
          <w:highlight w:val="none"/>
        </w:rPr>
        <w:t>条  项目建设单位应在勘察、设计、清单编制、施工、跟踪审计、监理等合同中约定工作责任，做到变更必追责，追责必处罚。</w:t>
      </w:r>
    </w:p>
    <w:p w14:paraId="281F1CD3">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hint="eastAsia"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第十</w:t>
      </w:r>
      <w:r>
        <w:rPr>
          <w:rFonts w:hint="eastAsia" w:ascii="仿宋" w:hAnsi="仿宋" w:eastAsia="仿宋"/>
          <w:b w:val="0"/>
          <w:bCs/>
          <w:color w:val="auto"/>
          <w:sz w:val="32"/>
          <w:szCs w:val="32"/>
          <w:highlight w:val="none"/>
          <w:lang w:eastAsia="zh-CN"/>
        </w:rPr>
        <w:t>八</w:t>
      </w:r>
      <w:r>
        <w:rPr>
          <w:rFonts w:hint="eastAsia" w:ascii="仿宋" w:hAnsi="仿宋" w:eastAsia="仿宋"/>
          <w:b w:val="0"/>
          <w:bCs/>
          <w:color w:val="auto"/>
          <w:sz w:val="32"/>
          <w:szCs w:val="32"/>
          <w:highlight w:val="none"/>
        </w:rPr>
        <w:t>条  项目建设单位、设计单位、施工单位、监理单位、跟审单位相互串通，采取弄虚作假等手段谋取非法利益的，依法追究相关责任；构成犯罪的，依法追究刑事责任。</w:t>
      </w:r>
    </w:p>
    <w:p w14:paraId="39CB8607">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hint="eastAsia" w:ascii="黑体" w:hAnsi="黑体" w:eastAsia="黑体" w:cs="黑体"/>
          <w:b w:val="0"/>
          <w:bCs w:val="0"/>
          <w:color w:val="auto"/>
          <w:kern w:val="0"/>
          <w:sz w:val="32"/>
          <w:szCs w:val="32"/>
          <w:highlight w:val="none"/>
        </w:rPr>
      </w:pPr>
      <w:r>
        <w:rPr>
          <w:rFonts w:hint="eastAsia" w:ascii="仿宋" w:hAnsi="仿宋" w:eastAsia="仿宋"/>
          <w:b w:val="0"/>
          <w:bCs/>
          <w:color w:val="auto"/>
          <w:sz w:val="32"/>
          <w:szCs w:val="32"/>
          <w:highlight w:val="none"/>
        </w:rPr>
        <w:t>第十</w:t>
      </w:r>
      <w:r>
        <w:rPr>
          <w:rFonts w:hint="eastAsia" w:ascii="仿宋" w:hAnsi="仿宋" w:eastAsia="仿宋"/>
          <w:b w:val="0"/>
          <w:bCs/>
          <w:color w:val="auto"/>
          <w:sz w:val="32"/>
          <w:szCs w:val="32"/>
          <w:highlight w:val="none"/>
          <w:lang w:eastAsia="zh-CN"/>
        </w:rPr>
        <w:t>九</w:t>
      </w:r>
      <w:r>
        <w:rPr>
          <w:rFonts w:hint="eastAsia" w:ascii="仿宋" w:hAnsi="仿宋" w:eastAsia="仿宋"/>
          <w:b w:val="0"/>
          <w:bCs/>
          <w:color w:val="auto"/>
          <w:sz w:val="32"/>
          <w:szCs w:val="32"/>
          <w:highlight w:val="none"/>
        </w:rPr>
        <w:t>条  工程变更</w:t>
      </w:r>
      <w:r>
        <w:rPr>
          <w:rFonts w:hint="eastAsia" w:ascii="仿宋" w:hAnsi="仿宋" w:eastAsia="仿宋"/>
          <w:b w:val="0"/>
          <w:bCs/>
          <w:color w:val="auto"/>
          <w:sz w:val="32"/>
          <w:szCs w:val="32"/>
          <w:highlight w:val="none"/>
          <w:lang w:eastAsia="zh-CN"/>
        </w:rPr>
        <w:t>领导小组成员单位及项目建设单位工作人员</w:t>
      </w:r>
      <w:r>
        <w:rPr>
          <w:rFonts w:hint="eastAsia" w:ascii="仿宋" w:hAnsi="仿宋" w:eastAsia="仿宋"/>
          <w:b w:val="0"/>
          <w:bCs/>
          <w:color w:val="auto"/>
          <w:sz w:val="32"/>
          <w:szCs w:val="32"/>
          <w:highlight w:val="none"/>
        </w:rPr>
        <w:t>在工程变更审查过程中存在滥用职权、玩忽职守以及谋取不正当利益等行为的，由有关机关对负有责任的主管人员和其他直接责任人员，依法给予处分；构成犯罪的，依法追究刑事责任。</w:t>
      </w:r>
    </w:p>
    <w:p w14:paraId="4BA45DE7">
      <w:pPr>
        <w:keepNext w:val="0"/>
        <w:keepLines w:val="0"/>
        <w:pageBreakBefore w:val="0"/>
        <w:widowControl/>
        <w:kinsoku/>
        <w:wordWrap/>
        <w:overflowPunct/>
        <w:topLinePunct w:val="0"/>
        <w:autoSpaceDE/>
        <w:autoSpaceDN/>
        <w:bidi w:val="0"/>
        <w:adjustRightInd/>
        <w:spacing w:line="540" w:lineRule="exact"/>
        <w:jc w:val="center"/>
        <w:textAlignment w:val="auto"/>
        <w:rPr>
          <w:rFonts w:hint="eastAsia" w:ascii="仿宋" w:hAnsi="仿宋" w:eastAsia="仿宋"/>
          <w:b w:val="0"/>
          <w:bCs w:val="0"/>
          <w:color w:val="auto"/>
          <w:sz w:val="32"/>
          <w:szCs w:val="32"/>
          <w:highlight w:val="none"/>
        </w:rPr>
      </w:pPr>
      <w:r>
        <w:rPr>
          <w:rFonts w:hint="eastAsia" w:ascii="黑体" w:hAnsi="黑体" w:eastAsia="黑体" w:cs="黑体"/>
          <w:b w:val="0"/>
          <w:bCs w:val="0"/>
          <w:color w:val="auto"/>
          <w:kern w:val="0"/>
          <w:sz w:val="32"/>
          <w:szCs w:val="32"/>
          <w:highlight w:val="none"/>
        </w:rPr>
        <w:t>第六章  附则</w:t>
      </w:r>
    </w:p>
    <w:p w14:paraId="789C0B67">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hint="eastAsia" w:ascii="仿宋" w:hAnsi="仿宋" w:eastAsia="仿宋"/>
          <w:b w:val="0"/>
          <w:bCs w:val="0"/>
          <w:color w:val="auto"/>
          <w:sz w:val="32"/>
          <w:szCs w:val="32"/>
          <w:highlight w:val="none"/>
        </w:rPr>
      </w:pPr>
      <w:r>
        <w:rPr>
          <w:rFonts w:hint="eastAsia" w:ascii="仿宋" w:hAnsi="仿宋" w:eastAsia="仿宋" w:cs="Times New Roman"/>
          <w:b w:val="0"/>
          <w:bCs w:val="0"/>
          <w:color w:val="auto"/>
          <w:kern w:val="2"/>
          <w:sz w:val="32"/>
          <w:szCs w:val="32"/>
          <w:highlight w:val="none"/>
          <w:lang w:val="en-US" w:eastAsia="zh-CN" w:bidi="ar-SA"/>
        </w:rPr>
        <w:t xml:space="preserve">第二十条  </w:t>
      </w:r>
      <w:r>
        <w:rPr>
          <w:rFonts w:hint="eastAsia" w:ascii="仿宋" w:hAnsi="仿宋" w:eastAsia="仿宋"/>
          <w:b w:val="0"/>
          <w:bCs w:val="0"/>
          <w:color w:val="auto"/>
          <w:sz w:val="32"/>
          <w:szCs w:val="32"/>
          <w:highlight w:val="none"/>
        </w:rPr>
        <w:t>国家、省行业主管部门有相关规定的，按其规定执行。</w:t>
      </w:r>
    </w:p>
    <w:p w14:paraId="41266D80">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hint="eastAsia" w:ascii="仿宋" w:hAnsi="仿宋" w:eastAsia="仿宋"/>
          <w:b w:val="0"/>
          <w:bCs w:val="0"/>
          <w:color w:val="auto"/>
          <w:sz w:val="32"/>
          <w:szCs w:val="32"/>
          <w:highlight w:val="none"/>
        </w:rPr>
      </w:pPr>
      <w:r>
        <w:rPr>
          <w:rFonts w:hint="eastAsia" w:ascii="仿宋" w:hAnsi="仿宋" w:eastAsia="仿宋"/>
          <w:b w:val="0"/>
          <w:bCs w:val="0"/>
          <w:color w:val="auto"/>
          <w:sz w:val="32"/>
          <w:szCs w:val="32"/>
          <w:highlight w:val="none"/>
        </w:rPr>
        <w:t>第二十</w:t>
      </w:r>
      <w:r>
        <w:rPr>
          <w:rFonts w:hint="eastAsia" w:ascii="仿宋" w:hAnsi="仿宋" w:eastAsia="仿宋" w:cs="Times New Roman"/>
          <w:b w:val="0"/>
          <w:bCs w:val="0"/>
          <w:color w:val="auto"/>
          <w:kern w:val="2"/>
          <w:sz w:val="32"/>
          <w:szCs w:val="32"/>
          <w:highlight w:val="none"/>
          <w:lang w:val="en-US" w:eastAsia="zh-CN" w:bidi="ar-SA"/>
        </w:rPr>
        <w:t>一</w:t>
      </w:r>
      <w:r>
        <w:rPr>
          <w:rFonts w:hint="eastAsia" w:ascii="仿宋" w:hAnsi="仿宋" w:eastAsia="仿宋"/>
          <w:b w:val="0"/>
          <w:bCs w:val="0"/>
          <w:color w:val="auto"/>
          <w:sz w:val="32"/>
          <w:szCs w:val="32"/>
          <w:highlight w:val="none"/>
        </w:rPr>
        <w:t xml:space="preserve">条  </w:t>
      </w:r>
      <w:r>
        <w:rPr>
          <w:rFonts w:hint="eastAsia" w:ascii="仿宋" w:hAnsi="仿宋" w:eastAsia="仿宋"/>
          <w:b w:val="0"/>
          <w:bCs w:val="0"/>
          <w:color w:val="auto"/>
          <w:sz w:val="32"/>
          <w:szCs w:val="32"/>
          <w:highlight w:val="none"/>
          <w:lang w:eastAsia="zh-CN"/>
        </w:rPr>
        <w:t>经开区</w:t>
      </w:r>
      <w:r>
        <w:rPr>
          <w:rFonts w:hint="eastAsia" w:ascii="仿宋" w:hAnsi="仿宋" w:eastAsia="仿宋" w:cs="Times New Roman"/>
          <w:b w:val="0"/>
          <w:bCs w:val="0"/>
          <w:color w:val="auto"/>
          <w:kern w:val="2"/>
          <w:sz w:val="32"/>
          <w:szCs w:val="32"/>
          <w:highlight w:val="none"/>
          <w:lang w:val="en-US" w:eastAsia="zh-CN" w:bidi="ar-SA"/>
        </w:rPr>
        <w:t>辖区办事处及派驻机构建设</w:t>
      </w:r>
      <w:r>
        <w:rPr>
          <w:rFonts w:hint="eastAsia" w:ascii="仿宋" w:hAnsi="仿宋" w:eastAsia="仿宋"/>
          <w:b w:val="0"/>
          <w:bCs w:val="0"/>
          <w:color w:val="auto"/>
          <w:sz w:val="32"/>
          <w:szCs w:val="32"/>
          <w:highlight w:val="none"/>
        </w:rPr>
        <w:t>项目</w:t>
      </w:r>
      <w:r>
        <w:rPr>
          <w:rFonts w:hint="eastAsia" w:ascii="仿宋" w:hAnsi="仿宋" w:eastAsia="仿宋"/>
          <w:b w:val="0"/>
          <w:bCs w:val="0"/>
          <w:color w:val="auto"/>
          <w:sz w:val="32"/>
          <w:szCs w:val="32"/>
          <w:highlight w:val="none"/>
          <w:lang w:eastAsia="zh-CN"/>
        </w:rPr>
        <w:t>工程</w:t>
      </w:r>
      <w:r>
        <w:rPr>
          <w:rFonts w:hint="eastAsia" w:ascii="仿宋" w:hAnsi="仿宋" w:eastAsia="仿宋"/>
          <w:b w:val="0"/>
          <w:bCs w:val="0"/>
          <w:color w:val="auto"/>
          <w:sz w:val="32"/>
          <w:szCs w:val="32"/>
          <w:highlight w:val="none"/>
        </w:rPr>
        <w:t>变更管理参照执行。</w:t>
      </w:r>
    </w:p>
    <w:p w14:paraId="704AD608">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hint="eastAsia" w:ascii="仿宋" w:hAnsi="仿宋" w:eastAsia="仿宋"/>
          <w:b w:val="0"/>
          <w:bCs w:val="0"/>
          <w:color w:val="auto"/>
          <w:sz w:val="32"/>
          <w:szCs w:val="32"/>
          <w:highlight w:val="none"/>
        </w:rPr>
      </w:pPr>
      <w:r>
        <w:rPr>
          <w:rFonts w:hint="eastAsia" w:ascii="仿宋" w:hAnsi="仿宋" w:eastAsia="仿宋"/>
          <w:b w:val="0"/>
          <w:bCs w:val="0"/>
          <w:color w:val="auto"/>
          <w:sz w:val="32"/>
          <w:szCs w:val="32"/>
          <w:highlight w:val="none"/>
        </w:rPr>
        <w:t>第二十</w:t>
      </w:r>
      <w:r>
        <w:rPr>
          <w:rFonts w:hint="eastAsia" w:ascii="仿宋" w:hAnsi="仿宋" w:eastAsia="仿宋"/>
          <w:b w:val="0"/>
          <w:bCs w:val="0"/>
          <w:color w:val="auto"/>
          <w:sz w:val="32"/>
          <w:szCs w:val="32"/>
          <w:highlight w:val="none"/>
          <w:lang w:eastAsia="zh-CN"/>
        </w:rPr>
        <w:t>二</w:t>
      </w:r>
      <w:r>
        <w:rPr>
          <w:rFonts w:hint="eastAsia" w:ascii="仿宋" w:hAnsi="仿宋" w:eastAsia="仿宋"/>
          <w:b w:val="0"/>
          <w:bCs w:val="0"/>
          <w:color w:val="auto"/>
          <w:sz w:val="32"/>
          <w:szCs w:val="32"/>
          <w:highlight w:val="none"/>
        </w:rPr>
        <w:t>条  本规定自公布之日起施行。</w:t>
      </w:r>
    </w:p>
    <w:p w14:paraId="625DED05">
      <w:pPr>
        <w:pStyle w:val="2"/>
        <w:ind w:left="31680" w:firstLine="31680"/>
        <w:rPr>
          <w:color w:val="auto"/>
          <w:highlight w:val="none"/>
        </w:rPr>
      </w:pPr>
      <w:r>
        <w:rPr>
          <w:color w:val="auto"/>
          <w:highlight w:val="none"/>
        </w:rPr>
        <w:br w:type="page"/>
      </w:r>
    </w:p>
    <w:p w14:paraId="06FF5369">
      <w:pPr>
        <w:pStyle w:val="43"/>
        <w:spacing w:beforeLines="50" w:afterLines="50" w:line="440" w:lineRule="exact"/>
        <w:rPr>
          <w:bCs/>
          <w:color w:val="auto"/>
          <w:szCs w:val="32"/>
          <w:highlight w:val="none"/>
        </w:rPr>
      </w:pPr>
      <w:bookmarkStart w:id="829" w:name="_Toc246997097"/>
      <w:bookmarkStart w:id="830" w:name="_Toc35424970"/>
      <w:bookmarkStart w:id="831" w:name="_Toc179632806"/>
      <w:bookmarkStart w:id="832" w:name="_Toc35425136"/>
      <w:bookmarkStart w:id="833" w:name="_Toc247085872"/>
      <w:bookmarkStart w:id="834" w:name="_Toc324404888"/>
      <w:bookmarkStart w:id="835" w:name="_Toc152045786"/>
      <w:bookmarkStart w:id="836" w:name="_Toc144974855"/>
      <w:bookmarkStart w:id="837" w:name="_Toc246996354"/>
      <w:bookmarkStart w:id="838" w:name="_Toc152042575"/>
      <w:bookmarkStart w:id="839" w:name="_Toc16786"/>
      <w:bookmarkStart w:id="840" w:name="_Toc15058934"/>
      <w:bookmarkStart w:id="841" w:name="_Toc506107340"/>
      <w:r>
        <w:rPr>
          <w:rFonts w:hint="eastAsia"/>
          <w:bCs/>
          <w:color w:val="auto"/>
          <w:szCs w:val="32"/>
          <w:highlight w:val="none"/>
        </w:rPr>
        <w:t>第五章</w:t>
      </w:r>
      <w:r>
        <w:rPr>
          <w:bCs/>
          <w:color w:val="auto"/>
          <w:szCs w:val="32"/>
          <w:highlight w:val="none"/>
        </w:rPr>
        <w:t xml:space="preserve">   </w:t>
      </w:r>
      <w:r>
        <w:rPr>
          <w:rFonts w:hint="eastAsia"/>
          <w:bCs/>
          <w:color w:val="auto"/>
          <w:szCs w:val="32"/>
          <w:highlight w:val="none"/>
        </w:rPr>
        <w:t>投标文件格式</w:t>
      </w:r>
      <w:bookmarkEnd w:id="829"/>
      <w:bookmarkEnd w:id="830"/>
      <w:bookmarkEnd w:id="831"/>
      <w:bookmarkEnd w:id="832"/>
      <w:bookmarkEnd w:id="833"/>
      <w:bookmarkEnd w:id="834"/>
      <w:bookmarkEnd w:id="835"/>
      <w:bookmarkEnd w:id="836"/>
      <w:bookmarkEnd w:id="837"/>
      <w:bookmarkEnd w:id="838"/>
      <w:bookmarkEnd w:id="839"/>
      <w:bookmarkEnd w:id="840"/>
      <w:bookmarkEnd w:id="841"/>
    </w:p>
    <w:p w14:paraId="3759BB93">
      <w:pPr>
        <w:rPr>
          <w:color w:val="auto"/>
          <w:highlight w:val="none"/>
        </w:rPr>
      </w:pPr>
    </w:p>
    <w:p w14:paraId="4C84C1EA">
      <w:pPr>
        <w:rPr>
          <w:color w:val="auto"/>
          <w:highlight w:val="none"/>
        </w:rPr>
      </w:pPr>
    </w:p>
    <w:p w14:paraId="08C050F7">
      <w:pPr>
        <w:rPr>
          <w:color w:val="auto"/>
          <w:highlight w:val="none"/>
        </w:rPr>
      </w:pPr>
    </w:p>
    <w:p w14:paraId="75377EB2">
      <w:pPr>
        <w:jc w:val="center"/>
        <w:rPr>
          <w:rFonts w:eastAsia="黑体"/>
          <w:color w:val="auto"/>
          <w:sz w:val="20"/>
          <w:szCs w:val="20"/>
          <w:highlight w:val="none"/>
        </w:rPr>
      </w:pPr>
      <w:r>
        <w:rPr>
          <w:rFonts w:eastAsia="黑体"/>
          <w:color w:val="auto"/>
          <w:sz w:val="28"/>
          <w:szCs w:val="28"/>
          <w:highlight w:val="none"/>
          <w:u w:val="single"/>
        </w:rPr>
        <w:t xml:space="preserve">                </w:t>
      </w:r>
      <w:r>
        <w:rPr>
          <w:rFonts w:hint="eastAsia" w:eastAsia="黑体"/>
          <w:color w:val="auto"/>
          <w:sz w:val="28"/>
          <w:szCs w:val="28"/>
          <w:highlight w:val="none"/>
        </w:rPr>
        <w:t>（项目名称）</w:t>
      </w:r>
    </w:p>
    <w:p w14:paraId="2CA94180">
      <w:pPr>
        <w:jc w:val="center"/>
        <w:rPr>
          <w:rFonts w:eastAsia="黑体"/>
          <w:color w:val="auto"/>
          <w:sz w:val="20"/>
          <w:szCs w:val="20"/>
          <w:highlight w:val="none"/>
        </w:rPr>
      </w:pPr>
    </w:p>
    <w:p w14:paraId="11249331">
      <w:pPr>
        <w:jc w:val="center"/>
        <w:rPr>
          <w:rFonts w:eastAsia="黑体"/>
          <w:color w:val="auto"/>
          <w:sz w:val="20"/>
          <w:szCs w:val="20"/>
          <w:highlight w:val="none"/>
        </w:rPr>
      </w:pPr>
    </w:p>
    <w:p w14:paraId="5EA8776B">
      <w:pPr>
        <w:jc w:val="center"/>
        <w:rPr>
          <w:rFonts w:eastAsia="黑体"/>
          <w:color w:val="auto"/>
          <w:sz w:val="20"/>
          <w:szCs w:val="20"/>
          <w:highlight w:val="none"/>
        </w:rPr>
      </w:pPr>
    </w:p>
    <w:p w14:paraId="53E7D2E9">
      <w:pPr>
        <w:rPr>
          <w:rFonts w:eastAsia="黑体"/>
          <w:color w:val="auto"/>
          <w:sz w:val="20"/>
          <w:szCs w:val="20"/>
          <w:highlight w:val="none"/>
        </w:rPr>
      </w:pPr>
    </w:p>
    <w:p w14:paraId="520A88B3">
      <w:pPr>
        <w:jc w:val="center"/>
        <w:rPr>
          <w:rFonts w:eastAsia="黑体"/>
          <w:color w:val="auto"/>
          <w:sz w:val="44"/>
          <w:szCs w:val="44"/>
          <w:highlight w:val="none"/>
        </w:rPr>
      </w:pPr>
      <w:r>
        <w:rPr>
          <w:rFonts w:hint="eastAsia" w:eastAsia="黑体"/>
          <w:color w:val="auto"/>
          <w:sz w:val="44"/>
          <w:szCs w:val="44"/>
          <w:highlight w:val="none"/>
        </w:rPr>
        <w:t>投</w:t>
      </w:r>
      <w:r>
        <w:rPr>
          <w:rFonts w:eastAsia="黑体"/>
          <w:color w:val="auto"/>
          <w:sz w:val="44"/>
          <w:szCs w:val="44"/>
          <w:highlight w:val="none"/>
        </w:rPr>
        <w:t xml:space="preserve">  </w:t>
      </w:r>
      <w:r>
        <w:rPr>
          <w:rFonts w:hint="eastAsia" w:eastAsia="黑体"/>
          <w:color w:val="auto"/>
          <w:sz w:val="44"/>
          <w:szCs w:val="44"/>
          <w:highlight w:val="none"/>
        </w:rPr>
        <w:t>标</w:t>
      </w:r>
      <w:r>
        <w:rPr>
          <w:rFonts w:eastAsia="黑体"/>
          <w:color w:val="auto"/>
          <w:sz w:val="44"/>
          <w:szCs w:val="44"/>
          <w:highlight w:val="none"/>
        </w:rPr>
        <w:t xml:space="preserve">  </w:t>
      </w:r>
      <w:r>
        <w:rPr>
          <w:rFonts w:hint="eastAsia" w:eastAsia="黑体"/>
          <w:color w:val="auto"/>
          <w:sz w:val="44"/>
          <w:szCs w:val="44"/>
          <w:highlight w:val="none"/>
        </w:rPr>
        <w:t>文</w:t>
      </w:r>
      <w:r>
        <w:rPr>
          <w:rFonts w:eastAsia="黑体"/>
          <w:color w:val="auto"/>
          <w:sz w:val="44"/>
          <w:szCs w:val="44"/>
          <w:highlight w:val="none"/>
        </w:rPr>
        <w:t xml:space="preserve">  </w:t>
      </w:r>
      <w:r>
        <w:rPr>
          <w:rFonts w:hint="eastAsia" w:eastAsia="黑体"/>
          <w:color w:val="auto"/>
          <w:sz w:val="44"/>
          <w:szCs w:val="44"/>
          <w:highlight w:val="none"/>
        </w:rPr>
        <w:t>件</w:t>
      </w:r>
      <w:r>
        <w:rPr>
          <w:rFonts w:eastAsia="黑体"/>
          <w:color w:val="auto"/>
          <w:sz w:val="44"/>
          <w:szCs w:val="44"/>
          <w:highlight w:val="none"/>
        </w:rPr>
        <w:t xml:space="preserve"> </w:t>
      </w:r>
      <w:r>
        <w:rPr>
          <w:rFonts w:hint="eastAsia" w:eastAsia="黑体"/>
          <w:color w:val="auto"/>
          <w:sz w:val="44"/>
          <w:szCs w:val="44"/>
          <w:highlight w:val="none"/>
        </w:rPr>
        <w:t>一</w:t>
      </w:r>
    </w:p>
    <w:p w14:paraId="5D90BA2B">
      <w:pPr>
        <w:jc w:val="center"/>
        <w:rPr>
          <w:rFonts w:eastAsia="黑体"/>
          <w:color w:val="auto"/>
          <w:sz w:val="44"/>
          <w:szCs w:val="44"/>
          <w:highlight w:val="none"/>
        </w:rPr>
      </w:pPr>
      <w:r>
        <w:rPr>
          <w:rFonts w:hint="eastAsia" w:eastAsia="黑体"/>
          <w:color w:val="auto"/>
          <w:sz w:val="44"/>
          <w:szCs w:val="44"/>
          <w:highlight w:val="none"/>
        </w:rPr>
        <w:t>（资信证明文件）</w:t>
      </w:r>
    </w:p>
    <w:p w14:paraId="7E40261D">
      <w:pPr>
        <w:rPr>
          <w:rFonts w:eastAsia="黑体"/>
          <w:color w:val="auto"/>
          <w:sz w:val="28"/>
          <w:szCs w:val="28"/>
          <w:highlight w:val="none"/>
        </w:rPr>
      </w:pPr>
    </w:p>
    <w:p w14:paraId="428275C3">
      <w:pPr>
        <w:rPr>
          <w:rFonts w:eastAsia="黑体"/>
          <w:color w:val="auto"/>
          <w:sz w:val="28"/>
          <w:szCs w:val="28"/>
          <w:highlight w:val="none"/>
        </w:rPr>
      </w:pPr>
    </w:p>
    <w:p w14:paraId="242CFAE5">
      <w:pPr>
        <w:rPr>
          <w:rFonts w:eastAsia="黑体"/>
          <w:color w:val="auto"/>
          <w:sz w:val="28"/>
          <w:szCs w:val="28"/>
          <w:highlight w:val="none"/>
        </w:rPr>
      </w:pPr>
    </w:p>
    <w:p w14:paraId="7E5D488F">
      <w:pPr>
        <w:rPr>
          <w:rFonts w:eastAsia="黑体"/>
          <w:color w:val="auto"/>
          <w:sz w:val="28"/>
          <w:szCs w:val="28"/>
          <w:highlight w:val="none"/>
        </w:rPr>
      </w:pPr>
    </w:p>
    <w:p w14:paraId="0B22780C">
      <w:pPr>
        <w:pStyle w:val="2"/>
        <w:ind w:left="31680" w:firstLine="31680"/>
        <w:rPr>
          <w:rFonts w:ascii="Times New Roman"/>
          <w:color w:val="auto"/>
          <w:szCs w:val="24"/>
          <w:highlight w:val="none"/>
        </w:rPr>
      </w:pPr>
    </w:p>
    <w:p w14:paraId="1141C3FB">
      <w:pPr>
        <w:rPr>
          <w:color w:val="auto"/>
          <w:highlight w:val="none"/>
        </w:rPr>
      </w:pPr>
    </w:p>
    <w:p w14:paraId="00CFD0B2">
      <w:pPr>
        <w:pStyle w:val="2"/>
        <w:ind w:left="31680" w:firstLine="31680"/>
        <w:rPr>
          <w:color w:val="auto"/>
          <w:highlight w:val="none"/>
        </w:rPr>
      </w:pPr>
    </w:p>
    <w:p w14:paraId="417A8342">
      <w:pPr>
        <w:rPr>
          <w:color w:val="auto"/>
          <w:highlight w:val="none"/>
        </w:rPr>
      </w:pPr>
    </w:p>
    <w:p w14:paraId="216C3851">
      <w:pPr>
        <w:pStyle w:val="2"/>
        <w:rPr>
          <w:color w:val="auto"/>
          <w:highlight w:val="none"/>
        </w:rPr>
      </w:pPr>
    </w:p>
    <w:p w14:paraId="4E7E3066">
      <w:pPr>
        <w:rPr>
          <w:rFonts w:eastAsia="黑体"/>
          <w:color w:val="auto"/>
          <w:sz w:val="28"/>
          <w:szCs w:val="28"/>
          <w:highlight w:val="none"/>
        </w:rPr>
      </w:pPr>
    </w:p>
    <w:p w14:paraId="5CC74CE2">
      <w:pPr>
        <w:pStyle w:val="2"/>
        <w:ind w:left="31680" w:firstLine="31680"/>
        <w:rPr>
          <w:color w:val="auto"/>
          <w:highlight w:val="none"/>
        </w:rPr>
      </w:pPr>
    </w:p>
    <w:p w14:paraId="0D9948C5">
      <w:pPr>
        <w:rPr>
          <w:rFonts w:eastAsia="黑体"/>
          <w:color w:val="auto"/>
          <w:sz w:val="28"/>
          <w:szCs w:val="28"/>
          <w:highlight w:val="none"/>
        </w:rPr>
      </w:pPr>
    </w:p>
    <w:p w14:paraId="029ED0FB">
      <w:pPr>
        <w:rPr>
          <w:rFonts w:eastAsia="黑体"/>
          <w:color w:val="auto"/>
          <w:sz w:val="28"/>
          <w:szCs w:val="28"/>
          <w:highlight w:val="none"/>
        </w:rPr>
      </w:pPr>
    </w:p>
    <w:p w14:paraId="15600C8C">
      <w:pPr>
        <w:jc w:val="center"/>
        <w:rPr>
          <w:rFonts w:eastAsia="黑体"/>
          <w:color w:val="auto"/>
          <w:sz w:val="28"/>
          <w:szCs w:val="28"/>
          <w:highlight w:val="none"/>
          <w:u w:val="single"/>
        </w:rPr>
      </w:pPr>
      <w:r>
        <w:rPr>
          <w:rFonts w:hint="eastAsia" w:eastAsia="黑体"/>
          <w:color w:val="auto"/>
          <w:sz w:val="28"/>
          <w:szCs w:val="28"/>
          <w:highlight w:val="none"/>
        </w:rPr>
        <w:t>投标人：</w:t>
      </w:r>
      <w:r>
        <w:rPr>
          <w:rFonts w:eastAsia="黑体"/>
          <w:color w:val="auto"/>
          <w:sz w:val="28"/>
          <w:szCs w:val="28"/>
          <w:highlight w:val="none"/>
          <w:u w:val="single"/>
        </w:rPr>
        <w:t xml:space="preserve">                              </w:t>
      </w:r>
      <w:r>
        <w:rPr>
          <w:rFonts w:hint="eastAsia" w:eastAsia="黑体"/>
          <w:color w:val="auto"/>
          <w:sz w:val="28"/>
          <w:szCs w:val="28"/>
          <w:highlight w:val="none"/>
        </w:rPr>
        <w:t>（签章）</w:t>
      </w:r>
    </w:p>
    <w:p w14:paraId="2A75888E">
      <w:pPr>
        <w:jc w:val="center"/>
        <w:rPr>
          <w:rFonts w:eastAsia="黑体"/>
          <w:color w:val="auto"/>
          <w:sz w:val="28"/>
          <w:szCs w:val="28"/>
          <w:highlight w:val="none"/>
        </w:rPr>
      </w:pPr>
      <w:r>
        <w:rPr>
          <w:rFonts w:hint="eastAsia" w:eastAsia="黑体"/>
          <w:color w:val="auto"/>
          <w:sz w:val="28"/>
          <w:szCs w:val="28"/>
          <w:highlight w:val="none"/>
        </w:rPr>
        <w:t>法定代表人：</w:t>
      </w:r>
      <w:r>
        <w:rPr>
          <w:rFonts w:eastAsia="黑体"/>
          <w:color w:val="auto"/>
          <w:sz w:val="28"/>
          <w:szCs w:val="28"/>
          <w:highlight w:val="none"/>
          <w:u w:val="single"/>
        </w:rPr>
        <w:t xml:space="preserve">                          </w:t>
      </w:r>
      <w:r>
        <w:rPr>
          <w:rFonts w:hint="eastAsia" w:eastAsia="黑体"/>
          <w:color w:val="auto"/>
          <w:sz w:val="28"/>
          <w:szCs w:val="28"/>
          <w:highlight w:val="none"/>
        </w:rPr>
        <w:t>（签章）</w:t>
      </w:r>
    </w:p>
    <w:p w14:paraId="482632A1">
      <w:pPr>
        <w:jc w:val="center"/>
        <w:rPr>
          <w:rFonts w:eastAsia="黑体"/>
          <w:color w:val="auto"/>
          <w:sz w:val="28"/>
          <w:szCs w:val="28"/>
          <w:highlight w:val="none"/>
        </w:rPr>
      </w:pPr>
      <w:r>
        <w:rPr>
          <w:rFonts w:eastAsia="黑体"/>
          <w:color w:val="auto"/>
          <w:sz w:val="28"/>
          <w:szCs w:val="28"/>
          <w:highlight w:val="none"/>
          <w:u w:val="single"/>
        </w:rPr>
        <w:t xml:space="preserve">        </w:t>
      </w:r>
      <w:r>
        <w:rPr>
          <w:rFonts w:hint="eastAsia" w:eastAsia="黑体"/>
          <w:color w:val="auto"/>
          <w:sz w:val="28"/>
          <w:szCs w:val="28"/>
          <w:highlight w:val="none"/>
        </w:rPr>
        <w:t>年</w:t>
      </w:r>
      <w:r>
        <w:rPr>
          <w:rFonts w:eastAsia="黑体"/>
          <w:color w:val="auto"/>
          <w:sz w:val="28"/>
          <w:szCs w:val="28"/>
          <w:highlight w:val="none"/>
          <w:u w:val="single"/>
        </w:rPr>
        <w:t xml:space="preserve">        </w:t>
      </w:r>
      <w:r>
        <w:rPr>
          <w:rFonts w:hint="eastAsia" w:eastAsia="黑体"/>
          <w:color w:val="auto"/>
          <w:sz w:val="28"/>
          <w:szCs w:val="28"/>
          <w:highlight w:val="none"/>
        </w:rPr>
        <w:t>月</w:t>
      </w:r>
      <w:r>
        <w:rPr>
          <w:rFonts w:eastAsia="黑体"/>
          <w:color w:val="auto"/>
          <w:sz w:val="28"/>
          <w:szCs w:val="28"/>
          <w:highlight w:val="none"/>
          <w:u w:val="single"/>
        </w:rPr>
        <w:t xml:space="preserve">        </w:t>
      </w:r>
      <w:r>
        <w:rPr>
          <w:rFonts w:hint="eastAsia" w:eastAsia="黑体"/>
          <w:color w:val="auto"/>
          <w:sz w:val="28"/>
          <w:szCs w:val="28"/>
          <w:highlight w:val="none"/>
        </w:rPr>
        <w:t>日</w:t>
      </w:r>
    </w:p>
    <w:p w14:paraId="2BEF6BF4">
      <w:pPr>
        <w:rPr>
          <w:color w:val="auto"/>
          <w:highlight w:val="none"/>
        </w:rPr>
      </w:pPr>
      <w:bookmarkStart w:id="842" w:name="_Toc12683"/>
      <w:bookmarkStart w:id="843" w:name="_Toc35425137"/>
      <w:bookmarkStart w:id="844" w:name="_Toc35424971"/>
    </w:p>
    <w:p w14:paraId="196294B2">
      <w:pPr>
        <w:spacing w:beforeLines="50" w:afterLines="50" w:line="440" w:lineRule="exact"/>
        <w:ind w:firstLine="643" w:firstLineChars="200"/>
        <w:jc w:val="left"/>
        <w:rPr>
          <w:rStyle w:val="65"/>
          <w:rFonts w:ascii="宋体" w:cs="宋体"/>
          <w:bCs/>
          <w:color w:val="auto"/>
          <w:sz w:val="32"/>
          <w:szCs w:val="44"/>
          <w:highlight w:val="none"/>
        </w:rPr>
      </w:pPr>
    </w:p>
    <w:p w14:paraId="07A6C233">
      <w:pPr>
        <w:pStyle w:val="2"/>
        <w:ind w:left="0" w:leftChars="0" w:firstLine="0" w:firstLineChars="0"/>
        <w:rPr>
          <w:color w:val="auto"/>
          <w:highlight w:val="none"/>
        </w:rPr>
      </w:pPr>
    </w:p>
    <w:p w14:paraId="443F3EE7">
      <w:pPr>
        <w:spacing w:beforeLines="50" w:afterLines="50" w:line="440" w:lineRule="exact"/>
        <w:ind w:firstLine="643" w:firstLineChars="200"/>
        <w:jc w:val="left"/>
        <w:rPr>
          <w:rFonts w:ascii="宋体" w:cs="宋体"/>
          <w:b/>
          <w:color w:val="auto"/>
          <w:sz w:val="28"/>
          <w:szCs w:val="28"/>
          <w:highlight w:val="none"/>
        </w:rPr>
      </w:pPr>
      <w:r>
        <w:rPr>
          <w:rStyle w:val="65"/>
          <w:rFonts w:hint="eastAsia" w:ascii="宋体" w:hAnsi="宋体" w:cs="宋体"/>
          <w:bCs/>
          <w:color w:val="auto"/>
          <w:sz w:val="32"/>
          <w:szCs w:val="44"/>
          <w:highlight w:val="none"/>
        </w:rPr>
        <w:t>投标文件一</w:t>
      </w:r>
      <w:bookmarkEnd w:id="842"/>
      <w:bookmarkEnd w:id="843"/>
      <w:bookmarkEnd w:id="844"/>
      <w:r>
        <w:rPr>
          <w:rFonts w:hint="eastAsia" w:ascii="宋体" w:hAnsi="宋体" w:cs="宋体"/>
          <w:b/>
          <w:color w:val="auto"/>
          <w:sz w:val="28"/>
          <w:szCs w:val="28"/>
          <w:highlight w:val="none"/>
        </w:rPr>
        <w:t>：资信证明文件目录</w:t>
      </w:r>
    </w:p>
    <w:p w14:paraId="1F1619EC">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）法定代表人身份证明和本人有效身份证</w:t>
      </w:r>
      <w:r>
        <w:rPr>
          <w:rFonts w:ascii="宋体" w:hAnsi="宋体" w:cs="宋体"/>
          <w:color w:val="auto"/>
          <w:szCs w:val="21"/>
          <w:highlight w:val="none"/>
        </w:rPr>
        <w:t>(</w:t>
      </w:r>
      <w:r>
        <w:rPr>
          <w:rFonts w:hint="eastAsia" w:ascii="宋体" w:hAnsi="宋体" w:cs="宋体"/>
          <w:color w:val="auto"/>
          <w:szCs w:val="21"/>
          <w:highlight w:val="none"/>
        </w:rPr>
        <w:t>或法定代表人授权委托书和委托代理人有效身份证</w:t>
      </w:r>
      <w:r>
        <w:rPr>
          <w:rFonts w:ascii="宋体" w:hAnsi="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格式见附件）</w:t>
      </w:r>
      <w:r>
        <w:rPr>
          <w:rFonts w:hint="eastAsia" w:ascii="宋体" w:hAnsi="宋体" w:cs="宋体"/>
          <w:color w:val="auto"/>
          <w:szCs w:val="21"/>
          <w:highlight w:val="none"/>
        </w:rPr>
        <w:t>；</w:t>
      </w:r>
    </w:p>
    <w:p w14:paraId="6B158B26">
      <w:pPr>
        <w:spacing w:line="440" w:lineRule="exact"/>
        <w:ind w:firstLine="420" w:firstLineChars="200"/>
        <w:jc w:val="left"/>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w:t>
      </w:r>
      <w:r>
        <w:rPr>
          <w:rFonts w:hint="eastAsia" w:ascii="宋体" w:hAnsi="宋体" w:cs="宋体"/>
          <w:color w:val="auto"/>
          <w:szCs w:val="21"/>
          <w:highlight w:val="none"/>
        </w:rPr>
        <w:t>诚信投标承诺书（或《公共信用信息报告（无违法违规证明版或核查版）》）</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格式见附件）</w:t>
      </w:r>
      <w:r>
        <w:rPr>
          <w:rFonts w:hint="eastAsia" w:ascii="宋体" w:hAnsi="宋体" w:cs="宋体"/>
          <w:color w:val="auto"/>
          <w:szCs w:val="21"/>
          <w:highlight w:val="none"/>
        </w:rPr>
        <w:t>；</w:t>
      </w:r>
    </w:p>
    <w:p w14:paraId="5CB5D2D7">
      <w:pPr>
        <w:spacing w:line="440" w:lineRule="exact"/>
        <w:ind w:firstLine="420" w:firstLineChars="200"/>
        <w:jc w:val="left"/>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）企业营业执照；</w:t>
      </w:r>
    </w:p>
    <w:p w14:paraId="6E891223">
      <w:pPr>
        <w:spacing w:line="440" w:lineRule="exact"/>
        <w:ind w:firstLine="420" w:firstLineChars="200"/>
        <w:jc w:val="left"/>
        <w:rPr>
          <w:rFonts w:asci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4</w:t>
      </w:r>
      <w:r>
        <w:rPr>
          <w:rFonts w:hint="eastAsia" w:ascii="宋体" w:hAnsi="宋体" w:cs="宋体"/>
          <w:color w:val="auto"/>
          <w:highlight w:val="none"/>
        </w:rPr>
        <w:t>）拟派</w:t>
      </w:r>
      <w:r>
        <w:rPr>
          <w:rFonts w:hint="eastAsia" w:ascii="宋体" w:hAnsi="宋体" w:cs="宋体"/>
          <w:color w:val="auto"/>
          <w:szCs w:val="21"/>
          <w:highlight w:val="none"/>
        </w:rPr>
        <w:t>项目负责人有效</w:t>
      </w:r>
      <w:r>
        <w:rPr>
          <w:rFonts w:hint="eastAsia" w:ascii="宋体" w:hAnsi="宋体" w:cs="宋体"/>
          <w:color w:val="auto"/>
          <w:highlight w:val="none"/>
        </w:rPr>
        <w:t>身份证</w:t>
      </w:r>
      <w:r>
        <w:rPr>
          <w:rFonts w:hint="eastAsia" w:ascii="宋体" w:hAnsi="宋体" w:cs="宋体"/>
          <w:color w:val="auto"/>
          <w:highlight w:val="none"/>
          <w:lang w:eastAsia="zh-CN"/>
        </w:rPr>
        <w:t>、</w:t>
      </w:r>
      <w:r>
        <w:rPr>
          <w:rFonts w:hint="eastAsia" w:hAnsi="宋体" w:cs="宋体"/>
          <w:color w:val="auto"/>
          <w:szCs w:val="21"/>
          <w:highlight w:val="none"/>
          <w:lang w:val="en-US" w:eastAsia="zh-CN"/>
        </w:rPr>
        <w:t>高级工程师及以上职称证书</w:t>
      </w:r>
      <w:r>
        <w:rPr>
          <w:rFonts w:hint="eastAsia" w:hAnsi="宋体" w:cs="宋体"/>
          <w:color w:val="auto"/>
          <w:szCs w:val="21"/>
          <w:highlight w:val="none"/>
        </w:rPr>
        <w:t>和</w:t>
      </w:r>
      <w:r>
        <w:rPr>
          <w:rFonts w:hint="eastAsia" w:ascii="宋体" w:hAnsi="宋体" w:cs="宋体"/>
          <w:color w:val="auto"/>
          <w:highlight w:val="none"/>
        </w:rPr>
        <w:t>注册证书；</w:t>
      </w:r>
    </w:p>
    <w:p w14:paraId="0BF2A770">
      <w:pPr>
        <w:spacing w:line="440" w:lineRule="exact"/>
        <w:ind w:firstLine="420" w:firstLineChars="200"/>
        <w:jc w:val="left"/>
        <w:rPr>
          <w:rFonts w:hint="eastAsia" w:ascii="宋体" w:eastAsia="宋体" w:cs="宋体"/>
          <w:color w:val="auto"/>
          <w:szCs w:val="21"/>
          <w:highlight w:val="none"/>
          <w:lang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cs="宋体"/>
          <w:color w:val="auto"/>
          <w:highlight w:val="none"/>
          <w:lang w:val="en-US" w:eastAsia="zh-CN"/>
        </w:rPr>
        <w:t>项目组成员名单（格式自拟）、人员有效身份证及证书</w:t>
      </w:r>
      <w:r>
        <w:rPr>
          <w:rFonts w:hint="eastAsia" w:ascii="宋体" w:hAnsi="宋体" w:cs="宋体"/>
          <w:color w:val="auto"/>
          <w:szCs w:val="21"/>
          <w:highlight w:val="none"/>
          <w:lang w:eastAsia="zh-CN"/>
        </w:rPr>
        <w:t>；</w:t>
      </w:r>
    </w:p>
    <w:p w14:paraId="79CA9817">
      <w:pPr>
        <w:spacing w:line="440" w:lineRule="exact"/>
        <w:ind w:firstLine="420" w:firstLineChars="200"/>
        <w:jc w:val="left"/>
        <w:rPr>
          <w:rFonts w:ascii="宋体" w:cs="宋体"/>
          <w:color w:val="auto"/>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）投标人的法定代表人</w:t>
      </w:r>
      <w:r>
        <w:rPr>
          <w:rFonts w:ascii="宋体" w:hAnsi="宋体" w:cs="宋体"/>
          <w:color w:val="auto"/>
          <w:szCs w:val="21"/>
          <w:highlight w:val="none"/>
        </w:rPr>
        <w:t>(</w:t>
      </w:r>
      <w:r>
        <w:rPr>
          <w:rFonts w:hint="eastAsia" w:ascii="宋体" w:hAnsi="宋体" w:cs="宋体"/>
          <w:color w:val="auto"/>
          <w:szCs w:val="21"/>
          <w:highlight w:val="none"/>
        </w:rPr>
        <w:t>或委托代理人</w:t>
      </w:r>
      <w:r>
        <w:rPr>
          <w:rFonts w:ascii="宋体" w:hAnsi="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rPr>
        <w:t>拟任项目负责人</w:t>
      </w:r>
      <w:r>
        <w:rPr>
          <w:rFonts w:hint="eastAsia" w:ascii="宋体" w:hAnsi="宋体" w:cs="宋体"/>
          <w:color w:val="auto"/>
          <w:szCs w:val="21"/>
          <w:highlight w:val="none"/>
          <w:lang w:val="en-US" w:eastAsia="zh-CN"/>
        </w:rPr>
        <w:t>及项目组成员</w:t>
      </w:r>
      <w:r>
        <w:rPr>
          <w:rFonts w:hint="eastAsia" w:ascii="宋体" w:hAnsi="宋体" w:cs="宋体"/>
          <w:color w:val="auto"/>
          <w:szCs w:val="21"/>
          <w:highlight w:val="none"/>
        </w:rPr>
        <w:t>须持有社保部门出具的本单位</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或分公司）</w:t>
      </w:r>
      <w:r>
        <w:rPr>
          <w:rFonts w:hint="eastAsia" w:ascii="宋体" w:hAnsi="宋体" w:cs="宋体"/>
          <w:color w:val="auto"/>
          <w:szCs w:val="21"/>
          <w:highlight w:val="none"/>
        </w:rPr>
        <w:t>为其缴纳的投标前近</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个月连续的养老保险证明（或官网在线打印件，证明文件两个月内有效）（同一人担任不同公司法定代表人的，该法定代表人参加本项目投标时须提供本人在其他公司任法定代表人的营业执照及为其缴纳养老保险证明材料），投标人是事业单位的，暂未缴纳社保的，须由其主管部门出具证明；</w:t>
      </w:r>
    </w:p>
    <w:p w14:paraId="44B3843D">
      <w:pPr>
        <w:shd w:val="clea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服务承诺书（格式见附件）</w:t>
      </w:r>
      <w:r>
        <w:rPr>
          <w:rFonts w:hint="eastAsia" w:ascii="宋体" w:hAnsi="宋体" w:cs="宋体"/>
          <w:color w:val="auto"/>
          <w:szCs w:val="21"/>
          <w:highlight w:val="none"/>
        </w:rPr>
        <w:t>；</w:t>
      </w:r>
    </w:p>
    <w:p w14:paraId="1988F3CB">
      <w:pPr>
        <w:shd w:val="clear"/>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）评分细则中需要提供的所有证明材料；</w:t>
      </w:r>
    </w:p>
    <w:p w14:paraId="3AF84DE6">
      <w:pPr>
        <w:spacing w:line="440" w:lineRule="exact"/>
        <w:ind w:firstLine="420" w:firstLineChars="200"/>
        <w:jc w:val="left"/>
        <w:rPr>
          <w:rFonts w:ascii="宋体" w:cs="宋体"/>
          <w:color w:val="auto"/>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）投标人认为需要的其它证明材料</w:t>
      </w:r>
      <w:r>
        <w:rPr>
          <w:rFonts w:hint="eastAsia" w:ascii="宋体" w:hAnsi="宋体" w:cs="宋体"/>
          <w:color w:val="auto"/>
          <w:szCs w:val="21"/>
          <w:highlight w:val="none"/>
          <w:lang w:eastAsia="zh-CN"/>
        </w:rPr>
        <w:t>。</w:t>
      </w:r>
    </w:p>
    <w:p w14:paraId="2A60AF88">
      <w:pPr>
        <w:spacing w:line="440" w:lineRule="exact"/>
        <w:ind w:firstLine="420" w:firstLineChars="200"/>
        <w:jc w:val="left"/>
        <w:rPr>
          <w:rFonts w:ascii="宋体" w:cs="宋体"/>
          <w:color w:val="auto"/>
          <w:highlight w:val="none"/>
        </w:rPr>
      </w:pPr>
    </w:p>
    <w:p w14:paraId="14BE0B1A">
      <w:pPr>
        <w:spacing w:line="440" w:lineRule="exact"/>
        <w:ind w:left="420" w:leftChars="200" w:firstLine="0" w:firstLineChars="0"/>
        <w:jc w:val="left"/>
        <w:rPr>
          <w:rFonts w:hint="default" w:ascii="宋体" w:eastAsia="宋体" w:cs="宋体"/>
          <w:color w:val="auto"/>
          <w:highlight w:val="none"/>
          <w:lang w:val="en-US" w:eastAsia="zh-CN"/>
        </w:rPr>
      </w:pPr>
      <w:r>
        <w:rPr>
          <w:rFonts w:hint="eastAsia" w:ascii="宋体" w:hAnsi="宋体" w:cs="宋体"/>
          <w:color w:val="auto"/>
          <w:highlight w:val="none"/>
        </w:rPr>
        <w:br w:type="textWrapping"/>
      </w:r>
    </w:p>
    <w:p w14:paraId="647F615A">
      <w:pPr>
        <w:rPr>
          <w:b/>
          <w:color w:val="auto"/>
          <w:sz w:val="28"/>
          <w:szCs w:val="28"/>
          <w:highlight w:val="none"/>
        </w:rPr>
      </w:pPr>
    </w:p>
    <w:p w14:paraId="70DC0656">
      <w:pPr>
        <w:pStyle w:val="2"/>
        <w:ind w:left="31680" w:firstLine="31680"/>
        <w:rPr>
          <w:b/>
          <w:color w:val="auto"/>
          <w:sz w:val="28"/>
          <w:szCs w:val="28"/>
          <w:highlight w:val="none"/>
        </w:rPr>
      </w:pPr>
    </w:p>
    <w:p w14:paraId="30F4D4DB">
      <w:pPr>
        <w:pStyle w:val="32"/>
        <w:rPr>
          <w:b/>
          <w:color w:val="auto"/>
          <w:sz w:val="28"/>
          <w:szCs w:val="28"/>
          <w:highlight w:val="none"/>
        </w:rPr>
      </w:pPr>
    </w:p>
    <w:p w14:paraId="15608BD6">
      <w:pPr>
        <w:pStyle w:val="32"/>
        <w:rPr>
          <w:b/>
          <w:color w:val="auto"/>
          <w:sz w:val="28"/>
          <w:szCs w:val="28"/>
          <w:highlight w:val="none"/>
        </w:rPr>
      </w:pPr>
    </w:p>
    <w:p w14:paraId="135A3D07">
      <w:pPr>
        <w:pStyle w:val="32"/>
        <w:rPr>
          <w:b/>
          <w:color w:val="auto"/>
          <w:sz w:val="28"/>
          <w:szCs w:val="28"/>
          <w:highlight w:val="none"/>
        </w:rPr>
      </w:pPr>
    </w:p>
    <w:p w14:paraId="4756FB07">
      <w:pPr>
        <w:pStyle w:val="32"/>
        <w:ind w:left="0" w:firstLine="0"/>
        <w:rPr>
          <w:b/>
          <w:color w:val="auto"/>
          <w:sz w:val="28"/>
          <w:szCs w:val="28"/>
          <w:highlight w:val="none"/>
        </w:rPr>
      </w:pPr>
    </w:p>
    <w:p w14:paraId="1824BEB1">
      <w:pPr>
        <w:pStyle w:val="32"/>
        <w:ind w:left="0" w:firstLine="0"/>
        <w:rPr>
          <w:b/>
          <w:color w:val="auto"/>
          <w:sz w:val="28"/>
          <w:szCs w:val="28"/>
          <w:highlight w:val="none"/>
        </w:rPr>
      </w:pPr>
    </w:p>
    <w:p w14:paraId="0A06AC91">
      <w:pPr>
        <w:rPr>
          <w:rFonts w:hint="eastAsia"/>
          <w:b/>
          <w:color w:val="auto"/>
          <w:sz w:val="28"/>
          <w:szCs w:val="28"/>
          <w:highlight w:val="none"/>
        </w:rPr>
      </w:pPr>
      <w:r>
        <w:rPr>
          <w:rFonts w:hint="eastAsia"/>
          <w:b/>
          <w:color w:val="auto"/>
          <w:sz w:val="28"/>
          <w:szCs w:val="28"/>
          <w:highlight w:val="none"/>
        </w:rPr>
        <w:br w:type="page"/>
      </w:r>
    </w:p>
    <w:p w14:paraId="1831BA4F">
      <w:pPr>
        <w:spacing w:line="360" w:lineRule="auto"/>
        <w:jc w:val="center"/>
        <w:rPr>
          <w:rFonts w:ascii="宋体"/>
          <w:b/>
          <w:color w:val="auto"/>
          <w:sz w:val="28"/>
          <w:szCs w:val="28"/>
          <w:highlight w:val="none"/>
        </w:rPr>
      </w:pPr>
      <w:r>
        <w:rPr>
          <w:rFonts w:hint="eastAsia"/>
          <w:b/>
          <w:color w:val="auto"/>
          <w:sz w:val="28"/>
          <w:szCs w:val="28"/>
          <w:highlight w:val="none"/>
        </w:rPr>
        <w:t>（</w:t>
      </w:r>
      <w:r>
        <w:rPr>
          <w:b/>
          <w:color w:val="auto"/>
          <w:sz w:val="28"/>
          <w:szCs w:val="28"/>
          <w:highlight w:val="none"/>
        </w:rPr>
        <w:t>1</w:t>
      </w:r>
      <w:r>
        <w:rPr>
          <w:rFonts w:hint="eastAsia"/>
          <w:b/>
          <w:color w:val="auto"/>
          <w:sz w:val="28"/>
          <w:szCs w:val="28"/>
          <w:highlight w:val="none"/>
        </w:rPr>
        <w:t>）法定代表人身份证明或授权委托书</w:t>
      </w:r>
    </w:p>
    <w:p w14:paraId="2C7D347A">
      <w:pPr>
        <w:pStyle w:val="101"/>
        <w:spacing w:beforeLines="100" w:afterLines="100" w:line="360" w:lineRule="auto"/>
        <w:rPr>
          <w:rFonts w:ascii="宋体"/>
          <w:b/>
          <w:color w:val="auto"/>
          <w:sz w:val="24"/>
          <w:szCs w:val="24"/>
          <w:highlight w:val="none"/>
        </w:rPr>
      </w:pPr>
      <w:bookmarkStart w:id="845" w:name="_Toc503196197"/>
      <w:bookmarkStart w:id="846" w:name="_Toc506107356"/>
      <w:bookmarkStart w:id="847" w:name="_Toc26598"/>
      <w:r>
        <w:rPr>
          <w:rFonts w:ascii="宋体"/>
          <w:color w:val="auto"/>
          <w:sz w:val="24"/>
          <w:szCs w:val="24"/>
          <w:highlight w:val="none"/>
        </w:rPr>
        <w:t>1</w:t>
      </w:r>
      <w:r>
        <w:rPr>
          <w:rFonts w:hint="eastAsia" w:ascii="宋体"/>
          <w:color w:val="auto"/>
          <w:sz w:val="24"/>
          <w:szCs w:val="24"/>
          <w:highlight w:val="none"/>
        </w:rPr>
        <w:t>、法定代表人身份证明</w:t>
      </w:r>
    </w:p>
    <w:p w14:paraId="67BBD3BD">
      <w:pPr>
        <w:spacing w:line="360" w:lineRule="auto"/>
        <w:rPr>
          <w:rFonts w:ascii="宋体"/>
          <w:color w:val="auto"/>
          <w:sz w:val="24"/>
          <w:highlight w:val="none"/>
        </w:rPr>
      </w:pPr>
      <w:r>
        <w:rPr>
          <w:rFonts w:hint="eastAsia" w:ascii="宋体"/>
          <w:color w:val="auto"/>
          <w:sz w:val="24"/>
          <w:highlight w:val="none"/>
        </w:rPr>
        <w:t>投标人名称：</w:t>
      </w:r>
      <w:r>
        <w:rPr>
          <w:rFonts w:ascii="宋体"/>
          <w:color w:val="auto"/>
          <w:sz w:val="24"/>
          <w:highlight w:val="none"/>
          <w:u w:val="single"/>
        </w:rPr>
        <w:t xml:space="preserve">                                </w:t>
      </w:r>
      <w:r>
        <w:rPr>
          <w:rFonts w:ascii="宋体"/>
          <w:color w:val="auto"/>
          <w:sz w:val="24"/>
          <w:highlight w:val="none"/>
        </w:rPr>
        <w:t xml:space="preserve"> </w:t>
      </w:r>
    </w:p>
    <w:p w14:paraId="7E9254C3">
      <w:pPr>
        <w:spacing w:line="360" w:lineRule="auto"/>
        <w:rPr>
          <w:rFonts w:ascii="宋体"/>
          <w:color w:val="auto"/>
          <w:sz w:val="24"/>
          <w:highlight w:val="none"/>
        </w:rPr>
      </w:pPr>
      <w:r>
        <w:rPr>
          <w:rFonts w:hint="eastAsia" w:ascii="宋体"/>
          <w:color w:val="auto"/>
          <w:sz w:val="24"/>
          <w:highlight w:val="none"/>
        </w:rPr>
        <w:t>单位性质：</w:t>
      </w:r>
      <w:r>
        <w:rPr>
          <w:rFonts w:ascii="宋体"/>
          <w:color w:val="auto"/>
          <w:sz w:val="24"/>
          <w:highlight w:val="none"/>
        </w:rPr>
        <w:t xml:space="preserve"> </w:t>
      </w:r>
      <w:r>
        <w:rPr>
          <w:rFonts w:ascii="宋体"/>
          <w:color w:val="auto"/>
          <w:sz w:val="24"/>
          <w:highlight w:val="none"/>
          <w:u w:val="single"/>
        </w:rPr>
        <w:t xml:space="preserve">                                  </w:t>
      </w:r>
      <w:r>
        <w:rPr>
          <w:rFonts w:ascii="宋体"/>
          <w:color w:val="auto"/>
          <w:sz w:val="24"/>
          <w:highlight w:val="none"/>
        </w:rPr>
        <w:t xml:space="preserve"> </w:t>
      </w:r>
    </w:p>
    <w:p w14:paraId="37DEC590">
      <w:pPr>
        <w:spacing w:line="360" w:lineRule="auto"/>
        <w:rPr>
          <w:rFonts w:ascii="宋体"/>
          <w:color w:val="auto"/>
          <w:sz w:val="24"/>
          <w:highlight w:val="none"/>
        </w:rPr>
      </w:pPr>
      <w:r>
        <w:rPr>
          <w:rFonts w:hint="eastAsia" w:ascii="宋体"/>
          <w:color w:val="auto"/>
          <w:sz w:val="24"/>
          <w:highlight w:val="none"/>
        </w:rPr>
        <w:t>地</w:t>
      </w:r>
      <w:r>
        <w:rPr>
          <w:rFonts w:ascii="宋体"/>
          <w:color w:val="auto"/>
          <w:sz w:val="24"/>
          <w:highlight w:val="none"/>
        </w:rPr>
        <w:t xml:space="preserve">    </w:t>
      </w:r>
      <w:r>
        <w:rPr>
          <w:rFonts w:hint="eastAsia" w:ascii="宋体"/>
          <w:color w:val="auto"/>
          <w:sz w:val="24"/>
          <w:highlight w:val="none"/>
        </w:rPr>
        <w:t>址：</w:t>
      </w:r>
      <w:r>
        <w:rPr>
          <w:rFonts w:ascii="宋体"/>
          <w:color w:val="auto"/>
          <w:sz w:val="24"/>
          <w:highlight w:val="none"/>
          <w:u w:val="single"/>
        </w:rPr>
        <w:t xml:space="preserve">                                   </w:t>
      </w:r>
      <w:r>
        <w:rPr>
          <w:rFonts w:ascii="宋体"/>
          <w:color w:val="auto"/>
          <w:sz w:val="24"/>
          <w:highlight w:val="none"/>
        </w:rPr>
        <w:t xml:space="preserve"> </w:t>
      </w:r>
    </w:p>
    <w:p w14:paraId="4A245D5D">
      <w:pPr>
        <w:spacing w:line="360" w:lineRule="auto"/>
        <w:rPr>
          <w:rFonts w:ascii="宋体"/>
          <w:color w:val="auto"/>
          <w:sz w:val="24"/>
          <w:highlight w:val="none"/>
        </w:rPr>
      </w:pPr>
      <w:r>
        <w:rPr>
          <w:rFonts w:hint="eastAsia" w:ascii="宋体"/>
          <w:color w:val="auto"/>
          <w:sz w:val="24"/>
          <w:highlight w:val="none"/>
        </w:rPr>
        <w:t>成立时间：</w:t>
      </w:r>
      <w:r>
        <w:rPr>
          <w:rFonts w:ascii="宋体"/>
          <w:color w:val="auto"/>
          <w:sz w:val="24"/>
          <w:highlight w:val="none"/>
          <w:u w:val="single"/>
        </w:rPr>
        <w:t xml:space="preserve">        </w:t>
      </w:r>
      <w:r>
        <w:rPr>
          <w:rFonts w:hint="eastAsia" w:ascii="宋体"/>
          <w:color w:val="auto"/>
          <w:sz w:val="24"/>
          <w:highlight w:val="none"/>
        </w:rPr>
        <w:t>年</w:t>
      </w:r>
      <w:r>
        <w:rPr>
          <w:rFonts w:ascii="宋体"/>
          <w:color w:val="auto"/>
          <w:sz w:val="24"/>
          <w:highlight w:val="none"/>
          <w:u w:val="single"/>
        </w:rPr>
        <w:t xml:space="preserve">    </w:t>
      </w:r>
      <w:r>
        <w:rPr>
          <w:rFonts w:hint="eastAsia" w:ascii="宋体"/>
          <w:color w:val="auto"/>
          <w:sz w:val="24"/>
          <w:highlight w:val="none"/>
        </w:rPr>
        <w:t>月</w:t>
      </w:r>
      <w:r>
        <w:rPr>
          <w:rFonts w:ascii="宋体"/>
          <w:color w:val="auto"/>
          <w:sz w:val="24"/>
          <w:highlight w:val="none"/>
          <w:u w:val="single"/>
        </w:rPr>
        <w:t xml:space="preserve">  </w:t>
      </w:r>
      <w:r>
        <w:rPr>
          <w:rFonts w:hint="eastAsia" w:ascii="宋体"/>
          <w:color w:val="auto"/>
          <w:sz w:val="24"/>
          <w:highlight w:val="none"/>
        </w:rPr>
        <w:t>＿日</w:t>
      </w:r>
    </w:p>
    <w:p w14:paraId="1A922D14">
      <w:pPr>
        <w:spacing w:line="360" w:lineRule="auto"/>
        <w:rPr>
          <w:rFonts w:ascii="宋体"/>
          <w:color w:val="auto"/>
          <w:sz w:val="24"/>
          <w:highlight w:val="none"/>
        </w:rPr>
      </w:pPr>
      <w:r>
        <w:rPr>
          <w:rFonts w:hint="eastAsia" w:ascii="宋体"/>
          <w:color w:val="auto"/>
          <w:sz w:val="24"/>
          <w:highlight w:val="none"/>
        </w:rPr>
        <w:t>经营期限：</w:t>
      </w:r>
      <w:r>
        <w:rPr>
          <w:rFonts w:ascii="宋体"/>
          <w:color w:val="auto"/>
          <w:sz w:val="24"/>
          <w:highlight w:val="none"/>
          <w:u w:val="single"/>
        </w:rPr>
        <w:t xml:space="preserve">                                </w:t>
      </w:r>
      <w:r>
        <w:rPr>
          <w:rFonts w:ascii="宋体"/>
          <w:color w:val="auto"/>
          <w:sz w:val="24"/>
          <w:highlight w:val="none"/>
        </w:rPr>
        <w:t xml:space="preserve"> </w:t>
      </w:r>
    </w:p>
    <w:p w14:paraId="3B8E8B5D">
      <w:pPr>
        <w:spacing w:line="360" w:lineRule="auto"/>
        <w:jc w:val="left"/>
        <w:rPr>
          <w:rFonts w:ascii="宋体"/>
          <w:color w:val="auto"/>
          <w:sz w:val="24"/>
          <w:highlight w:val="none"/>
          <w:u w:val="single"/>
        </w:rPr>
      </w:pPr>
      <w:r>
        <w:rPr>
          <w:rFonts w:hint="eastAsia" w:ascii="宋体"/>
          <w:color w:val="auto"/>
          <w:spacing w:val="240"/>
          <w:sz w:val="24"/>
          <w:highlight w:val="none"/>
        </w:rPr>
        <w:t>姓</w:t>
      </w:r>
      <w:r>
        <w:rPr>
          <w:rFonts w:hint="eastAsia" w:ascii="宋体"/>
          <w:color w:val="auto"/>
          <w:sz w:val="24"/>
          <w:highlight w:val="none"/>
        </w:rPr>
        <w:t>名：</w:t>
      </w:r>
      <w:r>
        <w:rPr>
          <w:rFonts w:ascii="宋体"/>
          <w:color w:val="auto"/>
          <w:sz w:val="24"/>
          <w:highlight w:val="none"/>
          <w:u w:val="single"/>
        </w:rPr>
        <w:t xml:space="preserve">           </w:t>
      </w:r>
      <w:r>
        <w:rPr>
          <w:rFonts w:hint="eastAsia" w:ascii="宋体"/>
          <w:color w:val="auto"/>
          <w:sz w:val="24"/>
          <w:highlight w:val="none"/>
        </w:rPr>
        <w:t>身份证号码：</w:t>
      </w:r>
      <w:r>
        <w:rPr>
          <w:rFonts w:ascii="宋体"/>
          <w:color w:val="auto"/>
          <w:sz w:val="24"/>
          <w:highlight w:val="none"/>
          <w:u w:val="single"/>
        </w:rPr>
        <w:t xml:space="preserve">             </w:t>
      </w:r>
      <w:r>
        <w:rPr>
          <w:rFonts w:hint="eastAsia" w:ascii="宋体"/>
          <w:color w:val="auto"/>
          <w:sz w:val="24"/>
          <w:highlight w:val="none"/>
        </w:rPr>
        <w:t>性别</w:t>
      </w:r>
      <w:r>
        <w:rPr>
          <w:rFonts w:hint="eastAsia" w:ascii="宋体"/>
          <w:color w:val="auto"/>
          <w:sz w:val="24"/>
          <w:highlight w:val="none"/>
          <w:u w:val="single"/>
        </w:rPr>
        <w:t>：</w:t>
      </w:r>
      <w:r>
        <w:rPr>
          <w:rFonts w:ascii="宋体"/>
          <w:color w:val="auto"/>
          <w:sz w:val="24"/>
          <w:highlight w:val="none"/>
          <w:u w:val="single"/>
        </w:rPr>
        <w:t xml:space="preserve">            </w:t>
      </w:r>
      <w:r>
        <w:rPr>
          <w:rFonts w:hint="eastAsia" w:ascii="宋体"/>
          <w:color w:val="auto"/>
          <w:sz w:val="24"/>
          <w:highlight w:val="none"/>
        </w:rPr>
        <w:t>年龄：</w:t>
      </w:r>
      <w:r>
        <w:rPr>
          <w:rFonts w:hint="eastAsia" w:ascii="宋体"/>
          <w:color w:val="auto"/>
          <w:sz w:val="24"/>
          <w:highlight w:val="none"/>
          <w:u w:val="single"/>
        </w:rPr>
        <w:t>＿</w:t>
      </w:r>
      <w:r>
        <w:rPr>
          <w:rFonts w:ascii="宋体"/>
          <w:color w:val="auto"/>
          <w:sz w:val="24"/>
          <w:highlight w:val="none"/>
          <w:u w:val="single"/>
        </w:rPr>
        <w:t xml:space="preserve">  </w:t>
      </w:r>
      <w:r>
        <w:rPr>
          <w:rFonts w:hint="eastAsia" w:ascii="宋体"/>
          <w:color w:val="auto"/>
          <w:sz w:val="24"/>
          <w:highlight w:val="none"/>
        </w:rPr>
        <w:t>职务：</w:t>
      </w:r>
      <w:r>
        <w:rPr>
          <w:rFonts w:ascii="宋体"/>
          <w:color w:val="auto"/>
          <w:sz w:val="24"/>
          <w:highlight w:val="none"/>
          <w:u w:val="single"/>
        </w:rPr>
        <w:t xml:space="preserve">       </w:t>
      </w:r>
      <w:r>
        <w:rPr>
          <w:rFonts w:ascii="宋体"/>
          <w:color w:val="auto"/>
          <w:sz w:val="24"/>
          <w:highlight w:val="none"/>
        </w:rPr>
        <w:t>_</w:t>
      </w:r>
      <w:r>
        <w:rPr>
          <w:rFonts w:hint="eastAsia" w:ascii="宋体"/>
          <w:color w:val="auto"/>
          <w:sz w:val="24"/>
          <w:highlight w:val="none"/>
        </w:rPr>
        <w:t>，系</w:t>
      </w:r>
      <w:r>
        <w:rPr>
          <w:rFonts w:ascii="宋体"/>
          <w:color w:val="auto"/>
          <w:sz w:val="24"/>
          <w:highlight w:val="none"/>
          <w:u w:val="single"/>
        </w:rPr>
        <w:t xml:space="preserve">                                </w:t>
      </w:r>
      <w:r>
        <w:rPr>
          <w:rFonts w:hint="eastAsia" w:ascii="宋体"/>
          <w:color w:val="auto"/>
          <w:sz w:val="24"/>
          <w:highlight w:val="none"/>
        </w:rPr>
        <w:t>（投标人名称）的法定代表人。</w:t>
      </w:r>
    </w:p>
    <w:p w14:paraId="5884F3A4">
      <w:pPr>
        <w:spacing w:line="360" w:lineRule="auto"/>
        <w:rPr>
          <w:color w:val="auto"/>
          <w:highlight w:val="none"/>
        </w:rPr>
      </w:pPr>
      <w:r>
        <w:rPr>
          <w:rFonts w:hint="eastAsia" w:ascii="宋体"/>
          <w:color w:val="auto"/>
          <w:sz w:val="24"/>
          <w:highlight w:val="none"/>
        </w:rPr>
        <w:t>特此证明。</w:t>
      </w:r>
    </w:p>
    <w:p w14:paraId="2F358CFB">
      <w:pPr>
        <w:spacing w:line="360" w:lineRule="auto"/>
        <w:ind w:firstLine="3720" w:firstLineChars="1550"/>
        <w:rPr>
          <w:rFonts w:ascii="宋体"/>
          <w:color w:val="auto"/>
          <w:sz w:val="24"/>
          <w:highlight w:val="none"/>
        </w:rPr>
      </w:pPr>
      <w:r>
        <w:rPr>
          <w:rFonts w:hint="eastAsia" w:ascii="宋体"/>
          <w:color w:val="auto"/>
          <w:sz w:val="24"/>
          <w:highlight w:val="none"/>
        </w:rPr>
        <w:t>投标人：</w:t>
      </w:r>
      <w:r>
        <w:rPr>
          <w:rFonts w:ascii="宋体"/>
          <w:color w:val="auto"/>
          <w:sz w:val="24"/>
          <w:highlight w:val="none"/>
          <w:u w:val="single"/>
        </w:rPr>
        <w:t xml:space="preserve">                 </w:t>
      </w:r>
      <w:r>
        <w:rPr>
          <w:rFonts w:hint="eastAsia" w:ascii="宋体"/>
          <w:color w:val="auto"/>
          <w:sz w:val="24"/>
          <w:highlight w:val="none"/>
        </w:rPr>
        <w:t>（签章）</w:t>
      </w:r>
    </w:p>
    <w:p w14:paraId="4E38DE91">
      <w:pPr>
        <w:spacing w:line="360" w:lineRule="auto"/>
        <w:rPr>
          <w:rFonts w:ascii="宋体"/>
          <w:color w:val="auto"/>
          <w:sz w:val="30"/>
          <w:szCs w:val="30"/>
          <w:highlight w:val="none"/>
        </w:rPr>
      </w:pPr>
      <w:r>
        <w:rPr>
          <w:rFonts w:ascii="宋体"/>
          <w:color w:val="auto"/>
          <w:sz w:val="24"/>
          <w:highlight w:val="none"/>
        </w:rPr>
        <w:t xml:space="preserve">                                        </w:t>
      </w:r>
      <w:r>
        <w:rPr>
          <w:rFonts w:hint="eastAsia" w:ascii="宋体"/>
          <w:color w:val="auto"/>
          <w:sz w:val="24"/>
          <w:highlight w:val="none"/>
        </w:rPr>
        <w:t>年</w:t>
      </w:r>
      <w:r>
        <w:rPr>
          <w:rFonts w:ascii="宋体"/>
          <w:color w:val="auto"/>
          <w:sz w:val="24"/>
          <w:highlight w:val="none"/>
        </w:rPr>
        <w:t xml:space="preserve">    </w:t>
      </w:r>
      <w:r>
        <w:rPr>
          <w:rFonts w:hint="eastAsia" w:ascii="宋体"/>
          <w:color w:val="auto"/>
          <w:sz w:val="24"/>
          <w:highlight w:val="none"/>
        </w:rPr>
        <w:t>月</w:t>
      </w:r>
      <w:r>
        <w:rPr>
          <w:rFonts w:ascii="宋体"/>
          <w:color w:val="auto"/>
          <w:sz w:val="24"/>
          <w:highlight w:val="none"/>
        </w:rPr>
        <w:t xml:space="preserve">     </w:t>
      </w:r>
      <w:r>
        <w:rPr>
          <w:rFonts w:hint="eastAsia" w:ascii="宋体"/>
          <w:color w:val="auto"/>
          <w:sz w:val="24"/>
          <w:highlight w:val="none"/>
        </w:rPr>
        <w:t>日</w:t>
      </w:r>
    </w:p>
    <w:p w14:paraId="56EC7CB1">
      <w:pPr>
        <w:pStyle w:val="101"/>
        <w:spacing w:beforeLines="100" w:afterLines="100" w:line="360" w:lineRule="auto"/>
        <w:rPr>
          <w:rFonts w:ascii="宋体"/>
          <w:color w:val="auto"/>
          <w:sz w:val="24"/>
          <w:szCs w:val="24"/>
          <w:highlight w:val="none"/>
        </w:rPr>
      </w:pPr>
      <w:r>
        <w:rPr>
          <w:rFonts w:hint="eastAsia" w:ascii="宋体"/>
          <w:color w:val="auto"/>
          <w:sz w:val="24"/>
          <w:szCs w:val="24"/>
          <w:highlight w:val="none"/>
        </w:rPr>
        <w:t>或</w:t>
      </w:r>
      <w:r>
        <w:rPr>
          <w:rFonts w:ascii="宋体"/>
          <w:color w:val="auto"/>
          <w:sz w:val="24"/>
          <w:szCs w:val="24"/>
          <w:highlight w:val="none"/>
        </w:rPr>
        <w:t>1</w:t>
      </w:r>
      <w:r>
        <w:rPr>
          <w:rFonts w:hint="eastAsia" w:ascii="宋体"/>
          <w:color w:val="auto"/>
          <w:sz w:val="24"/>
          <w:szCs w:val="24"/>
          <w:highlight w:val="none"/>
        </w:rPr>
        <w:t>、授权委托书</w:t>
      </w:r>
    </w:p>
    <w:p w14:paraId="1D8E065F">
      <w:pPr>
        <w:spacing w:line="500" w:lineRule="exact"/>
        <w:ind w:firstLine="480" w:firstLineChars="200"/>
        <w:jc w:val="left"/>
        <w:rPr>
          <w:rFonts w:ascii="宋体"/>
          <w:color w:val="auto"/>
          <w:sz w:val="24"/>
          <w:highlight w:val="none"/>
        </w:rPr>
      </w:pPr>
      <w:r>
        <w:rPr>
          <w:rFonts w:hint="eastAsia" w:ascii="宋体"/>
          <w:color w:val="auto"/>
          <w:sz w:val="24"/>
          <w:highlight w:val="none"/>
        </w:rPr>
        <w:t>本人</w:t>
      </w:r>
      <w:r>
        <w:rPr>
          <w:rFonts w:ascii="宋体"/>
          <w:color w:val="auto"/>
          <w:sz w:val="24"/>
          <w:highlight w:val="none"/>
        </w:rPr>
        <w:t xml:space="preserve"> </w:t>
      </w:r>
      <w:r>
        <w:rPr>
          <w:rFonts w:ascii="宋体"/>
          <w:color w:val="auto"/>
          <w:sz w:val="24"/>
          <w:highlight w:val="none"/>
          <w:u w:val="single"/>
        </w:rPr>
        <w:t xml:space="preserve">    </w:t>
      </w:r>
      <w:r>
        <w:rPr>
          <w:rFonts w:hint="eastAsia" w:ascii="宋体"/>
          <w:color w:val="auto"/>
          <w:sz w:val="24"/>
          <w:highlight w:val="none"/>
        </w:rPr>
        <w:t>（姓名）系</w:t>
      </w:r>
      <w:r>
        <w:rPr>
          <w:rFonts w:ascii="宋体"/>
          <w:color w:val="auto"/>
          <w:sz w:val="24"/>
          <w:highlight w:val="none"/>
          <w:u w:val="single"/>
        </w:rPr>
        <w:t xml:space="preserve">       </w:t>
      </w:r>
      <w:r>
        <w:rPr>
          <w:rFonts w:hint="eastAsia" w:ascii="宋体"/>
          <w:color w:val="auto"/>
          <w:sz w:val="24"/>
          <w:highlight w:val="none"/>
        </w:rPr>
        <w:t>（投标人）的法定代表人，现委托</w:t>
      </w:r>
      <w:r>
        <w:rPr>
          <w:rFonts w:ascii="宋体"/>
          <w:color w:val="auto"/>
          <w:sz w:val="24"/>
          <w:highlight w:val="none"/>
          <w:u w:val="single"/>
        </w:rPr>
        <w:t xml:space="preserve">   </w:t>
      </w:r>
      <w:r>
        <w:rPr>
          <w:rFonts w:hint="eastAsia" w:ascii="宋体"/>
          <w:color w:val="auto"/>
          <w:sz w:val="24"/>
          <w:highlight w:val="none"/>
        </w:rPr>
        <w:t>（姓名）为我方代理人。代理人根据授权，以我方名义签署、澄清、说明、补正、递交、撤回、修改</w:t>
      </w:r>
      <w:r>
        <w:rPr>
          <w:rFonts w:ascii="宋体"/>
          <w:color w:val="auto"/>
          <w:sz w:val="24"/>
          <w:highlight w:val="none"/>
        </w:rPr>
        <w:t xml:space="preserve"> </w:t>
      </w:r>
      <w:r>
        <w:rPr>
          <w:rFonts w:hint="eastAsia" w:ascii="宋体"/>
          <w:color w:val="auto"/>
          <w:sz w:val="24"/>
          <w:highlight w:val="none"/>
        </w:rPr>
        <w:t>“</w:t>
      </w:r>
      <w:r>
        <w:rPr>
          <w:rFonts w:ascii="宋体"/>
          <w:color w:val="auto"/>
          <w:sz w:val="24"/>
          <w:highlight w:val="none"/>
          <w:u w:val="single"/>
        </w:rPr>
        <w:t xml:space="preserve">      </w:t>
      </w:r>
      <w:r>
        <w:rPr>
          <w:rFonts w:ascii="宋体"/>
          <w:color w:val="auto"/>
          <w:sz w:val="24"/>
          <w:highlight w:val="none"/>
        </w:rPr>
        <w:t xml:space="preserve"> </w:t>
      </w:r>
      <w:r>
        <w:rPr>
          <w:rFonts w:hint="eastAsia" w:ascii="宋体"/>
          <w:color w:val="auto"/>
          <w:sz w:val="24"/>
          <w:highlight w:val="none"/>
        </w:rPr>
        <w:t>”</w:t>
      </w:r>
      <w:r>
        <w:rPr>
          <w:rFonts w:ascii="宋体"/>
          <w:color w:val="auto"/>
          <w:sz w:val="24"/>
          <w:highlight w:val="none"/>
        </w:rPr>
        <w:t>(</w:t>
      </w:r>
      <w:r>
        <w:rPr>
          <w:rFonts w:hint="eastAsia" w:ascii="宋体"/>
          <w:color w:val="auto"/>
          <w:sz w:val="24"/>
          <w:highlight w:val="none"/>
        </w:rPr>
        <w:t>项目名称、编号）投标文件，全权处理与该项目投标、评审答疑、签订合同以及与合同执行有关的一切事务，其法律后果由我方承担。</w:t>
      </w:r>
    </w:p>
    <w:p w14:paraId="4B9F5BF4">
      <w:pPr>
        <w:spacing w:line="500" w:lineRule="exact"/>
        <w:ind w:firstLine="480" w:firstLineChars="200"/>
        <w:rPr>
          <w:rFonts w:ascii="宋体"/>
          <w:color w:val="auto"/>
          <w:sz w:val="24"/>
          <w:highlight w:val="none"/>
        </w:rPr>
      </w:pPr>
      <w:r>
        <w:rPr>
          <w:rFonts w:hint="eastAsia" w:ascii="宋体"/>
          <w:color w:val="auto"/>
          <w:sz w:val="24"/>
          <w:highlight w:val="none"/>
        </w:rPr>
        <w:t>委托期限：</w:t>
      </w:r>
      <w:r>
        <w:rPr>
          <w:rFonts w:ascii="宋体"/>
          <w:color w:val="auto"/>
          <w:sz w:val="24"/>
          <w:highlight w:val="none"/>
        </w:rPr>
        <w:t xml:space="preserve"> </w:t>
      </w:r>
      <w:r>
        <w:rPr>
          <w:rFonts w:ascii="宋体" w:cs="宋体"/>
          <w:color w:val="auto"/>
          <w:sz w:val="24"/>
          <w:highlight w:val="none"/>
          <w:u w:val="single"/>
        </w:rPr>
        <w:t xml:space="preserve">          </w:t>
      </w:r>
      <w:r>
        <w:rPr>
          <w:rFonts w:hint="eastAsia" w:ascii="宋体" w:cs="宋体"/>
          <w:color w:val="auto"/>
          <w:sz w:val="24"/>
          <w:highlight w:val="none"/>
        </w:rPr>
        <w:t>。</w:t>
      </w:r>
      <w:r>
        <w:rPr>
          <w:rFonts w:ascii="宋体"/>
          <w:color w:val="auto"/>
          <w:sz w:val="24"/>
          <w:highlight w:val="none"/>
        </w:rPr>
        <w:t xml:space="preserve">                     </w:t>
      </w:r>
    </w:p>
    <w:p w14:paraId="6DEFEF9E">
      <w:pPr>
        <w:spacing w:line="500" w:lineRule="exact"/>
        <w:ind w:firstLine="480" w:firstLineChars="200"/>
        <w:rPr>
          <w:rFonts w:ascii="宋体"/>
          <w:color w:val="auto"/>
          <w:sz w:val="24"/>
          <w:highlight w:val="none"/>
        </w:rPr>
      </w:pPr>
      <w:r>
        <w:rPr>
          <w:rFonts w:hint="eastAsia" w:ascii="宋体"/>
          <w:color w:val="auto"/>
          <w:sz w:val="24"/>
          <w:highlight w:val="none"/>
        </w:rPr>
        <w:t>代理人无转委托权。</w:t>
      </w:r>
    </w:p>
    <w:p w14:paraId="285B0EEE">
      <w:pPr>
        <w:spacing w:line="500" w:lineRule="exact"/>
        <w:ind w:firstLine="480" w:firstLineChars="200"/>
        <w:rPr>
          <w:rFonts w:ascii="宋体"/>
          <w:b/>
          <w:color w:val="auto"/>
          <w:sz w:val="24"/>
          <w:highlight w:val="none"/>
        </w:rPr>
      </w:pPr>
      <w:r>
        <w:rPr>
          <w:rFonts w:hint="eastAsia" w:ascii="宋体"/>
          <w:color w:val="auto"/>
          <w:sz w:val="24"/>
          <w:highlight w:val="none"/>
        </w:rPr>
        <w:t>附：</w:t>
      </w:r>
      <w:r>
        <w:rPr>
          <w:rFonts w:hint="eastAsia" w:ascii="宋体"/>
          <w:b/>
          <w:color w:val="auto"/>
          <w:sz w:val="24"/>
          <w:highlight w:val="none"/>
        </w:rPr>
        <w:t>委托代理人有效身份证</w:t>
      </w:r>
    </w:p>
    <w:p w14:paraId="665E2ABE">
      <w:pPr>
        <w:spacing w:line="500" w:lineRule="exact"/>
        <w:ind w:firstLine="957" w:firstLineChars="397"/>
        <w:rPr>
          <w:color w:val="auto"/>
          <w:highlight w:val="none"/>
        </w:rPr>
      </w:pPr>
      <w:r>
        <w:rPr>
          <w:rFonts w:hint="eastAsia" w:ascii="宋体"/>
          <w:b/>
          <w:color w:val="auto"/>
          <w:sz w:val="24"/>
          <w:highlight w:val="none"/>
        </w:rPr>
        <w:t>法定代表人有效身份证</w:t>
      </w:r>
    </w:p>
    <w:p w14:paraId="0741C016">
      <w:pPr>
        <w:spacing w:line="500" w:lineRule="exact"/>
        <w:ind w:firstLine="200"/>
        <w:rPr>
          <w:rFonts w:ascii="宋体"/>
          <w:color w:val="auto"/>
          <w:sz w:val="24"/>
          <w:highlight w:val="none"/>
        </w:rPr>
      </w:pPr>
      <w:r>
        <w:rPr>
          <w:rFonts w:ascii="宋体"/>
          <w:color w:val="auto"/>
          <w:sz w:val="24"/>
          <w:highlight w:val="none"/>
        </w:rPr>
        <w:t xml:space="preserve">                                        </w:t>
      </w:r>
      <w:r>
        <w:rPr>
          <w:rFonts w:hint="eastAsia" w:ascii="宋体"/>
          <w:color w:val="auto"/>
          <w:sz w:val="24"/>
          <w:highlight w:val="none"/>
        </w:rPr>
        <w:t>投标人（签章）：</w:t>
      </w:r>
    </w:p>
    <w:p w14:paraId="4355AAC0">
      <w:pPr>
        <w:spacing w:line="500" w:lineRule="exact"/>
        <w:ind w:firstLine="5040" w:firstLineChars="2100"/>
        <w:rPr>
          <w:rFonts w:ascii="宋体"/>
          <w:color w:val="auto"/>
          <w:sz w:val="24"/>
          <w:highlight w:val="none"/>
        </w:rPr>
      </w:pPr>
      <w:r>
        <w:rPr>
          <w:rFonts w:hint="eastAsia" w:ascii="宋体"/>
          <w:color w:val="auto"/>
          <w:sz w:val="24"/>
          <w:highlight w:val="none"/>
        </w:rPr>
        <w:t>法定代表人（身份证号码）：</w:t>
      </w:r>
      <w:r>
        <w:rPr>
          <w:rFonts w:ascii="宋体"/>
          <w:color w:val="auto"/>
          <w:sz w:val="24"/>
          <w:highlight w:val="none"/>
        </w:rPr>
        <w:t xml:space="preserve"> </w:t>
      </w:r>
      <w:r>
        <w:rPr>
          <w:rFonts w:hint="eastAsia" w:ascii="宋体"/>
          <w:color w:val="auto"/>
          <w:sz w:val="24"/>
          <w:highlight w:val="none"/>
        </w:rPr>
        <w:t>（签章）</w:t>
      </w:r>
    </w:p>
    <w:p w14:paraId="45FE30A8">
      <w:pPr>
        <w:spacing w:line="500" w:lineRule="exact"/>
        <w:ind w:firstLine="5040" w:firstLineChars="2100"/>
        <w:rPr>
          <w:rFonts w:ascii="宋体"/>
          <w:color w:val="auto"/>
          <w:sz w:val="24"/>
          <w:highlight w:val="none"/>
        </w:rPr>
      </w:pPr>
      <w:r>
        <w:rPr>
          <w:rFonts w:hint="eastAsia" w:ascii="宋体"/>
          <w:color w:val="auto"/>
          <w:sz w:val="24"/>
          <w:highlight w:val="none"/>
        </w:rPr>
        <w:t>委托代理人（身份证号码）：</w:t>
      </w:r>
      <w:r>
        <w:rPr>
          <w:rFonts w:ascii="宋体"/>
          <w:color w:val="auto"/>
          <w:sz w:val="24"/>
          <w:highlight w:val="none"/>
        </w:rPr>
        <w:t xml:space="preserve">      </w:t>
      </w:r>
    </w:p>
    <w:p w14:paraId="27839554">
      <w:pPr>
        <w:spacing w:line="500" w:lineRule="exact"/>
        <w:ind w:firstLine="2820" w:firstLineChars="1175"/>
        <w:rPr>
          <w:color w:val="auto"/>
          <w:highlight w:val="none"/>
        </w:rPr>
      </w:pPr>
      <w:r>
        <w:rPr>
          <w:rFonts w:ascii="宋体"/>
          <w:color w:val="auto"/>
          <w:sz w:val="24"/>
          <w:highlight w:val="none"/>
        </w:rPr>
        <w:t xml:space="preserve">                  </w:t>
      </w:r>
      <w:r>
        <w:rPr>
          <w:rFonts w:hint="eastAsia" w:ascii="宋体"/>
          <w:color w:val="auto"/>
          <w:sz w:val="24"/>
          <w:highlight w:val="none"/>
        </w:rPr>
        <w:t>年</w:t>
      </w:r>
      <w:r>
        <w:rPr>
          <w:rFonts w:ascii="宋体"/>
          <w:color w:val="auto"/>
          <w:sz w:val="24"/>
          <w:highlight w:val="none"/>
        </w:rPr>
        <w:t xml:space="preserve">    </w:t>
      </w:r>
      <w:r>
        <w:rPr>
          <w:rFonts w:hint="eastAsia" w:ascii="宋体"/>
          <w:color w:val="auto"/>
          <w:sz w:val="24"/>
          <w:highlight w:val="none"/>
        </w:rPr>
        <w:t>月</w:t>
      </w:r>
      <w:r>
        <w:rPr>
          <w:rFonts w:ascii="宋体"/>
          <w:color w:val="auto"/>
          <w:sz w:val="24"/>
          <w:highlight w:val="none"/>
        </w:rPr>
        <w:t xml:space="preserve">    </w:t>
      </w:r>
      <w:r>
        <w:rPr>
          <w:rFonts w:hint="eastAsia" w:ascii="宋体"/>
          <w:color w:val="auto"/>
          <w:sz w:val="24"/>
          <w:highlight w:val="none"/>
        </w:rPr>
        <w:t>日</w:t>
      </w:r>
    </w:p>
    <w:p w14:paraId="633AA910">
      <w:pPr>
        <w:spacing w:line="360" w:lineRule="auto"/>
        <w:jc w:val="center"/>
        <w:rPr>
          <w:b/>
          <w:color w:val="auto"/>
          <w:sz w:val="28"/>
          <w:szCs w:val="28"/>
          <w:highlight w:val="none"/>
        </w:rPr>
      </w:pPr>
      <w:r>
        <w:rPr>
          <w:rFonts w:hint="eastAsia"/>
          <w:b/>
          <w:color w:val="auto"/>
          <w:sz w:val="28"/>
          <w:szCs w:val="28"/>
          <w:highlight w:val="none"/>
        </w:rPr>
        <w:br w:type="page"/>
      </w:r>
      <w:r>
        <w:rPr>
          <w:rFonts w:hint="eastAsia"/>
          <w:b/>
          <w:color w:val="auto"/>
          <w:sz w:val="28"/>
          <w:szCs w:val="28"/>
          <w:highlight w:val="none"/>
        </w:rPr>
        <w:t>（</w:t>
      </w:r>
      <w:r>
        <w:rPr>
          <w:b/>
          <w:color w:val="auto"/>
          <w:sz w:val="28"/>
          <w:szCs w:val="28"/>
          <w:highlight w:val="none"/>
        </w:rPr>
        <w:t>2</w:t>
      </w:r>
      <w:r>
        <w:rPr>
          <w:rFonts w:hint="eastAsia"/>
          <w:b/>
          <w:color w:val="auto"/>
          <w:sz w:val="28"/>
          <w:szCs w:val="28"/>
          <w:highlight w:val="none"/>
        </w:rPr>
        <w:t>）诚信投标承诺书</w:t>
      </w:r>
      <w:bookmarkEnd w:id="845"/>
      <w:bookmarkEnd w:id="846"/>
      <w:r>
        <w:rPr>
          <w:b/>
          <w:color w:val="auto"/>
          <w:sz w:val="28"/>
          <w:szCs w:val="28"/>
          <w:highlight w:val="none"/>
        </w:rPr>
        <w:t> </w:t>
      </w:r>
      <w:bookmarkEnd w:id="847"/>
    </w:p>
    <w:p w14:paraId="53F94734">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本人以企业法定代表人的身份郑重承诺：</w:t>
      </w:r>
    </w:p>
    <w:p w14:paraId="4F99DC4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一、将遵循公开、公正和诚实信用的原则自愿参加</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项目的投标；</w:t>
      </w:r>
    </w:p>
    <w:p w14:paraId="5190398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二、所提供的一切材料都是真实、合法的；</w:t>
      </w:r>
    </w:p>
    <w:p w14:paraId="702E00EB">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三、不出借、转让资质证书，不让他人挂靠投标，不以他人名义投标或者以其他方式弄虚作假，骗取中标；</w:t>
      </w:r>
    </w:p>
    <w:p w14:paraId="0315F0BD">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四、不与其他投标人相互串通投标报价，不排挤其他投标人的公平竞争、损害招标人的合法权益；</w:t>
      </w:r>
    </w:p>
    <w:p w14:paraId="343F5618">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五、不与招标人、招标代理机构或其他投标人串通投标，损害国家利益、社会公共利益或者他人的合法权益；</w:t>
      </w:r>
    </w:p>
    <w:p w14:paraId="03D871CD">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olor w:val="auto"/>
          <w:szCs w:val="21"/>
          <w:highlight w:val="none"/>
        </w:rPr>
      </w:pPr>
      <w:r>
        <w:rPr>
          <w:rFonts w:hint="eastAsia" w:ascii="宋体" w:hAnsi="宋体"/>
          <w:color w:val="auto"/>
          <w:szCs w:val="21"/>
          <w:highlight w:val="none"/>
        </w:rPr>
        <w:t>六、</w:t>
      </w:r>
      <w:r>
        <w:rPr>
          <w:rFonts w:hint="eastAsia" w:ascii="宋体" w:hAnsi="宋体"/>
          <w:color w:val="auto"/>
          <w:szCs w:val="21"/>
          <w:highlight w:val="none"/>
          <w:u w:val="single"/>
        </w:rPr>
        <w:t xml:space="preserve">      （企业名称）</w:t>
      </w:r>
      <w:r>
        <w:rPr>
          <w:rFonts w:hint="eastAsia" w:ascii="宋体" w:hAnsi="宋体"/>
          <w:color w:val="auto"/>
          <w:szCs w:val="21"/>
          <w:highlight w:val="none"/>
        </w:rPr>
        <w:t xml:space="preserve">或 </w:t>
      </w:r>
      <w:r>
        <w:rPr>
          <w:rFonts w:hint="eastAsia" w:ascii="宋体" w:hAnsi="宋体"/>
          <w:color w:val="auto"/>
          <w:szCs w:val="21"/>
          <w:highlight w:val="none"/>
          <w:u w:val="single"/>
        </w:rPr>
        <w:t xml:space="preserve">      （企业名称）</w:t>
      </w: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和项目负责人        </w:t>
      </w:r>
      <w:r>
        <w:rPr>
          <w:rFonts w:hint="eastAsia" w:ascii="宋体" w:hAnsi="宋体"/>
          <w:color w:val="auto"/>
          <w:szCs w:val="21"/>
          <w:highlight w:val="none"/>
        </w:rPr>
        <w:t>没有下列情形：</w:t>
      </w:r>
      <w:bookmarkStart w:id="848" w:name="OLE_LINK133"/>
      <w:bookmarkStart w:id="849" w:name="OLE_LINK134"/>
      <w:r>
        <w:rPr>
          <w:rFonts w:hint="eastAsia" w:ascii="宋体" w:hAnsi="宋体"/>
          <w:color w:val="auto"/>
          <w:szCs w:val="21"/>
          <w:highlight w:val="none"/>
        </w:rPr>
        <w:t>①被列入“信用中国”网站“失信被执行人”的;②被列入“信用中国”网站“重大税收违法失信主体”的；③被列入“信用中国”网站“拖欠农民工工资失信联合惩戒对象名单”的；④被列入“信用中国”网站“严重失信主体名单”的；⑤在“信用中国”网站上披露的仍在公示期的严重失信行为(具体行为类别及判定依据见附件2)的。⑥被列入国家企业信用信息公示系统网站“经营异常名录”或者“严重违法失信名单”的。⑦前三年有行贿犯罪行为的单位和个人；⑧被滁州市县两级公管部门及各行业主管部门取消在一定期限内的投标资格且在取消期限内的；⑨因拖欠农民工工资被县级及以上有关行政主管部门限制投标资格且在限制期限内的；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r>
        <w:rPr>
          <w:rFonts w:hint="eastAsia"/>
          <w:color w:val="auto"/>
          <w:szCs w:val="21"/>
          <w:highlight w:val="none"/>
        </w:rPr>
        <w:t>（</w:t>
      </w:r>
      <w:bookmarkEnd w:id="848"/>
      <w:bookmarkEnd w:id="849"/>
      <w:r>
        <w:rPr>
          <w:rFonts w:hint="eastAsia"/>
          <w:color w:val="auto"/>
          <w:szCs w:val="21"/>
          <w:highlight w:val="none"/>
        </w:rPr>
        <w:t>若招标文件对投标人所属分公司、办事处等分支机构有上述</w:t>
      </w:r>
      <w:r>
        <w:rPr>
          <w:color w:val="auto"/>
          <w:szCs w:val="21"/>
          <w:highlight w:val="none"/>
        </w:rPr>
        <w:t>1-10</w:t>
      </w:r>
      <w:r>
        <w:rPr>
          <w:rFonts w:hint="eastAsia"/>
          <w:color w:val="auto"/>
          <w:szCs w:val="21"/>
          <w:highlight w:val="none"/>
        </w:rPr>
        <w:t>项信誉要求，在此一并承诺我公司所属分公司、办事处等分支机构没有上述</w:t>
      </w:r>
      <w:r>
        <w:rPr>
          <w:color w:val="auto"/>
          <w:szCs w:val="21"/>
          <w:highlight w:val="none"/>
        </w:rPr>
        <w:t>1-10</w:t>
      </w:r>
      <w:r>
        <w:rPr>
          <w:rFonts w:hint="eastAsia"/>
          <w:color w:val="auto"/>
          <w:szCs w:val="21"/>
          <w:highlight w:val="none"/>
        </w:rPr>
        <w:t>项情形）</w:t>
      </w:r>
    </w:p>
    <w:p w14:paraId="705606A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七、严格遵守开标现场纪律，服从监管人员管理；</w:t>
      </w:r>
    </w:p>
    <w:p w14:paraId="76ED354C">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八、保证中标后不转包及使用挂靠施工队伍，若有分包征得建设单位同意；</w:t>
      </w:r>
    </w:p>
    <w:p w14:paraId="179D896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九、保证中标之后，按照投标文件承诺派驻管理人员及投入机械设备，如有违反，同意接受建设单位违约处罚；</w:t>
      </w:r>
    </w:p>
    <w:p w14:paraId="7F1239F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十、保证企业及所属相关人员在本次投标中无行贿等犯罪行为；</w:t>
      </w:r>
    </w:p>
    <w:p w14:paraId="47B179D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rPr>
        <w:t>十一、如我公司中标，保证中标的项目经理无其他尚未完工（以竣工、交工、完工验收报告等手续为准）项目或在已中标项目（以发放中标通知书为准）中担任项目经理情形。如有，项目在滁州市区域内的，接受取消中标资格、记入不良行为记录等处理；项目在滁州市区域外的，保证在中标候选人公示期第一日起开始计算7日内，提供经行政主管部门备案的变更证明材料，否则接受取消中标资格、记入不良行为记录等处理；</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本项目不采用）</w:t>
      </w:r>
    </w:p>
    <w:p w14:paraId="167D834B">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十二、如在投标过程和公示期间发生投诉行为，依法进行投诉。投诉内容符合要求，投诉材料加盖企业公章或由法定代表人授权委托人签字，并附有关身份证明复印件。不恶意投诉，对本公司提供的投诉线索的真实性负责，否则愿接受有关部门的处罚；</w:t>
      </w:r>
    </w:p>
    <w:p w14:paraId="50EDE14A">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十三、如我公司中标，按照国务院《关于全面治理拖欠农民工工资问题的意见》（国办发[2016]1号）及国家住建部和人社部关于《建筑工人实名制管理办法》（建市[2019]18号）的规定，总承包单位对所承建的工程项目的建筑工人实名制管理负总责，对建筑工人实行实名制管理；实行人工费用与其他工程款分账管理制度；建筑工程承包单位必须开设农民工工资专户；建设单位在支付工程款时，应将人工费部分按规定汇入建筑工程承包单位的农民工工资专户，由建筑工程承包单位按劳动合同约定，通过农民工工资专户按月足额将工资发放给建筑工人；</w:t>
      </w:r>
    </w:p>
    <w:p w14:paraId="34C78E08">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十四、我公司拟任项目经理不是投标截止时间前六个月内在滁州市区域内办理过项目经理变更备案手续的原项目经理。</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本项目不采用）</w:t>
      </w:r>
    </w:p>
    <w:p w14:paraId="7F4FB2EB">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 xml:space="preserve"> 以上内容我已仔细阅读，本公司若有违反承诺内容的行为，自愿接受取消投标或者中标资格、记入不良行为记录等有关处理，愿意承担法律责任，给招标人造成损失的，承担赔偿责任。</w:t>
      </w:r>
    </w:p>
    <w:p w14:paraId="04B432C1">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olor w:val="auto"/>
          <w:szCs w:val="21"/>
          <w:highlight w:val="none"/>
        </w:rPr>
      </w:pPr>
    </w:p>
    <w:p w14:paraId="130A1CD1">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u w:val="single"/>
        </w:rPr>
      </w:pPr>
      <w:r>
        <w:rPr>
          <w:rFonts w:hint="eastAsia" w:ascii="宋体" w:hAnsi="宋体"/>
          <w:color w:val="auto"/>
          <w:szCs w:val="21"/>
          <w:highlight w:val="none"/>
        </w:rPr>
        <w:t>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基本账户：                             </w:t>
      </w:r>
    </w:p>
    <w:p w14:paraId="13DCE4B5">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olor w:val="auto"/>
          <w:szCs w:val="21"/>
          <w:highlight w:val="none"/>
        </w:rPr>
      </w:pPr>
    </w:p>
    <w:p w14:paraId="4DF36ED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u w:val="single"/>
        </w:rPr>
      </w:pPr>
      <w:r>
        <w:rPr>
          <w:rFonts w:hint="eastAsia" w:ascii="宋体" w:hAnsi="宋体"/>
          <w:color w:val="auto"/>
          <w:szCs w:val="21"/>
          <w:highlight w:val="none"/>
        </w:rPr>
        <w:t xml:space="preserve">投标人（签章）：  </w:t>
      </w:r>
      <w:r>
        <w:rPr>
          <w:rFonts w:hint="eastAsia" w:ascii="宋体" w:hAnsi="宋体"/>
          <w:color w:val="auto"/>
          <w:szCs w:val="21"/>
          <w:highlight w:val="none"/>
          <w:u w:val="single"/>
        </w:rPr>
        <w:t xml:space="preserve">        </w:t>
      </w:r>
      <w:r>
        <w:rPr>
          <w:rFonts w:hint="eastAsia" w:ascii="宋体" w:hAnsi="宋体"/>
          <w:color w:val="auto"/>
          <w:szCs w:val="21"/>
          <w:highlight w:val="none"/>
        </w:rPr>
        <w:t>法定代表人（签章）：</w:t>
      </w:r>
      <w:r>
        <w:rPr>
          <w:rFonts w:hint="eastAsia" w:ascii="宋体" w:hAnsi="宋体"/>
          <w:color w:val="auto"/>
          <w:szCs w:val="21"/>
          <w:highlight w:val="none"/>
          <w:u w:val="single"/>
        </w:rPr>
        <w:t xml:space="preserve">                           </w:t>
      </w:r>
    </w:p>
    <w:p w14:paraId="668F32F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olor w:val="auto"/>
          <w:szCs w:val="21"/>
          <w:highlight w:val="none"/>
        </w:rPr>
      </w:pPr>
    </w:p>
    <w:p w14:paraId="66A2ED39">
      <w:pPr>
        <w:pStyle w:val="2"/>
        <w:keepNext w:val="0"/>
        <w:keepLines w:val="0"/>
        <w:pageBreakBefore w:val="0"/>
        <w:widowControl w:val="0"/>
        <w:kinsoku/>
        <w:wordWrap/>
        <w:overflowPunct/>
        <w:topLinePunct w:val="0"/>
        <w:autoSpaceDE/>
        <w:autoSpaceDN/>
        <w:bidi w:val="0"/>
        <w:spacing w:line="400" w:lineRule="exact"/>
        <w:textAlignment w:val="auto"/>
        <w:rPr>
          <w:color w:val="auto"/>
          <w:highlight w:val="none"/>
        </w:rPr>
      </w:pPr>
      <w:r>
        <w:rPr>
          <w:rFonts w:hint="eastAsia" w:ascii="宋体" w:hAnsi="宋体"/>
          <w:color w:val="auto"/>
          <w:szCs w:val="21"/>
          <w:highlight w:val="none"/>
        </w:rPr>
        <w:t>日期：</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日</w:t>
      </w:r>
    </w:p>
    <w:p w14:paraId="240F68F3">
      <w:pPr>
        <w:pStyle w:val="2"/>
        <w:ind w:left="0" w:leftChars="0" w:firstLine="0" w:firstLineChars="0"/>
        <w:rPr>
          <w:color w:val="auto"/>
          <w:highlight w:val="none"/>
        </w:rPr>
      </w:pPr>
    </w:p>
    <w:p w14:paraId="4CE5FC86">
      <w:pPr>
        <w:rPr>
          <w:color w:val="auto"/>
          <w:highlight w:val="none"/>
        </w:rPr>
      </w:pPr>
    </w:p>
    <w:p w14:paraId="43FAA278">
      <w:pPr>
        <w:adjustRightInd w:val="0"/>
        <w:snapToGrid w:val="0"/>
        <w:spacing w:line="560" w:lineRule="exact"/>
        <w:jc w:val="center"/>
        <w:rPr>
          <w:rFonts w:hint="eastAsia"/>
          <w:b/>
          <w:color w:val="auto"/>
          <w:sz w:val="28"/>
          <w:szCs w:val="28"/>
          <w:highlight w:val="none"/>
        </w:rPr>
      </w:pPr>
      <w:r>
        <w:rPr>
          <w:rFonts w:hint="eastAsia"/>
          <w:b/>
          <w:color w:val="auto"/>
          <w:sz w:val="28"/>
          <w:szCs w:val="28"/>
          <w:highlight w:val="none"/>
          <w:lang w:val="en-US" w:eastAsia="zh-CN"/>
        </w:rPr>
        <w:t>或</w:t>
      </w:r>
      <w:r>
        <w:rPr>
          <w:rFonts w:hint="eastAsia"/>
          <w:b/>
          <w:color w:val="auto"/>
          <w:sz w:val="28"/>
          <w:szCs w:val="28"/>
          <w:highlight w:val="none"/>
          <w:lang w:eastAsia="zh-CN"/>
        </w:rPr>
        <w:t>（</w:t>
      </w:r>
      <w:r>
        <w:rPr>
          <w:rFonts w:hint="eastAsia"/>
          <w:b/>
          <w:color w:val="auto"/>
          <w:sz w:val="28"/>
          <w:szCs w:val="28"/>
          <w:highlight w:val="none"/>
          <w:lang w:val="en-US" w:eastAsia="zh-CN"/>
        </w:rPr>
        <w:t>2）</w:t>
      </w:r>
      <w:r>
        <w:rPr>
          <w:rFonts w:hint="eastAsia"/>
          <w:b/>
          <w:color w:val="auto"/>
          <w:sz w:val="28"/>
          <w:szCs w:val="28"/>
          <w:highlight w:val="none"/>
        </w:rPr>
        <w:t>公共信用信息报告（无违法违规证明版或核查版））</w:t>
      </w:r>
    </w:p>
    <w:p w14:paraId="3F00688E">
      <w:pPr>
        <w:pStyle w:val="2"/>
        <w:spacing w:after="0" w:line="560" w:lineRule="exact"/>
        <w:ind w:left="0" w:leftChars="0"/>
        <w:rPr>
          <w:rFonts w:hint="eastAsia" w:ascii="宋体" w:hAnsi="宋体"/>
          <w:color w:val="auto"/>
          <w:szCs w:val="21"/>
          <w:highlight w:val="none"/>
        </w:rPr>
      </w:pPr>
      <w:r>
        <w:rPr>
          <w:rFonts w:hint="eastAsia" w:ascii="宋体" w:hAnsi="宋体"/>
          <w:color w:val="auto"/>
          <w:szCs w:val="21"/>
          <w:highlight w:val="none"/>
        </w:rPr>
        <w:t>符合条件的投标人可在信用中国（安徽）网站（网址</w:t>
      </w:r>
      <w:r>
        <w:rPr>
          <w:rFonts w:ascii="宋体" w:hAnsi="宋体"/>
          <w:color w:val="auto"/>
          <w:szCs w:val="21"/>
          <w:highlight w:val="none"/>
        </w:rPr>
        <w:fldChar w:fldCharType="begin"/>
      </w:r>
      <w:r>
        <w:rPr>
          <w:rFonts w:ascii="宋体" w:hAnsi="宋体"/>
          <w:color w:val="auto"/>
          <w:szCs w:val="21"/>
          <w:highlight w:val="none"/>
        </w:rPr>
        <w:instrText xml:space="preserve"> HYPERLINK "https://credit.ah.gov.cn/xinyongfuwu/index.html" </w:instrText>
      </w:r>
      <w:r>
        <w:rPr>
          <w:rFonts w:ascii="宋体" w:hAnsi="宋体"/>
          <w:color w:val="auto"/>
          <w:szCs w:val="21"/>
          <w:highlight w:val="none"/>
        </w:rPr>
        <w:fldChar w:fldCharType="separate"/>
      </w:r>
      <w:r>
        <w:rPr>
          <w:rStyle w:val="56"/>
          <w:rFonts w:ascii="宋体" w:hAnsi="宋体"/>
          <w:color w:val="auto"/>
          <w:szCs w:val="21"/>
          <w:highlight w:val="none"/>
        </w:rPr>
        <w:t>https://credit.ah.gov.cn/xinyongfuwu/index.html</w:t>
      </w:r>
      <w:r>
        <w:rPr>
          <w:rFonts w:ascii="宋体" w:hAnsi="宋体"/>
          <w:color w:val="auto"/>
          <w:szCs w:val="21"/>
          <w:highlight w:val="none"/>
        </w:rPr>
        <w:fldChar w:fldCharType="end"/>
      </w:r>
      <w:r>
        <w:rPr>
          <w:rFonts w:hint="eastAsia" w:ascii="宋体" w:hAnsi="宋体"/>
          <w:color w:val="auto"/>
          <w:szCs w:val="21"/>
          <w:highlight w:val="none"/>
        </w:rPr>
        <w:t>），获取信用报告（无违法违规证明版或核查版）并上传至投标文件中。</w:t>
      </w:r>
    </w:p>
    <w:p w14:paraId="396B4429">
      <w:pPr>
        <w:rPr>
          <w:rFonts w:hint="eastAsia"/>
          <w:b/>
          <w:color w:val="auto"/>
          <w:sz w:val="28"/>
          <w:szCs w:val="28"/>
          <w:highlight w:val="none"/>
        </w:rPr>
      </w:pPr>
      <w:r>
        <w:rPr>
          <w:rFonts w:hint="eastAsia"/>
          <w:b/>
          <w:color w:val="auto"/>
          <w:sz w:val="28"/>
          <w:szCs w:val="28"/>
          <w:highlight w:val="none"/>
        </w:rPr>
        <w:br w:type="page"/>
      </w:r>
    </w:p>
    <w:p w14:paraId="277EB131">
      <w:pPr>
        <w:pStyle w:val="2"/>
        <w:rPr>
          <w:rFonts w:hint="eastAsia"/>
          <w:color w:val="auto"/>
          <w:highlight w:val="none"/>
        </w:rPr>
      </w:pPr>
    </w:p>
    <w:p w14:paraId="601601EE">
      <w:pPr>
        <w:shd w:val="clear"/>
        <w:jc w:val="center"/>
        <w:rPr>
          <w:rFonts w:hint="eastAsia" w:ascii="宋体" w:hAnsi="宋体" w:cs="宋体"/>
          <w:b/>
          <w:color w:val="auto"/>
          <w:sz w:val="28"/>
          <w:szCs w:val="28"/>
          <w:highlight w:val="none"/>
        </w:rPr>
      </w:pPr>
      <w:r>
        <w:rPr>
          <w:rFonts w:hint="eastAsia"/>
          <w:b/>
          <w:color w:val="auto"/>
          <w:sz w:val="28"/>
          <w:szCs w:val="28"/>
          <w:highlight w:val="none"/>
        </w:rPr>
        <w:t>（</w:t>
      </w:r>
      <w:r>
        <w:rPr>
          <w:rFonts w:hint="eastAsia"/>
          <w:b/>
          <w:color w:val="auto"/>
          <w:sz w:val="28"/>
          <w:szCs w:val="28"/>
          <w:highlight w:val="none"/>
          <w:lang w:val="en-US" w:eastAsia="zh-CN"/>
        </w:rPr>
        <w:t>3</w:t>
      </w:r>
      <w:r>
        <w:rPr>
          <w:rFonts w:hint="eastAsia"/>
          <w:b/>
          <w:color w:val="auto"/>
          <w:sz w:val="28"/>
          <w:szCs w:val="28"/>
          <w:highlight w:val="none"/>
        </w:rPr>
        <w:t>）</w:t>
      </w:r>
      <w:r>
        <w:rPr>
          <w:rFonts w:hint="eastAsia" w:ascii="宋体" w:hAnsi="宋体" w:cs="宋体"/>
          <w:b/>
          <w:color w:val="auto"/>
          <w:sz w:val="28"/>
          <w:szCs w:val="28"/>
          <w:highlight w:val="none"/>
        </w:rPr>
        <w:t>服务承诺书</w:t>
      </w:r>
    </w:p>
    <w:p w14:paraId="7DA533BD">
      <w:pPr>
        <w:shd w:val="clear"/>
        <w:spacing w:line="600" w:lineRule="auto"/>
        <w:rPr>
          <w:rFonts w:hint="eastAsia" w:ascii="宋体" w:hAnsi="宋体" w:cs="宋体"/>
          <w:bCs/>
          <w:color w:val="auto"/>
          <w:sz w:val="24"/>
          <w:highlight w:val="none"/>
          <w:u w:val="single"/>
        </w:rPr>
      </w:pPr>
      <w:r>
        <w:rPr>
          <w:rFonts w:hint="eastAsia" w:ascii="宋体" w:hAnsi="宋体" w:cs="宋体"/>
          <w:bCs/>
          <w:color w:val="auto"/>
          <w:sz w:val="24"/>
          <w:highlight w:val="none"/>
        </w:rPr>
        <w:t>致：</w:t>
      </w:r>
      <w:r>
        <w:rPr>
          <w:rFonts w:hint="eastAsia" w:ascii="宋体" w:hAnsi="宋体" w:cs="宋体"/>
          <w:bCs/>
          <w:color w:val="auto"/>
          <w:sz w:val="24"/>
          <w:highlight w:val="none"/>
          <w:u w:val="single"/>
        </w:rPr>
        <w:t xml:space="preserve">          （采购人）     ：</w:t>
      </w:r>
    </w:p>
    <w:p w14:paraId="066639B7">
      <w:pPr>
        <w:shd w:val="clear"/>
        <w:spacing w:line="60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本承诺声明：</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（投标人）对本招标文件的相关要求完全响应。若有幸成交将严格按照以上承诺进行服务。</w:t>
      </w:r>
    </w:p>
    <w:p w14:paraId="220A5813">
      <w:pPr>
        <w:pStyle w:val="218"/>
        <w:shd w:val="clear"/>
        <w:spacing w:line="600" w:lineRule="auto"/>
        <w:rPr>
          <w:rFonts w:hint="eastAsia" w:ascii="宋体" w:hAnsi="宋体" w:cs="宋体"/>
          <w:bCs/>
          <w:color w:val="auto"/>
          <w:highlight w:val="none"/>
        </w:rPr>
      </w:pPr>
      <w:r>
        <w:rPr>
          <w:rFonts w:hint="eastAsia" w:ascii="宋体" w:hAnsi="宋体" w:cs="宋体"/>
          <w:bCs/>
          <w:color w:val="auto"/>
          <w:sz w:val="24"/>
          <w:szCs w:val="24"/>
          <w:highlight w:val="none"/>
        </w:rPr>
        <w:t xml:space="preserve"> </w:t>
      </w:r>
    </w:p>
    <w:p w14:paraId="0984817D">
      <w:pPr>
        <w:shd w:val="clear"/>
        <w:spacing w:line="60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特此声明</w:t>
      </w:r>
    </w:p>
    <w:p w14:paraId="7DEE5E17">
      <w:pPr>
        <w:shd w:val="clear"/>
        <w:spacing w:line="600" w:lineRule="auto"/>
        <w:rPr>
          <w:rFonts w:hint="eastAsia" w:ascii="宋体" w:hAnsi="宋体" w:cs="宋体"/>
          <w:bCs/>
          <w:color w:val="auto"/>
          <w:sz w:val="24"/>
          <w:highlight w:val="none"/>
        </w:rPr>
      </w:pPr>
      <w:r>
        <w:rPr>
          <w:rFonts w:hint="eastAsia" w:ascii="宋体" w:hAnsi="宋体" w:cs="宋体"/>
          <w:bCs/>
          <w:color w:val="auto"/>
          <w:sz w:val="24"/>
          <w:highlight w:val="none"/>
        </w:rPr>
        <w:t> </w:t>
      </w:r>
    </w:p>
    <w:p w14:paraId="6A6171D8">
      <w:pPr>
        <w:shd w:val="clear"/>
        <w:spacing w:line="600" w:lineRule="auto"/>
        <w:ind w:firstLine="4080" w:firstLineChars="1700"/>
        <w:rPr>
          <w:rFonts w:hint="eastAsia" w:ascii="宋体" w:hAnsi="宋体" w:cs="宋体"/>
          <w:bCs/>
          <w:color w:val="auto"/>
          <w:sz w:val="24"/>
          <w:highlight w:val="none"/>
          <w:u w:val="single"/>
        </w:rPr>
      </w:pPr>
      <w:r>
        <w:rPr>
          <w:rFonts w:hint="eastAsia" w:ascii="宋体" w:hAnsi="宋体" w:cs="宋体"/>
          <w:bCs/>
          <w:color w:val="auto"/>
          <w:sz w:val="24"/>
          <w:highlight w:val="none"/>
        </w:rPr>
        <w:t xml:space="preserve"> 法定代表人(签章)： </w:t>
      </w:r>
      <w:r>
        <w:rPr>
          <w:rFonts w:hint="eastAsia" w:ascii="宋体" w:hAnsi="宋体" w:cs="宋体"/>
          <w:bCs/>
          <w:color w:val="auto"/>
          <w:sz w:val="24"/>
          <w:highlight w:val="none"/>
          <w:u w:val="single"/>
        </w:rPr>
        <w:t xml:space="preserve">                    </w:t>
      </w:r>
    </w:p>
    <w:p w14:paraId="575D3B8E">
      <w:pPr>
        <w:shd w:val="clear"/>
        <w:spacing w:line="600" w:lineRule="auto"/>
        <w:rPr>
          <w:rFonts w:hint="eastAsia" w:ascii="宋体" w:hAnsi="宋体" w:cs="宋体"/>
          <w:bCs/>
          <w:color w:val="auto"/>
          <w:sz w:val="24"/>
          <w:highlight w:val="none"/>
        </w:rPr>
      </w:pPr>
      <w:r>
        <w:rPr>
          <w:rFonts w:hint="eastAsia" w:ascii="宋体" w:hAnsi="宋体" w:cs="宋体"/>
          <w:bCs/>
          <w:color w:val="auto"/>
          <w:sz w:val="24"/>
          <w:highlight w:val="none"/>
        </w:rPr>
        <w:t xml:space="preserve">                                    投标人名称：</w:t>
      </w:r>
      <w:r>
        <w:rPr>
          <w:rFonts w:hint="eastAsia" w:ascii="宋体" w:hAnsi="宋体" w:cs="宋体"/>
          <w:bCs/>
          <w:color w:val="auto"/>
          <w:sz w:val="24"/>
          <w:highlight w:val="none"/>
          <w:u w:val="single"/>
        </w:rPr>
        <w:t xml:space="preserve">        （签章）         </w:t>
      </w:r>
    </w:p>
    <w:p w14:paraId="3C358DEB">
      <w:pPr>
        <w:shd w:val="clear"/>
        <w:spacing w:line="600" w:lineRule="auto"/>
        <w:ind w:firstLine="4680" w:firstLineChars="1950"/>
        <w:rPr>
          <w:rFonts w:hint="eastAsia" w:ascii="宋体" w:hAnsi="宋体" w:cs="宋体"/>
          <w:bCs/>
          <w:color w:val="auto"/>
          <w:sz w:val="24"/>
          <w:highlight w:val="none"/>
        </w:rPr>
      </w:pPr>
      <w:r>
        <w:rPr>
          <w:rFonts w:hint="eastAsia" w:ascii="宋体" w:hAnsi="宋体" w:cs="宋体"/>
          <w:bCs/>
          <w:color w:val="auto"/>
          <w:sz w:val="24"/>
          <w:highlight w:val="none"/>
        </w:rPr>
        <w:t>日    期：</w:t>
      </w:r>
      <w:r>
        <w:rPr>
          <w:rFonts w:hint="eastAsia" w:ascii="宋体" w:hAnsi="宋体" w:cs="宋体"/>
          <w:bCs/>
          <w:color w:val="auto"/>
          <w:sz w:val="24"/>
          <w:highlight w:val="none"/>
          <w:u w:val="single"/>
        </w:rPr>
        <w:t xml:space="preserve">                       </w:t>
      </w:r>
    </w:p>
    <w:p w14:paraId="48EA6FAD">
      <w:pPr>
        <w:shd w:val="clear"/>
        <w:spacing w:line="360" w:lineRule="exact"/>
        <w:rPr>
          <w:rFonts w:hint="eastAsia" w:ascii="宋体"/>
          <w:b/>
          <w:color w:val="auto"/>
          <w:sz w:val="30"/>
          <w:szCs w:val="30"/>
          <w:highlight w:val="none"/>
        </w:rPr>
      </w:pPr>
    </w:p>
    <w:p w14:paraId="68EAA616">
      <w:pPr>
        <w:rPr>
          <w:rFonts w:hint="eastAsia"/>
          <w:b/>
          <w:color w:val="auto"/>
          <w:sz w:val="28"/>
          <w:szCs w:val="28"/>
          <w:highlight w:val="none"/>
        </w:rPr>
      </w:pPr>
      <w:r>
        <w:rPr>
          <w:rFonts w:hint="eastAsia"/>
          <w:b/>
          <w:color w:val="auto"/>
          <w:sz w:val="28"/>
          <w:szCs w:val="28"/>
          <w:highlight w:val="none"/>
        </w:rPr>
        <w:br w:type="page"/>
      </w:r>
    </w:p>
    <w:p w14:paraId="73C791BA">
      <w:pPr>
        <w:rPr>
          <w:color w:val="auto"/>
          <w:highlight w:val="none"/>
        </w:rPr>
      </w:pPr>
    </w:p>
    <w:p w14:paraId="68C9D1BF">
      <w:pPr>
        <w:rPr>
          <w:color w:val="auto"/>
          <w:highlight w:val="none"/>
        </w:rPr>
      </w:pPr>
    </w:p>
    <w:p w14:paraId="3E269FCC">
      <w:pPr>
        <w:jc w:val="center"/>
        <w:rPr>
          <w:rFonts w:eastAsia="黑体"/>
          <w:color w:val="auto"/>
          <w:sz w:val="20"/>
          <w:szCs w:val="20"/>
          <w:highlight w:val="none"/>
        </w:rPr>
      </w:pPr>
      <w:r>
        <w:rPr>
          <w:rFonts w:eastAsia="黑体"/>
          <w:color w:val="auto"/>
          <w:sz w:val="28"/>
          <w:szCs w:val="28"/>
          <w:highlight w:val="none"/>
          <w:u w:val="single"/>
        </w:rPr>
        <w:t xml:space="preserve">                </w:t>
      </w:r>
      <w:r>
        <w:rPr>
          <w:rFonts w:hint="eastAsia" w:eastAsia="黑体"/>
          <w:color w:val="auto"/>
          <w:sz w:val="28"/>
          <w:szCs w:val="28"/>
          <w:highlight w:val="none"/>
        </w:rPr>
        <w:t>（项目名称）</w:t>
      </w:r>
    </w:p>
    <w:p w14:paraId="283558A9">
      <w:pPr>
        <w:jc w:val="center"/>
        <w:rPr>
          <w:rFonts w:eastAsia="黑体"/>
          <w:color w:val="auto"/>
          <w:sz w:val="20"/>
          <w:szCs w:val="20"/>
          <w:highlight w:val="none"/>
        </w:rPr>
      </w:pPr>
    </w:p>
    <w:p w14:paraId="2DA212FE">
      <w:pPr>
        <w:rPr>
          <w:rFonts w:eastAsia="黑体"/>
          <w:color w:val="auto"/>
          <w:sz w:val="20"/>
          <w:szCs w:val="20"/>
          <w:highlight w:val="none"/>
        </w:rPr>
      </w:pPr>
    </w:p>
    <w:p w14:paraId="6B7C5A37">
      <w:pPr>
        <w:jc w:val="center"/>
        <w:rPr>
          <w:rFonts w:hint="eastAsia" w:eastAsia="黑体"/>
          <w:color w:val="auto"/>
          <w:sz w:val="44"/>
          <w:szCs w:val="44"/>
          <w:highlight w:val="none"/>
          <w:lang w:eastAsia="zh-CN"/>
        </w:rPr>
      </w:pPr>
      <w:r>
        <w:rPr>
          <w:rFonts w:hint="eastAsia" w:eastAsia="黑体"/>
          <w:color w:val="auto"/>
          <w:sz w:val="44"/>
          <w:szCs w:val="44"/>
          <w:highlight w:val="none"/>
        </w:rPr>
        <w:t>投</w:t>
      </w:r>
      <w:r>
        <w:rPr>
          <w:rFonts w:eastAsia="黑体"/>
          <w:color w:val="auto"/>
          <w:sz w:val="44"/>
          <w:szCs w:val="44"/>
          <w:highlight w:val="none"/>
        </w:rPr>
        <w:t xml:space="preserve">  </w:t>
      </w:r>
      <w:r>
        <w:rPr>
          <w:rFonts w:hint="eastAsia" w:eastAsia="黑体"/>
          <w:color w:val="auto"/>
          <w:sz w:val="44"/>
          <w:szCs w:val="44"/>
          <w:highlight w:val="none"/>
        </w:rPr>
        <w:t>标</w:t>
      </w:r>
      <w:r>
        <w:rPr>
          <w:rFonts w:eastAsia="黑体"/>
          <w:color w:val="auto"/>
          <w:sz w:val="44"/>
          <w:szCs w:val="44"/>
          <w:highlight w:val="none"/>
        </w:rPr>
        <w:t xml:space="preserve">  </w:t>
      </w:r>
      <w:r>
        <w:rPr>
          <w:rFonts w:hint="eastAsia" w:eastAsia="黑体"/>
          <w:color w:val="auto"/>
          <w:sz w:val="44"/>
          <w:szCs w:val="44"/>
          <w:highlight w:val="none"/>
        </w:rPr>
        <w:t>文</w:t>
      </w:r>
      <w:r>
        <w:rPr>
          <w:rFonts w:eastAsia="黑体"/>
          <w:color w:val="auto"/>
          <w:sz w:val="44"/>
          <w:szCs w:val="44"/>
          <w:highlight w:val="none"/>
        </w:rPr>
        <w:t xml:space="preserve">  </w:t>
      </w:r>
      <w:r>
        <w:rPr>
          <w:rFonts w:hint="eastAsia" w:eastAsia="黑体"/>
          <w:color w:val="auto"/>
          <w:sz w:val="44"/>
          <w:szCs w:val="44"/>
          <w:highlight w:val="none"/>
        </w:rPr>
        <w:t>件</w:t>
      </w:r>
      <w:r>
        <w:rPr>
          <w:rFonts w:eastAsia="黑体"/>
          <w:color w:val="auto"/>
          <w:sz w:val="44"/>
          <w:szCs w:val="44"/>
          <w:highlight w:val="none"/>
        </w:rPr>
        <w:t xml:space="preserve">  </w:t>
      </w:r>
      <w:r>
        <w:rPr>
          <w:rFonts w:hint="eastAsia" w:eastAsia="黑体"/>
          <w:color w:val="auto"/>
          <w:sz w:val="44"/>
          <w:szCs w:val="44"/>
          <w:highlight w:val="none"/>
          <w:lang w:val="en-US" w:eastAsia="zh-CN"/>
        </w:rPr>
        <w:t>二</w:t>
      </w:r>
    </w:p>
    <w:p w14:paraId="5F8F65D9">
      <w:pPr>
        <w:jc w:val="center"/>
        <w:rPr>
          <w:rFonts w:eastAsia="黑体"/>
          <w:color w:val="auto"/>
          <w:sz w:val="44"/>
          <w:szCs w:val="44"/>
          <w:highlight w:val="none"/>
        </w:rPr>
      </w:pPr>
      <w:r>
        <w:rPr>
          <w:rFonts w:hint="eastAsia" w:eastAsia="黑体"/>
          <w:color w:val="auto"/>
          <w:sz w:val="44"/>
          <w:szCs w:val="44"/>
          <w:highlight w:val="none"/>
        </w:rPr>
        <w:t>（商务标文件）</w:t>
      </w:r>
    </w:p>
    <w:p w14:paraId="2EA0627F">
      <w:pPr>
        <w:rPr>
          <w:rFonts w:eastAsia="黑体"/>
          <w:color w:val="auto"/>
          <w:sz w:val="28"/>
          <w:szCs w:val="28"/>
          <w:highlight w:val="none"/>
        </w:rPr>
      </w:pPr>
    </w:p>
    <w:p w14:paraId="4C406C27">
      <w:pPr>
        <w:rPr>
          <w:rFonts w:eastAsia="黑体"/>
          <w:color w:val="auto"/>
          <w:sz w:val="28"/>
          <w:szCs w:val="28"/>
          <w:highlight w:val="none"/>
        </w:rPr>
      </w:pPr>
    </w:p>
    <w:p w14:paraId="3601028D">
      <w:pPr>
        <w:rPr>
          <w:rFonts w:eastAsia="黑体"/>
          <w:color w:val="auto"/>
          <w:sz w:val="28"/>
          <w:szCs w:val="28"/>
          <w:highlight w:val="none"/>
        </w:rPr>
      </w:pPr>
    </w:p>
    <w:p w14:paraId="04215BAA">
      <w:pPr>
        <w:rPr>
          <w:rFonts w:eastAsia="黑体"/>
          <w:color w:val="auto"/>
          <w:sz w:val="28"/>
          <w:szCs w:val="28"/>
          <w:highlight w:val="none"/>
        </w:rPr>
      </w:pPr>
    </w:p>
    <w:p w14:paraId="40AC0855">
      <w:pPr>
        <w:rPr>
          <w:rFonts w:eastAsia="黑体"/>
          <w:color w:val="auto"/>
          <w:sz w:val="28"/>
          <w:szCs w:val="28"/>
          <w:highlight w:val="none"/>
        </w:rPr>
      </w:pPr>
    </w:p>
    <w:p w14:paraId="55B5B51D">
      <w:pPr>
        <w:rPr>
          <w:rFonts w:eastAsia="黑体"/>
          <w:color w:val="auto"/>
          <w:sz w:val="28"/>
          <w:szCs w:val="28"/>
          <w:highlight w:val="none"/>
        </w:rPr>
      </w:pPr>
    </w:p>
    <w:p w14:paraId="0DCC6B16">
      <w:pPr>
        <w:pStyle w:val="2"/>
        <w:rPr>
          <w:color w:val="auto"/>
          <w:highlight w:val="none"/>
        </w:rPr>
      </w:pPr>
    </w:p>
    <w:p w14:paraId="11A9C945">
      <w:pPr>
        <w:rPr>
          <w:rFonts w:eastAsia="黑体"/>
          <w:color w:val="auto"/>
          <w:sz w:val="28"/>
          <w:szCs w:val="28"/>
          <w:highlight w:val="none"/>
        </w:rPr>
      </w:pPr>
    </w:p>
    <w:p w14:paraId="38704600">
      <w:pPr>
        <w:rPr>
          <w:rFonts w:eastAsia="黑体"/>
          <w:color w:val="auto"/>
          <w:sz w:val="28"/>
          <w:szCs w:val="28"/>
          <w:highlight w:val="none"/>
        </w:rPr>
      </w:pPr>
    </w:p>
    <w:p w14:paraId="0772A8F3">
      <w:pPr>
        <w:rPr>
          <w:rFonts w:eastAsia="黑体"/>
          <w:color w:val="auto"/>
          <w:sz w:val="28"/>
          <w:szCs w:val="28"/>
          <w:highlight w:val="none"/>
        </w:rPr>
      </w:pPr>
    </w:p>
    <w:p w14:paraId="1AFA6A58">
      <w:pPr>
        <w:jc w:val="center"/>
        <w:rPr>
          <w:rFonts w:eastAsia="黑体"/>
          <w:color w:val="auto"/>
          <w:sz w:val="28"/>
          <w:szCs w:val="28"/>
          <w:highlight w:val="none"/>
          <w:u w:val="single"/>
        </w:rPr>
      </w:pPr>
      <w:r>
        <w:rPr>
          <w:rFonts w:hint="eastAsia" w:eastAsia="黑体"/>
          <w:color w:val="auto"/>
          <w:sz w:val="28"/>
          <w:szCs w:val="28"/>
          <w:highlight w:val="none"/>
        </w:rPr>
        <w:t>投标人：</w:t>
      </w:r>
      <w:r>
        <w:rPr>
          <w:rFonts w:eastAsia="黑体"/>
          <w:color w:val="auto"/>
          <w:sz w:val="28"/>
          <w:szCs w:val="28"/>
          <w:highlight w:val="none"/>
          <w:u w:val="single"/>
        </w:rPr>
        <w:t xml:space="preserve">                              </w:t>
      </w:r>
      <w:r>
        <w:rPr>
          <w:rFonts w:hint="eastAsia" w:eastAsia="黑体"/>
          <w:color w:val="auto"/>
          <w:sz w:val="28"/>
          <w:szCs w:val="28"/>
          <w:highlight w:val="none"/>
        </w:rPr>
        <w:t>（签章）</w:t>
      </w:r>
    </w:p>
    <w:p w14:paraId="6B1A3328">
      <w:pPr>
        <w:jc w:val="center"/>
        <w:rPr>
          <w:rFonts w:eastAsia="黑体"/>
          <w:color w:val="auto"/>
          <w:sz w:val="28"/>
          <w:szCs w:val="28"/>
          <w:highlight w:val="none"/>
        </w:rPr>
      </w:pPr>
      <w:r>
        <w:rPr>
          <w:rFonts w:hint="eastAsia" w:eastAsia="黑体"/>
          <w:color w:val="auto"/>
          <w:sz w:val="28"/>
          <w:szCs w:val="28"/>
          <w:highlight w:val="none"/>
        </w:rPr>
        <w:t>法定代表人：</w:t>
      </w:r>
      <w:r>
        <w:rPr>
          <w:rFonts w:eastAsia="黑体"/>
          <w:color w:val="auto"/>
          <w:sz w:val="28"/>
          <w:szCs w:val="28"/>
          <w:highlight w:val="none"/>
          <w:u w:val="single"/>
        </w:rPr>
        <w:t xml:space="preserve">                          </w:t>
      </w:r>
      <w:r>
        <w:rPr>
          <w:rFonts w:hint="eastAsia" w:eastAsia="黑体"/>
          <w:color w:val="auto"/>
          <w:sz w:val="28"/>
          <w:szCs w:val="28"/>
          <w:highlight w:val="none"/>
        </w:rPr>
        <w:t>（签章）</w:t>
      </w:r>
    </w:p>
    <w:p w14:paraId="4523787E">
      <w:pPr>
        <w:jc w:val="center"/>
        <w:rPr>
          <w:rFonts w:eastAsia="黑体"/>
          <w:color w:val="auto"/>
          <w:sz w:val="28"/>
          <w:szCs w:val="28"/>
          <w:highlight w:val="none"/>
        </w:rPr>
      </w:pPr>
      <w:r>
        <w:rPr>
          <w:rFonts w:eastAsia="黑体"/>
          <w:color w:val="auto"/>
          <w:sz w:val="28"/>
          <w:szCs w:val="28"/>
          <w:highlight w:val="none"/>
          <w:u w:val="single"/>
        </w:rPr>
        <w:t xml:space="preserve">        </w:t>
      </w:r>
      <w:r>
        <w:rPr>
          <w:rFonts w:hint="eastAsia" w:eastAsia="黑体"/>
          <w:color w:val="auto"/>
          <w:sz w:val="28"/>
          <w:szCs w:val="28"/>
          <w:highlight w:val="none"/>
        </w:rPr>
        <w:t>年</w:t>
      </w:r>
      <w:r>
        <w:rPr>
          <w:rFonts w:eastAsia="黑体"/>
          <w:color w:val="auto"/>
          <w:sz w:val="28"/>
          <w:szCs w:val="28"/>
          <w:highlight w:val="none"/>
          <w:u w:val="single"/>
        </w:rPr>
        <w:t xml:space="preserve">        </w:t>
      </w:r>
      <w:r>
        <w:rPr>
          <w:rFonts w:hint="eastAsia" w:eastAsia="黑体"/>
          <w:color w:val="auto"/>
          <w:sz w:val="28"/>
          <w:szCs w:val="28"/>
          <w:highlight w:val="none"/>
        </w:rPr>
        <w:t>月</w:t>
      </w:r>
      <w:r>
        <w:rPr>
          <w:rFonts w:eastAsia="黑体"/>
          <w:color w:val="auto"/>
          <w:sz w:val="28"/>
          <w:szCs w:val="28"/>
          <w:highlight w:val="none"/>
          <w:u w:val="single"/>
        </w:rPr>
        <w:t xml:space="preserve">        </w:t>
      </w:r>
      <w:r>
        <w:rPr>
          <w:rFonts w:hint="eastAsia" w:eastAsia="黑体"/>
          <w:color w:val="auto"/>
          <w:sz w:val="28"/>
          <w:szCs w:val="28"/>
          <w:highlight w:val="none"/>
        </w:rPr>
        <w:t>日</w:t>
      </w:r>
    </w:p>
    <w:p w14:paraId="16F4954E">
      <w:pPr>
        <w:pStyle w:val="2"/>
        <w:ind w:left="0" w:leftChars="0" w:firstLine="0" w:firstLineChars="0"/>
        <w:rPr>
          <w:color w:val="auto"/>
          <w:highlight w:val="none"/>
        </w:rPr>
      </w:pPr>
    </w:p>
    <w:p w14:paraId="1A91F60D">
      <w:pPr>
        <w:rPr>
          <w:color w:val="auto"/>
          <w:highlight w:val="none"/>
        </w:rPr>
      </w:pPr>
    </w:p>
    <w:p w14:paraId="62ED922F">
      <w:pPr>
        <w:pStyle w:val="2"/>
        <w:ind w:left="31680" w:firstLine="31680"/>
        <w:rPr>
          <w:color w:val="auto"/>
          <w:highlight w:val="none"/>
        </w:rPr>
      </w:pPr>
    </w:p>
    <w:p w14:paraId="77C9B454">
      <w:pPr>
        <w:spacing w:beforeLines="50" w:afterLines="50" w:line="440" w:lineRule="exact"/>
        <w:ind w:firstLine="643" w:firstLineChars="200"/>
        <w:jc w:val="left"/>
        <w:rPr>
          <w:rStyle w:val="65"/>
          <w:rFonts w:ascii="宋体" w:cs="宋体"/>
          <w:bCs/>
          <w:color w:val="auto"/>
          <w:sz w:val="32"/>
          <w:szCs w:val="44"/>
          <w:highlight w:val="none"/>
        </w:rPr>
      </w:pPr>
      <w:bookmarkStart w:id="850" w:name="_Toc35424973"/>
      <w:bookmarkStart w:id="851" w:name="_Toc35425139"/>
      <w:bookmarkStart w:id="852" w:name="_Toc19174"/>
    </w:p>
    <w:p w14:paraId="3F76AE2C">
      <w:pPr>
        <w:pStyle w:val="2"/>
        <w:rPr>
          <w:color w:val="auto"/>
          <w:highlight w:val="none"/>
        </w:rPr>
      </w:pPr>
    </w:p>
    <w:p w14:paraId="487F0F21">
      <w:pPr>
        <w:rPr>
          <w:rStyle w:val="65"/>
          <w:rFonts w:hint="eastAsia" w:ascii="宋体" w:hAnsi="宋体" w:cs="宋体"/>
          <w:bCs/>
          <w:color w:val="auto"/>
          <w:sz w:val="32"/>
          <w:szCs w:val="44"/>
          <w:highlight w:val="none"/>
        </w:rPr>
      </w:pPr>
      <w:r>
        <w:rPr>
          <w:rStyle w:val="65"/>
          <w:rFonts w:hint="eastAsia" w:ascii="宋体" w:hAnsi="宋体" w:cs="宋体"/>
          <w:bCs/>
          <w:color w:val="auto"/>
          <w:sz w:val="32"/>
          <w:szCs w:val="44"/>
          <w:highlight w:val="none"/>
        </w:rPr>
        <w:br w:type="page"/>
      </w:r>
    </w:p>
    <w:p w14:paraId="6742C783">
      <w:pPr>
        <w:spacing w:beforeLines="50" w:afterLines="50" w:line="440" w:lineRule="exact"/>
        <w:ind w:firstLine="643" w:firstLineChars="200"/>
        <w:jc w:val="left"/>
        <w:rPr>
          <w:rStyle w:val="65"/>
          <w:rFonts w:ascii="宋体" w:cs="宋体"/>
          <w:bCs/>
          <w:color w:val="auto"/>
          <w:sz w:val="32"/>
          <w:szCs w:val="44"/>
          <w:highlight w:val="none"/>
        </w:rPr>
      </w:pPr>
      <w:r>
        <w:rPr>
          <w:rStyle w:val="65"/>
          <w:rFonts w:hint="eastAsia" w:ascii="宋体" w:hAnsi="宋体" w:cs="宋体"/>
          <w:bCs/>
          <w:color w:val="auto"/>
          <w:sz w:val="32"/>
          <w:szCs w:val="44"/>
          <w:highlight w:val="none"/>
        </w:rPr>
        <w:t>投标文件</w:t>
      </w:r>
      <w:bookmarkEnd w:id="850"/>
      <w:bookmarkEnd w:id="851"/>
      <w:bookmarkEnd w:id="852"/>
      <w:r>
        <w:rPr>
          <w:rStyle w:val="65"/>
          <w:rFonts w:hint="eastAsia" w:ascii="宋体" w:hAnsi="宋体" w:cs="宋体"/>
          <w:bCs/>
          <w:color w:val="auto"/>
          <w:sz w:val="32"/>
          <w:szCs w:val="44"/>
          <w:highlight w:val="none"/>
          <w:lang w:val="en-US"/>
        </w:rPr>
        <w:t>二</w:t>
      </w:r>
      <w:r>
        <w:rPr>
          <w:rStyle w:val="65"/>
          <w:rFonts w:hint="eastAsia" w:ascii="宋体" w:hAnsi="宋体" w:cs="宋体"/>
          <w:bCs/>
          <w:color w:val="auto"/>
          <w:sz w:val="32"/>
          <w:szCs w:val="44"/>
          <w:highlight w:val="none"/>
        </w:rPr>
        <w:t>：商务标目录</w:t>
      </w:r>
    </w:p>
    <w:p w14:paraId="06438795">
      <w:pPr>
        <w:spacing w:line="440" w:lineRule="exact"/>
        <w:ind w:firstLine="420" w:firstLineChars="200"/>
        <w:jc w:val="left"/>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）投标函（格式见附件）；</w:t>
      </w:r>
      <w:r>
        <w:rPr>
          <w:rFonts w:ascii="宋体" w:hAnsi="宋体" w:cs="宋体"/>
          <w:color w:val="auto"/>
          <w:highlight w:val="none"/>
        </w:rPr>
        <w:t xml:space="preserve">    </w:t>
      </w:r>
    </w:p>
    <w:p w14:paraId="7644208E">
      <w:pPr>
        <w:spacing w:line="440" w:lineRule="exact"/>
        <w:ind w:firstLine="420" w:firstLineChars="200"/>
        <w:jc w:val="left"/>
        <w:rPr>
          <w:rFonts w:ascii="宋体" w:cs="宋体"/>
          <w:color w:val="auto"/>
          <w:szCs w:val="21"/>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）详细评审所需其他材料。</w:t>
      </w:r>
    </w:p>
    <w:p w14:paraId="1140F20D">
      <w:pPr>
        <w:spacing w:line="540" w:lineRule="exact"/>
        <w:rPr>
          <w:color w:val="auto"/>
          <w:highlight w:val="none"/>
        </w:rPr>
      </w:pPr>
    </w:p>
    <w:p w14:paraId="7B2EA6E0">
      <w:pPr>
        <w:spacing w:line="540" w:lineRule="exact"/>
        <w:rPr>
          <w:rFonts w:eastAsia="黑体"/>
          <w:color w:val="auto"/>
          <w:sz w:val="20"/>
          <w:szCs w:val="20"/>
          <w:highlight w:val="none"/>
        </w:rPr>
      </w:pPr>
    </w:p>
    <w:p w14:paraId="4D2629AD">
      <w:pPr>
        <w:spacing w:line="540" w:lineRule="exact"/>
        <w:rPr>
          <w:rFonts w:eastAsia="黑体"/>
          <w:color w:val="auto"/>
          <w:sz w:val="20"/>
          <w:szCs w:val="20"/>
          <w:highlight w:val="none"/>
        </w:rPr>
      </w:pPr>
    </w:p>
    <w:p w14:paraId="63436E21">
      <w:pPr>
        <w:spacing w:line="540" w:lineRule="exact"/>
        <w:rPr>
          <w:rFonts w:eastAsia="黑体"/>
          <w:color w:val="auto"/>
          <w:sz w:val="20"/>
          <w:szCs w:val="20"/>
          <w:highlight w:val="none"/>
        </w:rPr>
      </w:pPr>
    </w:p>
    <w:p w14:paraId="3135DB03">
      <w:pPr>
        <w:spacing w:line="360" w:lineRule="auto"/>
        <w:ind w:firstLine="420" w:firstLineChars="200"/>
        <w:jc w:val="right"/>
        <w:rPr>
          <w:color w:val="auto"/>
          <w:szCs w:val="21"/>
          <w:highlight w:val="none"/>
          <w:u w:val="single"/>
        </w:rPr>
      </w:pPr>
    </w:p>
    <w:p w14:paraId="4A2F4057">
      <w:pPr>
        <w:spacing w:line="360" w:lineRule="auto"/>
        <w:ind w:firstLine="420" w:firstLineChars="200"/>
        <w:jc w:val="right"/>
        <w:rPr>
          <w:color w:val="auto"/>
          <w:szCs w:val="21"/>
          <w:highlight w:val="none"/>
          <w:u w:val="single"/>
        </w:rPr>
      </w:pPr>
    </w:p>
    <w:p w14:paraId="7D447743">
      <w:pPr>
        <w:spacing w:line="360" w:lineRule="auto"/>
        <w:ind w:firstLine="420" w:firstLineChars="200"/>
        <w:jc w:val="right"/>
        <w:rPr>
          <w:color w:val="auto"/>
          <w:szCs w:val="21"/>
          <w:highlight w:val="none"/>
          <w:u w:val="single"/>
        </w:rPr>
      </w:pPr>
    </w:p>
    <w:p w14:paraId="60541362">
      <w:pPr>
        <w:spacing w:line="360" w:lineRule="auto"/>
        <w:ind w:firstLine="420" w:firstLineChars="200"/>
        <w:jc w:val="right"/>
        <w:rPr>
          <w:color w:val="auto"/>
          <w:szCs w:val="21"/>
          <w:highlight w:val="none"/>
          <w:u w:val="single"/>
        </w:rPr>
      </w:pPr>
    </w:p>
    <w:p w14:paraId="38FE964A">
      <w:pPr>
        <w:spacing w:line="360" w:lineRule="auto"/>
        <w:ind w:firstLine="420" w:firstLineChars="200"/>
        <w:jc w:val="right"/>
        <w:rPr>
          <w:color w:val="auto"/>
          <w:szCs w:val="21"/>
          <w:highlight w:val="none"/>
          <w:u w:val="single"/>
        </w:rPr>
      </w:pPr>
    </w:p>
    <w:p w14:paraId="4F557B34">
      <w:pPr>
        <w:spacing w:line="360" w:lineRule="auto"/>
        <w:ind w:firstLine="420" w:firstLineChars="200"/>
        <w:jc w:val="right"/>
        <w:rPr>
          <w:color w:val="auto"/>
          <w:szCs w:val="21"/>
          <w:highlight w:val="none"/>
          <w:u w:val="single"/>
        </w:rPr>
      </w:pPr>
    </w:p>
    <w:p w14:paraId="009EEAA1">
      <w:pPr>
        <w:spacing w:line="360" w:lineRule="auto"/>
        <w:ind w:firstLine="420" w:firstLineChars="200"/>
        <w:jc w:val="right"/>
        <w:rPr>
          <w:color w:val="auto"/>
          <w:szCs w:val="21"/>
          <w:highlight w:val="none"/>
          <w:u w:val="single"/>
        </w:rPr>
      </w:pPr>
    </w:p>
    <w:p w14:paraId="7F525331">
      <w:pPr>
        <w:spacing w:line="360" w:lineRule="auto"/>
        <w:ind w:firstLine="420" w:firstLineChars="200"/>
        <w:jc w:val="right"/>
        <w:rPr>
          <w:color w:val="auto"/>
          <w:szCs w:val="21"/>
          <w:highlight w:val="none"/>
          <w:u w:val="single"/>
        </w:rPr>
      </w:pPr>
    </w:p>
    <w:p w14:paraId="0DF31794">
      <w:pPr>
        <w:jc w:val="center"/>
        <w:rPr>
          <w:b/>
          <w:color w:val="auto"/>
          <w:sz w:val="32"/>
          <w:szCs w:val="32"/>
          <w:highlight w:val="none"/>
        </w:rPr>
      </w:pPr>
    </w:p>
    <w:p w14:paraId="6D8509AE">
      <w:pPr>
        <w:jc w:val="center"/>
        <w:rPr>
          <w:b/>
          <w:color w:val="auto"/>
          <w:sz w:val="32"/>
          <w:szCs w:val="32"/>
          <w:highlight w:val="none"/>
        </w:rPr>
      </w:pPr>
    </w:p>
    <w:p w14:paraId="6E6E53B5">
      <w:pPr>
        <w:jc w:val="center"/>
        <w:rPr>
          <w:b/>
          <w:color w:val="auto"/>
          <w:sz w:val="32"/>
          <w:szCs w:val="32"/>
          <w:highlight w:val="none"/>
        </w:rPr>
      </w:pPr>
    </w:p>
    <w:p w14:paraId="282A6FBD">
      <w:pPr>
        <w:jc w:val="center"/>
        <w:rPr>
          <w:b/>
          <w:color w:val="auto"/>
          <w:sz w:val="32"/>
          <w:szCs w:val="32"/>
          <w:highlight w:val="none"/>
        </w:rPr>
      </w:pPr>
    </w:p>
    <w:p w14:paraId="77799754">
      <w:pPr>
        <w:jc w:val="center"/>
        <w:rPr>
          <w:b/>
          <w:color w:val="auto"/>
          <w:sz w:val="32"/>
          <w:szCs w:val="32"/>
          <w:highlight w:val="none"/>
        </w:rPr>
      </w:pPr>
    </w:p>
    <w:p w14:paraId="085AC612">
      <w:pPr>
        <w:spacing w:line="360" w:lineRule="auto"/>
        <w:rPr>
          <w:b/>
          <w:bCs/>
          <w:color w:val="auto"/>
          <w:sz w:val="32"/>
          <w:szCs w:val="32"/>
          <w:highlight w:val="none"/>
        </w:rPr>
      </w:pPr>
    </w:p>
    <w:p w14:paraId="1C08996C">
      <w:pPr>
        <w:pStyle w:val="2"/>
        <w:ind w:left="31680" w:firstLine="31680"/>
        <w:rPr>
          <w:color w:val="auto"/>
          <w:highlight w:val="none"/>
        </w:rPr>
      </w:pPr>
    </w:p>
    <w:p w14:paraId="3E26CEA2">
      <w:pPr>
        <w:rPr>
          <w:color w:val="auto"/>
          <w:highlight w:val="none"/>
        </w:rPr>
      </w:pPr>
      <w:r>
        <w:rPr>
          <w:rFonts w:ascii="宋体"/>
          <w:b/>
          <w:color w:val="auto"/>
          <w:sz w:val="32"/>
          <w:szCs w:val="32"/>
          <w:highlight w:val="none"/>
        </w:rPr>
        <w:br w:type="page"/>
      </w:r>
    </w:p>
    <w:p w14:paraId="4437649B">
      <w:pPr>
        <w:jc w:val="center"/>
        <w:rPr>
          <w:rFonts w:ascii="宋体"/>
          <w:b/>
          <w:color w:val="auto"/>
          <w:sz w:val="32"/>
          <w:szCs w:val="32"/>
          <w:highlight w:val="none"/>
        </w:rPr>
      </w:pPr>
      <w:r>
        <w:rPr>
          <w:rFonts w:hint="eastAsia" w:ascii="宋体" w:hAnsi="宋体"/>
          <w:b/>
          <w:color w:val="auto"/>
          <w:sz w:val="32"/>
          <w:szCs w:val="32"/>
          <w:highlight w:val="none"/>
        </w:rPr>
        <w:t>（</w:t>
      </w:r>
      <w:r>
        <w:rPr>
          <w:rFonts w:ascii="宋体" w:hAnsi="宋体"/>
          <w:b/>
          <w:color w:val="auto"/>
          <w:sz w:val="32"/>
          <w:szCs w:val="32"/>
          <w:highlight w:val="none"/>
        </w:rPr>
        <w:t>1</w:t>
      </w:r>
      <w:r>
        <w:rPr>
          <w:rFonts w:hint="eastAsia" w:ascii="宋体" w:hAnsi="宋体"/>
          <w:b/>
          <w:color w:val="auto"/>
          <w:sz w:val="32"/>
          <w:szCs w:val="32"/>
          <w:highlight w:val="none"/>
        </w:rPr>
        <w:t>）投标函（以此为准）</w:t>
      </w:r>
    </w:p>
    <w:p w14:paraId="1D57ABE5">
      <w:pPr>
        <w:spacing w:line="500" w:lineRule="exact"/>
        <w:ind w:firstLine="422" w:firstLineChars="200"/>
        <w:jc w:val="left"/>
        <w:rPr>
          <w:rFonts w:ascii="宋体" w:cs="宋体"/>
          <w:color w:val="auto"/>
          <w:highlight w:val="none"/>
        </w:rPr>
      </w:pPr>
      <w:r>
        <w:rPr>
          <w:rFonts w:hint="eastAsia" w:ascii="宋体" w:hAnsi="宋体" w:cs="宋体"/>
          <w:b/>
          <w:bCs/>
          <w:color w:val="auto"/>
          <w:highlight w:val="none"/>
        </w:rPr>
        <w:t>致</w:t>
      </w:r>
      <w:r>
        <w:rPr>
          <w:rFonts w:ascii="宋体" w:hAnsi="宋体" w:cs="宋体"/>
          <w:b/>
          <w:bCs/>
          <w:color w:val="auto"/>
          <w:highlight w:val="none"/>
        </w:rPr>
        <w:t xml:space="preserve"> </w:t>
      </w:r>
      <w:r>
        <w:rPr>
          <w:rFonts w:hint="eastAsia" w:ascii="宋体" w:hAnsi="宋体" w:cs="宋体"/>
          <w:b/>
          <w:bCs/>
          <w:color w:val="auto"/>
          <w:highlight w:val="none"/>
        </w:rPr>
        <w:t>：</w:t>
      </w:r>
      <w:r>
        <w:rPr>
          <w:rFonts w:ascii="宋体" w:hAnsi="宋体" w:cs="宋体"/>
          <w:b/>
          <w:bCs/>
          <w:color w:val="auto"/>
          <w:highlight w:val="none"/>
          <w:u w:val="single"/>
        </w:rPr>
        <w:t xml:space="preserve">       </w:t>
      </w:r>
      <w:r>
        <w:rPr>
          <w:rFonts w:hint="eastAsia" w:ascii="宋体" w:hAnsi="宋体" w:cs="宋体"/>
          <w:b/>
          <w:bCs/>
          <w:color w:val="auto"/>
          <w:highlight w:val="none"/>
          <w:u w:val="single"/>
        </w:rPr>
        <w:t>（招标人）</w:t>
      </w:r>
      <w:r>
        <w:rPr>
          <w:rFonts w:ascii="宋体" w:hAnsi="宋体" w:cs="宋体"/>
          <w:b/>
          <w:bCs/>
          <w:color w:val="auto"/>
          <w:highlight w:val="none"/>
          <w:u w:val="single"/>
        </w:rPr>
        <w:t xml:space="preserve"> </w:t>
      </w:r>
      <w:r>
        <w:rPr>
          <w:rFonts w:ascii="宋体" w:hAnsi="宋体" w:cs="宋体"/>
          <w:color w:val="auto"/>
          <w:highlight w:val="none"/>
        </w:rPr>
        <w:t xml:space="preserve">  </w:t>
      </w:r>
    </w:p>
    <w:p w14:paraId="6FA050BA">
      <w:pPr>
        <w:spacing w:line="500" w:lineRule="exact"/>
        <w:ind w:firstLine="525" w:firstLineChars="250"/>
        <w:jc w:val="left"/>
        <w:rPr>
          <w:rFonts w:ascii="宋体" w:cs="宋体"/>
          <w:color w:val="auto"/>
          <w:highlight w:val="none"/>
        </w:rPr>
      </w:pPr>
      <w:r>
        <w:rPr>
          <w:rFonts w:hint="eastAsia" w:ascii="宋体" w:hAnsi="宋体" w:cs="宋体"/>
          <w:color w:val="auto"/>
          <w:highlight w:val="none"/>
        </w:rPr>
        <w:t>我们决定参加贵单位组织的“</w:t>
      </w:r>
      <w:r>
        <w:rPr>
          <w:rFonts w:ascii="宋体" w:hAnsi="宋体" w:cs="宋体"/>
          <w:color w:val="auto"/>
          <w:highlight w:val="none"/>
          <w:u w:val="single"/>
        </w:rPr>
        <w:t xml:space="preserve">         </w:t>
      </w:r>
      <w:r>
        <w:rPr>
          <w:rFonts w:hint="eastAsia" w:ascii="宋体" w:hAnsi="宋体" w:cs="宋体"/>
          <w:color w:val="auto"/>
          <w:highlight w:val="none"/>
          <w:u w:val="single"/>
        </w:rPr>
        <w:t>（项目名称、项目编号）</w:t>
      </w:r>
      <w:r>
        <w:rPr>
          <w:rFonts w:hint="eastAsia" w:ascii="宋体" w:hAnsi="宋体" w:cs="宋体"/>
          <w:color w:val="auto"/>
          <w:highlight w:val="none"/>
        </w:rPr>
        <w:t>”的项目。我方授权</w:t>
      </w:r>
      <w:r>
        <w:rPr>
          <w:rFonts w:ascii="宋体" w:hAnsi="宋体" w:cs="宋体"/>
          <w:color w:val="auto"/>
          <w:highlight w:val="none"/>
        </w:rPr>
        <w:t xml:space="preserve"> </w:t>
      </w:r>
      <w:r>
        <w:rPr>
          <w:rFonts w:ascii="宋体" w:hAnsi="宋体" w:cs="宋体"/>
          <w:color w:val="auto"/>
          <w:highlight w:val="none"/>
          <w:u w:val="single"/>
        </w:rPr>
        <w:t xml:space="preserve">              </w:t>
      </w:r>
      <w:r>
        <w:rPr>
          <w:rFonts w:ascii="宋体" w:hAnsi="宋体" w:cs="宋体"/>
          <w:color w:val="auto"/>
          <w:highlight w:val="none"/>
        </w:rPr>
        <w:t xml:space="preserve"> (</w:t>
      </w:r>
      <w:r>
        <w:rPr>
          <w:rFonts w:hint="eastAsia" w:ascii="宋体" w:hAnsi="宋体" w:cs="宋体"/>
          <w:color w:val="auto"/>
          <w:highlight w:val="none"/>
          <w:u w:val="single"/>
        </w:rPr>
        <w:t>姓名和职务</w:t>
      </w:r>
      <w:r>
        <w:rPr>
          <w:rFonts w:ascii="宋体" w:hAnsi="宋体" w:cs="宋体"/>
          <w:color w:val="auto"/>
          <w:highlight w:val="none"/>
        </w:rPr>
        <w:t>)</w:t>
      </w:r>
      <w:r>
        <w:rPr>
          <w:rFonts w:hint="eastAsia" w:ascii="宋体" w:hAnsi="宋体" w:cs="宋体"/>
          <w:color w:val="auto"/>
          <w:highlight w:val="none"/>
        </w:rPr>
        <w:t>代表我方</w:t>
      </w:r>
      <w:r>
        <w:rPr>
          <w:rFonts w:ascii="宋体" w:hAnsi="宋体" w:cs="宋体"/>
          <w:color w:val="auto"/>
          <w:highlight w:val="none"/>
        </w:rPr>
        <w:t xml:space="preserve"> </w:t>
      </w:r>
      <w:r>
        <w:rPr>
          <w:rFonts w:ascii="宋体" w:hAnsi="宋体" w:cs="宋体"/>
          <w:color w:val="auto"/>
          <w:highlight w:val="none"/>
          <w:u w:val="single"/>
        </w:rPr>
        <w:t xml:space="preserve">             </w:t>
      </w:r>
      <w:r>
        <w:rPr>
          <w:rFonts w:hint="eastAsia" w:ascii="宋体" w:hAnsi="宋体" w:cs="宋体"/>
          <w:color w:val="auto"/>
          <w:highlight w:val="none"/>
        </w:rPr>
        <w:t>（投标单位的名称）全权处理本项目投标的有关事宜</w:t>
      </w:r>
      <w:r>
        <w:rPr>
          <w:rFonts w:ascii="宋体" w:hAnsi="宋体" w:cs="宋体"/>
          <w:color w:val="auto"/>
          <w:highlight w:val="none"/>
        </w:rPr>
        <w:t xml:space="preserve"> </w:t>
      </w:r>
    </w:p>
    <w:p w14:paraId="68EB6E3F">
      <w:pPr>
        <w:spacing w:line="500" w:lineRule="exact"/>
        <w:ind w:firstLine="420" w:firstLineChars="200"/>
        <w:jc w:val="left"/>
        <w:rPr>
          <w:rFonts w:ascii="宋体" w:cs="宋体"/>
          <w:color w:val="auto"/>
          <w:szCs w:val="21"/>
          <w:highlight w:val="none"/>
        </w:rPr>
      </w:pPr>
      <w:r>
        <w:rPr>
          <w:rFonts w:ascii="宋体" w:hAnsi="宋体" w:cs="宋体"/>
          <w:color w:val="auto"/>
          <w:highlight w:val="none"/>
        </w:rPr>
        <w:t>1</w:t>
      </w:r>
      <w:r>
        <w:rPr>
          <w:rFonts w:hint="eastAsia" w:ascii="宋体" w:hAnsi="宋体" w:cs="宋体"/>
          <w:color w:val="auto"/>
          <w:highlight w:val="none"/>
          <w:lang w:val="en-US" w:eastAsia="zh-CN"/>
        </w:rPr>
        <w:t>.</w:t>
      </w:r>
      <w:r>
        <w:rPr>
          <w:rFonts w:hint="eastAsia" w:ascii="宋体" w:hAnsi="宋体" w:cs="宋体"/>
          <w:color w:val="auto"/>
          <w:highlight w:val="none"/>
        </w:rPr>
        <w:t>我们已仔细地研究了</w:t>
      </w:r>
      <w:r>
        <w:rPr>
          <w:rFonts w:ascii="宋体" w:hAnsi="宋体" w:cs="宋体"/>
          <w:color w:val="auto"/>
          <w:highlight w:val="none"/>
          <w:u w:val="single"/>
        </w:rPr>
        <w:t xml:space="preserve">                </w:t>
      </w:r>
      <w:r>
        <w:rPr>
          <w:rFonts w:hint="eastAsia" w:ascii="宋体" w:hAnsi="宋体" w:cs="宋体"/>
          <w:color w:val="auto"/>
          <w:highlight w:val="none"/>
          <w:u w:val="single"/>
        </w:rPr>
        <w:t>（项目名称）</w:t>
      </w:r>
      <w:r>
        <w:rPr>
          <w:rFonts w:hint="eastAsia" w:ascii="宋体" w:hAnsi="宋体" w:cs="宋体"/>
          <w:color w:val="auto"/>
          <w:highlight w:val="none"/>
        </w:rPr>
        <w:t>招标文件的全部内容，包括但不限于承包人须知合同条件、工作要求，以及全部补遗和澄清文件。我们已了解和审核了全部招标文件，并完全理解了招标文件</w:t>
      </w:r>
      <w:r>
        <w:rPr>
          <w:rFonts w:hint="eastAsia" w:ascii="宋体" w:hAnsi="宋体" w:cs="宋体"/>
          <w:color w:val="auto"/>
          <w:spacing w:val="-1"/>
          <w:highlight w:val="none"/>
        </w:rPr>
        <w:t>规定的合同范围，工作要求，并考虑到了潜在所有风险。据此我方愿以</w:t>
      </w:r>
      <w:r>
        <w:rPr>
          <w:rFonts w:hint="eastAsia" w:ascii="宋体" w:hAnsi="宋体" w:cs="宋体"/>
          <w:color w:val="auto"/>
          <w:spacing w:val="-1"/>
          <w:highlight w:val="none"/>
          <w:lang w:val="en-US" w:eastAsia="zh-CN"/>
        </w:rPr>
        <w:t>费</w:t>
      </w:r>
      <w:r>
        <w:rPr>
          <w:rFonts w:hint="eastAsia" w:ascii="宋体" w:hAnsi="宋体" w:cs="宋体"/>
          <w:color w:val="auto"/>
          <w:spacing w:val="-1"/>
          <w:highlight w:val="none"/>
        </w:rPr>
        <w:t>率：</w:t>
      </w:r>
      <w:r>
        <w:rPr>
          <w:rFonts w:hint="eastAsia" w:ascii="宋体" w:hAnsi="宋体" w:cs="宋体"/>
          <w:color w:val="auto"/>
          <w:spacing w:val="-1"/>
          <w:highlight w:val="none"/>
          <w:u w:val="single"/>
        </w:rPr>
        <w:t>大写</w:t>
      </w:r>
      <w:r>
        <w:rPr>
          <w:rFonts w:hint="eastAsia" w:ascii="宋体" w:hAnsi="宋体" w:cs="宋体"/>
          <w:color w:val="auto"/>
          <w:spacing w:val="-1"/>
          <w:highlight w:val="none"/>
          <w:u w:val="single"/>
          <w:lang w:val="en-US" w:eastAsia="zh-CN"/>
        </w:rPr>
        <w:t>千</w:t>
      </w:r>
      <w:r>
        <w:rPr>
          <w:rFonts w:hint="eastAsia" w:ascii="宋体" w:hAnsi="宋体" w:cs="宋体"/>
          <w:color w:val="auto"/>
          <w:spacing w:val="-1"/>
          <w:highlight w:val="none"/>
          <w:u w:val="single"/>
        </w:rPr>
        <w:t>分之</w:t>
      </w:r>
      <w:r>
        <w:rPr>
          <w:rFonts w:ascii="宋体" w:hAnsi="宋体" w:cs="宋体"/>
          <w:color w:val="auto"/>
          <w:spacing w:val="56"/>
          <w:highlight w:val="none"/>
          <w:u w:val="single"/>
        </w:rPr>
        <w:t xml:space="preserve">   </w:t>
      </w:r>
      <w:r>
        <w:rPr>
          <w:rFonts w:hint="eastAsia" w:ascii="宋体" w:hAnsi="宋体" w:cs="宋体"/>
          <w:color w:val="auto"/>
          <w:spacing w:val="56"/>
          <w:highlight w:val="none"/>
          <w:u w:val="single"/>
        </w:rPr>
        <w:t>小写</w:t>
      </w:r>
      <w:r>
        <w:rPr>
          <w:rFonts w:ascii="宋体" w:hAnsi="宋体" w:cs="宋体"/>
          <w:color w:val="auto"/>
          <w:spacing w:val="56"/>
          <w:highlight w:val="none"/>
          <w:u w:val="single"/>
        </w:rPr>
        <w:t xml:space="preserve">  </w:t>
      </w:r>
      <w:r>
        <w:rPr>
          <w:rFonts w:hint="default" w:ascii="Arial" w:hAnsi="Arial" w:cs="Arial"/>
          <w:color w:val="auto"/>
          <w:highlight w:val="none"/>
        </w:rPr>
        <w:t>‰</w:t>
      </w:r>
      <w:r>
        <w:rPr>
          <w:rFonts w:hint="eastAsia" w:ascii="宋体" w:hAnsi="宋体" w:cs="宋体"/>
          <w:color w:val="auto"/>
          <w:highlight w:val="none"/>
        </w:rPr>
        <w:t>（小数点后保留</w:t>
      </w:r>
      <w:r>
        <w:rPr>
          <w:rFonts w:ascii="宋体" w:hAnsi="宋体" w:cs="宋体"/>
          <w:color w:val="auto"/>
          <w:highlight w:val="none"/>
        </w:rPr>
        <w:t>2</w:t>
      </w:r>
      <w:r>
        <w:rPr>
          <w:rFonts w:hint="eastAsia" w:ascii="宋体" w:hAnsi="宋体" w:cs="宋体"/>
          <w:color w:val="auto"/>
          <w:highlight w:val="none"/>
        </w:rPr>
        <w:t>位）为报价费率，作为本工程项目</w:t>
      </w:r>
      <w:r>
        <w:rPr>
          <w:rFonts w:hint="eastAsia" w:ascii="宋体" w:hAnsi="宋体" w:cs="宋体"/>
          <w:color w:val="auto"/>
          <w:highlight w:val="none"/>
          <w:lang w:val="en-US" w:eastAsia="zh-CN"/>
        </w:rPr>
        <w:t>工程量清单及最高投标限价编制服务</w:t>
      </w:r>
      <w:r>
        <w:rPr>
          <w:rFonts w:hint="eastAsia" w:ascii="宋体" w:hAnsi="宋体" w:cs="宋体"/>
          <w:color w:val="auto"/>
          <w:highlight w:val="none"/>
        </w:rPr>
        <w:t>工作所需的全部费用。</w:t>
      </w:r>
    </w:p>
    <w:p w14:paraId="58CCB313">
      <w:pPr>
        <w:spacing w:line="500" w:lineRule="exact"/>
        <w:ind w:firstLine="420" w:firstLineChars="200"/>
        <w:jc w:val="left"/>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lang w:val="en-US" w:eastAsia="zh-CN"/>
        </w:rPr>
        <w:t>.</w:t>
      </w:r>
      <w:r>
        <w:rPr>
          <w:rFonts w:hint="eastAsia" w:ascii="宋体" w:hAnsi="宋体" w:cs="宋体"/>
          <w:color w:val="auto"/>
          <w:highlight w:val="none"/>
        </w:rPr>
        <w:t>一旦我方中标，我方将派出</w:t>
      </w:r>
      <w:r>
        <w:rPr>
          <w:rFonts w:ascii="宋体" w:hAnsi="宋体" w:cs="宋体"/>
          <w:color w:val="auto"/>
          <w:highlight w:val="none"/>
          <w:u w:val="single"/>
        </w:rPr>
        <w:t xml:space="preserve">        </w:t>
      </w:r>
      <w:r>
        <w:rPr>
          <w:rFonts w:hint="eastAsia" w:ascii="宋体" w:hAnsi="宋体" w:cs="宋体"/>
          <w:color w:val="auto"/>
          <w:highlight w:val="none"/>
        </w:rPr>
        <w:t>为本</w:t>
      </w:r>
      <w:r>
        <w:rPr>
          <w:rFonts w:hint="eastAsia" w:ascii="宋体" w:hAnsi="宋体" w:cs="宋体"/>
          <w:color w:val="auto"/>
          <w:highlight w:val="none"/>
          <w:lang w:val="en-US" w:eastAsia="zh-CN"/>
        </w:rPr>
        <w:t>项目项目负责人</w:t>
      </w:r>
      <w:r>
        <w:rPr>
          <w:rFonts w:hint="eastAsia" w:ascii="宋体" w:hAnsi="宋体" w:cs="宋体"/>
          <w:color w:val="auto"/>
          <w:highlight w:val="none"/>
        </w:rPr>
        <w:t>。</w:t>
      </w:r>
    </w:p>
    <w:p w14:paraId="2203E444">
      <w:pPr>
        <w:spacing w:line="500" w:lineRule="exact"/>
        <w:ind w:firstLine="420" w:firstLineChars="200"/>
        <w:jc w:val="left"/>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lang w:val="en-US" w:eastAsia="zh-CN"/>
        </w:rPr>
        <w:t>.</w:t>
      </w:r>
      <w:r>
        <w:rPr>
          <w:rFonts w:hint="eastAsia" w:ascii="宋体" w:hAnsi="宋体" w:cs="宋体"/>
          <w:color w:val="auto"/>
          <w:highlight w:val="none"/>
        </w:rPr>
        <w:t>如果贵方接受我单位中标，我单位保证在承包人须知规定的期限内，按本投标配备的人员及时开展工作，否则，贵方有权单方面终止合同，并令我单位立即退场，工程项目另行处理，由此造成的一切损失由我单位负责赔偿。</w:t>
      </w:r>
    </w:p>
    <w:p w14:paraId="579AF6FC">
      <w:pPr>
        <w:spacing w:line="500" w:lineRule="exact"/>
        <w:ind w:firstLine="420" w:firstLineChars="200"/>
        <w:jc w:val="left"/>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lang w:val="en-US" w:eastAsia="zh-CN"/>
        </w:rPr>
        <w:t>.</w:t>
      </w:r>
      <w:r>
        <w:rPr>
          <w:rFonts w:hint="eastAsia" w:ascii="宋体" w:hAnsi="宋体" w:cs="宋体"/>
          <w:color w:val="auto"/>
          <w:highlight w:val="none"/>
        </w:rPr>
        <w:t>我们声明，本投标文件的全部内容我公司已了解和熟悉，并承诺中标后严格按此投标文件执行。</w:t>
      </w:r>
    </w:p>
    <w:p w14:paraId="44BEB2C3">
      <w:pPr>
        <w:spacing w:line="500" w:lineRule="exact"/>
        <w:ind w:firstLine="420" w:firstLineChars="200"/>
        <w:jc w:val="left"/>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5.</w:t>
      </w:r>
      <w:r>
        <w:rPr>
          <w:rFonts w:hint="eastAsia" w:ascii="宋体" w:hAnsi="宋体" w:cs="宋体"/>
          <w:color w:val="auto"/>
          <w:szCs w:val="21"/>
          <w:highlight w:val="none"/>
        </w:rPr>
        <w:t>投标有效期为</w:t>
      </w:r>
      <w:r>
        <w:rPr>
          <w:rFonts w:hint="eastAsia" w:ascii="宋体" w:hAnsi="宋体" w:cs="宋体"/>
          <w:color w:val="auto"/>
          <w:szCs w:val="21"/>
          <w:highlight w:val="none"/>
          <w:u w:val="single"/>
        </w:rPr>
        <w:t xml:space="preserve"> 90</w:t>
      </w:r>
      <w:r>
        <w:rPr>
          <w:rFonts w:hint="eastAsia" w:ascii="宋体" w:hAnsi="宋体" w:cs="宋体"/>
          <w:color w:val="auto"/>
          <w:szCs w:val="21"/>
          <w:highlight w:val="none"/>
        </w:rPr>
        <w:t>日历天（从投标截止之日算起）。</w:t>
      </w:r>
    </w:p>
    <w:p w14:paraId="6AF307F4">
      <w:pPr>
        <w:spacing w:line="500" w:lineRule="exact"/>
        <w:ind w:firstLine="420" w:firstLineChars="200"/>
        <w:jc w:val="left"/>
        <w:rPr>
          <w:rFonts w:asci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单位提供如下通讯地址：</w:t>
      </w:r>
      <w:r>
        <w:rPr>
          <w:rFonts w:ascii="宋体" w:hAnsi="宋体" w:cs="宋体"/>
          <w:color w:val="auto"/>
          <w:highlight w:val="none"/>
          <w:u w:val="single"/>
        </w:rPr>
        <w:t xml:space="preserve">           </w:t>
      </w:r>
      <w:r>
        <w:rPr>
          <w:rFonts w:hint="eastAsia" w:ascii="宋体" w:hAnsi="宋体" w:cs="宋体"/>
          <w:color w:val="auto"/>
          <w:highlight w:val="none"/>
        </w:rPr>
        <w:t>电子邮箱（地址），确认本项目相关法律文书均通过提供的以上地址送达，相关文书只要发送至以上电子邮箱（地址）即视为送达，投标人愿意承担一切法律后果。</w:t>
      </w:r>
    </w:p>
    <w:p w14:paraId="1CC2EE53">
      <w:pPr>
        <w:spacing w:line="500" w:lineRule="exact"/>
        <w:ind w:firstLine="420" w:firstLineChars="200"/>
        <w:jc w:val="left"/>
        <w:rPr>
          <w:rFonts w:asci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对本招标文件的所有条款进行承诺。</w:t>
      </w:r>
    </w:p>
    <w:p w14:paraId="34837182">
      <w:pPr>
        <w:spacing w:line="500" w:lineRule="exact"/>
        <w:ind w:firstLine="2310" w:firstLineChars="1100"/>
        <w:jc w:val="left"/>
        <w:rPr>
          <w:rFonts w:ascii="宋体" w:cs="宋体"/>
          <w:color w:val="auto"/>
          <w:szCs w:val="21"/>
          <w:highlight w:val="none"/>
          <w:u w:val="single"/>
        </w:rPr>
      </w:pPr>
      <w:r>
        <w:rPr>
          <w:rFonts w:hint="eastAsia" w:ascii="宋体" w:hAnsi="宋体" w:cs="宋体"/>
          <w:color w:val="auto"/>
          <w:szCs w:val="21"/>
          <w:highlight w:val="none"/>
        </w:rPr>
        <w:t>投标人：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（签章）</w:t>
      </w:r>
      <w:r>
        <w:rPr>
          <w:rFonts w:ascii="宋体" w:hAnsi="宋体" w:cs="宋体"/>
          <w:color w:val="auto"/>
          <w:szCs w:val="21"/>
          <w:highlight w:val="none"/>
          <w:u w:val="single"/>
        </w:rPr>
        <w:t xml:space="preserve">   </w:t>
      </w:r>
    </w:p>
    <w:p w14:paraId="12AEC359">
      <w:pPr>
        <w:spacing w:line="500" w:lineRule="exact"/>
        <w:ind w:firstLine="2310" w:firstLineChars="1100"/>
        <w:jc w:val="left"/>
        <w:rPr>
          <w:rFonts w:ascii="宋体" w:cs="宋体"/>
          <w:color w:val="auto"/>
          <w:szCs w:val="21"/>
          <w:highlight w:val="none"/>
        </w:rPr>
      </w:pPr>
      <w:r>
        <w:rPr>
          <w:rFonts w:hint="eastAsia" w:ascii="宋体" w:hAnsi="宋体" w:cs="宋体"/>
          <w:color w:val="auto"/>
          <w:szCs w:val="21"/>
          <w:highlight w:val="none"/>
        </w:rPr>
        <w:t>法定代表人：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（签章）</w:t>
      </w:r>
    </w:p>
    <w:p w14:paraId="57592674">
      <w:pPr>
        <w:spacing w:line="500" w:lineRule="exact"/>
        <w:ind w:firstLine="2310" w:firstLineChars="1100"/>
        <w:jc w:val="left"/>
        <w:rPr>
          <w:rFonts w:ascii="宋体" w:cs="宋体"/>
          <w:color w:val="auto"/>
          <w:szCs w:val="21"/>
          <w:highlight w:val="none"/>
        </w:rPr>
      </w:pPr>
      <w:r>
        <w:rPr>
          <w:rFonts w:hint="eastAsia" w:ascii="宋体" w:hAnsi="宋体" w:cs="宋体"/>
          <w:color w:val="auto"/>
          <w:szCs w:val="21"/>
          <w:highlight w:val="none"/>
        </w:rPr>
        <w:t>单位地址：</w:t>
      </w:r>
      <w:r>
        <w:rPr>
          <w:rFonts w:ascii="宋体" w:hAnsi="宋体" w:cs="宋体"/>
          <w:color w:val="auto"/>
          <w:szCs w:val="21"/>
          <w:highlight w:val="none"/>
          <w:u w:val="single"/>
        </w:rPr>
        <w:t xml:space="preserve">                                       </w:t>
      </w:r>
    </w:p>
    <w:p w14:paraId="0D48CEE0">
      <w:pPr>
        <w:spacing w:line="500" w:lineRule="exact"/>
        <w:ind w:firstLine="2310" w:firstLineChars="1100"/>
        <w:jc w:val="left"/>
        <w:rPr>
          <w:rFonts w:ascii="宋体" w:cs="宋体"/>
          <w:color w:val="auto"/>
          <w:szCs w:val="21"/>
          <w:highlight w:val="none"/>
          <w:u w:val="single"/>
        </w:rPr>
      </w:pPr>
      <w:r>
        <w:rPr>
          <w:rFonts w:hint="eastAsia" w:ascii="宋体" w:hAnsi="宋体" w:cs="宋体"/>
          <w:color w:val="auto"/>
          <w:szCs w:val="21"/>
          <w:highlight w:val="none"/>
        </w:rPr>
        <w:t>邮政编码：</w:t>
      </w:r>
      <w:r>
        <w:rPr>
          <w:rFonts w:ascii="宋体" w:hAnsi="宋体" w:cs="宋体"/>
          <w:color w:val="auto"/>
          <w:szCs w:val="21"/>
          <w:highlight w:val="none"/>
          <w:u w:val="single"/>
        </w:rPr>
        <w:t xml:space="preserve">            </w:t>
      </w:r>
      <w:r>
        <w:rPr>
          <w:rFonts w:hint="eastAsia" w:ascii="宋体" w:hAnsi="宋体" w:cs="宋体"/>
          <w:color w:val="auto"/>
          <w:szCs w:val="21"/>
          <w:highlight w:val="none"/>
        </w:rPr>
        <w:t>电话：</w:t>
      </w:r>
      <w:r>
        <w:rPr>
          <w:rFonts w:ascii="宋体" w:hAnsi="宋体" w:cs="宋体"/>
          <w:color w:val="auto"/>
          <w:szCs w:val="21"/>
          <w:highlight w:val="none"/>
          <w:u w:val="single"/>
        </w:rPr>
        <w:t xml:space="preserve">        </w:t>
      </w:r>
      <w:r>
        <w:rPr>
          <w:rFonts w:hint="eastAsia" w:ascii="宋体" w:hAnsi="宋体" w:cs="宋体"/>
          <w:color w:val="auto"/>
          <w:szCs w:val="21"/>
          <w:highlight w:val="none"/>
        </w:rPr>
        <w:t>传真：</w:t>
      </w:r>
      <w:r>
        <w:rPr>
          <w:rFonts w:ascii="宋体" w:hAnsi="宋体" w:cs="宋体"/>
          <w:color w:val="auto"/>
          <w:szCs w:val="21"/>
          <w:highlight w:val="none"/>
          <w:u w:val="single"/>
        </w:rPr>
        <w:t xml:space="preserve">       </w:t>
      </w:r>
    </w:p>
    <w:p w14:paraId="59EF8A5F">
      <w:pPr>
        <w:spacing w:line="500" w:lineRule="exact"/>
        <w:ind w:firstLine="2310" w:firstLineChars="1100"/>
        <w:jc w:val="left"/>
        <w:rPr>
          <w:rFonts w:ascii="宋体" w:cs="宋体"/>
          <w:color w:val="auto"/>
          <w:szCs w:val="21"/>
          <w:highlight w:val="none"/>
        </w:rPr>
      </w:pPr>
      <w:r>
        <w:rPr>
          <w:rFonts w:hint="eastAsia" w:ascii="宋体" w:hAnsi="宋体" w:cs="宋体"/>
          <w:color w:val="auto"/>
          <w:szCs w:val="21"/>
          <w:highlight w:val="none"/>
        </w:rPr>
        <w:t>日期：</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p>
    <w:p w14:paraId="01BD1A74">
      <w:pPr>
        <w:jc w:val="center"/>
        <w:rPr>
          <w:rFonts w:ascii="宋体"/>
          <w:b/>
          <w:color w:val="auto"/>
          <w:sz w:val="32"/>
          <w:szCs w:val="32"/>
          <w:highlight w:val="none"/>
        </w:rPr>
      </w:pPr>
    </w:p>
    <w:p w14:paraId="2D0A62D3">
      <w:pPr>
        <w:jc w:val="center"/>
        <w:rPr>
          <w:rFonts w:ascii="宋体"/>
          <w:b/>
          <w:color w:val="auto"/>
          <w:sz w:val="32"/>
          <w:szCs w:val="32"/>
          <w:highlight w:val="none"/>
        </w:rPr>
      </w:pPr>
      <w:r>
        <w:rPr>
          <w:rFonts w:hint="eastAsia" w:ascii="宋体" w:hAnsi="宋体"/>
          <w:b/>
          <w:color w:val="auto"/>
          <w:sz w:val="32"/>
          <w:szCs w:val="32"/>
          <w:highlight w:val="none"/>
        </w:rPr>
        <w:t>（</w:t>
      </w:r>
      <w:r>
        <w:rPr>
          <w:rFonts w:ascii="宋体" w:hAnsi="宋体"/>
          <w:b/>
          <w:color w:val="auto"/>
          <w:sz w:val="32"/>
          <w:szCs w:val="32"/>
          <w:highlight w:val="none"/>
        </w:rPr>
        <w:t>2</w:t>
      </w:r>
      <w:r>
        <w:rPr>
          <w:rFonts w:hint="eastAsia" w:ascii="宋体" w:hAnsi="宋体"/>
          <w:b/>
          <w:color w:val="auto"/>
          <w:sz w:val="32"/>
          <w:szCs w:val="32"/>
          <w:highlight w:val="none"/>
        </w:rPr>
        <w:t>）详细评审所需其他材料（如有）</w:t>
      </w:r>
    </w:p>
    <w:bookmarkEnd w:id="7"/>
    <w:bookmarkEnd w:id="8"/>
    <w:bookmarkEnd w:id="9"/>
    <w:bookmarkEnd w:id="10"/>
    <w:bookmarkEnd w:id="11"/>
    <w:p w14:paraId="1AE9112D">
      <w:pPr>
        <w:outlineLvl w:val="0"/>
        <w:rPr>
          <w:rFonts w:hint="eastAsia" w:ascii="宋体" w:hAnsi="宋体" w:eastAsia="宋体" w:cs="宋体"/>
          <w:color w:val="auto"/>
          <w:sz w:val="28"/>
          <w:szCs w:val="28"/>
          <w:highlight w:val="none"/>
        </w:rPr>
      </w:pPr>
      <w:r>
        <w:rPr>
          <w:b/>
          <w:color w:val="auto"/>
          <w:sz w:val="32"/>
          <w:szCs w:val="32"/>
          <w:highlight w:val="none"/>
        </w:rPr>
        <w:br w:type="page"/>
      </w:r>
      <w:bookmarkStart w:id="853" w:name="_Toc11016"/>
      <w:r>
        <w:rPr>
          <w:rFonts w:hint="eastAsia" w:ascii="宋体" w:hAnsi="宋体" w:eastAsia="宋体" w:cs="宋体"/>
          <w:b/>
          <w:color w:val="auto"/>
          <w:sz w:val="28"/>
          <w:szCs w:val="28"/>
          <w:highlight w:val="none"/>
          <w:lang w:bidi="ar"/>
        </w:rPr>
        <w:t>附件1</w:t>
      </w:r>
      <w:bookmarkEnd w:id="853"/>
    </w:p>
    <w:p w14:paraId="345A132E">
      <w:pPr>
        <w:spacing w:line="44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bidi="ar"/>
        </w:rPr>
        <w:t>关于联合惩戒失信行为 加强信用查询管理的通知</w:t>
      </w:r>
    </w:p>
    <w:p w14:paraId="642EC8B4">
      <w:pPr>
        <w:keepNext w:val="0"/>
        <w:keepLines w:val="0"/>
        <w:pageBreakBefore w:val="0"/>
        <w:kinsoku/>
        <w:overflowPunct/>
        <w:topLinePunct w:val="0"/>
        <w:autoSpaceDN/>
        <w:bidi w:val="0"/>
        <w:adjustRightInd/>
        <w:snapToGrid/>
        <w:spacing w:line="48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一、失信行为联合惩戒的范围和查询渠道</w:t>
      </w:r>
    </w:p>
    <w:p w14:paraId="2BCA6512">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在我市公共资源交易活动中对存在下列失信行为的投标人、法定代表人及其项目经理（建造师）实施联合惩戒，禁止参与我市公共资源交易活动。</w:t>
      </w:r>
    </w:p>
    <w:p w14:paraId="318F6972">
      <w:pPr>
        <w:keepNext w:val="0"/>
        <w:keepLines w:val="0"/>
        <w:pageBreakBefore w:val="0"/>
        <w:widowControl/>
        <w:kinsoku/>
        <w:overflowPunct/>
        <w:topLinePunct w:val="0"/>
        <w:autoSpaceDE w:val="0"/>
        <w:autoSpaceDN/>
        <w:bidi w:val="0"/>
        <w:adjustRightInd/>
        <w:snapToGrid/>
        <w:spacing w:line="480" w:lineRule="exact"/>
        <w:ind w:firstLine="482" w:firstLineChars="200"/>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0"/>
          <w:sz w:val="24"/>
          <w:szCs w:val="24"/>
          <w:highlight w:val="none"/>
          <w:lang w:bidi="ar"/>
        </w:rPr>
        <w:t>（一）工程建设项目</w:t>
      </w:r>
    </w:p>
    <w:p w14:paraId="20CDC33B">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1、“信用中国”网站（www.creditchina.gov.cn）查询投标人、法定代表人及其项目经理(建造师)以下失信行为：</w:t>
      </w:r>
    </w:p>
    <w:p w14:paraId="5EDB8E66">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①被列入“失信被执行人”的;</w:t>
      </w:r>
    </w:p>
    <w:p w14:paraId="13F54BB8">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②被列入“重大税收违法失信主体”的；</w:t>
      </w:r>
    </w:p>
    <w:p w14:paraId="276D5DDF">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③被列入“拖欠农民工工资失信联合惩戒对象名单”的；</w:t>
      </w:r>
    </w:p>
    <w:p w14:paraId="2F07D63D">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④被列入 “严重失信主体名单”的；</w:t>
      </w:r>
    </w:p>
    <w:p w14:paraId="5B0B7201">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⑤在“信用中国”网站上披露的仍在公示期的严重失信行为(具体行为类别及判定依据见附件2)的。</w:t>
      </w:r>
    </w:p>
    <w:p w14:paraId="6063E8A0">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2、国家企业信用信息公示系统网站（www.gsxt.gov.cn）查询投标人以下失信行为：</w:t>
      </w:r>
    </w:p>
    <w:p w14:paraId="1588478F">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①被列入“经营异常名录”或者“严重违法失信名单”的。</w:t>
      </w:r>
    </w:p>
    <w:p w14:paraId="5B7A9121">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3、由投标人、法定代表人及其项目经理(建造师)进行承诺，不进行现场网上信用查询的失信行为：</w:t>
      </w:r>
    </w:p>
    <w:p w14:paraId="55DEF320">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①前三年有行贿犯罪行为的单位和个人；</w:t>
      </w:r>
    </w:p>
    <w:p w14:paraId="15530397">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②被滁州市县两级公管部门取消在一定期限内的投标资格且在取消期限内的；</w:t>
      </w:r>
    </w:p>
    <w:p w14:paraId="43FF0D37">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③被滁州市县两级各行业主管部门取消在一定期限内的投标资格且在取消期限内的；</w:t>
      </w:r>
    </w:p>
    <w:p w14:paraId="5AF9FD8E">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④因拖欠农民工工资被县级及以上有关行政主管部门限制投标资格且在限制期限内的；</w:t>
      </w:r>
    </w:p>
    <w:p w14:paraId="7B35FB1A">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4D45BC99">
      <w:pPr>
        <w:keepNext w:val="0"/>
        <w:keepLines w:val="0"/>
        <w:pageBreakBefore w:val="0"/>
        <w:widowControl/>
        <w:kinsoku/>
        <w:overflowPunct/>
        <w:topLinePunct w:val="0"/>
        <w:autoSpaceDE w:val="0"/>
        <w:autoSpaceDN/>
        <w:bidi w:val="0"/>
        <w:adjustRightInd/>
        <w:snapToGrid/>
        <w:spacing w:line="480" w:lineRule="exact"/>
        <w:ind w:firstLine="482" w:firstLineChars="200"/>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0"/>
          <w:sz w:val="24"/>
          <w:szCs w:val="24"/>
          <w:highlight w:val="none"/>
          <w:lang w:bidi="ar"/>
        </w:rPr>
        <w:t>（二）政府采购项目</w:t>
      </w:r>
    </w:p>
    <w:p w14:paraId="7515B0FB">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1、“信用中国”网站（www.creditchina.gov.cn）查询供应商、法定代表人及其项目负责人以下失信行为：</w:t>
      </w:r>
    </w:p>
    <w:p w14:paraId="2BCB7F7F">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①被列入“失信被执行人”的;</w:t>
      </w:r>
    </w:p>
    <w:p w14:paraId="3451B7FE">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②被列入“重大税收违法失信主体”的；</w:t>
      </w:r>
    </w:p>
    <w:p w14:paraId="40E5F6EF">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③被列入 “严重失信主体名单”的；</w:t>
      </w:r>
    </w:p>
    <w:p w14:paraId="096089DF">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④在“信用中国”网站上披露的仍在公示期的严重失信行为(具体行为类别及判定依据见附件2)的。</w:t>
      </w:r>
    </w:p>
    <w:p w14:paraId="31FF39C8">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2、国家企业信用信息公示系统网站（</w:t>
      </w:r>
      <w:r>
        <w:rPr>
          <w:rFonts w:hint="eastAsia" w:ascii="宋体" w:hAnsi="宋体" w:eastAsia="宋体" w:cs="宋体"/>
          <w:bCs/>
          <w:color w:val="auto"/>
          <w:kern w:val="0"/>
          <w:sz w:val="24"/>
          <w:szCs w:val="24"/>
          <w:highlight w:val="none"/>
          <w:lang w:bidi="ar"/>
        </w:rPr>
        <w:fldChar w:fldCharType="begin"/>
      </w:r>
      <w:r>
        <w:rPr>
          <w:rFonts w:hint="eastAsia" w:ascii="宋体" w:hAnsi="宋体" w:eastAsia="宋体" w:cs="宋体"/>
          <w:bCs/>
          <w:color w:val="auto"/>
          <w:kern w:val="0"/>
          <w:sz w:val="24"/>
          <w:szCs w:val="24"/>
          <w:highlight w:val="none"/>
          <w:lang w:bidi="ar"/>
        </w:rPr>
        <w:instrText xml:space="preserve"> HYPERLINK "http://www.gsxt.gov.cn）查询" </w:instrText>
      </w:r>
      <w:r>
        <w:rPr>
          <w:rFonts w:hint="eastAsia" w:ascii="宋体" w:hAnsi="宋体" w:eastAsia="宋体" w:cs="宋体"/>
          <w:bCs/>
          <w:color w:val="auto"/>
          <w:kern w:val="0"/>
          <w:sz w:val="24"/>
          <w:szCs w:val="24"/>
          <w:highlight w:val="none"/>
          <w:lang w:bidi="ar"/>
        </w:rPr>
        <w:fldChar w:fldCharType="separate"/>
      </w:r>
      <w:r>
        <w:rPr>
          <w:rFonts w:hint="eastAsia" w:ascii="宋体" w:hAnsi="宋体" w:eastAsia="宋体" w:cs="宋体"/>
          <w:bCs/>
          <w:color w:val="auto"/>
          <w:kern w:val="0"/>
          <w:sz w:val="24"/>
          <w:szCs w:val="24"/>
          <w:highlight w:val="none"/>
          <w:lang w:bidi="ar"/>
        </w:rPr>
        <w:t>www.gsxt.gov.cn）</w:t>
      </w:r>
      <w:r>
        <w:rPr>
          <w:rFonts w:hint="eastAsia" w:ascii="宋体" w:hAnsi="宋体" w:eastAsia="宋体" w:cs="宋体"/>
          <w:bCs/>
          <w:color w:val="auto"/>
          <w:kern w:val="0"/>
          <w:sz w:val="24"/>
          <w:szCs w:val="24"/>
          <w:highlight w:val="none"/>
          <w:lang w:bidi="ar"/>
        </w:rPr>
        <w:fldChar w:fldCharType="end"/>
      </w:r>
      <w:r>
        <w:rPr>
          <w:rFonts w:hint="eastAsia" w:ascii="宋体" w:hAnsi="宋体" w:eastAsia="宋体" w:cs="宋体"/>
          <w:bCs/>
          <w:color w:val="auto"/>
          <w:kern w:val="0"/>
          <w:sz w:val="24"/>
          <w:szCs w:val="24"/>
          <w:highlight w:val="none"/>
          <w:lang w:bidi="ar"/>
        </w:rPr>
        <w:t>查询供应商以下失信行为：</w:t>
      </w:r>
    </w:p>
    <w:p w14:paraId="7114C987">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w:t>
      </w:r>
      <w:bookmarkStart w:id="854" w:name="OLE_LINK101"/>
      <w:bookmarkStart w:id="855" w:name="OLE_LINK100"/>
      <w:bookmarkStart w:id="856" w:name="OLE_LINK102"/>
      <w:r>
        <w:rPr>
          <w:rFonts w:hint="eastAsia" w:ascii="宋体" w:hAnsi="宋体" w:eastAsia="宋体" w:cs="宋体"/>
          <w:bCs/>
          <w:color w:val="auto"/>
          <w:kern w:val="0"/>
          <w:sz w:val="24"/>
          <w:szCs w:val="24"/>
          <w:highlight w:val="none"/>
          <w:lang w:bidi="ar"/>
        </w:rPr>
        <w:t>被列入“经营异常名录”或者“严重违法失信名单”的</w:t>
      </w:r>
      <w:bookmarkEnd w:id="854"/>
      <w:bookmarkEnd w:id="855"/>
      <w:bookmarkEnd w:id="856"/>
      <w:r>
        <w:rPr>
          <w:rFonts w:hint="eastAsia" w:ascii="宋体" w:hAnsi="宋体" w:eastAsia="宋体" w:cs="宋体"/>
          <w:bCs/>
          <w:color w:val="auto"/>
          <w:kern w:val="0"/>
          <w:sz w:val="24"/>
          <w:szCs w:val="24"/>
          <w:highlight w:val="none"/>
          <w:lang w:bidi="ar"/>
        </w:rPr>
        <w:t>。</w:t>
      </w:r>
    </w:p>
    <w:p w14:paraId="2E2BAF73">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3、中国政府采购网站（</w:t>
      </w:r>
      <w:bookmarkStart w:id="857" w:name="OLE_LINK95"/>
      <w:bookmarkStart w:id="858" w:name="OLE_LINK96"/>
      <w:r>
        <w:rPr>
          <w:rFonts w:hint="eastAsia" w:ascii="宋体" w:hAnsi="宋体" w:eastAsia="宋体" w:cs="宋体"/>
          <w:bCs/>
          <w:color w:val="auto"/>
          <w:kern w:val="0"/>
          <w:sz w:val="24"/>
          <w:szCs w:val="24"/>
          <w:highlight w:val="none"/>
          <w:lang w:bidi="ar"/>
        </w:rPr>
        <w:fldChar w:fldCharType="begin"/>
      </w:r>
      <w:r>
        <w:rPr>
          <w:rFonts w:hint="eastAsia" w:ascii="宋体" w:hAnsi="宋体" w:eastAsia="宋体" w:cs="宋体"/>
          <w:bCs/>
          <w:color w:val="auto"/>
          <w:kern w:val="0"/>
          <w:sz w:val="24"/>
          <w:szCs w:val="24"/>
          <w:highlight w:val="none"/>
          <w:lang w:bidi="ar"/>
        </w:rPr>
        <w:instrText xml:space="preserve"> HYPERLINK "http://www.ccgp.gov.cn" </w:instrText>
      </w:r>
      <w:r>
        <w:rPr>
          <w:rFonts w:hint="eastAsia" w:ascii="宋体" w:hAnsi="宋体" w:eastAsia="宋体" w:cs="宋体"/>
          <w:bCs/>
          <w:color w:val="auto"/>
          <w:kern w:val="0"/>
          <w:sz w:val="24"/>
          <w:szCs w:val="24"/>
          <w:highlight w:val="none"/>
          <w:lang w:bidi="ar"/>
        </w:rPr>
        <w:fldChar w:fldCharType="separate"/>
      </w:r>
      <w:r>
        <w:rPr>
          <w:rFonts w:hint="eastAsia" w:ascii="宋体" w:hAnsi="宋体" w:eastAsia="宋体" w:cs="宋体"/>
          <w:bCs/>
          <w:color w:val="auto"/>
          <w:kern w:val="0"/>
          <w:sz w:val="24"/>
          <w:szCs w:val="24"/>
          <w:highlight w:val="none"/>
          <w:lang w:bidi="ar"/>
        </w:rPr>
        <w:t>www.ccgp.gov.cn</w:t>
      </w:r>
      <w:r>
        <w:rPr>
          <w:rFonts w:hint="eastAsia" w:ascii="宋体" w:hAnsi="宋体" w:eastAsia="宋体" w:cs="宋体"/>
          <w:bCs/>
          <w:color w:val="auto"/>
          <w:kern w:val="0"/>
          <w:sz w:val="24"/>
          <w:szCs w:val="24"/>
          <w:highlight w:val="none"/>
          <w:lang w:bidi="ar"/>
        </w:rPr>
        <w:fldChar w:fldCharType="end"/>
      </w:r>
      <w:bookmarkEnd w:id="857"/>
      <w:bookmarkEnd w:id="858"/>
      <w:r>
        <w:rPr>
          <w:rFonts w:hint="eastAsia" w:ascii="宋体" w:hAnsi="宋体" w:eastAsia="宋体" w:cs="宋体"/>
          <w:bCs/>
          <w:color w:val="auto"/>
          <w:kern w:val="0"/>
          <w:sz w:val="24"/>
          <w:szCs w:val="24"/>
          <w:highlight w:val="none"/>
          <w:lang w:bidi="ar"/>
        </w:rPr>
        <w:t>）查询以下失信行为：</w:t>
      </w:r>
    </w:p>
    <w:p w14:paraId="209E0161">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w:t>
      </w:r>
      <w:bookmarkStart w:id="859" w:name="OLE_LINK106"/>
      <w:bookmarkStart w:id="860" w:name="OLE_LINK104"/>
      <w:bookmarkStart w:id="861" w:name="OLE_LINK105"/>
      <w:r>
        <w:rPr>
          <w:rFonts w:hint="eastAsia" w:ascii="宋体" w:hAnsi="宋体" w:eastAsia="宋体" w:cs="宋体"/>
          <w:bCs/>
          <w:color w:val="auto"/>
          <w:kern w:val="0"/>
          <w:sz w:val="24"/>
          <w:szCs w:val="24"/>
          <w:highlight w:val="none"/>
          <w:lang w:bidi="ar"/>
        </w:rPr>
        <w:t>被列入“政府采购严重违法失信行为信息记录”的</w:t>
      </w:r>
      <w:bookmarkEnd w:id="859"/>
      <w:bookmarkEnd w:id="860"/>
      <w:bookmarkEnd w:id="861"/>
      <w:r>
        <w:rPr>
          <w:rFonts w:hint="eastAsia" w:ascii="宋体" w:hAnsi="宋体" w:eastAsia="宋体" w:cs="宋体"/>
          <w:bCs/>
          <w:color w:val="auto"/>
          <w:kern w:val="0"/>
          <w:sz w:val="24"/>
          <w:szCs w:val="24"/>
          <w:highlight w:val="none"/>
          <w:lang w:bidi="ar"/>
        </w:rPr>
        <w:t>。</w:t>
      </w:r>
    </w:p>
    <w:p w14:paraId="1374F6B9">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4、由竞争主体进行承诺，不进行现场网上信用查询的失信行为：</w:t>
      </w:r>
    </w:p>
    <w:p w14:paraId="7BB96860">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①前三年有行贿犯罪行为的单位和个人。</w:t>
      </w:r>
    </w:p>
    <w:p w14:paraId="1271C198">
      <w:pPr>
        <w:keepNext w:val="0"/>
        <w:keepLines w:val="0"/>
        <w:pageBreakBefore w:val="0"/>
        <w:widowControl/>
        <w:kinsoku/>
        <w:overflowPunct/>
        <w:topLinePunct w:val="0"/>
        <w:autoSpaceDE w:val="0"/>
        <w:autoSpaceDN/>
        <w:bidi w:val="0"/>
        <w:adjustRightInd/>
        <w:snapToGrid/>
        <w:spacing w:line="480" w:lineRule="exact"/>
        <w:ind w:firstLine="482" w:firstLineChars="200"/>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0"/>
          <w:sz w:val="24"/>
          <w:szCs w:val="24"/>
          <w:highlight w:val="none"/>
          <w:lang w:bidi="ar"/>
        </w:rPr>
        <w:t>二、在开评标活动中的查询程序</w:t>
      </w:r>
    </w:p>
    <w:p w14:paraId="388EF56A">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01B1C833">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2AB6D958">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3、项目单位及其委托的代理机构应当做好信用查询结果截图和记录留存。</w:t>
      </w:r>
    </w:p>
    <w:p w14:paraId="79DA55F5">
      <w:pPr>
        <w:keepNext w:val="0"/>
        <w:keepLines w:val="0"/>
        <w:pageBreakBefore w:val="0"/>
        <w:widowControl/>
        <w:kinsoku/>
        <w:overflowPunct/>
        <w:topLinePunct w:val="0"/>
        <w:autoSpaceDE w:val="0"/>
        <w:autoSpaceDN/>
        <w:bidi w:val="0"/>
        <w:adjustRightInd/>
        <w:snapToGrid/>
        <w:spacing w:line="480" w:lineRule="exact"/>
        <w:ind w:firstLine="482" w:firstLineChars="200"/>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0"/>
          <w:sz w:val="24"/>
          <w:szCs w:val="24"/>
          <w:highlight w:val="none"/>
          <w:lang w:bidi="ar"/>
        </w:rPr>
        <w:t>三、相关要求</w:t>
      </w:r>
    </w:p>
    <w:p w14:paraId="2EA25360">
      <w:pPr>
        <w:keepNext w:val="0"/>
        <w:keepLines w:val="0"/>
        <w:pageBreakBefore w:val="0"/>
        <w:widowControl/>
        <w:kinsoku/>
        <w:wordWrap w:val="0"/>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1、参与公共资源交易活动的竞争主体根据上述范围查询的内容进行自查并承诺，出具《诚信投标承诺书》（诚信投标承诺书包括但不限于上述自查并承诺内容）并注明承诺日期（投标截止时间前5日内）。</w:t>
      </w:r>
    </w:p>
    <w:p w14:paraId="74888A23">
      <w:pPr>
        <w:keepNext w:val="0"/>
        <w:keepLines w:val="0"/>
        <w:pageBreakBefore w:val="0"/>
        <w:widowControl/>
        <w:kinsoku/>
        <w:wordWrap w:val="0"/>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3AD477D9">
      <w:pPr>
        <w:keepNext w:val="0"/>
        <w:keepLines w:val="0"/>
        <w:pageBreakBefore w:val="0"/>
        <w:widowControl/>
        <w:kinsoku/>
        <w:wordWrap w:val="0"/>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https://credit.ah.gov.cn/xinyong-fuwu/xvbahv/index.html)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6848562A">
      <w:pPr>
        <w:keepNext w:val="0"/>
        <w:keepLines w:val="0"/>
        <w:pageBreakBefore w:val="0"/>
        <w:widowControl/>
        <w:kinsoku/>
        <w:overflowPunct/>
        <w:topLinePunct w:val="0"/>
        <w:autoSpaceDE w:val="0"/>
        <w:autoSpaceDN/>
        <w:bidi w:val="0"/>
        <w:adjustRightInd/>
        <w:snapToGrid/>
        <w:spacing w:line="480" w:lineRule="exact"/>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2、“信用中国”查询的严重失信行为判定依据为各行业主管部门下发的联合惩戒文件中规定的行为（按附件2执行）。</w:t>
      </w:r>
    </w:p>
    <w:p w14:paraId="737FBA18">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bidi="ar"/>
        </w:rPr>
        <w:t>3、资格预审的项目以递交资格预审申请文件截止时间查询为准；资格后审的项目以递交投标文件截止时间查询为准。</w:t>
      </w:r>
    </w:p>
    <w:p w14:paraId="3C2F5ABA">
      <w:p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 xml:space="preserve"> </w:t>
      </w:r>
    </w:p>
    <w:p w14:paraId="39E94319">
      <w:pPr>
        <w:pStyle w:val="41"/>
        <w:widowControl/>
        <w:spacing w:before="0" w:after="120" w:afterAutospacing="0" w:line="360" w:lineRule="auto"/>
        <w:ind w:left="420" w:leftChars="20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 xml:space="preserve"> </w:t>
      </w:r>
    </w:p>
    <w:p w14:paraId="593B0BB6">
      <w:p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br w:type="page"/>
      </w:r>
      <w:r>
        <w:rPr>
          <w:rFonts w:hint="eastAsia" w:ascii="宋体" w:hAnsi="宋体" w:eastAsia="宋体" w:cs="宋体"/>
          <w:b/>
          <w:color w:val="auto"/>
          <w:sz w:val="24"/>
          <w:szCs w:val="24"/>
          <w:highlight w:val="none"/>
          <w:lang w:bidi="ar"/>
        </w:rPr>
        <w:t>附件2</w:t>
      </w:r>
    </w:p>
    <w:p w14:paraId="0B788CCF">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“信用中国”查询的严重失信行为类别及判定依据</w:t>
      </w:r>
    </w:p>
    <w:p w14:paraId="01913414">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 xml:space="preserve"> </w:t>
      </w:r>
    </w:p>
    <w:p w14:paraId="40F54D68">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“信用中国”查询的严重失信行为判定依据为各行业主管部门下发的联合惩戒文件中规定的行为。下面将部分类别的严重失信行为列举如下：</w:t>
      </w:r>
    </w:p>
    <w:p w14:paraId="531F6AA8">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一、安全生产领域严重失信行为：</w:t>
      </w:r>
    </w:p>
    <w:p w14:paraId="0FD7D497">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（一）下列发生生产安全事故的生产经营单位及其有关人员应当列入严重失信主体名单：</w:t>
      </w:r>
    </w:p>
    <w:p w14:paraId="2B336CF9">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1、发生特别重大、重大生产安全事故的生产经营单位及其主要负责人，以及经调查认定对该事故发生负有责任，应当列入名单的其他单位和人员；</w:t>
      </w:r>
    </w:p>
    <w:p w14:paraId="716100B4">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2、12个月内累计发生2起以上较大生产安全事故的生产经营单位及其主要负责人；</w:t>
      </w:r>
    </w:p>
    <w:p w14:paraId="2762529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3、发生生产安全事故，情节特别严重、影响特别恶劣，依照《中华人民共和国安全生产法》第一百一十四条的规定被处以罚款数额2倍以上5倍以下罚款的生产经营单位及其主要负责人；</w:t>
      </w:r>
    </w:p>
    <w:p w14:paraId="5901A26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4、瞒报、谎报生产安全事故的生产经营单位及其有关责任人员；</w:t>
      </w:r>
    </w:p>
    <w:p w14:paraId="16A4AE16">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5、发生生产安全事故后，不立即组织抢救或者在事故调查处理期间擅离职守或者逃匿的生产经营单位主要负责人。</w:t>
      </w:r>
    </w:p>
    <w:p w14:paraId="43E03406">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（二）下列未发生生产安全事故，但因安全生产违法行为，受到行政处罚的生产经营单位或者机构及其有关人员，应当列入严重失信主体名单：</w:t>
      </w:r>
    </w:p>
    <w:p w14:paraId="3537C7D4">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1、未依法取得安全生产相关许可或者许可被暂扣、吊销期间从事相关生产经营活动的生产经营单位及其主要负责人；</w:t>
      </w:r>
    </w:p>
    <w:p w14:paraId="3469C450">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2、承担安全评价、认证、检测、检验职责的机构及其直接责任人员租借资质、挂靠、出具虚假报告或者证书的；</w:t>
      </w:r>
    </w:p>
    <w:p w14:paraId="244BBD21">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3、在应急管理部门作出行政处罚后，有执行能力拒不执行或者逃避执行的生产经营单位及其主要负责人；</w:t>
      </w:r>
    </w:p>
    <w:p w14:paraId="3B4608F5">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4、其他违反安全生产法律法规受到行政处罚，且性质恶劣、情节严重的。</w:t>
      </w:r>
    </w:p>
    <w:p w14:paraId="5D3E98E3">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依据：《安全生产严重失信主体名单管理办法》（2023年8月8日应急管理部令第11号）</w:t>
      </w:r>
    </w:p>
    <w:p w14:paraId="4D8509E4">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6EB31658">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二、环境保护领域严重失信行为：</w:t>
      </w:r>
    </w:p>
    <w:p w14:paraId="6A06B9E2">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（一）因为环境违法构成环境犯罪的；</w:t>
      </w:r>
    </w:p>
    <w:p w14:paraId="614D8244">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（二）建设项目环境影响评价文件未按规定通过审批，擅自开工建设的；</w:t>
      </w:r>
    </w:p>
    <w:p w14:paraId="026552A6">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（三）建设项目环保设施未建成、环保措施未落实、未通过竣工环保验收或者验收不合格，主体工程正式投入生产或者使用的；</w:t>
      </w:r>
    </w:p>
    <w:p w14:paraId="5B6008DF">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（四）建设项目性质、规模、地点、采用的生产工艺或者防治污染、防止生态破坏的措施发生重大变动，未重新报批环境影响评价文件，擅自投入生产或者使用的；</w:t>
      </w:r>
    </w:p>
    <w:p w14:paraId="2B204C40">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（五）主要污染物排放总量超过控制指标的；</w:t>
      </w:r>
    </w:p>
    <w:p w14:paraId="05B64F12">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（六）私设暗管或者利用渗井、渗坑、裂隙、溶洞等排放、倾倒、处置水污染物，或者通过私设旁路排放大气污染物的；</w:t>
      </w:r>
    </w:p>
    <w:p w14:paraId="490C1527">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（七）非法排放、倾倒、处置危险废物，或者向无经营许可证或者超出经营许可范围的单位或个人提供或者委托其收集、贮存、利用、处置危险废物的；</w:t>
      </w:r>
    </w:p>
    <w:p w14:paraId="4B07ADA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（八）环境违法行为造成集中式生活饮用水水源取水中断的；</w:t>
      </w:r>
    </w:p>
    <w:p w14:paraId="26591651">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（九）环境违法行为对生活饮用水水源保护区、自然保护区、国家重点生态功能区、风景名胜区、居住功能区、基本农田保护区等环境敏感区造成重大不利影响的；</w:t>
      </w:r>
    </w:p>
    <w:p w14:paraId="0CDDB426">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（十）违法从事自然资源开发、交通基础设施建设，以及其他开发建设活动，造成严重生态破坏的；</w:t>
      </w:r>
    </w:p>
    <w:p w14:paraId="1E2A00D0">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（十一）发生较大及以上突发环境事件的；</w:t>
      </w:r>
    </w:p>
    <w:p w14:paraId="14902969">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（十二）被环保部门挂牌督办，整改逾期未完成的；</w:t>
      </w:r>
    </w:p>
    <w:p w14:paraId="0B599469">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（十三）以暴力、威胁等方式拒绝、阻挠环保部门工作人员现场检查的；</w:t>
      </w:r>
    </w:p>
    <w:p w14:paraId="3BF15611">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（十四）违反重污染天气应急预案有关规定，对重污染天气响应不力的。</w:t>
      </w:r>
    </w:p>
    <w:p w14:paraId="2AA47A74">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依据：《关于对环境保护领域失信生产经营单位及其有关人员开展联合惩戒的合作备忘录》、《企业环境信用评价办法（试行）》（环发〔2013〕150号）</w:t>
      </w:r>
    </w:p>
    <w:p w14:paraId="5AC92F42">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6684F4E5">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三、公共资源交易领域严重失信行为</w:t>
      </w:r>
    </w:p>
    <w:p w14:paraId="2D8D6C7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（一）违反法律规定，必须进行招标的项目而不招标的，将必须进行招标的项目化整为零或者以其他任何方式规避招标的； </w:t>
      </w:r>
    </w:p>
    <w:p w14:paraId="70349891">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（二）招标代理机构违反法律规定，泄露应当保密的与招标投标活动有关的情况和资料的，或者与招标人、投标人串通损害 国家利益、社会公共利益或者他人合法权益的；</w:t>
      </w:r>
    </w:p>
    <w:p w14:paraId="574A4E3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（三）招标人以不合理的条件限制或者排斥潜在投标人的，对潜在投标人实行歧视待遇的，强制要求投标人组成联合体共同 投标的，或者限制投标人之间竞争的；</w:t>
      </w:r>
    </w:p>
    <w:p w14:paraId="0450387E">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（四）依法必须进行招标的项目的招标人向他人透露已获取招标文件的潜在投标人的名称、数量或者可能影响公平竞争的有 关招标投标的其他情况的，或者泄露标底的；</w:t>
      </w:r>
    </w:p>
    <w:p w14:paraId="7E63C87A">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（五）投标人相互串通投标或者与招标人串通投标的，投标人以向招标人或者评标委员会成员行贿的手段谋取中标的； </w:t>
      </w:r>
    </w:p>
    <w:p w14:paraId="71E7CB4C">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（六）投标人以他人名义投标或者以其他方式弄虚作假，骗取中标的；</w:t>
      </w:r>
    </w:p>
    <w:p w14:paraId="5B8C70B6">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（七）依法必须进行招标的项目，招标人违反法律规定，与投标人就投标价格、投标方案等实质性内容进行谈判的；</w:t>
      </w:r>
    </w:p>
    <w:p w14:paraId="4BDFBBAA">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7A74FDC8">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（九）招标人在评标委员会依法推荐的中标候选人以外确定中标人的，依法必须进行招标的项目在所有投标被评标委员会否 决后自行确定中标人的； </w:t>
      </w:r>
    </w:p>
    <w:p w14:paraId="5A6AD5A7">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（十）中标人将中标项目转让给他人的，将中标项目肢解后分别转让给他人的，违反法律规定将中标项目的部分主体、关键 性工作分包给他人的，或者分包人再次分包的； </w:t>
      </w:r>
    </w:p>
    <w:p w14:paraId="3A49A219">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（十一）招标人与中标人不按照招标文件和中标人的投标文件订立合同的，或者招标人、中标人订立背离合同实质性内容的 协议的； </w:t>
      </w:r>
    </w:p>
    <w:p w14:paraId="2B5AC9C0">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（十二）中标人不按照与招标人订立的合同履行义务，情节严重的； </w:t>
      </w:r>
    </w:p>
    <w:p w14:paraId="5D0584F9">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1F8AAD6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308E7DD8">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（十五）采购人对应当实行集中采购的政府采购项目，不委托集中采购机构实行集中采购的； </w:t>
      </w:r>
    </w:p>
    <w:p w14:paraId="2702AD5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（十六）采购人、采购代理机构违反法律规定隐匿、销毁应当保存的采购文件或者伪造、变造采购文件的； </w:t>
      </w:r>
    </w:p>
    <w:p w14:paraId="0315D9DA">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3A497AD2">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（十八）疫苗生产企业向县级疾病预防控制机构以外的单位或者个人销售第二类疫苗的； </w:t>
      </w:r>
    </w:p>
    <w:p w14:paraId="68F09072">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（十九）存在其他违反公共资源交易法律法规行为的。</w:t>
      </w:r>
    </w:p>
    <w:p w14:paraId="3D2BBFE1">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依据：《关于对公共资源交易领域严重失信主体开展联合惩戒的备忘录》（发改法规〔2018〕457号）</w:t>
      </w:r>
    </w:p>
    <w:p w14:paraId="33A55B4F">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41DB3652">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四、社会保险领域严重失信行为</w:t>
      </w:r>
    </w:p>
    <w:p w14:paraId="6DBCA2A7">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（一）用人单位未按相关规定参加社会保险且拒不整改的； </w:t>
      </w:r>
    </w:p>
    <w:p w14:paraId="74CF57F2">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（二）用人单位未如实申报社会保险缴费基数且拒不整改的； </w:t>
      </w:r>
    </w:p>
    <w:p w14:paraId="27C8F34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（三）应缴纳社会保险费却拒不缴纳的； </w:t>
      </w:r>
    </w:p>
    <w:p w14:paraId="0696E46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（四）隐匿、转移、侵占、挪用社会保险费款、基金或者违规投资运营的；</w:t>
      </w:r>
    </w:p>
    <w:p w14:paraId="6127E49B">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（五）以欺诈、伪造证明材料或者其他手段参加、申报社会保险和骗取社会保险基金支出或社会保险待遇的； </w:t>
      </w:r>
    </w:p>
    <w:p w14:paraId="68C91F08">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（六）非法获取、出售或变相交易社会保险个人权益数据的； </w:t>
      </w:r>
    </w:p>
    <w:p w14:paraId="56D8D90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（七）社会保险服务机构违反服务协议或相关规定的； </w:t>
      </w:r>
    </w:p>
    <w:p w14:paraId="3B2BA0C0">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（八）拒绝协助社会保险行政部门、经办机构对事故和问题进 行调查核实的；拒绝接受或协助税务部门对社会保险实施监督检查， 不如实提供与社会保险相关各项资料的； </w:t>
      </w:r>
    </w:p>
    <w:p w14:paraId="035952BC">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（九）其他违反法律法规规定的。</w:t>
      </w:r>
    </w:p>
    <w:p w14:paraId="43EF3C25">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依据：《关于对社会保险领域严重失信企业及其有关人员实施联合惩戒的合作备忘录》（发改财金〔2018〕1704号）</w:t>
      </w:r>
    </w:p>
    <w:p w14:paraId="0D0F2DF9">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601E9DF5">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五、建筑市场领域严重失信行为</w:t>
      </w:r>
    </w:p>
    <w:p w14:paraId="2E084B6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（一）利用虚假材料、以欺骗手段取得企业资质的；</w:t>
      </w:r>
    </w:p>
    <w:p w14:paraId="66B5E7A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（二）发生转包、出借资质，受到行政处罚的；</w:t>
      </w:r>
    </w:p>
    <w:p w14:paraId="14551E2A">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（三）发生重大及以上工程质量安全事故，或1年内累计发生2次及以上较大工程质量安全事故，或发生性质恶劣、危害性严重、社会影响大的较大工程质量安全事故，受到行政处罚的；</w:t>
      </w:r>
    </w:p>
    <w:p w14:paraId="1EC07F22">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（四）经法院判决或仲裁机构裁决，认定为拖欠工程款,且拒不履行生效法律文书确定的义务的。</w:t>
      </w:r>
    </w:p>
    <w:p w14:paraId="5DC2B90B">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各级住房城乡建设主管部门应当参照建筑市场主体“黑名单”，对被人力资源社会保障行政部门列入拖欠农民工工资“黑名单”的建筑市场各方主体加强监管。</w:t>
      </w:r>
    </w:p>
    <w:p w14:paraId="1852787B">
      <w:pPr>
        <w:widowControl/>
        <w:autoSpaceDE w:val="0"/>
        <w:spacing w:line="480" w:lineRule="exact"/>
        <w:ind w:firstLine="482"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bidi="ar"/>
        </w:rPr>
        <w:t>依据：《建筑市场信用管理暂行办法》（建市〔2017〕241号）</w:t>
      </w:r>
    </w:p>
    <w:p w14:paraId="4E26726D">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5CA9F33A">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六、政府采购严重失信行为</w:t>
      </w:r>
    </w:p>
    <w:p w14:paraId="6DE81EBC">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供应商、采购代理机构在三年内受到财政部门作出下列情形之一的行政处罚，列入政府采购严重违法失信行为记录名单。</w:t>
      </w:r>
    </w:p>
    <w:p w14:paraId="5842604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（一）三万元以上罚款；</w:t>
      </w:r>
    </w:p>
    <w:p w14:paraId="351B1F1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（二）在一至三年内禁止参加政府采购活动（处罚期限届满的除外）；</w:t>
      </w:r>
    </w:p>
    <w:p w14:paraId="0D32AC76">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（三）在一至三年内禁止代理政府采购业务（处罚期限届满的除外）；</w:t>
      </w:r>
    </w:p>
    <w:p w14:paraId="20D4024A">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（四）撤销政府采购代理机构资格（仅针对《政府采购法》第78条修改前作出的处罚决定）。</w:t>
      </w:r>
    </w:p>
    <w:p w14:paraId="07E09410">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依据：《关于报送政府采购严重违法失信行为信息记录的通知》（财办库〔2014〕526号）</w:t>
      </w:r>
    </w:p>
    <w:p w14:paraId="23CAD873">
      <w:pPr>
        <w:widowControl/>
        <w:autoSpaceDE w:val="0"/>
        <w:spacing w:line="48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p w14:paraId="1051A2B2">
      <w:pPr>
        <w:widowControl/>
        <w:autoSpaceDE w:val="0"/>
        <w:spacing w:line="480" w:lineRule="exact"/>
        <w:ind w:firstLine="482" w:firstLineChars="200"/>
        <w:jc w:val="left"/>
        <w:textAlignment w:val="baseline"/>
        <w:rPr>
          <w:rFonts w:hint="eastAsia" w:ascii="仿宋_GB2312" w:eastAsia="仿宋_GB2312"/>
          <w:b/>
          <w:color w:val="auto"/>
          <w:sz w:val="32"/>
          <w:szCs w:val="32"/>
          <w:highlight w:val="none"/>
        </w:rPr>
      </w:pPr>
      <w:r>
        <w:rPr>
          <w:rFonts w:hint="eastAsia" w:ascii="宋体" w:hAnsi="宋体" w:eastAsia="宋体" w:cs="宋体"/>
          <w:b/>
          <w:color w:val="auto"/>
          <w:kern w:val="0"/>
          <w:sz w:val="24"/>
          <w:szCs w:val="24"/>
          <w:highlight w:val="none"/>
          <w:lang w:bidi="ar"/>
        </w:rPr>
        <w:t>未列出的其他类别严重失信行为，由招标人（代理机构）根据各类别行业主管部门下发的联合惩戒文件进行判断</w:t>
      </w:r>
      <w:r>
        <w:rPr>
          <w:rFonts w:hint="eastAsia" w:ascii="宋体" w:hAnsi="宋体" w:eastAsia="宋体" w:cs="宋体"/>
          <w:b/>
          <w:bCs/>
          <w:color w:val="auto"/>
          <w:kern w:val="0"/>
          <w:sz w:val="24"/>
          <w:szCs w:val="24"/>
          <w:highlight w:val="none"/>
          <w:lang w:bidi="ar"/>
        </w:rPr>
        <w:t>。</w:t>
      </w:r>
    </w:p>
    <w:p w14:paraId="0A6A294B">
      <w:pPr>
        <w:adjustRightInd w:val="0"/>
        <w:snapToGrid w:val="0"/>
        <w:spacing w:line="500" w:lineRule="exact"/>
        <w:jc w:val="left"/>
        <w:rPr>
          <w:rFonts w:ascii="宋体" w:hAnsi="宋体" w:cs="宋体"/>
          <w:b/>
          <w:color w:val="auto"/>
          <w:szCs w:val="21"/>
          <w:highlight w:val="none"/>
        </w:rPr>
      </w:pPr>
    </w:p>
    <w:p w14:paraId="3D348921">
      <w:pPr>
        <w:rPr>
          <w:rFonts w:hint="eastAsia"/>
          <w:bCs/>
          <w:color w:val="auto"/>
          <w:szCs w:val="32"/>
          <w:highlight w:val="none"/>
        </w:rPr>
      </w:pPr>
      <w:r>
        <w:rPr>
          <w:b/>
          <w:color w:val="auto"/>
          <w:sz w:val="32"/>
          <w:szCs w:val="32"/>
          <w:highlight w:val="none"/>
        </w:rPr>
        <w:br w:type="page"/>
      </w:r>
      <w:bookmarkStart w:id="862" w:name="_Toc25735"/>
    </w:p>
    <w:p w14:paraId="12E471B8">
      <w:pPr>
        <w:pStyle w:val="43"/>
        <w:spacing w:beforeLines="50" w:afterLines="50" w:line="440" w:lineRule="exact"/>
        <w:rPr>
          <w:bCs/>
          <w:color w:val="auto"/>
          <w:szCs w:val="32"/>
          <w:highlight w:val="none"/>
        </w:rPr>
      </w:pPr>
      <w:r>
        <w:rPr>
          <w:rFonts w:hint="eastAsia"/>
          <w:bCs/>
          <w:color w:val="auto"/>
          <w:szCs w:val="32"/>
          <w:highlight w:val="none"/>
        </w:rPr>
        <w:t>第六章</w:t>
      </w:r>
      <w:r>
        <w:rPr>
          <w:bCs/>
          <w:color w:val="auto"/>
          <w:szCs w:val="32"/>
          <w:highlight w:val="none"/>
        </w:rPr>
        <w:t xml:space="preserve">  </w:t>
      </w:r>
      <w:r>
        <w:rPr>
          <w:rFonts w:hint="eastAsia"/>
          <w:bCs/>
          <w:color w:val="auto"/>
          <w:szCs w:val="32"/>
          <w:highlight w:val="none"/>
        </w:rPr>
        <w:t>招标单位、招标代理机构对本招标文件的确认</w:t>
      </w:r>
      <w:bookmarkEnd w:id="862"/>
    </w:p>
    <w:p w14:paraId="28D25218">
      <w:pPr>
        <w:pStyle w:val="19"/>
        <w:rPr>
          <w:color w:val="auto"/>
          <w:highlight w:val="none"/>
        </w:rPr>
      </w:pPr>
    </w:p>
    <w:tbl>
      <w:tblPr>
        <w:tblStyle w:val="4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0"/>
      </w:tblGrid>
      <w:tr w14:paraId="5AEBF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4" w:hRule="atLeast"/>
          <w:jc w:val="center"/>
        </w:trPr>
        <w:tc>
          <w:tcPr>
            <w:tcW w:w="9580" w:type="dxa"/>
          </w:tcPr>
          <w:p w14:paraId="73FA6AB6">
            <w:pPr>
              <w:wordWrap w:val="0"/>
              <w:adjustRightInd w:val="0"/>
              <w:snapToGrid w:val="0"/>
              <w:spacing w:line="560" w:lineRule="exact"/>
              <w:rPr>
                <w:color w:val="auto"/>
                <w:sz w:val="30"/>
                <w:highlight w:val="none"/>
              </w:rPr>
            </w:pPr>
          </w:p>
          <w:p w14:paraId="392DD9B2">
            <w:pPr>
              <w:wordWrap w:val="0"/>
              <w:ind w:left="-358" w:leftChars="-171" w:hanging="1"/>
              <w:rPr>
                <w:color w:val="auto"/>
                <w:sz w:val="28"/>
                <w:szCs w:val="28"/>
                <w:highlight w:val="none"/>
              </w:rPr>
            </w:pPr>
            <w:r>
              <w:rPr>
                <w:rFonts w:hint="eastAsia"/>
                <w:color w:val="auto"/>
                <w:sz w:val="24"/>
                <w:highlight w:val="none"/>
              </w:rPr>
              <w:t>我</w:t>
            </w:r>
            <w:r>
              <w:rPr>
                <w:color w:val="auto"/>
                <w:sz w:val="24"/>
                <w:highlight w:val="none"/>
              </w:rPr>
              <w:t xml:space="preserve">      </w:t>
            </w:r>
            <w:r>
              <w:rPr>
                <w:rFonts w:hint="eastAsia"/>
                <w:color w:val="auto"/>
                <w:sz w:val="28"/>
                <w:szCs w:val="28"/>
                <w:highlight w:val="none"/>
              </w:rPr>
              <w:t>我单位对</w:t>
            </w:r>
            <w:r>
              <w:rPr>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滁州经开区市政道路排水管网更新改造项目工程量清单及最高投标限价编制服务项目</w:t>
            </w:r>
            <w:r>
              <w:rPr>
                <w:color w:val="auto"/>
                <w:sz w:val="28"/>
                <w:szCs w:val="28"/>
                <w:highlight w:val="none"/>
                <w:u w:val="single"/>
              </w:rPr>
              <w:t xml:space="preserve"> </w:t>
            </w:r>
            <w:r>
              <w:rPr>
                <w:rFonts w:hint="eastAsia"/>
                <w:color w:val="auto"/>
                <w:sz w:val="28"/>
                <w:szCs w:val="28"/>
                <w:highlight w:val="none"/>
              </w:rPr>
              <w:t>的招标文件进行确认。</w:t>
            </w:r>
          </w:p>
          <w:p w14:paraId="78A12AFF">
            <w:pPr>
              <w:wordWrap w:val="0"/>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 xml:space="preserve"> 招 标 人：</w:t>
            </w:r>
            <w:r>
              <w:rPr>
                <w:rFonts w:hint="eastAsia" w:ascii="宋体" w:hAnsi="宋体"/>
                <w:color w:val="auto"/>
                <w:sz w:val="28"/>
                <w:szCs w:val="28"/>
                <w:highlight w:val="none"/>
                <w:lang w:eastAsia="zh-CN"/>
              </w:rPr>
              <w:t>滁州华城建设开发有限公司</w:t>
            </w:r>
            <w:r>
              <w:rPr>
                <w:rFonts w:hint="eastAsia" w:ascii="宋体" w:hAnsi="宋体"/>
                <w:color w:val="auto"/>
                <w:sz w:val="28"/>
                <w:szCs w:val="28"/>
                <w:highlight w:val="none"/>
              </w:rPr>
              <w:t xml:space="preserve">       </w:t>
            </w:r>
          </w:p>
          <w:p w14:paraId="5EEA16C5">
            <w:pPr>
              <w:wordWrap w:val="0"/>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联 系 人：</w:t>
            </w:r>
            <w:r>
              <w:rPr>
                <w:rFonts w:hint="eastAsia" w:ascii="宋体" w:hAnsi="宋体"/>
                <w:color w:val="auto"/>
                <w:sz w:val="28"/>
                <w:szCs w:val="28"/>
                <w:highlight w:val="none"/>
                <w:lang w:val="en-US" w:eastAsia="zh-CN"/>
              </w:rPr>
              <w:t>李工</w:t>
            </w:r>
          </w:p>
          <w:p w14:paraId="60DD86E4">
            <w:pPr>
              <w:wordWrap w:val="0"/>
              <w:spacing w:line="560" w:lineRule="exact"/>
              <w:ind w:firstLine="560" w:firstLineChars="200"/>
              <w:rPr>
                <w:rFonts w:ascii="宋体"/>
                <w:color w:val="auto"/>
                <w:sz w:val="28"/>
                <w:szCs w:val="28"/>
                <w:highlight w:val="none"/>
              </w:rPr>
            </w:pPr>
            <w:r>
              <w:rPr>
                <w:rFonts w:hint="eastAsia" w:ascii="宋体" w:hAnsi="宋体"/>
                <w:color w:val="auto"/>
                <w:sz w:val="28"/>
                <w:szCs w:val="28"/>
                <w:highlight w:val="none"/>
              </w:rPr>
              <w:t>联系电话：</w:t>
            </w:r>
            <w:r>
              <w:rPr>
                <w:rFonts w:hint="eastAsia" w:ascii="宋体" w:hAnsi="宋体"/>
                <w:color w:val="auto"/>
                <w:sz w:val="28"/>
                <w:szCs w:val="28"/>
                <w:highlight w:val="none"/>
                <w:lang w:val="en-US" w:eastAsia="zh-CN"/>
              </w:rPr>
              <w:t>0550-3219389</w:t>
            </w:r>
            <w:r>
              <w:rPr>
                <w:rFonts w:ascii="宋体" w:hAnsi="宋体"/>
                <w:color w:val="auto"/>
                <w:sz w:val="28"/>
                <w:szCs w:val="28"/>
                <w:highlight w:val="none"/>
              </w:rPr>
              <w:t xml:space="preserve">               </w:t>
            </w:r>
          </w:p>
          <w:p w14:paraId="2D324CC3">
            <w:pPr>
              <w:wordWrap w:val="0"/>
              <w:spacing w:line="560" w:lineRule="exact"/>
              <w:ind w:firstLine="560" w:firstLineChars="200"/>
              <w:rPr>
                <w:rFonts w:ascii="宋体"/>
                <w:color w:val="auto"/>
                <w:sz w:val="28"/>
                <w:szCs w:val="28"/>
                <w:highlight w:val="none"/>
              </w:rPr>
            </w:pPr>
          </w:p>
          <w:p w14:paraId="432FC2C5">
            <w:pPr>
              <w:wordWrap w:val="0"/>
              <w:spacing w:line="560" w:lineRule="exact"/>
              <w:ind w:firstLine="560" w:firstLineChars="200"/>
              <w:rPr>
                <w:rFonts w:ascii="宋体" w:hAnsi="宋体"/>
                <w:color w:val="auto"/>
                <w:sz w:val="28"/>
                <w:szCs w:val="28"/>
                <w:highlight w:val="none"/>
              </w:rPr>
            </w:pPr>
            <w:bookmarkStart w:id="863" w:name="_GoBack"/>
            <w:bookmarkEnd w:id="863"/>
          </w:p>
          <w:p w14:paraId="147BFAB4">
            <w:pPr>
              <w:wordWrap w:val="0"/>
              <w:spacing w:line="560" w:lineRule="exact"/>
              <w:ind w:firstLine="560" w:firstLineChars="200"/>
              <w:rPr>
                <w:rFonts w:ascii="宋体"/>
                <w:color w:val="auto"/>
                <w:sz w:val="28"/>
                <w:szCs w:val="28"/>
                <w:highlight w:val="none"/>
              </w:rPr>
            </w:pPr>
            <w:r>
              <w:rPr>
                <w:rFonts w:ascii="宋体" w:hAnsi="宋体"/>
                <w:color w:val="auto"/>
                <w:sz w:val="28"/>
                <w:szCs w:val="28"/>
                <w:highlight w:val="none"/>
              </w:rPr>
              <w:t xml:space="preserve">             </w:t>
            </w:r>
          </w:p>
          <w:p w14:paraId="0DBE0E68">
            <w:pPr>
              <w:wordWrap w:val="0"/>
              <w:spacing w:line="560" w:lineRule="exact"/>
              <w:ind w:firstLine="6020" w:firstLineChars="2150"/>
              <w:rPr>
                <w:rFonts w:ascii="宋体"/>
                <w:color w:val="auto"/>
                <w:sz w:val="28"/>
                <w:szCs w:val="28"/>
                <w:highlight w:val="none"/>
              </w:rPr>
            </w:pPr>
            <w:r>
              <w:rPr>
                <w:rFonts w:hint="eastAsia" w:ascii="宋体" w:hAnsi="宋体"/>
                <w:color w:val="auto"/>
                <w:sz w:val="28"/>
                <w:szCs w:val="28"/>
                <w:highlight w:val="none"/>
              </w:rPr>
              <w:t>（单位盖章）</w:t>
            </w:r>
          </w:p>
          <w:p w14:paraId="71C48312">
            <w:pPr>
              <w:spacing w:line="560" w:lineRule="exact"/>
              <w:ind w:firstLine="6160" w:firstLineChars="2200"/>
              <w:rPr>
                <w:color w:val="auto"/>
                <w:sz w:val="30"/>
                <w:highlight w:val="none"/>
              </w:rPr>
            </w:pPr>
            <w:r>
              <w:rPr>
                <w:rFonts w:ascii="宋体" w:hAnsi="宋体"/>
                <w:color w:val="auto"/>
                <w:sz w:val="28"/>
                <w:szCs w:val="28"/>
                <w:highlight w:val="none"/>
              </w:rPr>
              <w:t>202</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年</w:t>
            </w:r>
            <w:r>
              <w:rPr>
                <w:rFonts w:hint="eastAsia" w:ascii="宋体"/>
                <w:color w:val="auto"/>
                <w:sz w:val="28"/>
                <w:szCs w:val="28"/>
                <w:highlight w:val="none"/>
                <w:lang w:val="en-US" w:eastAsia="zh-CN"/>
              </w:rPr>
              <w:t>8</w:t>
            </w:r>
            <w:r>
              <w:rPr>
                <w:rFonts w:hint="eastAsia" w:ascii="宋体" w:hAnsi="宋体"/>
                <w:color w:val="auto"/>
                <w:sz w:val="28"/>
                <w:szCs w:val="28"/>
                <w:highlight w:val="none"/>
              </w:rPr>
              <w:t>月</w:t>
            </w:r>
          </w:p>
        </w:tc>
      </w:tr>
      <w:tr w14:paraId="1F5E7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6" w:hRule="atLeast"/>
          <w:jc w:val="center"/>
        </w:trPr>
        <w:tc>
          <w:tcPr>
            <w:tcW w:w="9580" w:type="dxa"/>
          </w:tcPr>
          <w:p w14:paraId="5294EABD">
            <w:pPr>
              <w:spacing w:line="560" w:lineRule="exact"/>
              <w:ind w:firstLine="560" w:firstLineChars="200"/>
              <w:rPr>
                <w:rFonts w:ascii="宋体" w:cs="宋体"/>
                <w:color w:val="auto"/>
                <w:sz w:val="28"/>
                <w:szCs w:val="28"/>
                <w:highlight w:val="none"/>
              </w:rPr>
            </w:pPr>
          </w:p>
          <w:p w14:paraId="1DA5900E">
            <w:pPr>
              <w:spacing w:line="560" w:lineRule="exact"/>
              <w:ind w:firstLine="560" w:firstLineChars="200"/>
              <w:rPr>
                <w:rFonts w:ascii="宋体" w:cs="宋体"/>
                <w:color w:val="auto"/>
                <w:sz w:val="28"/>
                <w:szCs w:val="28"/>
                <w:highlight w:val="none"/>
                <w:u w:val="single"/>
              </w:rPr>
            </w:pPr>
            <w:r>
              <w:rPr>
                <w:rFonts w:hint="eastAsia" w:ascii="宋体" w:hAnsi="宋体" w:cs="宋体"/>
                <w:color w:val="auto"/>
                <w:sz w:val="28"/>
                <w:szCs w:val="28"/>
                <w:highlight w:val="none"/>
              </w:rPr>
              <w:t>招标代理机构：</w:t>
            </w:r>
            <w:r>
              <w:rPr>
                <w:rFonts w:hint="eastAsia"/>
                <w:color w:val="auto"/>
                <w:sz w:val="28"/>
                <w:szCs w:val="28"/>
                <w:highlight w:val="none"/>
              </w:rPr>
              <w:t>滁州市城投工程咨询管理有限公司</w:t>
            </w:r>
          </w:p>
          <w:p w14:paraId="68BEE97E">
            <w:pPr>
              <w:spacing w:line="560" w:lineRule="exact"/>
              <w:ind w:firstLine="560" w:firstLineChars="200"/>
              <w:rPr>
                <w:rFonts w:ascii="宋体" w:cs="宋体"/>
                <w:color w:val="auto"/>
                <w:sz w:val="28"/>
                <w:szCs w:val="28"/>
                <w:highlight w:val="none"/>
                <w:u w:val="single"/>
              </w:rPr>
            </w:pPr>
            <w:r>
              <w:rPr>
                <w:rFonts w:hint="eastAsia" w:ascii="宋体" w:hAnsi="宋体" w:cs="宋体"/>
                <w:color w:val="auto"/>
                <w:sz w:val="28"/>
                <w:szCs w:val="28"/>
                <w:highlight w:val="none"/>
              </w:rPr>
              <w:t>联</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系</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人：杨韦</w:t>
            </w:r>
          </w:p>
          <w:p w14:paraId="611AE3F9">
            <w:pPr>
              <w:spacing w:line="560" w:lineRule="exact"/>
              <w:ind w:firstLine="560" w:firstLineChars="200"/>
              <w:rPr>
                <w:rFonts w:ascii="宋体" w:cs="宋体"/>
                <w:color w:val="auto"/>
                <w:sz w:val="28"/>
                <w:szCs w:val="28"/>
                <w:highlight w:val="none"/>
              </w:rPr>
            </w:pPr>
            <w:r>
              <w:rPr>
                <w:rFonts w:hint="eastAsia" w:ascii="宋体" w:hAnsi="宋体" w:cs="宋体"/>
                <w:color w:val="auto"/>
                <w:sz w:val="28"/>
                <w:szCs w:val="28"/>
                <w:highlight w:val="none"/>
              </w:rPr>
              <w:t>联系电话：</w:t>
            </w:r>
            <w:r>
              <w:rPr>
                <w:rFonts w:ascii="宋体" w:hAnsi="宋体" w:cs="宋体"/>
                <w:color w:val="auto"/>
                <w:sz w:val="28"/>
                <w:szCs w:val="28"/>
                <w:highlight w:val="none"/>
              </w:rPr>
              <w:t>0550-</w:t>
            </w:r>
            <w:r>
              <w:rPr>
                <w:rFonts w:hint="eastAsia" w:ascii="宋体" w:hAnsi="宋体" w:cs="宋体"/>
                <w:color w:val="auto"/>
                <w:sz w:val="28"/>
                <w:szCs w:val="28"/>
                <w:highlight w:val="none"/>
                <w:lang w:eastAsia="zh-CN"/>
              </w:rPr>
              <w:t>3519590</w:t>
            </w:r>
            <w:r>
              <w:rPr>
                <w:rFonts w:hint="eastAsia" w:ascii="宋体" w:hAnsi="宋体" w:cs="宋体"/>
                <w:color w:val="auto"/>
                <w:sz w:val="28"/>
                <w:szCs w:val="28"/>
                <w:highlight w:val="none"/>
              </w:rPr>
              <w:t>、</w:t>
            </w:r>
            <w:r>
              <w:rPr>
                <w:rFonts w:ascii="宋体" w:hAnsi="宋体" w:cs="宋体"/>
                <w:color w:val="auto"/>
                <w:sz w:val="28"/>
                <w:szCs w:val="28"/>
                <w:highlight w:val="none"/>
              </w:rPr>
              <w:t>18005501210</w:t>
            </w:r>
          </w:p>
          <w:p w14:paraId="2ECB68E7">
            <w:pPr>
              <w:spacing w:line="560" w:lineRule="exact"/>
              <w:ind w:firstLine="5040" w:firstLineChars="1800"/>
              <w:rPr>
                <w:rFonts w:ascii="宋体" w:cs="宋体"/>
                <w:color w:val="auto"/>
                <w:sz w:val="28"/>
                <w:szCs w:val="28"/>
                <w:highlight w:val="none"/>
              </w:rPr>
            </w:pPr>
          </w:p>
          <w:p w14:paraId="3634FFCA">
            <w:pPr>
              <w:spacing w:line="560" w:lineRule="exact"/>
              <w:ind w:firstLine="5460" w:firstLineChars="1950"/>
              <w:rPr>
                <w:rFonts w:ascii="宋体" w:cs="宋体"/>
                <w:color w:val="auto"/>
                <w:sz w:val="28"/>
                <w:szCs w:val="28"/>
                <w:highlight w:val="none"/>
              </w:rPr>
            </w:pPr>
          </w:p>
          <w:p w14:paraId="1B414A48">
            <w:pPr>
              <w:spacing w:line="560" w:lineRule="exact"/>
              <w:ind w:firstLine="5460" w:firstLineChars="1950"/>
              <w:rPr>
                <w:rFonts w:ascii="宋体" w:cs="宋体"/>
                <w:color w:val="auto"/>
                <w:sz w:val="28"/>
                <w:szCs w:val="28"/>
                <w:highlight w:val="none"/>
              </w:rPr>
            </w:pPr>
          </w:p>
          <w:p w14:paraId="4D3662FA">
            <w:pPr>
              <w:spacing w:line="560" w:lineRule="exact"/>
              <w:ind w:firstLine="5880" w:firstLineChars="2100"/>
              <w:rPr>
                <w:rFonts w:ascii="宋体" w:cs="宋体"/>
                <w:color w:val="auto"/>
                <w:sz w:val="28"/>
                <w:szCs w:val="28"/>
                <w:highlight w:val="none"/>
              </w:rPr>
            </w:pPr>
            <w:r>
              <w:rPr>
                <w:rFonts w:hint="eastAsia" w:ascii="宋体" w:hAnsi="宋体" w:cs="宋体"/>
                <w:color w:val="auto"/>
                <w:sz w:val="28"/>
                <w:szCs w:val="28"/>
                <w:highlight w:val="none"/>
              </w:rPr>
              <w:t>（单位盖章）</w:t>
            </w:r>
          </w:p>
          <w:p w14:paraId="1B4F00C9">
            <w:pPr>
              <w:spacing w:line="560" w:lineRule="exact"/>
              <w:ind w:firstLine="6160" w:firstLineChars="2200"/>
              <w:rPr>
                <w:color w:val="auto"/>
                <w:sz w:val="30"/>
                <w:highlight w:val="none"/>
              </w:rPr>
            </w:pPr>
            <w:r>
              <w:rPr>
                <w:rFonts w:ascii="宋体" w:hAnsi="宋体"/>
                <w:color w:val="auto"/>
                <w:sz w:val="28"/>
                <w:szCs w:val="28"/>
                <w:highlight w:val="none"/>
              </w:rPr>
              <w:t>202</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年</w:t>
            </w:r>
            <w:r>
              <w:rPr>
                <w:rFonts w:hint="eastAsia" w:ascii="宋体"/>
                <w:color w:val="auto"/>
                <w:sz w:val="28"/>
                <w:szCs w:val="28"/>
                <w:highlight w:val="none"/>
                <w:lang w:val="en-US" w:eastAsia="zh-CN"/>
              </w:rPr>
              <w:t>8</w:t>
            </w:r>
            <w:r>
              <w:rPr>
                <w:rFonts w:hint="eastAsia" w:ascii="宋体" w:hAnsi="宋体"/>
                <w:color w:val="auto"/>
                <w:sz w:val="28"/>
                <w:szCs w:val="28"/>
                <w:highlight w:val="none"/>
              </w:rPr>
              <w:t>月</w:t>
            </w:r>
          </w:p>
        </w:tc>
      </w:tr>
    </w:tbl>
    <w:p w14:paraId="5866944B">
      <w:pPr>
        <w:pStyle w:val="2"/>
        <w:ind w:left="0" w:leftChars="0" w:firstLine="0" w:firstLineChars="0"/>
        <w:rPr>
          <w:color w:val="auto"/>
          <w:highlight w:val="none"/>
        </w:rPr>
      </w:pPr>
    </w:p>
    <w:sectPr>
      <w:footerReference r:id="rId6" w:type="default"/>
      <w:pgSz w:w="11906" w:h="16838"/>
      <w:pgMar w:top="1134" w:right="1417" w:bottom="1134" w:left="141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ctionIcon">
    <w:altName w:val="ksdb"/>
    <w:panose1 w:val="00000000000000000000"/>
    <w:charset w:val="00"/>
    <w:family w:val="auto"/>
    <w:pitch w:val="default"/>
    <w:sig w:usb0="00000000" w:usb1="00000000" w:usb2="00000000" w:usb3="00000000" w:csb0="00000000" w:csb1="00000000"/>
  </w:font>
  <w:font w:name="ModIcon">
    <w:altName w:val="ksdb"/>
    <w:panose1 w:val="00000000000000000000"/>
    <w:charset w:val="00"/>
    <w:family w:val="auto"/>
    <w:pitch w:val="default"/>
    <w:sig w:usb0="00000000" w:usb1="00000000" w:usb2="00000000" w:usb3="00000000" w:csb0="00000000" w:csb1="00000000"/>
  </w:font>
  <w:font w:name="SourceHanSansCN-Regular">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 w:name="ActionIcon ! important">
    <w:altName w:val="ksdb"/>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4F34C">
    <w:pPr>
      <w:pStyle w:val="28"/>
      <w:framePr w:wrap="around" w:vAnchor="text" w:hAnchor="margin" w:xAlign="center" w:y="1"/>
      <w:rPr>
        <w:rStyle w:val="49"/>
      </w:rPr>
    </w:pPr>
  </w:p>
  <w:p w14:paraId="6CE8BDA8">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410B8">
    <w:pPr>
      <w:pStyle w:val="28"/>
      <w:framePr w:wrap="around" w:vAnchor="text" w:hAnchor="margin" w:xAlign="center" w:y="1"/>
      <w:rPr>
        <w:rStyle w:val="49"/>
      </w:rPr>
    </w:pPr>
  </w:p>
  <w:p w14:paraId="5E30C1B1">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69F90">
    <w:pPr>
      <w:pStyle w:val="28"/>
      <w:rPr>
        <w:rStyle w:val="49"/>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3AF7B8">
                          <w:pPr>
                            <w:pStyle w:val="2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p w14:paraId="6F3AF7B8">
                    <w:pPr>
                      <w:pStyle w:val="28"/>
                    </w:pPr>
                    <w:r>
                      <w:fldChar w:fldCharType="begin"/>
                    </w:r>
                    <w:r>
                      <w:instrText xml:space="preserve"> PAGE  \* MERGEFORMAT </w:instrText>
                    </w:r>
                    <w:r>
                      <w:fldChar w:fldCharType="separate"/>
                    </w:r>
                    <w:r>
                      <w:t>1</w:t>
                    </w:r>
                    <w:r>
                      <w:fldChar w:fldCharType="end"/>
                    </w:r>
                  </w:p>
                </w:txbxContent>
              </v:textbox>
            </v:shape>
          </w:pict>
        </mc:Fallback>
      </mc:AlternateContent>
    </w:r>
  </w:p>
  <w:p w14:paraId="5C365F08">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22D20">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C07D07"/>
    <w:multiLevelType w:val="singleLevel"/>
    <w:tmpl w:val="8EC07D07"/>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MGI3YTdkMjVkZTZjM2ZjZTQ5YjMxYTJjZjRlOWEifQ=="/>
    <w:docVar w:name="KSO_WPS_MARK_KEY" w:val="500f34a0-6bbe-4f54-87cc-4bc5d3d21986"/>
  </w:docVars>
  <w:rsids>
    <w:rsidRoot w:val="00172A27"/>
    <w:rsid w:val="0000197A"/>
    <w:rsid w:val="00002E1B"/>
    <w:rsid w:val="000046EA"/>
    <w:rsid w:val="00004E34"/>
    <w:rsid w:val="00005CD8"/>
    <w:rsid w:val="00006123"/>
    <w:rsid w:val="000070B7"/>
    <w:rsid w:val="0000758B"/>
    <w:rsid w:val="00010F4B"/>
    <w:rsid w:val="0001111D"/>
    <w:rsid w:val="00012D1D"/>
    <w:rsid w:val="00017114"/>
    <w:rsid w:val="00017EFA"/>
    <w:rsid w:val="00020FE0"/>
    <w:rsid w:val="00021BDB"/>
    <w:rsid w:val="000225E0"/>
    <w:rsid w:val="00022A89"/>
    <w:rsid w:val="000330C1"/>
    <w:rsid w:val="000335C0"/>
    <w:rsid w:val="00034C73"/>
    <w:rsid w:val="00037B93"/>
    <w:rsid w:val="00040224"/>
    <w:rsid w:val="0004332D"/>
    <w:rsid w:val="00046C34"/>
    <w:rsid w:val="0005256E"/>
    <w:rsid w:val="00057DBF"/>
    <w:rsid w:val="0006411D"/>
    <w:rsid w:val="000642AF"/>
    <w:rsid w:val="00066792"/>
    <w:rsid w:val="00076F1D"/>
    <w:rsid w:val="00077234"/>
    <w:rsid w:val="00086C18"/>
    <w:rsid w:val="00090A07"/>
    <w:rsid w:val="00090F90"/>
    <w:rsid w:val="00093100"/>
    <w:rsid w:val="000939B1"/>
    <w:rsid w:val="00094E9D"/>
    <w:rsid w:val="000A078C"/>
    <w:rsid w:val="000A11AD"/>
    <w:rsid w:val="000A5881"/>
    <w:rsid w:val="000A65EE"/>
    <w:rsid w:val="000B3A75"/>
    <w:rsid w:val="000B4B76"/>
    <w:rsid w:val="000B7A7E"/>
    <w:rsid w:val="000C26FD"/>
    <w:rsid w:val="000D203E"/>
    <w:rsid w:val="000D2C3D"/>
    <w:rsid w:val="000D2ECE"/>
    <w:rsid w:val="000E0020"/>
    <w:rsid w:val="000E1F7F"/>
    <w:rsid w:val="000E3D3D"/>
    <w:rsid w:val="000F5645"/>
    <w:rsid w:val="000F740E"/>
    <w:rsid w:val="00104E44"/>
    <w:rsid w:val="001063CB"/>
    <w:rsid w:val="0011140E"/>
    <w:rsid w:val="00115943"/>
    <w:rsid w:val="00116988"/>
    <w:rsid w:val="00125553"/>
    <w:rsid w:val="00131494"/>
    <w:rsid w:val="00132E3D"/>
    <w:rsid w:val="00146B5E"/>
    <w:rsid w:val="0015292B"/>
    <w:rsid w:val="0015363F"/>
    <w:rsid w:val="00154C59"/>
    <w:rsid w:val="00155F6F"/>
    <w:rsid w:val="001564C3"/>
    <w:rsid w:val="001620D9"/>
    <w:rsid w:val="00165414"/>
    <w:rsid w:val="00165F97"/>
    <w:rsid w:val="00167090"/>
    <w:rsid w:val="00172A27"/>
    <w:rsid w:val="00173D37"/>
    <w:rsid w:val="00182D4C"/>
    <w:rsid w:val="001834BA"/>
    <w:rsid w:val="001843D3"/>
    <w:rsid w:val="00184866"/>
    <w:rsid w:val="00185DBC"/>
    <w:rsid w:val="00191DD8"/>
    <w:rsid w:val="001963BD"/>
    <w:rsid w:val="001A120B"/>
    <w:rsid w:val="001A184C"/>
    <w:rsid w:val="001A37E0"/>
    <w:rsid w:val="001A3EC9"/>
    <w:rsid w:val="001A6EF7"/>
    <w:rsid w:val="001B1DF0"/>
    <w:rsid w:val="001B21A5"/>
    <w:rsid w:val="001B45D5"/>
    <w:rsid w:val="001B4675"/>
    <w:rsid w:val="001B4BDE"/>
    <w:rsid w:val="001B59E9"/>
    <w:rsid w:val="001B62B0"/>
    <w:rsid w:val="001B6A78"/>
    <w:rsid w:val="001C4E01"/>
    <w:rsid w:val="001D0C94"/>
    <w:rsid w:val="001E6D31"/>
    <w:rsid w:val="001F23AB"/>
    <w:rsid w:val="001F32ED"/>
    <w:rsid w:val="001F7E70"/>
    <w:rsid w:val="00200459"/>
    <w:rsid w:val="00202DB7"/>
    <w:rsid w:val="00207065"/>
    <w:rsid w:val="00207999"/>
    <w:rsid w:val="00213FCA"/>
    <w:rsid w:val="00214988"/>
    <w:rsid w:val="00214F76"/>
    <w:rsid w:val="002202CE"/>
    <w:rsid w:val="0022219A"/>
    <w:rsid w:val="00222521"/>
    <w:rsid w:val="00230A2B"/>
    <w:rsid w:val="00231547"/>
    <w:rsid w:val="002334EC"/>
    <w:rsid w:val="00235B32"/>
    <w:rsid w:val="00236AD7"/>
    <w:rsid w:val="00240423"/>
    <w:rsid w:val="00243B18"/>
    <w:rsid w:val="00246B91"/>
    <w:rsid w:val="00247A64"/>
    <w:rsid w:val="00250BCF"/>
    <w:rsid w:val="00253591"/>
    <w:rsid w:val="00255670"/>
    <w:rsid w:val="00262ABE"/>
    <w:rsid w:val="00276F57"/>
    <w:rsid w:val="00277D06"/>
    <w:rsid w:val="002816D4"/>
    <w:rsid w:val="00286980"/>
    <w:rsid w:val="0029757E"/>
    <w:rsid w:val="002A1A66"/>
    <w:rsid w:val="002A599F"/>
    <w:rsid w:val="002B30AF"/>
    <w:rsid w:val="002B4BA8"/>
    <w:rsid w:val="002B6923"/>
    <w:rsid w:val="002B7117"/>
    <w:rsid w:val="002B714A"/>
    <w:rsid w:val="002B7621"/>
    <w:rsid w:val="002C2E22"/>
    <w:rsid w:val="002C341B"/>
    <w:rsid w:val="002C3BAD"/>
    <w:rsid w:val="002C4A57"/>
    <w:rsid w:val="002C5643"/>
    <w:rsid w:val="002E13EC"/>
    <w:rsid w:val="002F2C99"/>
    <w:rsid w:val="002F794D"/>
    <w:rsid w:val="003029B3"/>
    <w:rsid w:val="00303019"/>
    <w:rsid w:val="00306787"/>
    <w:rsid w:val="0031113D"/>
    <w:rsid w:val="00313CA4"/>
    <w:rsid w:val="003150CE"/>
    <w:rsid w:val="00316270"/>
    <w:rsid w:val="00321598"/>
    <w:rsid w:val="00321FDB"/>
    <w:rsid w:val="00323870"/>
    <w:rsid w:val="00324847"/>
    <w:rsid w:val="00324A5E"/>
    <w:rsid w:val="00325624"/>
    <w:rsid w:val="00332891"/>
    <w:rsid w:val="00333810"/>
    <w:rsid w:val="00342D97"/>
    <w:rsid w:val="00343375"/>
    <w:rsid w:val="003448C2"/>
    <w:rsid w:val="00344CD6"/>
    <w:rsid w:val="0034662F"/>
    <w:rsid w:val="003510D2"/>
    <w:rsid w:val="00351A8E"/>
    <w:rsid w:val="0035447B"/>
    <w:rsid w:val="00356B27"/>
    <w:rsid w:val="00356B90"/>
    <w:rsid w:val="00357C8A"/>
    <w:rsid w:val="00360C29"/>
    <w:rsid w:val="00361CBA"/>
    <w:rsid w:val="0036593D"/>
    <w:rsid w:val="00366951"/>
    <w:rsid w:val="00376808"/>
    <w:rsid w:val="003817E6"/>
    <w:rsid w:val="00381B3A"/>
    <w:rsid w:val="00381E22"/>
    <w:rsid w:val="0038244A"/>
    <w:rsid w:val="00382545"/>
    <w:rsid w:val="00383221"/>
    <w:rsid w:val="00386132"/>
    <w:rsid w:val="003871B4"/>
    <w:rsid w:val="00393016"/>
    <w:rsid w:val="00393669"/>
    <w:rsid w:val="00394BA5"/>
    <w:rsid w:val="003A70F7"/>
    <w:rsid w:val="003B39C6"/>
    <w:rsid w:val="003B4CDE"/>
    <w:rsid w:val="003B5919"/>
    <w:rsid w:val="003B7075"/>
    <w:rsid w:val="003B7983"/>
    <w:rsid w:val="003C24F4"/>
    <w:rsid w:val="003C3C64"/>
    <w:rsid w:val="003C4452"/>
    <w:rsid w:val="003C7646"/>
    <w:rsid w:val="003D0BFC"/>
    <w:rsid w:val="003D34ED"/>
    <w:rsid w:val="003D60ED"/>
    <w:rsid w:val="003D7852"/>
    <w:rsid w:val="003E15AB"/>
    <w:rsid w:val="003E3274"/>
    <w:rsid w:val="003E441B"/>
    <w:rsid w:val="003E528B"/>
    <w:rsid w:val="003E62C9"/>
    <w:rsid w:val="003E64A4"/>
    <w:rsid w:val="003F1184"/>
    <w:rsid w:val="003F19CD"/>
    <w:rsid w:val="003F56BE"/>
    <w:rsid w:val="003F72A7"/>
    <w:rsid w:val="00403578"/>
    <w:rsid w:val="00404AFD"/>
    <w:rsid w:val="00411B9C"/>
    <w:rsid w:val="004139CC"/>
    <w:rsid w:val="004179E4"/>
    <w:rsid w:val="00422908"/>
    <w:rsid w:val="00423DA3"/>
    <w:rsid w:val="0042416B"/>
    <w:rsid w:val="004249BA"/>
    <w:rsid w:val="0042531B"/>
    <w:rsid w:val="004306D8"/>
    <w:rsid w:val="00430F18"/>
    <w:rsid w:val="00432BC1"/>
    <w:rsid w:val="00434AAC"/>
    <w:rsid w:val="0043512B"/>
    <w:rsid w:val="00435537"/>
    <w:rsid w:val="004355FE"/>
    <w:rsid w:val="00441E58"/>
    <w:rsid w:val="00445715"/>
    <w:rsid w:val="00445E0F"/>
    <w:rsid w:val="00446179"/>
    <w:rsid w:val="00446284"/>
    <w:rsid w:val="004506F7"/>
    <w:rsid w:val="00451F70"/>
    <w:rsid w:val="00454C0F"/>
    <w:rsid w:val="00454F95"/>
    <w:rsid w:val="00456DC1"/>
    <w:rsid w:val="00462043"/>
    <w:rsid w:val="0046380E"/>
    <w:rsid w:val="004712B0"/>
    <w:rsid w:val="00471B5C"/>
    <w:rsid w:val="00473006"/>
    <w:rsid w:val="00473BA0"/>
    <w:rsid w:val="00474B17"/>
    <w:rsid w:val="00477FF4"/>
    <w:rsid w:val="00494CD7"/>
    <w:rsid w:val="004A394F"/>
    <w:rsid w:val="004A7299"/>
    <w:rsid w:val="004C2BF2"/>
    <w:rsid w:val="004C4C36"/>
    <w:rsid w:val="004D0871"/>
    <w:rsid w:val="004D31D7"/>
    <w:rsid w:val="004D6B92"/>
    <w:rsid w:val="004E085C"/>
    <w:rsid w:val="004E0F8D"/>
    <w:rsid w:val="004F1D3D"/>
    <w:rsid w:val="004F3C9D"/>
    <w:rsid w:val="004F77A5"/>
    <w:rsid w:val="00504F99"/>
    <w:rsid w:val="00505F69"/>
    <w:rsid w:val="005078D7"/>
    <w:rsid w:val="00510F89"/>
    <w:rsid w:val="00512B81"/>
    <w:rsid w:val="00513D1E"/>
    <w:rsid w:val="00525D5C"/>
    <w:rsid w:val="00526B90"/>
    <w:rsid w:val="00527D18"/>
    <w:rsid w:val="005324F1"/>
    <w:rsid w:val="00534798"/>
    <w:rsid w:val="005362C3"/>
    <w:rsid w:val="00536BAD"/>
    <w:rsid w:val="00537141"/>
    <w:rsid w:val="005408F8"/>
    <w:rsid w:val="00543A1A"/>
    <w:rsid w:val="00543D1A"/>
    <w:rsid w:val="00545A63"/>
    <w:rsid w:val="00551ABE"/>
    <w:rsid w:val="00553C28"/>
    <w:rsid w:val="005575EF"/>
    <w:rsid w:val="00557CAA"/>
    <w:rsid w:val="005610A7"/>
    <w:rsid w:val="00562097"/>
    <w:rsid w:val="00563B31"/>
    <w:rsid w:val="00565E25"/>
    <w:rsid w:val="00566512"/>
    <w:rsid w:val="005677A2"/>
    <w:rsid w:val="00571668"/>
    <w:rsid w:val="005736B2"/>
    <w:rsid w:val="00580342"/>
    <w:rsid w:val="00582213"/>
    <w:rsid w:val="005901E1"/>
    <w:rsid w:val="005915F5"/>
    <w:rsid w:val="00591F58"/>
    <w:rsid w:val="00592834"/>
    <w:rsid w:val="00594FBF"/>
    <w:rsid w:val="00597823"/>
    <w:rsid w:val="005A5E6E"/>
    <w:rsid w:val="005A71BD"/>
    <w:rsid w:val="005A7C75"/>
    <w:rsid w:val="005B4AA4"/>
    <w:rsid w:val="005B5C42"/>
    <w:rsid w:val="005C0C25"/>
    <w:rsid w:val="005D1E1A"/>
    <w:rsid w:val="005D2808"/>
    <w:rsid w:val="005D6EDB"/>
    <w:rsid w:val="005E6D8D"/>
    <w:rsid w:val="005F2C58"/>
    <w:rsid w:val="005F4B20"/>
    <w:rsid w:val="005F548E"/>
    <w:rsid w:val="00601231"/>
    <w:rsid w:val="006015AA"/>
    <w:rsid w:val="006053A4"/>
    <w:rsid w:val="0061143B"/>
    <w:rsid w:val="00617B19"/>
    <w:rsid w:val="00620E0C"/>
    <w:rsid w:val="00626412"/>
    <w:rsid w:val="00627F07"/>
    <w:rsid w:val="00630A52"/>
    <w:rsid w:val="006314EC"/>
    <w:rsid w:val="006319A4"/>
    <w:rsid w:val="006320EC"/>
    <w:rsid w:val="00632505"/>
    <w:rsid w:val="0063261C"/>
    <w:rsid w:val="00634E49"/>
    <w:rsid w:val="00636DE4"/>
    <w:rsid w:val="006404B8"/>
    <w:rsid w:val="00640732"/>
    <w:rsid w:val="006411FA"/>
    <w:rsid w:val="006468C4"/>
    <w:rsid w:val="00646B1D"/>
    <w:rsid w:val="0065656C"/>
    <w:rsid w:val="00662C9C"/>
    <w:rsid w:val="00664CCB"/>
    <w:rsid w:val="0066501C"/>
    <w:rsid w:val="00672253"/>
    <w:rsid w:val="00680EED"/>
    <w:rsid w:val="00683A32"/>
    <w:rsid w:val="0069751D"/>
    <w:rsid w:val="00697E3A"/>
    <w:rsid w:val="006A2E04"/>
    <w:rsid w:val="006A5A61"/>
    <w:rsid w:val="006B06AF"/>
    <w:rsid w:val="006B110E"/>
    <w:rsid w:val="006B3913"/>
    <w:rsid w:val="006B5F0A"/>
    <w:rsid w:val="006C004B"/>
    <w:rsid w:val="006C09E3"/>
    <w:rsid w:val="006C12A2"/>
    <w:rsid w:val="006C3056"/>
    <w:rsid w:val="006C3E9D"/>
    <w:rsid w:val="006E29E7"/>
    <w:rsid w:val="006E4C81"/>
    <w:rsid w:val="006F3D17"/>
    <w:rsid w:val="006F75A9"/>
    <w:rsid w:val="007010A6"/>
    <w:rsid w:val="007010E6"/>
    <w:rsid w:val="00703797"/>
    <w:rsid w:val="00704877"/>
    <w:rsid w:val="007056DC"/>
    <w:rsid w:val="00707F33"/>
    <w:rsid w:val="00707FB8"/>
    <w:rsid w:val="00712094"/>
    <w:rsid w:val="00712899"/>
    <w:rsid w:val="007142EF"/>
    <w:rsid w:val="007167E3"/>
    <w:rsid w:val="00721DFF"/>
    <w:rsid w:val="007220FC"/>
    <w:rsid w:val="007224C8"/>
    <w:rsid w:val="00734057"/>
    <w:rsid w:val="00740EA7"/>
    <w:rsid w:val="00743322"/>
    <w:rsid w:val="00743A79"/>
    <w:rsid w:val="0074552F"/>
    <w:rsid w:val="00750DC6"/>
    <w:rsid w:val="00750EE0"/>
    <w:rsid w:val="00755F4B"/>
    <w:rsid w:val="00764F21"/>
    <w:rsid w:val="00771225"/>
    <w:rsid w:val="007735D0"/>
    <w:rsid w:val="0077709D"/>
    <w:rsid w:val="0077725B"/>
    <w:rsid w:val="0078232E"/>
    <w:rsid w:val="0078387C"/>
    <w:rsid w:val="007846BD"/>
    <w:rsid w:val="00785C7C"/>
    <w:rsid w:val="00791620"/>
    <w:rsid w:val="00797F29"/>
    <w:rsid w:val="00797F99"/>
    <w:rsid w:val="007A5486"/>
    <w:rsid w:val="007A59DE"/>
    <w:rsid w:val="007B10BC"/>
    <w:rsid w:val="007B6549"/>
    <w:rsid w:val="007B6736"/>
    <w:rsid w:val="007B7D18"/>
    <w:rsid w:val="007C5C10"/>
    <w:rsid w:val="007C5C4D"/>
    <w:rsid w:val="007D3552"/>
    <w:rsid w:val="007D7027"/>
    <w:rsid w:val="007E42D5"/>
    <w:rsid w:val="007E60BB"/>
    <w:rsid w:val="007E66F0"/>
    <w:rsid w:val="007E6E71"/>
    <w:rsid w:val="007F0879"/>
    <w:rsid w:val="007F7CC1"/>
    <w:rsid w:val="00802D13"/>
    <w:rsid w:val="00803277"/>
    <w:rsid w:val="00803BC6"/>
    <w:rsid w:val="008044D7"/>
    <w:rsid w:val="008056D1"/>
    <w:rsid w:val="00811BC8"/>
    <w:rsid w:val="0081385B"/>
    <w:rsid w:val="008146CD"/>
    <w:rsid w:val="00822D2E"/>
    <w:rsid w:val="00833488"/>
    <w:rsid w:val="00833A36"/>
    <w:rsid w:val="0084190B"/>
    <w:rsid w:val="0084411B"/>
    <w:rsid w:val="00844D6E"/>
    <w:rsid w:val="008462FB"/>
    <w:rsid w:val="008465CD"/>
    <w:rsid w:val="0084663D"/>
    <w:rsid w:val="00854873"/>
    <w:rsid w:val="00856515"/>
    <w:rsid w:val="00857737"/>
    <w:rsid w:val="00864FC6"/>
    <w:rsid w:val="00872E7D"/>
    <w:rsid w:val="0087424F"/>
    <w:rsid w:val="00874549"/>
    <w:rsid w:val="008756B7"/>
    <w:rsid w:val="00880472"/>
    <w:rsid w:val="008813F9"/>
    <w:rsid w:val="00881587"/>
    <w:rsid w:val="00884060"/>
    <w:rsid w:val="00890796"/>
    <w:rsid w:val="0089321E"/>
    <w:rsid w:val="008933DF"/>
    <w:rsid w:val="00894C08"/>
    <w:rsid w:val="00895001"/>
    <w:rsid w:val="008A0D2A"/>
    <w:rsid w:val="008A1DEE"/>
    <w:rsid w:val="008B3DFF"/>
    <w:rsid w:val="008C49D3"/>
    <w:rsid w:val="008C642B"/>
    <w:rsid w:val="008C6DA1"/>
    <w:rsid w:val="008C72A6"/>
    <w:rsid w:val="008D138C"/>
    <w:rsid w:val="008D3D94"/>
    <w:rsid w:val="008D3E37"/>
    <w:rsid w:val="008E30BF"/>
    <w:rsid w:val="008E35A0"/>
    <w:rsid w:val="008E5038"/>
    <w:rsid w:val="008F031C"/>
    <w:rsid w:val="008F1463"/>
    <w:rsid w:val="008F1F11"/>
    <w:rsid w:val="008F31C7"/>
    <w:rsid w:val="008F4575"/>
    <w:rsid w:val="008F7394"/>
    <w:rsid w:val="008F79D7"/>
    <w:rsid w:val="009006DF"/>
    <w:rsid w:val="00903CF0"/>
    <w:rsid w:val="00910153"/>
    <w:rsid w:val="00910A19"/>
    <w:rsid w:val="00910F4E"/>
    <w:rsid w:val="00911695"/>
    <w:rsid w:val="00911E55"/>
    <w:rsid w:val="00913F05"/>
    <w:rsid w:val="0091562C"/>
    <w:rsid w:val="009177B6"/>
    <w:rsid w:val="00924202"/>
    <w:rsid w:val="00924E50"/>
    <w:rsid w:val="00926ABF"/>
    <w:rsid w:val="00927A26"/>
    <w:rsid w:val="00927D00"/>
    <w:rsid w:val="0093269F"/>
    <w:rsid w:val="009412CD"/>
    <w:rsid w:val="0095349A"/>
    <w:rsid w:val="00960CAB"/>
    <w:rsid w:val="00961359"/>
    <w:rsid w:val="00962A0B"/>
    <w:rsid w:val="00962C4D"/>
    <w:rsid w:val="0096757C"/>
    <w:rsid w:val="00967A23"/>
    <w:rsid w:val="00972946"/>
    <w:rsid w:val="00974691"/>
    <w:rsid w:val="00976022"/>
    <w:rsid w:val="00976169"/>
    <w:rsid w:val="00976580"/>
    <w:rsid w:val="00977C3F"/>
    <w:rsid w:val="00980102"/>
    <w:rsid w:val="0098316D"/>
    <w:rsid w:val="00986D16"/>
    <w:rsid w:val="009910B5"/>
    <w:rsid w:val="009920AD"/>
    <w:rsid w:val="0099244A"/>
    <w:rsid w:val="009938B8"/>
    <w:rsid w:val="009A0735"/>
    <w:rsid w:val="009A25E2"/>
    <w:rsid w:val="009A2875"/>
    <w:rsid w:val="009A4C36"/>
    <w:rsid w:val="009B1FF8"/>
    <w:rsid w:val="009B42EF"/>
    <w:rsid w:val="009B4E7E"/>
    <w:rsid w:val="009B5EED"/>
    <w:rsid w:val="009C37BF"/>
    <w:rsid w:val="009C6EE6"/>
    <w:rsid w:val="009C7333"/>
    <w:rsid w:val="009C7979"/>
    <w:rsid w:val="009D0966"/>
    <w:rsid w:val="009D22E5"/>
    <w:rsid w:val="009D4B7E"/>
    <w:rsid w:val="009D71F1"/>
    <w:rsid w:val="009E015C"/>
    <w:rsid w:val="009E0909"/>
    <w:rsid w:val="009E37B1"/>
    <w:rsid w:val="009E3E05"/>
    <w:rsid w:val="009E5780"/>
    <w:rsid w:val="009E5D72"/>
    <w:rsid w:val="009F01E1"/>
    <w:rsid w:val="009F2F5E"/>
    <w:rsid w:val="009F3B2F"/>
    <w:rsid w:val="009F51BD"/>
    <w:rsid w:val="009F60D9"/>
    <w:rsid w:val="00A01456"/>
    <w:rsid w:val="00A01B5E"/>
    <w:rsid w:val="00A02A20"/>
    <w:rsid w:val="00A03301"/>
    <w:rsid w:val="00A0769D"/>
    <w:rsid w:val="00A101E8"/>
    <w:rsid w:val="00A1132C"/>
    <w:rsid w:val="00A1168E"/>
    <w:rsid w:val="00A11EE6"/>
    <w:rsid w:val="00A14C01"/>
    <w:rsid w:val="00A1556E"/>
    <w:rsid w:val="00A169DC"/>
    <w:rsid w:val="00A20C10"/>
    <w:rsid w:val="00A22EC9"/>
    <w:rsid w:val="00A25ED3"/>
    <w:rsid w:val="00A264B5"/>
    <w:rsid w:val="00A26E1A"/>
    <w:rsid w:val="00A27D67"/>
    <w:rsid w:val="00A37208"/>
    <w:rsid w:val="00A373FE"/>
    <w:rsid w:val="00A37744"/>
    <w:rsid w:val="00A431C8"/>
    <w:rsid w:val="00A47E8E"/>
    <w:rsid w:val="00A50183"/>
    <w:rsid w:val="00A508F5"/>
    <w:rsid w:val="00A52488"/>
    <w:rsid w:val="00A52EF8"/>
    <w:rsid w:val="00A55871"/>
    <w:rsid w:val="00A55F4D"/>
    <w:rsid w:val="00A60E15"/>
    <w:rsid w:val="00A65ACF"/>
    <w:rsid w:val="00A71725"/>
    <w:rsid w:val="00A730D4"/>
    <w:rsid w:val="00A75160"/>
    <w:rsid w:val="00A80107"/>
    <w:rsid w:val="00A82C07"/>
    <w:rsid w:val="00A8654F"/>
    <w:rsid w:val="00A87252"/>
    <w:rsid w:val="00A921C2"/>
    <w:rsid w:val="00A93040"/>
    <w:rsid w:val="00A9331E"/>
    <w:rsid w:val="00AA672A"/>
    <w:rsid w:val="00AA7717"/>
    <w:rsid w:val="00AA7A7D"/>
    <w:rsid w:val="00AB24DF"/>
    <w:rsid w:val="00AB2639"/>
    <w:rsid w:val="00AB41F5"/>
    <w:rsid w:val="00AB534D"/>
    <w:rsid w:val="00AB6C48"/>
    <w:rsid w:val="00AB7F2E"/>
    <w:rsid w:val="00AC26EA"/>
    <w:rsid w:val="00AC2702"/>
    <w:rsid w:val="00AC5E52"/>
    <w:rsid w:val="00AC75F2"/>
    <w:rsid w:val="00AD0D0C"/>
    <w:rsid w:val="00AD28A1"/>
    <w:rsid w:val="00AF04EA"/>
    <w:rsid w:val="00B01E1E"/>
    <w:rsid w:val="00B04E52"/>
    <w:rsid w:val="00B064E0"/>
    <w:rsid w:val="00B06DF0"/>
    <w:rsid w:val="00B125E7"/>
    <w:rsid w:val="00B17733"/>
    <w:rsid w:val="00B17A2D"/>
    <w:rsid w:val="00B238A2"/>
    <w:rsid w:val="00B2684F"/>
    <w:rsid w:val="00B30708"/>
    <w:rsid w:val="00B40A36"/>
    <w:rsid w:val="00B421B9"/>
    <w:rsid w:val="00B46946"/>
    <w:rsid w:val="00B52319"/>
    <w:rsid w:val="00B5524B"/>
    <w:rsid w:val="00B60374"/>
    <w:rsid w:val="00B624DE"/>
    <w:rsid w:val="00B669BA"/>
    <w:rsid w:val="00B67E11"/>
    <w:rsid w:val="00B81D39"/>
    <w:rsid w:val="00B87A14"/>
    <w:rsid w:val="00B87A48"/>
    <w:rsid w:val="00B91A45"/>
    <w:rsid w:val="00BA58F0"/>
    <w:rsid w:val="00BA6D3B"/>
    <w:rsid w:val="00BA7453"/>
    <w:rsid w:val="00BB0336"/>
    <w:rsid w:val="00BB2223"/>
    <w:rsid w:val="00BB2B7B"/>
    <w:rsid w:val="00BC0C20"/>
    <w:rsid w:val="00BC508C"/>
    <w:rsid w:val="00BC79D7"/>
    <w:rsid w:val="00BD41E9"/>
    <w:rsid w:val="00BE1A5C"/>
    <w:rsid w:val="00BE2D96"/>
    <w:rsid w:val="00BE520A"/>
    <w:rsid w:val="00BE5A23"/>
    <w:rsid w:val="00BE6705"/>
    <w:rsid w:val="00BE7FAD"/>
    <w:rsid w:val="00BF0DAF"/>
    <w:rsid w:val="00BF0E76"/>
    <w:rsid w:val="00BF1E08"/>
    <w:rsid w:val="00BF2EB6"/>
    <w:rsid w:val="00C063C0"/>
    <w:rsid w:val="00C06DB4"/>
    <w:rsid w:val="00C0756A"/>
    <w:rsid w:val="00C12A63"/>
    <w:rsid w:val="00C12BE9"/>
    <w:rsid w:val="00C13786"/>
    <w:rsid w:val="00C14FCB"/>
    <w:rsid w:val="00C15A0C"/>
    <w:rsid w:val="00C15FE3"/>
    <w:rsid w:val="00C2443D"/>
    <w:rsid w:val="00C2616B"/>
    <w:rsid w:val="00C318C2"/>
    <w:rsid w:val="00C35769"/>
    <w:rsid w:val="00C40FE1"/>
    <w:rsid w:val="00C434BA"/>
    <w:rsid w:val="00C44BCE"/>
    <w:rsid w:val="00C46EAD"/>
    <w:rsid w:val="00C51140"/>
    <w:rsid w:val="00C521B2"/>
    <w:rsid w:val="00C536A9"/>
    <w:rsid w:val="00C56A2B"/>
    <w:rsid w:val="00C57DD2"/>
    <w:rsid w:val="00C6039F"/>
    <w:rsid w:val="00C61FE7"/>
    <w:rsid w:val="00C64B7C"/>
    <w:rsid w:val="00C66520"/>
    <w:rsid w:val="00C673DF"/>
    <w:rsid w:val="00C75A94"/>
    <w:rsid w:val="00C77AA8"/>
    <w:rsid w:val="00C804FA"/>
    <w:rsid w:val="00C82E68"/>
    <w:rsid w:val="00C862B3"/>
    <w:rsid w:val="00C87B3D"/>
    <w:rsid w:val="00C90C62"/>
    <w:rsid w:val="00C92F00"/>
    <w:rsid w:val="00C93DA5"/>
    <w:rsid w:val="00C94F29"/>
    <w:rsid w:val="00CA00CA"/>
    <w:rsid w:val="00CA2884"/>
    <w:rsid w:val="00CB3280"/>
    <w:rsid w:val="00CB3F09"/>
    <w:rsid w:val="00CB57BD"/>
    <w:rsid w:val="00CC1A9F"/>
    <w:rsid w:val="00CC252A"/>
    <w:rsid w:val="00CC2938"/>
    <w:rsid w:val="00CC4493"/>
    <w:rsid w:val="00CC47DB"/>
    <w:rsid w:val="00CC5D81"/>
    <w:rsid w:val="00CD275C"/>
    <w:rsid w:val="00CD4231"/>
    <w:rsid w:val="00CD7B4A"/>
    <w:rsid w:val="00CE4F1D"/>
    <w:rsid w:val="00CF745F"/>
    <w:rsid w:val="00D0047C"/>
    <w:rsid w:val="00D03403"/>
    <w:rsid w:val="00D037D8"/>
    <w:rsid w:val="00D11406"/>
    <w:rsid w:val="00D1359A"/>
    <w:rsid w:val="00D22FAB"/>
    <w:rsid w:val="00D26687"/>
    <w:rsid w:val="00D2689C"/>
    <w:rsid w:val="00D26B80"/>
    <w:rsid w:val="00D329C5"/>
    <w:rsid w:val="00D35580"/>
    <w:rsid w:val="00D356EA"/>
    <w:rsid w:val="00D401A6"/>
    <w:rsid w:val="00D409EF"/>
    <w:rsid w:val="00D40B26"/>
    <w:rsid w:val="00D5328E"/>
    <w:rsid w:val="00D54F1A"/>
    <w:rsid w:val="00D567DA"/>
    <w:rsid w:val="00D608B9"/>
    <w:rsid w:val="00D61861"/>
    <w:rsid w:val="00D62567"/>
    <w:rsid w:val="00D66575"/>
    <w:rsid w:val="00D93C90"/>
    <w:rsid w:val="00DA0B4C"/>
    <w:rsid w:val="00DA5168"/>
    <w:rsid w:val="00DA56E9"/>
    <w:rsid w:val="00DB727B"/>
    <w:rsid w:val="00DC26C6"/>
    <w:rsid w:val="00DC277E"/>
    <w:rsid w:val="00DC2A3E"/>
    <w:rsid w:val="00DC3D1F"/>
    <w:rsid w:val="00DD13E3"/>
    <w:rsid w:val="00DD33A6"/>
    <w:rsid w:val="00DD4A45"/>
    <w:rsid w:val="00DE0362"/>
    <w:rsid w:val="00DE5E9E"/>
    <w:rsid w:val="00DF1196"/>
    <w:rsid w:val="00DF73D5"/>
    <w:rsid w:val="00E006A4"/>
    <w:rsid w:val="00E01733"/>
    <w:rsid w:val="00E12C8B"/>
    <w:rsid w:val="00E13696"/>
    <w:rsid w:val="00E15607"/>
    <w:rsid w:val="00E15BD9"/>
    <w:rsid w:val="00E20153"/>
    <w:rsid w:val="00E24AF7"/>
    <w:rsid w:val="00E2637A"/>
    <w:rsid w:val="00E31555"/>
    <w:rsid w:val="00E31DCB"/>
    <w:rsid w:val="00E3267B"/>
    <w:rsid w:val="00E36B63"/>
    <w:rsid w:val="00E420DA"/>
    <w:rsid w:val="00E432BC"/>
    <w:rsid w:val="00E46A23"/>
    <w:rsid w:val="00E471B1"/>
    <w:rsid w:val="00E52FB0"/>
    <w:rsid w:val="00E5543F"/>
    <w:rsid w:val="00E61800"/>
    <w:rsid w:val="00E658A8"/>
    <w:rsid w:val="00E676D9"/>
    <w:rsid w:val="00E71800"/>
    <w:rsid w:val="00E73BE6"/>
    <w:rsid w:val="00E73BEC"/>
    <w:rsid w:val="00E73D9E"/>
    <w:rsid w:val="00E73E25"/>
    <w:rsid w:val="00E74949"/>
    <w:rsid w:val="00E74A8E"/>
    <w:rsid w:val="00E80370"/>
    <w:rsid w:val="00E82224"/>
    <w:rsid w:val="00EA3E32"/>
    <w:rsid w:val="00EA6D61"/>
    <w:rsid w:val="00EA704E"/>
    <w:rsid w:val="00EA7F7C"/>
    <w:rsid w:val="00EB2913"/>
    <w:rsid w:val="00EB42BD"/>
    <w:rsid w:val="00EB642C"/>
    <w:rsid w:val="00EC2475"/>
    <w:rsid w:val="00EC4E86"/>
    <w:rsid w:val="00EC5566"/>
    <w:rsid w:val="00EC69E9"/>
    <w:rsid w:val="00ED12A0"/>
    <w:rsid w:val="00ED1F99"/>
    <w:rsid w:val="00ED2D4B"/>
    <w:rsid w:val="00ED4F9C"/>
    <w:rsid w:val="00ED5689"/>
    <w:rsid w:val="00ED697B"/>
    <w:rsid w:val="00ED70F4"/>
    <w:rsid w:val="00EE0F9A"/>
    <w:rsid w:val="00EE1A69"/>
    <w:rsid w:val="00EE7CE2"/>
    <w:rsid w:val="00EF6EF4"/>
    <w:rsid w:val="00F00091"/>
    <w:rsid w:val="00F005E7"/>
    <w:rsid w:val="00F01476"/>
    <w:rsid w:val="00F0190B"/>
    <w:rsid w:val="00F0202B"/>
    <w:rsid w:val="00F0494D"/>
    <w:rsid w:val="00F04A09"/>
    <w:rsid w:val="00F05D9E"/>
    <w:rsid w:val="00F10121"/>
    <w:rsid w:val="00F12882"/>
    <w:rsid w:val="00F12BFE"/>
    <w:rsid w:val="00F1424F"/>
    <w:rsid w:val="00F1577A"/>
    <w:rsid w:val="00F21581"/>
    <w:rsid w:val="00F21AA8"/>
    <w:rsid w:val="00F22362"/>
    <w:rsid w:val="00F24087"/>
    <w:rsid w:val="00F26850"/>
    <w:rsid w:val="00F308B0"/>
    <w:rsid w:val="00F3163A"/>
    <w:rsid w:val="00F3402B"/>
    <w:rsid w:val="00F365E1"/>
    <w:rsid w:val="00F400D9"/>
    <w:rsid w:val="00F40471"/>
    <w:rsid w:val="00F429F9"/>
    <w:rsid w:val="00F43778"/>
    <w:rsid w:val="00F43A25"/>
    <w:rsid w:val="00F44932"/>
    <w:rsid w:val="00F509D2"/>
    <w:rsid w:val="00F53E92"/>
    <w:rsid w:val="00F579EE"/>
    <w:rsid w:val="00F57BC9"/>
    <w:rsid w:val="00F60225"/>
    <w:rsid w:val="00F61A0A"/>
    <w:rsid w:val="00F641D8"/>
    <w:rsid w:val="00F711EC"/>
    <w:rsid w:val="00F75713"/>
    <w:rsid w:val="00F75AB0"/>
    <w:rsid w:val="00F75C73"/>
    <w:rsid w:val="00F81536"/>
    <w:rsid w:val="00F85169"/>
    <w:rsid w:val="00F85239"/>
    <w:rsid w:val="00F8527D"/>
    <w:rsid w:val="00F8540D"/>
    <w:rsid w:val="00F90548"/>
    <w:rsid w:val="00F922EF"/>
    <w:rsid w:val="00F937BD"/>
    <w:rsid w:val="00FA4ABC"/>
    <w:rsid w:val="00FA51C6"/>
    <w:rsid w:val="00FA5D2F"/>
    <w:rsid w:val="00FB7C96"/>
    <w:rsid w:val="00FC460B"/>
    <w:rsid w:val="00FC56B8"/>
    <w:rsid w:val="00FC5F20"/>
    <w:rsid w:val="00FC7B5E"/>
    <w:rsid w:val="00FD079E"/>
    <w:rsid w:val="00FD20A0"/>
    <w:rsid w:val="00FD4991"/>
    <w:rsid w:val="00FE0113"/>
    <w:rsid w:val="00FE0A00"/>
    <w:rsid w:val="00FE7A2E"/>
    <w:rsid w:val="00FE7B94"/>
    <w:rsid w:val="00FF1392"/>
    <w:rsid w:val="00FF2D63"/>
    <w:rsid w:val="00FF403E"/>
    <w:rsid w:val="00FF6ACF"/>
    <w:rsid w:val="00FF7157"/>
    <w:rsid w:val="01042CD0"/>
    <w:rsid w:val="01086012"/>
    <w:rsid w:val="012F23D2"/>
    <w:rsid w:val="01353E46"/>
    <w:rsid w:val="013D20EF"/>
    <w:rsid w:val="013D4C8F"/>
    <w:rsid w:val="0141555F"/>
    <w:rsid w:val="014557C2"/>
    <w:rsid w:val="01505F15"/>
    <w:rsid w:val="01542AFA"/>
    <w:rsid w:val="015B3476"/>
    <w:rsid w:val="015E6630"/>
    <w:rsid w:val="0169035C"/>
    <w:rsid w:val="016C75C7"/>
    <w:rsid w:val="016E2F6B"/>
    <w:rsid w:val="017B2F92"/>
    <w:rsid w:val="018D524F"/>
    <w:rsid w:val="018E53BB"/>
    <w:rsid w:val="019036D8"/>
    <w:rsid w:val="01A01767"/>
    <w:rsid w:val="01AC75F0"/>
    <w:rsid w:val="01BD4FDC"/>
    <w:rsid w:val="01E941AE"/>
    <w:rsid w:val="01F82835"/>
    <w:rsid w:val="02092C94"/>
    <w:rsid w:val="02100727"/>
    <w:rsid w:val="021F7DC1"/>
    <w:rsid w:val="0221105C"/>
    <w:rsid w:val="02240E71"/>
    <w:rsid w:val="022F6268"/>
    <w:rsid w:val="0230144B"/>
    <w:rsid w:val="0236312F"/>
    <w:rsid w:val="023E2A8F"/>
    <w:rsid w:val="02406FC5"/>
    <w:rsid w:val="02497F02"/>
    <w:rsid w:val="025D37A6"/>
    <w:rsid w:val="02630A21"/>
    <w:rsid w:val="02816CCE"/>
    <w:rsid w:val="029027EC"/>
    <w:rsid w:val="02906F11"/>
    <w:rsid w:val="02910656"/>
    <w:rsid w:val="029452C8"/>
    <w:rsid w:val="0295277A"/>
    <w:rsid w:val="02957A39"/>
    <w:rsid w:val="0299330C"/>
    <w:rsid w:val="029A7D90"/>
    <w:rsid w:val="02A678F6"/>
    <w:rsid w:val="02AE2F1E"/>
    <w:rsid w:val="02B07476"/>
    <w:rsid w:val="02B34262"/>
    <w:rsid w:val="02C16D56"/>
    <w:rsid w:val="02C30781"/>
    <w:rsid w:val="02C32A89"/>
    <w:rsid w:val="02EB23C8"/>
    <w:rsid w:val="02ED4254"/>
    <w:rsid w:val="02F54A67"/>
    <w:rsid w:val="02FB57A8"/>
    <w:rsid w:val="02FB586B"/>
    <w:rsid w:val="032764F6"/>
    <w:rsid w:val="033364ED"/>
    <w:rsid w:val="03343D40"/>
    <w:rsid w:val="03355FAD"/>
    <w:rsid w:val="03357A15"/>
    <w:rsid w:val="03384690"/>
    <w:rsid w:val="033F6615"/>
    <w:rsid w:val="034A4B76"/>
    <w:rsid w:val="035461E6"/>
    <w:rsid w:val="035A307B"/>
    <w:rsid w:val="03646BB0"/>
    <w:rsid w:val="036839EA"/>
    <w:rsid w:val="036A455B"/>
    <w:rsid w:val="03700AD7"/>
    <w:rsid w:val="037979A5"/>
    <w:rsid w:val="03881BEB"/>
    <w:rsid w:val="039667A9"/>
    <w:rsid w:val="0397763C"/>
    <w:rsid w:val="03B07722"/>
    <w:rsid w:val="03B7151D"/>
    <w:rsid w:val="03BD5AE4"/>
    <w:rsid w:val="03CD0376"/>
    <w:rsid w:val="03D417D5"/>
    <w:rsid w:val="03D50A2B"/>
    <w:rsid w:val="03E5503B"/>
    <w:rsid w:val="03E73921"/>
    <w:rsid w:val="03E868D9"/>
    <w:rsid w:val="03EB0F95"/>
    <w:rsid w:val="03F1290E"/>
    <w:rsid w:val="04002E0B"/>
    <w:rsid w:val="040F03FA"/>
    <w:rsid w:val="0412438A"/>
    <w:rsid w:val="04136717"/>
    <w:rsid w:val="04212517"/>
    <w:rsid w:val="0427254C"/>
    <w:rsid w:val="042C3BF9"/>
    <w:rsid w:val="04332546"/>
    <w:rsid w:val="04351837"/>
    <w:rsid w:val="043F299D"/>
    <w:rsid w:val="04533461"/>
    <w:rsid w:val="047D5AEA"/>
    <w:rsid w:val="048D54DF"/>
    <w:rsid w:val="04983E5B"/>
    <w:rsid w:val="049C1B9D"/>
    <w:rsid w:val="049F3BB9"/>
    <w:rsid w:val="04B51F1A"/>
    <w:rsid w:val="04BB2CD9"/>
    <w:rsid w:val="04BD0338"/>
    <w:rsid w:val="04C56D31"/>
    <w:rsid w:val="04CF0F22"/>
    <w:rsid w:val="04D1080D"/>
    <w:rsid w:val="04D64D93"/>
    <w:rsid w:val="04D7542D"/>
    <w:rsid w:val="04E452F2"/>
    <w:rsid w:val="04E82F5F"/>
    <w:rsid w:val="04F4647E"/>
    <w:rsid w:val="05084E1A"/>
    <w:rsid w:val="051C683A"/>
    <w:rsid w:val="0536624A"/>
    <w:rsid w:val="054B1B48"/>
    <w:rsid w:val="05507187"/>
    <w:rsid w:val="05526700"/>
    <w:rsid w:val="05547F50"/>
    <w:rsid w:val="05586D81"/>
    <w:rsid w:val="056775E0"/>
    <w:rsid w:val="0580326D"/>
    <w:rsid w:val="05812096"/>
    <w:rsid w:val="058E4D4F"/>
    <w:rsid w:val="059F100D"/>
    <w:rsid w:val="05A31C11"/>
    <w:rsid w:val="05A754E1"/>
    <w:rsid w:val="05B22616"/>
    <w:rsid w:val="05B6570E"/>
    <w:rsid w:val="05BA3D63"/>
    <w:rsid w:val="05BE0D9E"/>
    <w:rsid w:val="05C72C4A"/>
    <w:rsid w:val="05DC03BC"/>
    <w:rsid w:val="05E03755"/>
    <w:rsid w:val="05E05D39"/>
    <w:rsid w:val="05EB1690"/>
    <w:rsid w:val="05EE025B"/>
    <w:rsid w:val="05FB2E46"/>
    <w:rsid w:val="06222576"/>
    <w:rsid w:val="062F259D"/>
    <w:rsid w:val="0643158D"/>
    <w:rsid w:val="06632C8A"/>
    <w:rsid w:val="06693D01"/>
    <w:rsid w:val="066A11FF"/>
    <w:rsid w:val="066A268B"/>
    <w:rsid w:val="066C44D0"/>
    <w:rsid w:val="066E30C6"/>
    <w:rsid w:val="066E73CC"/>
    <w:rsid w:val="06780BE4"/>
    <w:rsid w:val="0688298E"/>
    <w:rsid w:val="069F4F41"/>
    <w:rsid w:val="06A978A6"/>
    <w:rsid w:val="06AE3E0A"/>
    <w:rsid w:val="06C373A0"/>
    <w:rsid w:val="06CA61EA"/>
    <w:rsid w:val="06D3256B"/>
    <w:rsid w:val="06EB1467"/>
    <w:rsid w:val="070659F4"/>
    <w:rsid w:val="0716354A"/>
    <w:rsid w:val="071A5532"/>
    <w:rsid w:val="073F7F68"/>
    <w:rsid w:val="074327A4"/>
    <w:rsid w:val="07433326"/>
    <w:rsid w:val="074C3BC6"/>
    <w:rsid w:val="074D1200"/>
    <w:rsid w:val="074D53D1"/>
    <w:rsid w:val="07514F82"/>
    <w:rsid w:val="076A70D6"/>
    <w:rsid w:val="07701435"/>
    <w:rsid w:val="0791006E"/>
    <w:rsid w:val="079E79DA"/>
    <w:rsid w:val="07A93817"/>
    <w:rsid w:val="07AA51F7"/>
    <w:rsid w:val="07BC2556"/>
    <w:rsid w:val="07C16E32"/>
    <w:rsid w:val="07C956F1"/>
    <w:rsid w:val="07E51AAD"/>
    <w:rsid w:val="07E724F1"/>
    <w:rsid w:val="07EA0E72"/>
    <w:rsid w:val="07F54B10"/>
    <w:rsid w:val="07FB4267"/>
    <w:rsid w:val="080F029B"/>
    <w:rsid w:val="08275C22"/>
    <w:rsid w:val="083932FD"/>
    <w:rsid w:val="083C1D74"/>
    <w:rsid w:val="083D3697"/>
    <w:rsid w:val="08460FF0"/>
    <w:rsid w:val="084C1CB3"/>
    <w:rsid w:val="084D3D35"/>
    <w:rsid w:val="084F5179"/>
    <w:rsid w:val="08664D5B"/>
    <w:rsid w:val="087B41C0"/>
    <w:rsid w:val="087E552F"/>
    <w:rsid w:val="08850B9A"/>
    <w:rsid w:val="08856DEC"/>
    <w:rsid w:val="08874912"/>
    <w:rsid w:val="08966904"/>
    <w:rsid w:val="08986B20"/>
    <w:rsid w:val="08994E2C"/>
    <w:rsid w:val="089E0248"/>
    <w:rsid w:val="08AA7F40"/>
    <w:rsid w:val="08AC09F8"/>
    <w:rsid w:val="08AF1C74"/>
    <w:rsid w:val="08B35707"/>
    <w:rsid w:val="08B76FB8"/>
    <w:rsid w:val="08BD20E2"/>
    <w:rsid w:val="08CC67C9"/>
    <w:rsid w:val="08D12032"/>
    <w:rsid w:val="08D13DBB"/>
    <w:rsid w:val="08D65AD3"/>
    <w:rsid w:val="08EB6C4F"/>
    <w:rsid w:val="08EF4818"/>
    <w:rsid w:val="08F17FDE"/>
    <w:rsid w:val="08F57B11"/>
    <w:rsid w:val="08F617F2"/>
    <w:rsid w:val="08F64252"/>
    <w:rsid w:val="08F94C8C"/>
    <w:rsid w:val="08FD0C7A"/>
    <w:rsid w:val="09024000"/>
    <w:rsid w:val="09027DBF"/>
    <w:rsid w:val="090F109A"/>
    <w:rsid w:val="09151314"/>
    <w:rsid w:val="091D60AE"/>
    <w:rsid w:val="091E5277"/>
    <w:rsid w:val="09263609"/>
    <w:rsid w:val="093E5BC8"/>
    <w:rsid w:val="0953633D"/>
    <w:rsid w:val="095567BF"/>
    <w:rsid w:val="09594501"/>
    <w:rsid w:val="09633DCF"/>
    <w:rsid w:val="09697733"/>
    <w:rsid w:val="09953804"/>
    <w:rsid w:val="099C034D"/>
    <w:rsid w:val="09A71810"/>
    <w:rsid w:val="09AD03A9"/>
    <w:rsid w:val="09AF52BC"/>
    <w:rsid w:val="09B47989"/>
    <w:rsid w:val="09C70BB6"/>
    <w:rsid w:val="09C9680A"/>
    <w:rsid w:val="09CE74DF"/>
    <w:rsid w:val="09E87B7C"/>
    <w:rsid w:val="09EA6668"/>
    <w:rsid w:val="09FF3E49"/>
    <w:rsid w:val="0A03621B"/>
    <w:rsid w:val="0A1949CE"/>
    <w:rsid w:val="0A1F6D28"/>
    <w:rsid w:val="0A3E3D26"/>
    <w:rsid w:val="0A426D43"/>
    <w:rsid w:val="0A4834F8"/>
    <w:rsid w:val="0A5D3B7D"/>
    <w:rsid w:val="0A5E78F5"/>
    <w:rsid w:val="0A6173D2"/>
    <w:rsid w:val="0A682231"/>
    <w:rsid w:val="0A6825A9"/>
    <w:rsid w:val="0A854E82"/>
    <w:rsid w:val="0A92134D"/>
    <w:rsid w:val="0A9A25AD"/>
    <w:rsid w:val="0A9F4649"/>
    <w:rsid w:val="0AA51080"/>
    <w:rsid w:val="0AAC10E4"/>
    <w:rsid w:val="0AB07E4A"/>
    <w:rsid w:val="0AB17A25"/>
    <w:rsid w:val="0AB80DB3"/>
    <w:rsid w:val="0AC8530A"/>
    <w:rsid w:val="0AC93B72"/>
    <w:rsid w:val="0AD53C26"/>
    <w:rsid w:val="0AD876A7"/>
    <w:rsid w:val="0ADD3B4A"/>
    <w:rsid w:val="0AEB7B61"/>
    <w:rsid w:val="0AEE775A"/>
    <w:rsid w:val="0AFF5154"/>
    <w:rsid w:val="0B0260FA"/>
    <w:rsid w:val="0B127FA5"/>
    <w:rsid w:val="0B1E7B7D"/>
    <w:rsid w:val="0B332B30"/>
    <w:rsid w:val="0B4458B7"/>
    <w:rsid w:val="0B4A5F99"/>
    <w:rsid w:val="0B4B3360"/>
    <w:rsid w:val="0B521171"/>
    <w:rsid w:val="0B5C62CC"/>
    <w:rsid w:val="0B6153F6"/>
    <w:rsid w:val="0B6C4BE2"/>
    <w:rsid w:val="0B6F08EA"/>
    <w:rsid w:val="0B8213C1"/>
    <w:rsid w:val="0B895D1E"/>
    <w:rsid w:val="0B903157"/>
    <w:rsid w:val="0BA31A63"/>
    <w:rsid w:val="0BA653BF"/>
    <w:rsid w:val="0BAC6F99"/>
    <w:rsid w:val="0BCD1EAC"/>
    <w:rsid w:val="0BCF142C"/>
    <w:rsid w:val="0BDC319A"/>
    <w:rsid w:val="0BF73B5D"/>
    <w:rsid w:val="0BFA364D"/>
    <w:rsid w:val="0BFB783E"/>
    <w:rsid w:val="0BFC776A"/>
    <w:rsid w:val="0BFD5373"/>
    <w:rsid w:val="0BFD6481"/>
    <w:rsid w:val="0C0F0CD9"/>
    <w:rsid w:val="0C182F96"/>
    <w:rsid w:val="0C1A00CA"/>
    <w:rsid w:val="0C264442"/>
    <w:rsid w:val="0C364685"/>
    <w:rsid w:val="0C631998"/>
    <w:rsid w:val="0C6821F6"/>
    <w:rsid w:val="0C6C441B"/>
    <w:rsid w:val="0C8F023A"/>
    <w:rsid w:val="0C990787"/>
    <w:rsid w:val="0C992D4F"/>
    <w:rsid w:val="0CAE3A50"/>
    <w:rsid w:val="0CBF15FF"/>
    <w:rsid w:val="0CD40A52"/>
    <w:rsid w:val="0CD91857"/>
    <w:rsid w:val="0CDA2573"/>
    <w:rsid w:val="0CDA4E4E"/>
    <w:rsid w:val="0CE65CCB"/>
    <w:rsid w:val="0CEF0CD8"/>
    <w:rsid w:val="0CF258A4"/>
    <w:rsid w:val="0D1D5845"/>
    <w:rsid w:val="0D212A41"/>
    <w:rsid w:val="0D215F2C"/>
    <w:rsid w:val="0D314FE6"/>
    <w:rsid w:val="0D336C1D"/>
    <w:rsid w:val="0D532244"/>
    <w:rsid w:val="0D540C02"/>
    <w:rsid w:val="0D571C0F"/>
    <w:rsid w:val="0D5C45C0"/>
    <w:rsid w:val="0D637F0E"/>
    <w:rsid w:val="0D6A5410"/>
    <w:rsid w:val="0D7336B7"/>
    <w:rsid w:val="0D794CB6"/>
    <w:rsid w:val="0D8324ED"/>
    <w:rsid w:val="0D8F059D"/>
    <w:rsid w:val="0D8F5855"/>
    <w:rsid w:val="0D9773A6"/>
    <w:rsid w:val="0D9827E5"/>
    <w:rsid w:val="0DBF24D9"/>
    <w:rsid w:val="0DC466B9"/>
    <w:rsid w:val="0DC54945"/>
    <w:rsid w:val="0DE3525C"/>
    <w:rsid w:val="0DE90D05"/>
    <w:rsid w:val="0DF25BA4"/>
    <w:rsid w:val="0DF540CC"/>
    <w:rsid w:val="0DFC18FF"/>
    <w:rsid w:val="0DFD573A"/>
    <w:rsid w:val="0DFE1012"/>
    <w:rsid w:val="0E0B029F"/>
    <w:rsid w:val="0E0F33E0"/>
    <w:rsid w:val="0E1F4751"/>
    <w:rsid w:val="0E230373"/>
    <w:rsid w:val="0E2A41ED"/>
    <w:rsid w:val="0E397874"/>
    <w:rsid w:val="0E461B92"/>
    <w:rsid w:val="0E4F1A2E"/>
    <w:rsid w:val="0E5F7224"/>
    <w:rsid w:val="0E5F7846"/>
    <w:rsid w:val="0E632208"/>
    <w:rsid w:val="0E844468"/>
    <w:rsid w:val="0E8E3DA3"/>
    <w:rsid w:val="0E8F6937"/>
    <w:rsid w:val="0E9E135B"/>
    <w:rsid w:val="0EA44F43"/>
    <w:rsid w:val="0EC2669E"/>
    <w:rsid w:val="0ECB5472"/>
    <w:rsid w:val="0ECF2DBC"/>
    <w:rsid w:val="0ECF491D"/>
    <w:rsid w:val="0ED756CF"/>
    <w:rsid w:val="0EDD528C"/>
    <w:rsid w:val="0EE34A0A"/>
    <w:rsid w:val="0EEF23A4"/>
    <w:rsid w:val="0EFE5203"/>
    <w:rsid w:val="0F18029E"/>
    <w:rsid w:val="0F1B6D6A"/>
    <w:rsid w:val="0F1C1FA2"/>
    <w:rsid w:val="0F220EF1"/>
    <w:rsid w:val="0F2500FF"/>
    <w:rsid w:val="0F2904D1"/>
    <w:rsid w:val="0F2A7DB7"/>
    <w:rsid w:val="0F2D61D9"/>
    <w:rsid w:val="0F43254D"/>
    <w:rsid w:val="0F45451E"/>
    <w:rsid w:val="0F4D2CA8"/>
    <w:rsid w:val="0F543C48"/>
    <w:rsid w:val="0F54568B"/>
    <w:rsid w:val="0F6801CF"/>
    <w:rsid w:val="0F7F71A8"/>
    <w:rsid w:val="0F9B0554"/>
    <w:rsid w:val="0FAF5422"/>
    <w:rsid w:val="0FAF5990"/>
    <w:rsid w:val="0FB271E8"/>
    <w:rsid w:val="0FBF1392"/>
    <w:rsid w:val="0FC621C4"/>
    <w:rsid w:val="0FD84D52"/>
    <w:rsid w:val="0FD93801"/>
    <w:rsid w:val="0FDC41E3"/>
    <w:rsid w:val="0FE35744"/>
    <w:rsid w:val="0FF322CD"/>
    <w:rsid w:val="100128A9"/>
    <w:rsid w:val="1005689B"/>
    <w:rsid w:val="10131FB5"/>
    <w:rsid w:val="1031732E"/>
    <w:rsid w:val="10327E3A"/>
    <w:rsid w:val="1034712E"/>
    <w:rsid w:val="10374301"/>
    <w:rsid w:val="10394E9C"/>
    <w:rsid w:val="103A764D"/>
    <w:rsid w:val="103B410E"/>
    <w:rsid w:val="103B6EC4"/>
    <w:rsid w:val="10457DEF"/>
    <w:rsid w:val="105628E7"/>
    <w:rsid w:val="106D43EE"/>
    <w:rsid w:val="107C2883"/>
    <w:rsid w:val="108120DC"/>
    <w:rsid w:val="108950E7"/>
    <w:rsid w:val="109135C4"/>
    <w:rsid w:val="10A4426E"/>
    <w:rsid w:val="10B656D8"/>
    <w:rsid w:val="10C37A22"/>
    <w:rsid w:val="10DF1FB9"/>
    <w:rsid w:val="10F36FE9"/>
    <w:rsid w:val="10F772EF"/>
    <w:rsid w:val="11017A58"/>
    <w:rsid w:val="11023D17"/>
    <w:rsid w:val="110F34C8"/>
    <w:rsid w:val="11390774"/>
    <w:rsid w:val="11491151"/>
    <w:rsid w:val="116021A5"/>
    <w:rsid w:val="116230D1"/>
    <w:rsid w:val="116A7E05"/>
    <w:rsid w:val="11722460"/>
    <w:rsid w:val="117A4F14"/>
    <w:rsid w:val="11870CA4"/>
    <w:rsid w:val="1191177D"/>
    <w:rsid w:val="11A300F7"/>
    <w:rsid w:val="11A4344C"/>
    <w:rsid w:val="11D529F0"/>
    <w:rsid w:val="11F50B3F"/>
    <w:rsid w:val="11F528ED"/>
    <w:rsid w:val="11F55D84"/>
    <w:rsid w:val="11F95233"/>
    <w:rsid w:val="11FD6A95"/>
    <w:rsid w:val="11FE73E1"/>
    <w:rsid w:val="1206271C"/>
    <w:rsid w:val="12114BE2"/>
    <w:rsid w:val="1217448F"/>
    <w:rsid w:val="1224135E"/>
    <w:rsid w:val="12261816"/>
    <w:rsid w:val="122816CA"/>
    <w:rsid w:val="1231523F"/>
    <w:rsid w:val="123478B9"/>
    <w:rsid w:val="12392AE3"/>
    <w:rsid w:val="12421044"/>
    <w:rsid w:val="12492C39"/>
    <w:rsid w:val="12511775"/>
    <w:rsid w:val="127A5380"/>
    <w:rsid w:val="128A74D9"/>
    <w:rsid w:val="1298079E"/>
    <w:rsid w:val="12AB744F"/>
    <w:rsid w:val="12B10442"/>
    <w:rsid w:val="12B2310A"/>
    <w:rsid w:val="12B44556"/>
    <w:rsid w:val="12CB7F7B"/>
    <w:rsid w:val="12D57B5A"/>
    <w:rsid w:val="12DA74FD"/>
    <w:rsid w:val="12FC5EFD"/>
    <w:rsid w:val="13160E95"/>
    <w:rsid w:val="131D4A08"/>
    <w:rsid w:val="132B4874"/>
    <w:rsid w:val="13365D96"/>
    <w:rsid w:val="13401CF4"/>
    <w:rsid w:val="13573133"/>
    <w:rsid w:val="135950FD"/>
    <w:rsid w:val="13597FDE"/>
    <w:rsid w:val="13610A7C"/>
    <w:rsid w:val="136B348D"/>
    <w:rsid w:val="1370511E"/>
    <w:rsid w:val="137F720A"/>
    <w:rsid w:val="139600FA"/>
    <w:rsid w:val="13985C26"/>
    <w:rsid w:val="139B1B3C"/>
    <w:rsid w:val="13AE5449"/>
    <w:rsid w:val="13BC5DB8"/>
    <w:rsid w:val="13C163E4"/>
    <w:rsid w:val="13CF69C3"/>
    <w:rsid w:val="13D03611"/>
    <w:rsid w:val="13D327E3"/>
    <w:rsid w:val="13D824C6"/>
    <w:rsid w:val="13E63AA6"/>
    <w:rsid w:val="13F32811"/>
    <w:rsid w:val="13F85DC5"/>
    <w:rsid w:val="13F866C4"/>
    <w:rsid w:val="13FC3073"/>
    <w:rsid w:val="14002DA6"/>
    <w:rsid w:val="140A2B4A"/>
    <w:rsid w:val="141601C0"/>
    <w:rsid w:val="14183270"/>
    <w:rsid w:val="141D447E"/>
    <w:rsid w:val="141D6B0B"/>
    <w:rsid w:val="142D6F89"/>
    <w:rsid w:val="143376FC"/>
    <w:rsid w:val="143516C6"/>
    <w:rsid w:val="143C3BFB"/>
    <w:rsid w:val="14447112"/>
    <w:rsid w:val="144554E0"/>
    <w:rsid w:val="144C2ACB"/>
    <w:rsid w:val="145908CD"/>
    <w:rsid w:val="146D3562"/>
    <w:rsid w:val="148617D9"/>
    <w:rsid w:val="149258A7"/>
    <w:rsid w:val="149321EC"/>
    <w:rsid w:val="14940E48"/>
    <w:rsid w:val="14A405FA"/>
    <w:rsid w:val="14AA6C47"/>
    <w:rsid w:val="14B04223"/>
    <w:rsid w:val="14B81325"/>
    <w:rsid w:val="14BB5770"/>
    <w:rsid w:val="14CA4494"/>
    <w:rsid w:val="14DF1102"/>
    <w:rsid w:val="14E06953"/>
    <w:rsid w:val="14E37374"/>
    <w:rsid w:val="14E74E80"/>
    <w:rsid w:val="14EF1875"/>
    <w:rsid w:val="14EF4395"/>
    <w:rsid w:val="14FB05D3"/>
    <w:rsid w:val="14FB1DB1"/>
    <w:rsid w:val="14FC230F"/>
    <w:rsid w:val="150115A9"/>
    <w:rsid w:val="15027594"/>
    <w:rsid w:val="150317C5"/>
    <w:rsid w:val="1507775C"/>
    <w:rsid w:val="150A3567"/>
    <w:rsid w:val="151407D5"/>
    <w:rsid w:val="15214D63"/>
    <w:rsid w:val="152F4368"/>
    <w:rsid w:val="153E6FE7"/>
    <w:rsid w:val="15535F3F"/>
    <w:rsid w:val="15697093"/>
    <w:rsid w:val="15760076"/>
    <w:rsid w:val="158A5A42"/>
    <w:rsid w:val="158D108E"/>
    <w:rsid w:val="15977CDB"/>
    <w:rsid w:val="159F6FD6"/>
    <w:rsid w:val="15B01BBF"/>
    <w:rsid w:val="15B77499"/>
    <w:rsid w:val="15B8435D"/>
    <w:rsid w:val="15CA22E2"/>
    <w:rsid w:val="15CF16A7"/>
    <w:rsid w:val="15D171CD"/>
    <w:rsid w:val="15D26086"/>
    <w:rsid w:val="15D31197"/>
    <w:rsid w:val="15DC73CD"/>
    <w:rsid w:val="15DD2016"/>
    <w:rsid w:val="15EC3B3E"/>
    <w:rsid w:val="15F46C2A"/>
    <w:rsid w:val="15F630D7"/>
    <w:rsid w:val="15F80BFE"/>
    <w:rsid w:val="16121567"/>
    <w:rsid w:val="16343F81"/>
    <w:rsid w:val="163948ED"/>
    <w:rsid w:val="16413A85"/>
    <w:rsid w:val="164275F4"/>
    <w:rsid w:val="16495BAE"/>
    <w:rsid w:val="1654148B"/>
    <w:rsid w:val="165B71D5"/>
    <w:rsid w:val="166E2C6E"/>
    <w:rsid w:val="16700A7A"/>
    <w:rsid w:val="1683572D"/>
    <w:rsid w:val="168801D3"/>
    <w:rsid w:val="16921052"/>
    <w:rsid w:val="169E0BEA"/>
    <w:rsid w:val="16A86180"/>
    <w:rsid w:val="16AB2114"/>
    <w:rsid w:val="16AF7EFC"/>
    <w:rsid w:val="16C47F8D"/>
    <w:rsid w:val="16DD2BAC"/>
    <w:rsid w:val="16EB72C3"/>
    <w:rsid w:val="16F21AF1"/>
    <w:rsid w:val="16FF0B97"/>
    <w:rsid w:val="170A3B27"/>
    <w:rsid w:val="171738A2"/>
    <w:rsid w:val="17197085"/>
    <w:rsid w:val="17224ED3"/>
    <w:rsid w:val="172460AC"/>
    <w:rsid w:val="172872C1"/>
    <w:rsid w:val="173054B2"/>
    <w:rsid w:val="17424EAD"/>
    <w:rsid w:val="174C1699"/>
    <w:rsid w:val="1778392A"/>
    <w:rsid w:val="1779647F"/>
    <w:rsid w:val="17822E75"/>
    <w:rsid w:val="1789141B"/>
    <w:rsid w:val="17987255"/>
    <w:rsid w:val="17A23389"/>
    <w:rsid w:val="17A739C7"/>
    <w:rsid w:val="17CB7450"/>
    <w:rsid w:val="17D15BAA"/>
    <w:rsid w:val="17D64F6F"/>
    <w:rsid w:val="17F83137"/>
    <w:rsid w:val="17FB6C91"/>
    <w:rsid w:val="18053F1E"/>
    <w:rsid w:val="18085749"/>
    <w:rsid w:val="180B6D06"/>
    <w:rsid w:val="181C3FF8"/>
    <w:rsid w:val="18277578"/>
    <w:rsid w:val="184114A1"/>
    <w:rsid w:val="18425C49"/>
    <w:rsid w:val="184A3267"/>
    <w:rsid w:val="185540E5"/>
    <w:rsid w:val="185B7DE0"/>
    <w:rsid w:val="186969E3"/>
    <w:rsid w:val="186C74AD"/>
    <w:rsid w:val="186C7D12"/>
    <w:rsid w:val="186D2443"/>
    <w:rsid w:val="187059AE"/>
    <w:rsid w:val="18876269"/>
    <w:rsid w:val="188B2A6D"/>
    <w:rsid w:val="188C7694"/>
    <w:rsid w:val="18BA4890"/>
    <w:rsid w:val="18C33745"/>
    <w:rsid w:val="18C510FD"/>
    <w:rsid w:val="18DA283C"/>
    <w:rsid w:val="18DC03A2"/>
    <w:rsid w:val="18DC65B5"/>
    <w:rsid w:val="18E11EA5"/>
    <w:rsid w:val="18E6534A"/>
    <w:rsid w:val="18EE62E8"/>
    <w:rsid w:val="19083037"/>
    <w:rsid w:val="191222D0"/>
    <w:rsid w:val="192D5416"/>
    <w:rsid w:val="19390D64"/>
    <w:rsid w:val="193E7FD9"/>
    <w:rsid w:val="194F68C1"/>
    <w:rsid w:val="195019B0"/>
    <w:rsid w:val="1954439D"/>
    <w:rsid w:val="19554C37"/>
    <w:rsid w:val="19566DB3"/>
    <w:rsid w:val="19595DF7"/>
    <w:rsid w:val="19597C05"/>
    <w:rsid w:val="196279A1"/>
    <w:rsid w:val="198627AB"/>
    <w:rsid w:val="198B4F14"/>
    <w:rsid w:val="199649B5"/>
    <w:rsid w:val="199724DC"/>
    <w:rsid w:val="19A941C1"/>
    <w:rsid w:val="19AA220F"/>
    <w:rsid w:val="19AE5ACF"/>
    <w:rsid w:val="19B675DA"/>
    <w:rsid w:val="19BB7B07"/>
    <w:rsid w:val="19BE1D86"/>
    <w:rsid w:val="19C637E5"/>
    <w:rsid w:val="19C721FB"/>
    <w:rsid w:val="19CE5CD8"/>
    <w:rsid w:val="19CF2055"/>
    <w:rsid w:val="1A052165"/>
    <w:rsid w:val="1A063EF5"/>
    <w:rsid w:val="1A0F3AD5"/>
    <w:rsid w:val="1A0F7374"/>
    <w:rsid w:val="1A142D27"/>
    <w:rsid w:val="1A143D9C"/>
    <w:rsid w:val="1A202D51"/>
    <w:rsid w:val="1A2A3350"/>
    <w:rsid w:val="1A584361"/>
    <w:rsid w:val="1A60672B"/>
    <w:rsid w:val="1A626F8D"/>
    <w:rsid w:val="1A630F50"/>
    <w:rsid w:val="1A6732FB"/>
    <w:rsid w:val="1A6B5E42"/>
    <w:rsid w:val="1A6E148E"/>
    <w:rsid w:val="1A7929A3"/>
    <w:rsid w:val="1A7B4669"/>
    <w:rsid w:val="1A870B38"/>
    <w:rsid w:val="1A8B2040"/>
    <w:rsid w:val="1A8C6CF6"/>
    <w:rsid w:val="1A8E1520"/>
    <w:rsid w:val="1A9417D9"/>
    <w:rsid w:val="1AA41354"/>
    <w:rsid w:val="1AA572B8"/>
    <w:rsid w:val="1AB31D2F"/>
    <w:rsid w:val="1ABA2925"/>
    <w:rsid w:val="1AC00AAF"/>
    <w:rsid w:val="1ACE55DA"/>
    <w:rsid w:val="1ACE6054"/>
    <w:rsid w:val="1ACE6D27"/>
    <w:rsid w:val="1AD02149"/>
    <w:rsid w:val="1AE0038B"/>
    <w:rsid w:val="1AF7358C"/>
    <w:rsid w:val="1AFA0F74"/>
    <w:rsid w:val="1B0E67CD"/>
    <w:rsid w:val="1B403FA5"/>
    <w:rsid w:val="1B46240B"/>
    <w:rsid w:val="1B524326"/>
    <w:rsid w:val="1B55168B"/>
    <w:rsid w:val="1B593EEC"/>
    <w:rsid w:val="1B636B19"/>
    <w:rsid w:val="1B645069"/>
    <w:rsid w:val="1B7D1BE7"/>
    <w:rsid w:val="1B8637EA"/>
    <w:rsid w:val="1B9211AC"/>
    <w:rsid w:val="1BAA299A"/>
    <w:rsid w:val="1BDD1B28"/>
    <w:rsid w:val="1BE57F51"/>
    <w:rsid w:val="1BEE3F6E"/>
    <w:rsid w:val="1BF21B5D"/>
    <w:rsid w:val="1C037CCC"/>
    <w:rsid w:val="1C0A168B"/>
    <w:rsid w:val="1C18016F"/>
    <w:rsid w:val="1C2F4A48"/>
    <w:rsid w:val="1C314E69"/>
    <w:rsid w:val="1C400DCC"/>
    <w:rsid w:val="1C5823F6"/>
    <w:rsid w:val="1C6062B5"/>
    <w:rsid w:val="1C656B00"/>
    <w:rsid w:val="1C6D522B"/>
    <w:rsid w:val="1C762201"/>
    <w:rsid w:val="1C87757C"/>
    <w:rsid w:val="1C8B6454"/>
    <w:rsid w:val="1C911F05"/>
    <w:rsid w:val="1C9232F2"/>
    <w:rsid w:val="1C986C96"/>
    <w:rsid w:val="1C993860"/>
    <w:rsid w:val="1CB33AD0"/>
    <w:rsid w:val="1CC07FCD"/>
    <w:rsid w:val="1CC5593D"/>
    <w:rsid w:val="1CCD060E"/>
    <w:rsid w:val="1CCF67BC"/>
    <w:rsid w:val="1CD03B67"/>
    <w:rsid w:val="1CD13F56"/>
    <w:rsid w:val="1CD4109A"/>
    <w:rsid w:val="1CD55E24"/>
    <w:rsid w:val="1CDE3631"/>
    <w:rsid w:val="1CE04199"/>
    <w:rsid w:val="1CE814D1"/>
    <w:rsid w:val="1CF454CE"/>
    <w:rsid w:val="1CFE11B3"/>
    <w:rsid w:val="1D022EEB"/>
    <w:rsid w:val="1D0B7468"/>
    <w:rsid w:val="1D1E53EE"/>
    <w:rsid w:val="1D3249F5"/>
    <w:rsid w:val="1D3444B7"/>
    <w:rsid w:val="1D3F2887"/>
    <w:rsid w:val="1D413DD6"/>
    <w:rsid w:val="1D442082"/>
    <w:rsid w:val="1D494085"/>
    <w:rsid w:val="1D4D7A81"/>
    <w:rsid w:val="1D5F77B4"/>
    <w:rsid w:val="1D6104E9"/>
    <w:rsid w:val="1D6D5E73"/>
    <w:rsid w:val="1D6E2EA0"/>
    <w:rsid w:val="1D90430C"/>
    <w:rsid w:val="1D927B8A"/>
    <w:rsid w:val="1DA228F6"/>
    <w:rsid w:val="1DA26C67"/>
    <w:rsid w:val="1DB33A3A"/>
    <w:rsid w:val="1DB571C9"/>
    <w:rsid w:val="1DB96EC4"/>
    <w:rsid w:val="1DBF6F58"/>
    <w:rsid w:val="1DC976B3"/>
    <w:rsid w:val="1DF12B02"/>
    <w:rsid w:val="1E1639CF"/>
    <w:rsid w:val="1E2C3B3A"/>
    <w:rsid w:val="1E3649B9"/>
    <w:rsid w:val="1E592CD8"/>
    <w:rsid w:val="1E5C7473"/>
    <w:rsid w:val="1E65546D"/>
    <w:rsid w:val="1E673D11"/>
    <w:rsid w:val="1E912BAE"/>
    <w:rsid w:val="1E933E22"/>
    <w:rsid w:val="1EA638ED"/>
    <w:rsid w:val="1EB60A31"/>
    <w:rsid w:val="1EBB0A1A"/>
    <w:rsid w:val="1EC6457D"/>
    <w:rsid w:val="1EC7170B"/>
    <w:rsid w:val="1EC7534C"/>
    <w:rsid w:val="1EC80007"/>
    <w:rsid w:val="1ECB16DA"/>
    <w:rsid w:val="1ECD7160"/>
    <w:rsid w:val="1ED641E3"/>
    <w:rsid w:val="1EE47F71"/>
    <w:rsid w:val="1EED4935"/>
    <w:rsid w:val="1EEE324E"/>
    <w:rsid w:val="1EEE7042"/>
    <w:rsid w:val="1EF15FC6"/>
    <w:rsid w:val="1EFA4AC9"/>
    <w:rsid w:val="1EFD1033"/>
    <w:rsid w:val="1F0028D1"/>
    <w:rsid w:val="1F165A0D"/>
    <w:rsid w:val="1F294330"/>
    <w:rsid w:val="1F2C36C6"/>
    <w:rsid w:val="1F5164BE"/>
    <w:rsid w:val="1F550636"/>
    <w:rsid w:val="1F59508D"/>
    <w:rsid w:val="1F6115C2"/>
    <w:rsid w:val="1F655484"/>
    <w:rsid w:val="1F6725BD"/>
    <w:rsid w:val="1F6F5903"/>
    <w:rsid w:val="1F7A16FF"/>
    <w:rsid w:val="1F841E94"/>
    <w:rsid w:val="1F845C8A"/>
    <w:rsid w:val="1F86410F"/>
    <w:rsid w:val="1F902D30"/>
    <w:rsid w:val="1F987D78"/>
    <w:rsid w:val="1FAD0B55"/>
    <w:rsid w:val="1FBA786C"/>
    <w:rsid w:val="1FE07DD2"/>
    <w:rsid w:val="1FE65F6B"/>
    <w:rsid w:val="1FF72B1D"/>
    <w:rsid w:val="20012DA5"/>
    <w:rsid w:val="201952D2"/>
    <w:rsid w:val="2020109E"/>
    <w:rsid w:val="20220096"/>
    <w:rsid w:val="202816B6"/>
    <w:rsid w:val="202B1BD0"/>
    <w:rsid w:val="2031368A"/>
    <w:rsid w:val="20352DB6"/>
    <w:rsid w:val="203647FC"/>
    <w:rsid w:val="20383747"/>
    <w:rsid w:val="20482782"/>
    <w:rsid w:val="204B45FF"/>
    <w:rsid w:val="204E725A"/>
    <w:rsid w:val="205050F3"/>
    <w:rsid w:val="205B0707"/>
    <w:rsid w:val="205F090F"/>
    <w:rsid w:val="206155F1"/>
    <w:rsid w:val="20665891"/>
    <w:rsid w:val="207575AA"/>
    <w:rsid w:val="208241B4"/>
    <w:rsid w:val="20855784"/>
    <w:rsid w:val="208F5999"/>
    <w:rsid w:val="209314D4"/>
    <w:rsid w:val="20B05494"/>
    <w:rsid w:val="20B87907"/>
    <w:rsid w:val="20EE5770"/>
    <w:rsid w:val="21147FEE"/>
    <w:rsid w:val="212154AC"/>
    <w:rsid w:val="213571AA"/>
    <w:rsid w:val="213B5936"/>
    <w:rsid w:val="213F7E47"/>
    <w:rsid w:val="21416183"/>
    <w:rsid w:val="214171F2"/>
    <w:rsid w:val="21521B0A"/>
    <w:rsid w:val="21592FEC"/>
    <w:rsid w:val="215B2DFE"/>
    <w:rsid w:val="215C5CD9"/>
    <w:rsid w:val="215F2E6D"/>
    <w:rsid w:val="21611D4D"/>
    <w:rsid w:val="21617F9F"/>
    <w:rsid w:val="21667363"/>
    <w:rsid w:val="218617B3"/>
    <w:rsid w:val="21864BE5"/>
    <w:rsid w:val="218B2E3C"/>
    <w:rsid w:val="218C26F6"/>
    <w:rsid w:val="21B53E47"/>
    <w:rsid w:val="21B5456C"/>
    <w:rsid w:val="21C0289A"/>
    <w:rsid w:val="21C314C7"/>
    <w:rsid w:val="21DE514B"/>
    <w:rsid w:val="21E53DD4"/>
    <w:rsid w:val="21E80F98"/>
    <w:rsid w:val="21ED35E0"/>
    <w:rsid w:val="21F229A5"/>
    <w:rsid w:val="21FA7AAB"/>
    <w:rsid w:val="21FE67C3"/>
    <w:rsid w:val="21FF567A"/>
    <w:rsid w:val="220019CB"/>
    <w:rsid w:val="22066531"/>
    <w:rsid w:val="22080E1D"/>
    <w:rsid w:val="222114DC"/>
    <w:rsid w:val="222E4A4B"/>
    <w:rsid w:val="224564ED"/>
    <w:rsid w:val="227A5579"/>
    <w:rsid w:val="227B3EC3"/>
    <w:rsid w:val="22853819"/>
    <w:rsid w:val="22883309"/>
    <w:rsid w:val="22AC6E9D"/>
    <w:rsid w:val="22AF6B28"/>
    <w:rsid w:val="22BF1959"/>
    <w:rsid w:val="22D16A5E"/>
    <w:rsid w:val="2309444A"/>
    <w:rsid w:val="230A1D1E"/>
    <w:rsid w:val="230F3D0A"/>
    <w:rsid w:val="231051B6"/>
    <w:rsid w:val="232A616E"/>
    <w:rsid w:val="233E3D53"/>
    <w:rsid w:val="235356C5"/>
    <w:rsid w:val="235E44A5"/>
    <w:rsid w:val="2371477C"/>
    <w:rsid w:val="23757D31"/>
    <w:rsid w:val="237F04EF"/>
    <w:rsid w:val="23841437"/>
    <w:rsid w:val="238A3CA3"/>
    <w:rsid w:val="238A68B1"/>
    <w:rsid w:val="238E17FC"/>
    <w:rsid w:val="23A61C99"/>
    <w:rsid w:val="23AF4708"/>
    <w:rsid w:val="23B32608"/>
    <w:rsid w:val="23BC3EE5"/>
    <w:rsid w:val="23C16A9A"/>
    <w:rsid w:val="23E12CD1"/>
    <w:rsid w:val="23E66003"/>
    <w:rsid w:val="23F5677C"/>
    <w:rsid w:val="23F80076"/>
    <w:rsid w:val="23FE2FB7"/>
    <w:rsid w:val="23FE3883"/>
    <w:rsid w:val="23FE3AF7"/>
    <w:rsid w:val="23FF75FB"/>
    <w:rsid w:val="240350E9"/>
    <w:rsid w:val="240D3AC6"/>
    <w:rsid w:val="241B7142"/>
    <w:rsid w:val="24280900"/>
    <w:rsid w:val="242B3FAA"/>
    <w:rsid w:val="24452007"/>
    <w:rsid w:val="244802C7"/>
    <w:rsid w:val="244C0B39"/>
    <w:rsid w:val="245A32E7"/>
    <w:rsid w:val="24635935"/>
    <w:rsid w:val="24660E6A"/>
    <w:rsid w:val="24665559"/>
    <w:rsid w:val="24681644"/>
    <w:rsid w:val="24691825"/>
    <w:rsid w:val="24697C70"/>
    <w:rsid w:val="246C0B8A"/>
    <w:rsid w:val="246C2EE2"/>
    <w:rsid w:val="246D6C5B"/>
    <w:rsid w:val="248E0BEE"/>
    <w:rsid w:val="249222CA"/>
    <w:rsid w:val="249D12EE"/>
    <w:rsid w:val="24CF65FC"/>
    <w:rsid w:val="24D171E9"/>
    <w:rsid w:val="24DA6A74"/>
    <w:rsid w:val="24DB4BCD"/>
    <w:rsid w:val="24E0742D"/>
    <w:rsid w:val="24E32A79"/>
    <w:rsid w:val="24F1163A"/>
    <w:rsid w:val="24F602A0"/>
    <w:rsid w:val="24F829C8"/>
    <w:rsid w:val="250025A0"/>
    <w:rsid w:val="25145328"/>
    <w:rsid w:val="25284930"/>
    <w:rsid w:val="25296C9F"/>
    <w:rsid w:val="25310FEF"/>
    <w:rsid w:val="253808F1"/>
    <w:rsid w:val="25401D76"/>
    <w:rsid w:val="2544236B"/>
    <w:rsid w:val="2547125A"/>
    <w:rsid w:val="256C3562"/>
    <w:rsid w:val="258D2CD8"/>
    <w:rsid w:val="25977271"/>
    <w:rsid w:val="259B2D68"/>
    <w:rsid w:val="259E7D45"/>
    <w:rsid w:val="25A55F80"/>
    <w:rsid w:val="25A6077B"/>
    <w:rsid w:val="25A941CC"/>
    <w:rsid w:val="25A97E1E"/>
    <w:rsid w:val="25AB4606"/>
    <w:rsid w:val="25BF4424"/>
    <w:rsid w:val="25C17AFA"/>
    <w:rsid w:val="25C251DB"/>
    <w:rsid w:val="25C669F1"/>
    <w:rsid w:val="25E00E0C"/>
    <w:rsid w:val="25EF379B"/>
    <w:rsid w:val="260C11C1"/>
    <w:rsid w:val="261049C1"/>
    <w:rsid w:val="26286784"/>
    <w:rsid w:val="26383109"/>
    <w:rsid w:val="263A491A"/>
    <w:rsid w:val="263C68E5"/>
    <w:rsid w:val="263E49AF"/>
    <w:rsid w:val="263F1C4A"/>
    <w:rsid w:val="26597FFC"/>
    <w:rsid w:val="265B2F41"/>
    <w:rsid w:val="26673E0F"/>
    <w:rsid w:val="26681488"/>
    <w:rsid w:val="26697AAB"/>
    <w:rsid w:val="266E20F9"/>
    <w:rsid w:val="2673065B"/>
    <w:rsid w:val="26746071"/>
    <w:rsid w:val="267839D3"/>
    <w:rsid w:val="268423E1"/>
    <w:rsid w:val="26890627"/>
    <w:rsid w:val="26902F8F"/>
    <w:rsid w:val="26937CAB"/>
    <w:rsid w:val="26A43060"/>
    <w:rsid w:val="26B4291F"/>
    <w:rsid w:val="26BB2001"/>
    <w:rsid w:val="26C16DEA"/>
    <w:rsid w:val="26CE0ACF"/>
    <w:rsid w:val="26D60AE7"/>
    <w:rsid w:val="26E35358"/>
    <w:rsid w:val="270D0281"/>
    <w:rsid w:val="270E298C"/>
    <w:rsid w:val="270E29F5"/>
    <w:rsid w:val="271512D2"/>
    <w:rsid w:val="272A2D2F"/>
    <w:rsid w:val="272F1FA5"/>
    <w:rsid w:val="27307633"/>
    <w:rsid w:val="27446B6F"/>
    <w:rsid w:val="274A5031"/>
    <w:rsid w:val="274F752C"/>
    <w:rsid w:val="27520933"/>
    <w:rsid w:val="27595274"/>
    <w:rsid w:val="275A34C6"/>
    <w:rsid w:val="275E5A93"/>
    <w:rsid w:val="27736226"/>
    <w:rsid w:val="27755DA7"/>
    <w:rsid w:val="277C7F9A"/>
    <w:rsid w:val="278D7C08"/>
    <w:rsid w:val="279D2924"/>
    <w:rsid w:val="27A52E1A"/>
    <w:rsid w:val="27B0758A"/>
    <w:rsid w:val="27B85511"/>
    <w:rsid w:val="27C227FA"/>
    <w:rsid w:val="27C53958"/>
    <w:rsid w:val="27DA4B73"/>
    <w:rsid w:val="27DF39CB"/>
    <w:rsid w:val="27E61F25"/>
    <w:rsid w:val="27EC31BB"/>
    <w:rsid w:val="27ED2CBD"/>
    <w:rsid w:val="27EE2A31"/>
    <w:rsid w:val="27F61799"/>
    <w:rsid w:val="27F63DA6"/>
    <w:rsid w:val="27FA5CB6"/>
    <w:rsid w:val="28066A1F"/>
    <w:rsid w:val="28074CD0"/>
    <w:rsid w:val="280B656E"/>
    <w:rsid w:val="280D34EA"/>
    <w:rsid w:val="281466B1"/>
    <w:rsid w:val="281824A7"/>
    <w:rsid w:val="282D0BDB"/>
    <w:rsid w:val="28312BBF"/>
    <w:rsid w:val="28321D4D"/>
    <w:rsid w:val="283A2862"/>
    <w:rsid w:val="28441A80"/>
    <w:rsid w:val="28467386"/>
    <w:rsid w:val="285F673E"/>
    <w:rsid w:val="28644CCA"/>
    <w:rsid w:val="28687E65"/>
    <w:rsid w:val="287370B9"/>
    <w:rsid w:val="288F6949"/>
    <w:rsid w:val="28911AF2"/>
    <w:rsid w:val="289151CA"/>
    <w:rsid w:val="28A2680F"/>
    <w:rsid w:val="28B9246E"/>
    <w:rsid w:val="28D21782"/>
    <w:rsid w:val="28EB583C"/>
    <w:rsid w:val="28F402DA"/>
    <w:rsid w:val="28FC78BE"/>
    <w:rsid w:val="29000A40"/>
    <w:rsid w:val="290F29AF"/>
    <w:rsid w:val="291E67A9"/>
    <w:rsid w:val="292611B7"/>
    <w:rsid w:val="293634F4"/>
    <w:rsid w:val="29503CAA"/>
    <w:rsid w:val="29533730"/>
    <w:rsid w:val="29770361"/>
    <w:rsid w:val="297840D8"/>
    <w:rsid w:val="2985201E"/>
    <w:rsid w:val="29892059"/>
    <w:rsid w:val="29894105"/>
    <w:rsid w:val="29A34FDC"/>
    <w:rsid w:val="29AF4FD3"/>
    <w:rsid w:val="29B35110"/>
    <w:rsid w:val="29B812E2"/>
    <w:rsid w:val="29BF3AB4"/>
    <w:rsid w:val="29C55899"/>
    <w:rsid w:val="29C865D6"/>
    <w:rsid w:val="29E71C49"/>
    <w:rsid w:val="29E76B67"/>
    <w:rsid w:val="29F2147C"/>
    <w:rsid w:val="29FA1911"/>
    <w:rsid w:val="2A0608C1"/>
    <w:rsid w:val="2A0C4A40"/>
    <w:rsid w:val="2A104310"/>
    <w:rsid w:val="2A134AF4"/>
    <w:rsid w:val="2A1536D4"/>
    <w:rsid w:val="2A255C2B"/>
    <w:rsid w:val="2A2B7BC9"/>
    <w:rsid w:val="2A353D77"/>
    <w:rsid w:val="2A391AB9"/>
    <w:rsid w:val="2A3A5DF9"/>
    <w:rsid w:val="2A4926C2"/>
    <w:rsid w:val="2A4D2BFD"/>
    <w:rsid w:val="2A530EDF"/>
    <w:rsid w:val="2A5F6992"/>
    <w:rsid w:val="2A7949E3"/>
    <w:rsid w:val="2A80647C"/>
    <w:rsid w:val="2A8E62B6"/>
    <w:rsid w:val="2A9572CC"/>
    <w:rsid w:val="2AA36F32"/>
    <w:rsid w:val="2ABD4C84"/>
    <w:rsid w:val="2ACB5D43"/>
    <w:rsid w:val="2AD81233"/>
    <w:rsid w:val="2ADC178F"/>
    <w:rsid w:val="2AE63EFE"/>
    <w:rsid w:val="2AED78BA"/>
    <w:rsid w:val="2AF05EF0"/>
    <w:rsid w:val="2B1725AC"/>
    <w:rsid w:val="2B1C4838"/>
    <w:rsid w:val="2B2E227F"/>
    <w:rsid w:val="2B3404E2"/>
    <w:rsid w:val="2B363CF4"/>
    <w:rsid w:val="2B391645"/>
    <w:rsid w:val="2B3A7305"/>
    <w:rsid w:val="2B425FD0"/>
    <w:rsid w:val="2B4268A6"/>
    <w:rsid w:val="2B724B56"/>
    <w:rsid w:val="2B9B4F58"/>
    <w:rsid w:val="2B9D1BD3"/>
    <w:rsid w:val="2BA3696C"/>
    <w:rsid w:val="2BB65EBB"/>
    <w:rsid w:val="2BB67A51"/>
    <w:rsid w:val="2BB769EE"/>
    <w:rsid w:val="2BB8130D"/>
    <w:rsid w:val="2BC1223D"/>
    <w:rsid w:val="2BC40014"/>
    <w:rsid w:val="2BC51B34"/>
    <w:rsid w:val="2BCA04EF"/>
    <w:rsid w:val="2BF95140"/>
    <w:rsid w:val="2C0B194E"/>
    <w:rsid w:val="2C1A4F62"/>
    <w:rsid w:val="2C227130"/>
    <w:rsid w:val="2C3447BE"/>
    <w:rsid w:val="2C3D3C75"/>
    <w:rsid w:val="2C4B420E"/>
    <w:rsid w:val="2C660165"/>
    <w:rsid w:val="2C6619D7"/>
    <w:rsid w:val="2C6A0BA3"/>
    <w:rsid w:val="2C8903AA"/>
    <w:rsid w:val="2C8A76F4"/>
    <w:rsid w:val="2C931BC6"/>
    <w:rsid w:val="2C947F22"/>
    <w:rsid w:val="2CA45E14"/>
    <w:rsid w:val="2CB62CA6"/>
    <w:rsid w:val="2CBA67B5"/>
    <w:rsid w:val="2CBC077F"/>
    <w:rsid w:val="2CD77367"/>
    <w:rsid w:val="2CDB673A"/>
    <w:rsid w:val="2CDE24A4"/>
    <w:rsid w:val="2CEA709A"/>
    <w:rsid w:val="2CEE34EF"/>
    <w:rsid w:val="2CEF46B1"/>
    <w:rsid w:val="2CF605F7"/>
    <w:rsid w:val="2CF9108B"/>
    <w:rsid w:val="2D016FE9"/>
    <w:rsid w:val="2D0A367D"/>
    <w:rsid w:val="2D12214D"/>
    <w:rsid w:val="2D14362B"/>
    <w:rsid w:val="2D1C121E"/>
    <w:rsid w:val="2D2E304F"/>
    <w:rsid w:val="2D3C07FE"/>
    <w:rsid w:val="2D3E414F"/>
    <w:rsid w:val="2D5756FC"/>
    <w:rsid w:val="2D5D5591"/>
    <w:rsid w:val="2D74743A"/>
    <w:rsid w:val="2D7B7CF2"/>
    <w:rsid w:val="2D7C11D4"/>
    <w:rsid w:val="2D7F4766"/>
    <w:rsid w:val="2D960FD0"/>
    <w:rsid w:val="2DBE7F60"/>
    <w:rsid w:val="2DC01BA9"/>
    <w:rsid w:val="2DEF248E"/>
    <w:rsid w:val="2DF6788C"/>
    <w:rsid w:val="2E043938"/>
    <w:rsid w:val="2E0D1588"/>
    <w:rsid w:val="2E1F0FC6"/>
    <w:rsid w:val="2E2A042C"/>
    <w:rsid w:val="2E3944B7"/>
    <w:rsid w:val="2E3B1633"/>
    <w:rsid w:val="2E497DF1"/>
    <w:rsid w:val="2E4C1B78"/>
    <w:rsid w:val="2E5F13C2"/>
    <w:rsid w:val="2E61338C"/>
    <w:rsid w:val="2E7035CF"/>
    <w:rsid w:val="2E73313B"/>
    <w:rsid w:val="2E866E5E"/>
    <w:rsid w:val="2E8B06D6"/>
    <w:rsid w:val="2E9A689E"/>
    <w:rsid w:val="2E9B6172"/>
    <w:rsid w:val="2E9C43C4"/>
    <w:rsid w:val="2EA916B2"/>
    <w:rsid w:val="2EBA0CEE"/>
    <w:rsid w:val="2EC62DA5"/>
    <w:rsid w:val="2EC92CDF"/>
    <w:rsid w:val="2EEA1606"/>
    <w:rsid w:val="2EED318E"/>
    <w:rsid w:val="2EFC4E63"/>
    <w:rsid w:val="2F0401BB"/>
    <w:rsid w:val="2F0F1794"/>
    <w:rsid w:val="2F1A0856"/>
    <w:rsid w:val="2F2B5B05"/>
    <w:rsid w:val="2F475C7E"/>
    <w:rsid w:val="2F4800A8"/>
    <w:rsid w:val="2F486024"/>
    <w:rsid w:val="2F4A2072"/>
    <w:rsid w:val="2F523B34"/>
    <w:rsid w:val="2F681310"/>
    <w:rsid w:val="2F743B89"/>
    <w:rsid w:val="2F793865"/>
    <w:rsid w:val="2F7B2B74"/>
    <w:rsid w:val="2F7E2877"/>
    <w:rsid w:val="2F8567D8"/>
    <w:rsid w:val="2F8B5040"/>
    <w:rsid w:val="2FC45593"/>
    <w:rsid w:val="2FC61E6F"/>
    <w:rsid w:val="2FD47B8E"/>
    <w:rsid w:val="2FDB716E"/>
    <w:rsid w:val="2FE65B09"/>
    <w:rsid w:val="2FFA3A98"/>
    <w:rsid w:val="30115CE5"/>
    <w:rsid w:val="30135C1F"/>
    <w:rsid w:val="30136908"/>
    <w:rsid w:val="30191760"/>
    <w:rsid w:val="3025663B"/>
    <w:rsid w:val="3028092A"/>
    <w:rsid w:val="30297EDA"/>
    <w:rsid w:val="302F54E7"/>
    <w:rsid w:val="3062251C"/>
    <w:rsid w:val="306453B6"/>
    <w:rsid w:val="30726790"/>
    <w:rsid w:val="30731155"/>
    <w:rsid w:val="30831C53"/>
    <w:rsid w:val="3095556F"/>
    <w:rsid w:val="30A92DC8"/>
    <w:rsid w:val="30B034AD"/>
    <w:rsid w:val="30B31983"/>
    <w:rsid w:val="30C87FB8"/>
    <w:rsid w:val="30C9484E"/>
    <w:rsid w:val="30CF2960"/>
    <w:rsid w:val="30E90E2B"/>
    <w:rsid w:val="310406DA"/>
    <w:rsid w:val="31085D41"/>
    <w:rsid w:val="310A2A14"/>
    <w:rsid w:val="310F59F0"/>
    <w:rsid w:val="31395BA8"/>
    <w:rsid w:val="3141666D"/>
    <w:rsid w:val="314B14BF"/>
    <w:rsid w:val="31547B90"/>
    <w:rsid w:val="315534F3"/>
    <w:rsid w:val="3158219E"/>
    <w:rsid w:val="315D7742"/>
    <w:rsid w:val="315F05BE"/>
    <w:rsid w:val="316D537E"/>
    <w:rsid w:val="31716348"/>
    <w:rsid w:val="317355F2"/>
    <w:rsid w:val="317E68B2"/>
    <w:rsid w:val="3185517F"/>
    <w:rsid w:val="3185793C"/>
    <w:rsid w:val="31A57A34"/>
    <w:rsid w:val="31B06C89"/>
    <w:rsid w:val="31C21E67"/>
    <w:rsid w:val="31C2569E"/>
    <w:rsid w:val="31C96BD0"/>
    <w:rsid w:val="31CA2ACD"/>
    <w:rsid w:val="31E15891"/>
    <w:rsid w:val="31F043F4"/>
    <w:rsid w:val="31F43D52"/>
    <w:rsid w:val="32335040"/>
    <w:rsid w:val="32342B66"/>
    <w:rsid w:val="325066A8"/>
    <w:rsid w:val="32563FE3"/>
    <w:rsid w:val="32574CBD"/>
    <w:rsid w:val="325D3410"/>
    <w:rsid w:val="3260226B"/>
    <w:rsid w:val="327A5FF1"/>
    <w:rsid w:val="327B2543"/>
    <w:rsid w:val="32981E44"/>
    <w:rsid w:val="32A55CC0"/>
    <w:rsid w:val="32A937D2"/>
    <w:rsid w:val="32C4213C"/>
    <w:rsid w:val="32C95971"/>
    <w:rsid w:val="32E41009"/>
    <w:rsid w:val="32E9078F"/>
    <w:rsid w:val="32ED34FF"/>
    <w:rsid w:val="3304078A"/>
    <w:rsid w:val="330856D0"/>
    <w:rsid w:val="331D35FA"/>
    <w:rsid w:val="33316646"/>
    <w:rsid w:val="33462B8C"/>
    <w:rsid w:val="33491C13"/>
    <w:rsid w:val="33550FE6"/>
    <w:rsid w:val="335E45B2"/>
    <w:rsid w:val="33691E57"/>
    <w:rsid w:val="33735D99"/>
    <w:rsid w:val="33736E76"/>
    <w:rsid w:val="33753436"/>
    <w:rsid w:val="337570A4"/>
    <w:rsid w:val="337A6C9E"/>
    <w:rsid w:val="338D69D1"/>
    <w:rsid w:val="33925D96"/>
    <w:rsid w:val="339C6C14"/>
    <w:rsid w:val="33A269EC"/>
    <w:rsid w:val="33A856B1"/>
    <w:rsid w:val="33AB2922"/>
    <w:rsid w:val="33BC1065"/>
    <w:rsid w:val="33C50B9E"/>
    <w:rsid w:val="33D301D3"/>
    <w:rsid w:val="33D976B3"/>
    <w:rsid w:val="33DB2EFB"/>
    <w:rsid w:val="33DB773D"/>
    <w:rsid w:val="33DC1707"/>
    <w:rsid w:val="33DC6CF8"/>
    <w:rsid w:val="33F54490"/>
    <w:rsid w:val="33F85833"/>
    <w:rsid w:val="33F94458"/>
    <w:rsid w:val="340B78F6"/>
    <w:rsid w:val="341266A4"/>
    <w:rsid w:val="3429350C"/>
    <w:rsid w:val="3431735D"/>
    <w:rsid w:val="3434509F"/>
    <w:rsid w:val="343C76C2"/>
    <w:rsid w:val="343D6C24"/>
    <w:rsid w:val="345873A9"/>
    <w:rsid w:val="34692A1E"/>
    <w:rsid w:val="346C4A6E"/>
    <w:rsid w:val="34703C63"/>
    <w:rsid w:val="347831DE"/>
    <w:rsid w:val="347C5D20"/>
    <w:rsid w:val="34847DD4"/>
    <w:rsid w:val="348C6C89"/>
    <w:rsid w:val="34997F68"/>
    <w:rsid w:val="34A2025B"/>
    <w:rsid w:val="34AF7CC9"/>
    <w:rsid w:val="34B41D3C"/>
    <w:rsid w:val="34B956D8"/>
    <w:rsid w:val="34C24459"/>
    <w:rsid w:val="34CE1050"/>
    <w:rsid w:val="34E017A7"/>
    <w:rsid w:val="34E526B4"/>
    <w:rsid w:val="34EC3BCC"/>
    <w:rsid w:val="34ED4FC5"/>
    <w:rsid w:val="34FE7262"/>
    <w:rsid w:val="35101668"/>
    <w:rsid w:val="351E0E61"/>
    <w:rsid w:val="352275ED"/>
    <w:rsid w:val="352407FC"/>
    <w:rsid w:val="35245113"/>
    <w:rsid w:val="352612DF"/>
    <w:rsid w:val="35322B1F"/>
    <w:rsid w:val="353358B6"/>
    <w:rsid w:val="3535498A"/>
    <w:rsid w:val="35373099"/>
    <w:rsid w:val="35471E10"/>
    <w:rsid w:val="355004C3"/>
    <w:rsid w:val="355157DD"/>
    <w:rsid w:val="3556146D"/>
    <w:rsid w:val="355724F0"/>
    <w:rsid w:val="356E638F"/>
    <w:rsid w:val="3575596F"/>
    <w:rsid w:val="35810326"/>
    <w:rsid w:val="35867B7C"/>
    <w:rsid w:val="358C5E8C"/>
    <w:rsid w:val="358D7C9B"/>
    <w:rsid w:val="358E2186"/>
    <w:rsid w:val="35A26038"/>
    <w:rsid w:val="35A61FCC"/>
    <w:rsid w:val="35A973C7"/>
    <w:rsid w:val="35AE5305"/>
    <w:rsid w:val="35B90B5D"/>
    <w:rsid w:val="35BD10B7"/>
    <w:rsid w:val="35DE239E"/>
    <w:rsid w:val="35E06512"/>
    <w:rsid w:val="35E33F92"/>
    <w:rsid w:val="360212D1"/>
    <w:rsid w:val="36030D37"/>
    <w:rsid w:val="360E2480"/>
    <w:rsid w:val="361327DB"/>
    <w:rsid w:val="36280C33"/>
    <w:rsid w:val="363720E3"/>
    <w:rsid w:val="3639711B"/>
    <w:rsid w:val="363E765D"/>
    <w:rsid w:val="364041CF"/>
    <w:rsid w:val="36421CF5"/>
    <w:rsid w:val="365869BA"/>
    <w:rsid w:val="36592830"/>
    <w:rsid w:val="36697A8D"/>
    <w:rsid w:val="367409D2"/>
    <w:rsid w:val="36773881"/>
    <w:rsid w:val="367B56C5"/>
    <w:rsid w:val="367C5173"/>
    <w:rsid w:val="368A369C"/>
    <w:rsid w:val="36915D46"/>
    <w:rsid w:val="36BA6657"/>
    <w:rsid w:val="36CA31B0"/>
    <w:rsid w:val="36D20797"/>
    <w:rsid w:val="36D33F07"/>
    <w:rsid w:val="36E16F8C"/>
    <w:rsid w:val="36E65B3A"/>
    <w:rsid w:val="370346A6"/>
    <w:rsid w:val="37186F74"/>
    <w:rsid w:val="371F5B92"/>
    <w:rsid w:val="37296474"/>
    <w:rsid w:val="37405833"/>
    <w:rsid w:val="37594F8B"/>
    <w:rsid w:val="37666B6B"/>
    <w:rsid w:val="37675674"/>
    <w:rsid w:val="376B1978"/>
    <w:rsid w:val="3771007D"/>
    <w:rsid w:val="37734130"/>
    <w:rsid w:val="37940CA8"/>
    <w:rsid w:val="37A34A15"/>
    <w:rsid w:val="37A92337"/>
    <w:rsid w:val="37B90CC1"/>
    <w:rsid w:val="37CB1876"/>
    <w:rsid w:val="37D848CF"/>
    <w:rsid w:val="37DB157C"/>
    <w:rsid w:val="37DB3C7D"/>
    <w:rsid w:val="37EE7D30"/>
    <w:rsid w:val="37F62976"/>
    <w:rsid w:val="37F77F19"/>
    <w:rsid w:val="37FB3B6B"/>
    <w:rsid w:val="381B0A50"/>
    <w:rsid w:val="381D34F9"/>
    <w:rsid w:val="382056E0"/>
    <w:rsid w:val="3822692C"/>
    <w:rsid w:val="382947EF"/>
    <w:rsid w:val="38343F2A"/>
    <w:rsid w:val="38451629"/>
    <w:rsid w:val="38490F9C"/>
    <w:rsid w:val="384C1631"/>
    <w:rsid w:val="38542754"/>
    <w:rsid w:val="386C03A0"/>
    <w:rsid w:val="388372DB"/>
    <w:rsid w:val="38850AD8"/>
    <w:rsid w:val="38A5656B"/>
    <w:rsid w:val="38B10FD7"/>
    <w:rsid w:val="38B2326B"/>
    <w:rsid w:val="38BD498D"/>
    <w:rsid w:val="38D04F33"/>
    <w:rsid w:val="38D155B2"/>
    <w:rsid w:val="38D26C34"/>
    <w:rsid w:val="38D81B11"/>
    <w:rsid w:val="38F17A02"/>
    <w:rsid w:val="38F61303"/>
    <w:rsid w:val="38FC42B5"/>
    <w:rsid w:val="38FC71A8"/>
    <w:rsid w:val="39020983"/>
    <w:rsid w:val="39037F6C"/>
    <w:rsid w:val="390C2146"/>
    <w:rsid w:val="39161217"/>
    <w:rsid w:val="39214610"/>
    <w:rsid w:val="39276898"/>
    <w:rsid w:val="39464964"/>
    <w:rsid w:val="3950297B"/>
    <w:rsid w:val="395224D9"/>
    <w:rsid w:val="395601FC"/>
    <w:rsid w:val="395A7356"/>
    <w:rsid w:val="39647471"/>
    <w:rsid w:val="397B4E62"/>
    <w:rsid w:val="39845848"/>
    <w:rsid w:val="39972B1A"/>
    <w:rsid w:val="399A1410"/>
    <w:rsid w:val="39A17675"/>
    <w:rsid w:val="39A6259B"/>
    <w:rsid w:val="39C8231B"/>
    <w:rsid w:val="39CD1539"/>
    <w:rsid w:val="39CD5D32"/>
    <w:rsid w:val="39DA1DFA"/>
    <w:rsid w:val="39DC71EB"/>
    <w:rsid w:val="39DD5D2E"/>
    <w:rsid w:val="3A045F91"/>
    <w:rsid w:val="3A0A0953"/>
    <w:rsid w:val="3A184B1B"/>
    <w:rsid w:val="3A187F8C"/>
    <w:rsid w:val="3A1E4582"/>
    <w:rsid w:val="3A2C4127"/>
    <w:rsid w:val="3A451DB4"/>
    <w:rsid w:val="3A4F678F"/>
    <w:rsid w:val="3A5576B6"/>
    <w:rsid w:val="3A682780"/>
    <w:rsid w:val="3A697EB7"/>
    <w:rsid w:val="3A7A136F"/>
    <w:rsid w:val="3A7F0311"/>
    <w:rsid w:val="3A8A3C6B"/>
    <w:rsid w:val="3A8C5141"/>
    <w:rsid w:val="3A8D5509"/>
    <w:rsid w:val="3A993EAE"/>
    <w:rsid w:val="3A9C0D92"/>
    <w:rsid w:val="3AA648FE"/>
    <w:rsid w:val="3AAA7D3D"/>
    <w:rsid w:val="3AB6467C"/>
    <w:rsid w:val="3AD117FB"/>
    <w:rsid w:val="3AD64FB0"/>
    <w:rsid w:val="3AD72904"/>
    <w:rsid w:val="3AD75A09"/>
    <w:rsid w:val="3ADC5AFD"/>
    <w:rsid w:val="3AE17BBC"/>
    <w:rsid w:val="3B007A89"/>
    <w:rsid w:val="3B0F5ABD"/>
    <w:rsid w:val="3B1A123D"/>
    <w:rsid w:val="3B213730"/>
    <w:rsid w:val="3B2D7A40"/>
    <w:rsid w:val="3B2F4F75"/>
    <w:rsid w:val="3B315914"/>
    <w:rsid w:val="3B5008D7"/>
    <w:rsid w:val="3B7355AE"/>
    <w:rsid w:val="3B793C0F"/>
    <w:rsid w:val="3B7F15E2"/>
    <w:rsid w:val="3B7F6F5D"/>
    <w:rsid w:val="3B8536A6"/>
    <w:rsid w:val="3B871F58"/>
    <w:rsid w:val="3B8763FC"/>
    <w:rsid w:val="3B8A37F6"/>
    <w:rsid w:val="3B8B2713"/>
    <w:rsid w:val="3B906DF8"/>
    <w:rsid w:val="3B9F0C51"/>
    <w:rsid w:val="3BA00572"/>
    <w:rsid w:val="3BB1021B"/>
    <w:rsid w:val="3BC53ABB"/>
    <w:rsid w:val="3BCB62E9"/>
    <w:rsid w:val="3BCC1F2A"/>
    <w:rsid w:val="3BCD6D6D"/>
    <w:rsid w:val="3BD57167"/>
    <w:rsid w:val="3BDD601C"/>
    <w:rsid w:val="3BF72A83"/>
    <w:rsid w:val="3C130A1F"/>
    <w:rsid w:val="3C135790"/>
    <w:rsid w:val="3C1752F7"/>
    <w:rsid w:val="3C193171"/>
    <w:rsid w:val="3C1E3214"/>
    <w:rsid w:val="3C2528C6"/>
    <w:rsid w:val="3C333E8E"/>
    <w:rsid w:val="3C4321AB"/>
    <w:rsid w:val="3C4340D1"/>
    <w:rsid w:val="3C4F0720"/>
    <w:rsid w:val="3C4F1FEA"/>
    <w:rsid w:val="3C616C4D"/>
    <w:rsid w:val="3C686571"/>
    <w:rsid w:val="3C83525B"/>
    <w:rsid w:val="3C87375A"/>
    <w:rsid w:val="3C8E189D"/>
    <w:rsid w:val="3CA22EFE"/>
    <w:rsid w:val="3CB8043D"/>
    <w:rsid w:val="3CB94BCA"/>
    <w:rsid w:val="3CC25705"/>
    <w:rsid w:val="3CC50225"/>
    <w:rsid w:val="3CC92CB9"/>
    <w:rsid w:val="3CCF3965"/>
    <w:rsid w:val="3CDD64CF"/>
    <w:rsid w:val="3CDE231E"/>
    <w:rsid w:val="3CEB5790"/>
    <w:rsid w:val="3CFE1B47"/>
    <w:rsid w:val="3D015D3A"/>
    <w:rsid w:val="3D111A99"/>
    <w:rsid w:val="3D17730C"/>
    <w:rsid w:val="3D1C767A"/>
    <w:rsid w:val="3D1E1219"/>
    <w:rsid w:val="3D36346C"/>
    <w:rsid w:val="3D47560D"/>
    <w:rsid w:val="3D4956FE"/>
    <w:rsid w:val="3D523BCD"/>
    <w:rsid w:val="3D645169"/>
    <w:rsid w:val="3D6C3AFB"/>
    <w:rsid w:val="3D842BF3"/>
    <w:rsid w:val="3D8F2120"/>
    <w:rsid w:val="3D8F30A0"/>
    <w:rsid w:val="3D990E61"/>
    <w:rsid w:val="3D9D1F07"/>
    <w:rsid w:val="3DA327E5"/>
    <w:rsid w:val="3DAB4624"/>
    <w:rsid w:val="3DB01C7C"/>
    <w:rsid w:val="3DBA1ADA"/>
    <w:rsid w:val="3DBA6615"/>
    <w:rsid w:val="3DC355A6"/>
    <w:rsid w:val="3DC42D6E"/>
    <w:rsid w:val="3DD009EA"/>
    <w:rsid w:val="3DD64752"/>
    <w:rsid w:val="3DD80DF7"/>
    <w:rsid w:val="3DE26317"/>
    <w:rsid w:val="3DED5444"/>
    <w:rsid w:val="3E10092B"/>
    <w:rsid w:val="3E175815"/>
    <w:rsid w:val="3E251E4B"/>
    <w:rsid w:val="3E2D1C0D"/>
    <w:rsid w:val="3E352B5B"/>
    <w:rsid w:val="3E3A2755"/>
    <w:rsid w:val="3E463101"/>
    <w:rsid w:val="3E46434D"/>
    <w:rsid w:val="3E467EA9"/>
    <w:rsid w:val="3E52684D"/>
    <w:rsid w:val="3E5717D0"/>
    <w:rsid w:val="3E725142"/>
    <w:rsid w:val="3E734A16"/>
    <w:rsid w:val="3E8B1D5F"/>
    <w:rsid w:val="3E950E30"/>
    <w:rsid w:val="3E953235"/>
    <w:rsid w:val="3EAA3B18"/>
    <w:rsid w:val="3EB72B54"/>
    <w:rsid w:val="3EBD0BAE"/>
    <w:rsid w:val="3EC80A37"/>
    <w:rsid w:val="3ECD2095"/>
    <w:rsid w:val="3EED47C8"/>
    <w:rsid w:val="3EF02AD3"/>
    <w:rsid w:val="3EF43DA9"/>
    <w:rsid w:val="3F024C1A"/>
    <w:rsid w:val="3F21052E"/>
    <w:rsid w:val="3F330C34"/>
    <w:rsid w:val="3F3917F4"/>
    <w:rsid w:val="3F625E8E"/>
    <w:rsid w:val="3F6A673B"/>
    <w:rsid w:val="3F8C2A74"/>
    <w:rsid w:val="3F917849"/>
    <w:rsid w:val="3F924981"/>
    <w:rsid w:val="3FA70307"/>
    <w:rsid w:val="3FA7458E"/>
    <w:rsid w:val="3FB22390"/>
    <w:rsid w:val="3FBA6F1C"/>
    <w:rsid w:val="3FCF1529"/>
    <w:rsid w:val="3FD0248A"/>
    <w:rsid w:val="3FE37E33"/>
    <w:rsid w:val="3FE813F4"/>
    <w:rsid w:val="3FF55C7D"/>
    <w:rsid w:val="40095632"/>
    <w:rsid w:val="400E03CE"/>
    <w:rsid w:val="400E0E9A"/>
    <w:rsid w:val="401144E6"/>
    <w:rsid w:val="401171AD"/>
    <w:rsid w:val="40225AF1"/>
    <w:rsid w:val="403D5148"/>
    <w:rsid w:val="403F2E01"/>
    <w:rsid w:val="40507C98"/>
    <w:rsid w:val="4061657E"/>
    <w:rsid w:val="40625FCD"/>
    <w:rsid w:val="40672358"/>
    <w:rsid w:val="40675CAC"/>
    <w:rsid w:val="407E7DCE"/>
    <w:rsid w:val="40892318"/>
    <w:rsid w:val="408E0789"/>
    <w:rsid w:val="4090365D"/>
    <w:rsid w:val="40A42109"/>
    <w:rsid w:val="40A610D2"/>
    <w:rsid w:val="40A76FA9"/>
    <w:rsid w:val="40AC084A"/>
    <w:rsid w:val="40D05FDB"/>
    <w:rsid w:val="40DB515E"/>
    <w:rsid w:val="40E30197"/>
    <w:rsid w:val="40EA1367"/>
    <w:rsid w:val="40EB151F"/>
    <w:rsid w:val="40F25A91"/>
    <w:rsid w:val="41110C42"/>
    <w:rsid w:val="411C387B"/>
    <w:rsid w:val="411C6FE5"/>
    <w:rsid w:val="41292B74"/>
    <w:rsid w:val="413D1A37"/>
    <w:rsid w:val="414C7ECC"/>
    <w:rsid w:val="414E3836"/>
    <w:rsid w:val="4157061F"/>
    <w:rsid w:val="41592854"/>
    <w:rsid w:val="41647934"/>
    <w:rsid w:val="41676AB4"/>
    <w:rsid w:val="416E516B"/>
    <w:rsid w:val="418812BB"/>
    <w:rsid w:val="418F1604"/>
    <w:rsid w:val="419F3079"/>
    <w:rsid w:val="41AE3A67"/>
    <w:rsid w:val="41EA02ED"/>
    <w:rsid w:val="41FB544E"/>
    <w:rsid w:val="420E5181"/>
    <w:rsid w:val="421409A0"/>
    <w:rsid w:val="4215282E"/>
    <w:rsid w:val="4216544A"/>
    <w:rsid w:val="42225E0B"/>
    <w:rsid w:val="424F30C2"/>
    <w:rsid w:val="426254CD"/>
    <w:rsid w:val="426C30A0"/>
    <w:rsid w:val="42701998"/>
    <w:rsid w:val="427358D4"/>
    <w:rsid w:val="42736D87"/>
    <w:rsid w:val="427E086F"/>
    <w:rsid w:val="42826F4F"/>
    <w:rsid w:val="42931FC8"/>
    <w:rsid w:val="429D286D"/>
    <w:rsid w:val="429E14C4"/>
    <w:rsid w:val="42A26186"/>
    <w:rsid w:val="42BF022A"/>
    <w:rsid w:val="42C13D5C"/>
    <w:rsid w:val="42C66BA7"/>
    <w:rsid w:val="42C817D4"/>
    <w:rsid w:val="42D53EF1"/>
    <w:rsid w:val="42DF3579"/>
    <w:rsid w:val="42E264C2"/>
    <w:rsid w:val="42E85CD3"/>
    <w:rsid w:val="42E87780"/>
    <w:rsid w:val="42ED7D18"/>
    <w:rsid w:val="42F54D63"/>
    <w:rsid w:val="42F73E67"/>
    <w:rsid w:val="42F779C3"/>
    <w:rsid w:val="42F87E06"/>
    <w:rsid w:val="42FC7969"/>
    <w:rsid w:val="43011E27"/>
    <w:rsid w:val="430A124F"/>
    <w:rsid w:val="430B3A05"/>
    <w:rsid w:val="430F20A0"/>
    <w:rsid w:val="43135F0F"/>
    <w:rsid w:val="431A7B56"/>
    <w:rsid w:val="431B6CC7"/>
    <w:rsid w:val="43244531"/>
    <w:rsid w:val="432634B4"/>
    <w:rsid w:val="43566DE0"/>
    <w:rsid w:val="43650DD1"/>
    <w:rsid w:val="43724BD3"/>
    <w:rsid w:val="43732880"/>
    <w:rsid w:val="43865952"/>
    <w:rsid w:val="438F0BB0"/>
    <w:rsid w:val="43A86F10"/>
    <w:rsid w:val="43BF04EA"/>
    <w:rsid w:val="43C05A1E"/>
    <w:rsid w:val="43C27FD1"/>
    <w:rsid w:val="43D22CDA"/>
    <w:rsid w:val="43D354DC"/>
    <w:rsid w:val="43E91A02"/>
    <w:rsid w:val="43F32881"/>
    <w:rsid w:val="4405353A"/>
    <w:rsid w:val="44063CF3"/>
    <w:rsid w:val="44072973"/>
    <w:rsid w:val="44112D07"/>
    <w:rsid w:val="44117E2D"/>
    <w:rsid w:val="441D5B50"/>
    <w:rsid w:val="441E6386"/>
    <w:rsid w:val="44426345"/>
    <w:rsid w:val="444B2816"/>
    <w:rsid w:val="445279AA"/>
    <w:rsid w:val="445F3A86"/>
    <w:rsid w:val="446472DA"/>
    <w:rsid w:val="44735770"/>
    <w:rsid w:val="4478636B"/>
    <w:rsid w:val="447A0DB3"/>
    <w:rsid w:val="4481712B"/>
    <w:rsid w:val="4488746D"/>
    <w:rsid w:val="448B4867"/>
    <w:rsid w:val="448E6105"/>
    <w:rsid w:val="449D459A"/>
    <w:rsid w:val="44AD1736"/>
    <w:rsid w:val="44C93406"/>
    <w:rsid w:val="44CE0BF8"/>
    <w:rsid w:val="44D02BC2"/>
    <w:rsid w:val="44D37FBC"/>
    <w:rsid w:val="44D74994"/>
    <w:rsid w:val="44DC3315"/>
    <w:rsid w:val="44F62875"/>
    <w:rsid w:val="45097E82"/>
    <w:rsid w:val="451730A2"/>
    <w:rsid w:val="451955A3"/>
    <w:rsid w:val="45205199"/>
    <w:rsid w:val="45216F7A"/>
    <w:rsid w:val="45260B70"/>
    <w:rsid w:val="453303B6"/>
    <w:rsid w:val="45350C77"/>
    <w:rsid w:val="45357C2D"/>
    <w:rsid w:val="453E7B2C"/>
    <w:rsid w:val="4541322C"/>
    <w:rsid w:val="45467C1A"/>
    <w:rsid w:val="454946CF"/>
    <w:rsid w:val="45523E0A"/>
    <w:rsid w:val="455E3D2A"/>
    <w:rsid w:val="45617CBE"/>
    <w:rsid w:val="45703A5D"/>
    <w:rsid w:val="457479F1"/>
    <w:rsid w:val="45784EE5"/>
    <w:rsid w:val="457C33A8"/>
    <w:rsid w:val="457F7404"/>
    <w:rsid w:val="458007FA"/>
    <w:rsid w:val="4595726A"/>
    <w:rsid w:val="45AD0E39"/>
    <w:rsid w:val="45B66B2F"/>
    <w:rsid w:val="45C610DE"/>
    <w:rsid w:val="45C67177"/>
    <w:rsid w:val="45CA7D82"/>
    <w:rsid w:val="45D048BE"/>
    <w:rsid w:val="45D1274E"/>
    <w:rsid w:val="45D93CF8"/>
    <w:rsid w:val="45DE626C"/>
    <w:rsid w:val="45F13477"/>
    <w:rsid w:val="45F64EBA"/>
    <w:rsid w:val="45FD7B3D"/>
    <w:rsid w:val="46015FB3"/>
    <w:rsid w:val="460A10C2"/>
    <w:rsid w:val="460C59AE"/>
    <w:rsid w:val="460F78BE"/>
    <w:rsid w:val="461551BA"/>
    <w:rsid w:val="46230254"/>
    <w:rsid w:val="46250CEB"/>
    <w:rsid w:val="462B1600"/>
    <w:rsid w:val="462C207A"/>
    <w:rsid w:val="462D24EF"/>
    <w:rsid w:val="4642364B"/>
    <w:rsid w:val="464E1FF0"/>
    <w:rsid w:val="465D0485"/>
    <w:rsid w:val="46733805"/>
    <w:rsid w:val="46753897"/>
    <w:rsid w:val="46761190"/>
    <w:rsid w:val="46845A12"/>
    <w:rsid w:val="46867477"/>
    <w:rsid w:val="468A02AD"/>
    <w:rsid w:val="468B3DD1"/>
    <w:rsid w:val="46902609"/>
    <w:rsid w:val="469D4D26"/>
    <w:rsid w:val="46A33D32"/>
    <w:rsid w:val="46B906B9"/>
    <w:rsid w:val="46C96F1B"/>
    <w:rsid w:val="46D61F38"/>
    <w:rsid w:val="46D87DE5"/>
    <w:rsid w:val="46E556A4"/>
    <w:rsid w:val="46E841F3"/>
    <w:rsid w:val="46E91D19"/>
    <w:rsid w:val="46EA25E1"/>
    <w:rsid w:val="46EB1077"/>
    <w:rsid w:val="46FE250C"/>
    <w:rsid w:val="470C2558"/>
    <w:rsid w:val="472165B7"/>
    <w:rsid w:val="4723347D"/>
    <w:rsid w:val="47277064"/>
    <w:rsid w:val="47283579"/>
    <w:rsid w:val="473161FA"/>
    <w:rsid w:val="47323C17"/>
    <w:rsid w:val="473E02B7"/>
    <w:rsid w:val="473F2266"/>
    <w:rsid w:val="474E1009"/>
    <w:rsid w:val="474E29C1"/>
    <w:rsid w:val="475569C5"/>
    <w:rsid w:val="47574ED5"/>
    <w:rsid w:val="47590A49"/>
    <w:rsid w:val="476A063C"/>
    <w:rsid w:val="47941208"/>
    <w:rsid w:val="479954ED"/>
    <w:rsid w:val="47A101B2"/>
    <w:rsid w:val="47B9793D"/>
    <w:rsid w:val="47BC11DC"/>
    <w:rsid w:val="47BE31A6"/>
    <w:rsid w:val="47BF2852"/>
    <w:rsid w:val="47BF386C"/>
    <w:rsid w:val="47C95C6C"/>
    <w:rsid w:val="47CC58C3"/>
    <w:rsid w:val="47D172DF"/>
    <w:rsid w:val="47EC7022"/>
    <w:rsid w:val="47EC7D13"/>
    <w:rsid w:val="47FC7940"/>
    <w:rsid w:val="48030B33"/>
    <w:rsid w:val="48046015"/>
    <w:rsid w:val="48102D4F"/>
    <w:rsid w:val="4819316F"/>
    <w:rsid w:val="48401E0D"/>
    <w:rsid w:val="48480CC1"/>
    <w:rsid w:val="48580B32"/>
    <w:rsid w:val="485B43A9"/>
    <w:rsid w:val="485D63AE"/>
    <w:rsid w:val="48635024"/>
    <w:rsid w:val="487B675C"/>
    <w:rsid w:val="48847172"/>
    <w:rsid w:val="489A4FDC"/>
    <w:rsid w:val="48A572ED"/>
    <w:rsid w:val="48B14AB8"/>
    <w:rsid w:val="48B22238"/>
    <w:rsid w:val="48B33076"/>
    <w:rsid w:val="48BF71D5"/>
    <w:rsid w:val="48C4330A"/>
    <w:rsid w:val="48C56B4C"/>
    <w:rsid w:val="48D55EB3"/>
    <w:rsid w:val="48DA0701"/>
    <w:rsid w:val="48DC7D87"/>
    <w:rsid w:val="48DF324A"/>
    <w:rsid w:val="48E052EC"/>
    <w:rsid w:val="48E22EC4"/>
    <w:rsid w:val="48E65AEE"/>
    <w:rsid w:val="49096FCD"/>
    <w:rsid w:val="491B7C2C"/>
    <w:rsid w:val="491F7C74"/>
    <w:rsid w:val="493F20C4"/>
    <w:rsid w:val="494625B6"/>
    <w:rsid w:val="49512BB1"/>
    <w:rsid w:val="495C2CEC"/>
    <w:rsid w:val="496215BF"/>
    <w:rsid w:val="49641F5D"/>
    <w:rsid w:val="49666B6B"/>
    <w:rsid w:val="496F2CCC"/>
    <w:rsid w:val="499A379E"/>
    <w:rsid w:val="49A8530E"/>
    <w:rsid w:val="49BB2C74"/>
    <w:rsid w:val="49C40005"/>
    <w:rsid w:val="49D04BAB"/>
    <w:rsid w:val="49DC3A88"/>
    <w:rsid w:val="49EA17C4"/>
    <w:rsid w:val="49EC3FFA"/>
    <w:rsid w:val="49F0129D"/>
    <w:rsid w:val="49FB248F"/>
    <w:rsid w:val="4A00613B"/>
    <w:rsid w:val="4A062BE2"/>
    <w:rsid w:val="4A0B1FA6"/>
    <w:rsid w:val="4A1A2F12"/>
    <w:rsid w:val="4A280A90"/>
    <w:rsid w:val="4A2C7C77"/>
    <w:rsid w:val="4A321C6F"/>
    <w:rsid w:val="4A34008C"/>
    <w:rsid w:val="4A3634C7"/>
    <w:rsid w:val="4A366D8C"/>
    <w:rsid w:val="4A375709"/>
    <w:rsid w:val="4A475BFC"/>
    <w:rsid w:val="4A4E1094"/>
    <w:rsid w:val="4A521850"/>
    <w:rsid w:val="4A561717"/>
    <w:rsid w:val="4A595408"/>
    <w:rsid w:val="4A615C7A"/>
    <w:rsid w:val="4A717D8F"/>
    <w:rsid w:val="4A744BC4"/>
    <w:rsid w:val="4A77763C"/>
    <w:rsid w:val="4A7D0F83"/>
    <w:rsid w:val="4A834A22"/>
    <w:rsid w:val="4A8815D3"/>
    <w:rsid w:val="4A9454F9"/>
    <w:rsid w:val="4A972DF7"/>
    <w:rsid w:val="4A985F30"/>
    <w:rsid w:val="4A992274"/>
    <w:rsid w:val="4AAA2276"/>
    <w:rsid w:val="4AAD1B66"/>
    <w:rsid w:val="4AB64534"/>
    <w:rsid w:val="4AB731AE"/>
    <w:rsid w:val="4AB80380"/>
    <w:rsid w:val="4AC0752C"/>
    <w:rsid w:val="4AC66642"/>
    <w:rsid w:val="4AC7411F"/>
    <w:rsid w:val="4AD37353"/>
    <w:rsid w:val="4ADA20A4"/>
    <w:rsid w:val="4ADC6651"/>
    <w:rsid w:val="4AE2340C"/>
    <w:rsid w:val="4AEB42B2"/>
    <w:rsid w:val="4AFF6999"/>
    <w:rsid w:val="4B1720E1"/>
    <w:rsid w:val="4B21257E"/>
    <w:rsid w:val="4B290FE3"/>
    <w:rsid w:val="4B2F18A2"/>
    <w:rsid w:val="4B306168"/>
    <w:rsid w:val="4B322207"/>
    <w:rsid w:val="4B3B5793"/>
    <w:rsid w:val="4B58050B"/>
    <w:rsid w:val="4B5A25F7"/>
    <w:rsid w:val="4B6A0768"/>
    <w:rsid w:val="4B6B0CBD"/>
    <w:rsid w:val="4B705719"/>
    <w:rsid w:val="4B7B47F9"/>
    <w:rsid w:val="4B9A5CD8"/>
    <w:rsid w:val="4BA563FE"/>
    <w:rsid w:val="4BB77663"/>
    <w:rsid w:val="4BBE2F70"/>
    <w:rsid w:val="4BC4783E"/>
    <w:rsid w:val="4BC54DE5"/>
    <w:rsid w:val="4BD52968"/>
    <w:rsid w:val="4BD91D02"/>
    <w:rsid w:val="4BE2600E"/>
    <w:rsid w:val="4BE57820"/>
    <w:rsid w:val="4BFB7B74"/>
    <w:rsid w:val="4C036F90"/>
    <w:rsid w:val="4C0457A1"/>
    <w:rsid w:val="4C115F9A"/>
    <w:rsid w:val="4C361B10"/>
    <w:rsid w:val="4C3F2C78"/>
    <w:rsid w:val="4C417F01"/>
    <w:rsid w:val="4C42244E"/>
    <w:rsid w:val="4C437DCE"/>
    <w:rsid w:val="4C4C0A3B"/>
    <w:rsid w:val="4C65577D"/>
    <w:rsid w:val="4C6A3121"/>
    <w:rsid w:val="4C6F4A6E"/>
    <w:rsid w:val="4C727CFA"/>
    <w:rsid w:val="4C88081B"/>
    <w:rsid w:val="4C8872A2"/>
    <w:rsid w:val="4C9C19F3"/>
    <w:rsid w:val="4C9F7C88"/>
    <w:rsid w:val="4CA47183"/>
    <w:rsid w:val="4CA97C29"/>
    <w:rsid w:val="4CB7606E"/>
    <w:rsid w:val="4CC254E6"/>
    <w:rsid w:val="4CE94821"/>
    <w:rsid w:val="4CEF795D"/>
    <w:rsid w:val="4CF745DE"/>
    <w:rsid w:val="4CFB4554"/>
    <w:rsid w:val="4CFC57E0"/>
    <w:rsid w:val="4D087B01"/>
    <w:rsid w:val="4D0B58BC"/>
    <w:rsid w:val="4D0C2AD5"/>
    <w:rsid w:val="4D0F1DAD"/>
    <w:rsid w:val="4D135D42"/>
    <w:rsid w:val="4D1A1F72"/>
    <w:rsid w:val="4D2059FA"/>
    <w:rsid w:val="4D2D2A74"/>
    <w:rsid w:val="4D2E29D3"/>
    <w:rsid w:val="4D2E3574"/>
    <w:rsid w:val="4D451B18"/>
    <w:rsid w:val="4D550108"/>
    <w:rsid w:val="4D5679DC"/>
    <w:rsid w:val="4D755736"/>
    <w:rsid w:val="4D8E14B9"/>
    <w:rsid w:val="4DB92102"/>
    <w:rsid w:val="4DBA3E20"/>
    <w:rsid w:val="4DBC5B64"/>
    <w:rsid w:val="4DC679DB"/>
    <w:rsid w:val="4DE61D12"/>
    <w:rsid w:val="4DF1146E"/>
    <w:rsid w:val="4DF82017"/>
    <w:rsid w:val="4E0E661C"/>
    <w:rsid w:val="4E4C57ED"/>
    <w:rsid w:val="4E5505A6"/>
    <w:rsid w:val="4E6B41DE"/>
    <w:rsid w:val="4E810A89"/>
    <w:rsid w:val="4E820BD8"/>
    <w:rsid w:val="4E820C19"/>
    <w:rsid w:val="4E8D729C"/>
    <w:rsid w:val="4E8E1C0C"/>
    <w:rsid w:val="4EA5208F"/>
    <w:rsid w:val="4EAE617F"/>
    <w:rsid w:val="4EBD702F"/>
    <w:rsid w:val="4EC818B0"/>
    <w:rsid w:val="4ECB59F9"/>
    <w:rsid w:val="4ECE1CAC"/>
    <w:rsid w:val="4ED35788"/>
    <w:rsid w:val="4ED4505D"/>
    <w:rsid w:val="4ED65662"/>
    <w:rsid w:val="4EE414BB"/>
    <w:rsid w:val="4EFF65C5"/>
    <w:rsid w:val="4F012E1B"/>
    <w:rsid w:val="4F014784"/>
    <w:rsid w:val="4F0431E6"/>
    <w:rsid w:val="4F1D6A04"/>
    <w:rsid w:val="4F254824"/>
    <w:rsid w:val="4F2658BE"/>
    <w:rsid w:val="4F4736A7"/>
    <w:rsid w:val="4F6463E1"/>
    <w:rsid w:val="4F73155F"/>
    <w:rsid w:val="4F774C49"/>
    <w:rsid w:val="4F7914EF"/>
    <w:rsid w:val="4F7B372A"/>
    <w:rsid w:val="4F84596C"/>
    <w:rsid w:val="4F9174FD"/>
    <w:rsid w:val="4FAD5FDA"/>
    <w:rsid w:val="4FB10142"/>
    <w:rsid w:val="4FC643B6"/>
    <w:rsid w:val="4FCC21D8"/>
    <w:rsid w:val="4FCE7CFE"/>
    <w:rsid w:val="4FD1578E"/>
    <w:rsid w:val="4FD5476C"/>
    <w:rsid w:val="4FD74E04"/>
    <w:rsid w:val="4FE10E76"/>
    <w:rsid w:val="4FEE2189"/>
    <w:rsid w:val="4FF82FCD"/>
    <w:rsid w:val="500029A1"/>
    <w:rsid w:val="50016856"/>
    <w:rsid w:val="5008518B"/>
    <w:rsid w:val="501A73E7"/>
    <w:rsid w:val="502B6EFE"/>
    <w:rsid w:val="50324E90"/>
    <w:rsid w:val="503D27C7"/>
    <w:rsid w:val="503F0BFC"/>
    <w:rsid w:val="50447FC0"/>
    <w:rsid w:val="504C1B11"/>
    <w:rsid w:val="504F0E3F"/>
    <w:rsid w:val="50593A6B"/>
    <w:rsid w:val="505A5A36"/>
    <w:rsid w:val="505F48A5"/>
    <w:rsid w:val="506472D4"/>
    <w:rsid w:val="50744D49"/>
    <w:rsid w:val="507460A4"/>
    <w:rsid w:val="50924AE3"/>
    <w:rsid w:val="5094445D"/>
    <w:rsid w:val="50962F12"/>
    <w:rsid w:val="509838F7"/>
    <w:rsid w:val="50985DED"/>
    <w:rsid w:val="509F2F94"/>
    <w:rsid w:val="50A23A1E"/>
    <w:rsid w:val="50B57EA9"/>
    <w:rsid w:val="50B6453F"/>
    <w:rsid w:val="50BC2B26"/>
    <w:rsid w:val="50BD049E"/>
    <w:rsid w:val="50BD2B55"/>
    <w:rsid w:val="50BE1984"/>
    <w:rsid w:val="50C74763"/>
    <w:rsid w:val="50D141C6"/>
    <w:rsid w:val="50D94FDD"/>
    <w:rsid w:val="50E0336A"/>
    <w:rsid w:val="50E84DEF"/>
    <w:rsid w:val="50F004EF"/>
    <w:rsid w:val="50F115EA"/>
    <w:rsid w:val="50F72C9C"/>
    <w:rsid w:val="50FC0DB6"/>
    <w:rsid w:val="510944D7"/>
    <w:rsid w:val="510C4F82"/>
    <w:rsid w:val="511F2007"/>
    <w:rsid w:val="51271E2F"/>
    <w:rsid w:val="51342CAA"/>
    <w:rsid w:val="51346287"/>
    <w:rsid w:val="51406A38"/>
    <w:rsid w:val="514829E3"/>
    <w:rsid w:val="514B4E4E"/>
    <w:rsid w:val="514C4574"/>
    <w:rsid w:val="514E10F6"/>
    <w:rsid w:val="516578E1"/>
    <w:rsid w:val="51A27E07"/>
    <w:rsid w:val="51A74130"/>
    <w:rsid w:val="51B475E9"/>
    <w:rsid w:val="51BD44CE"/>
    <w:rsid w:val="51CC64BF"/>
    <w:rsid w:val="51D11D27"/>
    <w:rsid w:val="51D135DE"/>
    <w:rsid w:val="51DF2696"/>
    <w:rsid w:val="51F65295"/>
    <w:rsid w:val="51FD3DB6"/>
    <w:rsid w:val="520143BB"/>
    <w:rsid w:val="520C3BB6"/>
    <w:rsid w:val="520D0FB1"/>
    <w:rsid w:val="521A58B8"/>
    <w:rsid w:val="52252174"/>
    <w:rsid w:val="52295AE6"/>
    <w:rsid w:val="522D0E7F"/>
    <w:rsid w:val="523440C6"/>
    <w:rsid w:val="52376072"/>
    <w:rsid w:val="523E4D62"/>
    <w:rsid w:val="525402A0"/>
    <w:rsid w:val="526A01B2"/>
    <w:rsid w:val="526D006E"/>
    <w:rsid w:val="52856670"/>
    <w:rsid w:val="52BF5C92"/>
    <w:rsid w:val="52C2167A"/>
    <w:rsid w:val="52C33D66"/>
    <w:rsid w:val="52C7794C"/>
    <w:rsid w:val="52C8582B"/>
    <w:rsid w:val="52D279CD"/>
    <w:rsid w:val="52D32ADF"/>
    <w:rsid w:val="52E45ACB"/>
    <w:rsid w:val="52F47AFB"/>
    <w:rsid w:val="53071B37"/>
    <w:rsid w:val="530A5973"/>
    <w:rsid w:val="53122BC2"/>
    <w:rsid w:val="531348FB"/>
    <w:rsid w:val="531A77B9"/>
    <w:rsid w:val="53275D3D"/>
    <w:rsid w:val="53285977"/>
    <w:rsid w:val="533354CF"/>
    <w:rsid w:val="53346B96"/>
    <w:rsid w:val="535D5DC8"/>
    <w:rsid w:val="53670B95"/>
    <w:rsid w:val="537A5743"/>
    <w:rsid w:val="537D2360"/>
    <w:rsid w:val="53811E50"/>
    <w:rsid w:val="53894668"/>
    <w:rsid w:val="53980367"/>
    <w:rsid w:val="53B22465"/>
    <w:rsid w:val="53B72F65"/>
    <w:rsid w:val="53BE3989"/>
    <w:rsid w:val="53C02C55"/>
    <w:rsid w:val="53D77AC9"/>
    <w:rsid w:val="53D83751"/>
    <w:rsid w:val="53E2021C"/>
    <w:rsid w:val="53FD2AC2"/>
    <w:rsid w:val="5409404E"/>
    <w:rsid w:val="54134B75"/>
    <w:rsid w:val="54164746"/>
    <w:rsid w:val="541A1764"/>
    <w:rsid w:val="54224729"/>
    <w:rsid w:val="542E2ADC"/>
    <w:rsid w:val="543341B9"/>
    <w:rsid w:val="543D7AC6"/>
    <w:rsid w:val="544B7F7E"/>
    <w:rsid w:val="54501D22"/>
    <w:rsid w:val="546146EB"/>
    <w:rsid w:val="54680D66"/>
    <w:rsid w:val="54685AA1"/>
    <w:rsid w:val="546B156E"/>
    <w:rsid w:val="54730639"/>
    <w:rsid w:val="547D06FB"/>
    <w:rsid w:val="547D14B1"/>
    <w:rsid w:val="54857DDB"/>
    <w:rsid w:val="548C678B"/>
    <w:rsid w:val="54905199"/>
    <w:rsid w:val="54914216"/>
    <w:rsid w:val="549273A9"/>
    <w:rsid w:val="549405C7"/>
    <w:rsid w:val="549D6C55"/>
    <w:rsid w:val="54A379AB"/>
    <w:rsid w:val="54A520AB"/>
    <w:rsid w:val="54A83213"/>
    <w:rsid w:val="54B17DA0"/>
    <w:rsid w:val="54B24092"/>
    <w:rsid w:val="54DC4C6B"/>
    <w:rsid w:val="54E35FFA"/>
    <w:rsid w:val="54EF7DF9"/>
    <w:rsid w:val="54F2448F"/>
    <w:rsid w:val="550B2DC8"/>
    <w:rsid w:val="5511700B"/>
    <w:rsid w:val="551D59AF"/>
    <w:rsid w:val="552C7AFA"/>
    <w:rsid w:val="55322ADD"/>
    <w:rsid w:val="55344AA7"/>
    <w:rsid w:val="554C32B2"/>
    <w:rsid w:val="55501E76"/>
    <w:rsid w:val="55731E3E"/>
    <w:rsid w:val="557E29D7"/>
    <w:rsid w:val="558C5AE7"/>
    <w:rsid w:val="558F2195"/>
    <w:rsid w:val="55900035"/>
    <w:rsid w:val="55A21A11"/>
    <w:rsid w:val="55AF2380"/>
    <w:rsid w:val="55AF798B"/>
    <w:rsid w:val="55C71477"/>
    <w:rsid w:val="55E31D34"/>
    <w:rsid w:val="55ED4967"/>
    <w:rsid w:val="55F350C4"/>
    <w:rsid w:val="55FD1727"/>
    <w:rsid w:val="55FF6E63"/>
    <w:rsid w:val="561405B9"/>
    <w:rsid w:val="56247722"/>
    <w:rsid w:val="56292132"/>
    <w:rsid w:val="562B64B3"/>
    <w:rsid w:val="56342FDD"/>
    <w:rsid w:val="56467B64"/>
    <w:rsid w:val="565626F9"/>
    <w:rsid w:val="565671A2"/>
    <w:rsid w:val="56685CA8"/>
    <w:rsid w:val="566D0271"/>
    <w:rsid w:val="56725887"/>
    <w:rsid w:val="567315FF"/>
    <w:rsid w:val="56740DC7"/>
    <w:rsid w:val="5677558B"/>
    <w:rsid w:val="56A17F1A"/>
    <w:rsid w:val="56AA3219"/>
    <w:rsid w:val="56B55774"/>
    <w:rsid w:val="56BF4844"/>
    <w:rsid w:val="56CA038E"/>
    <w:rsid w:val="56DE4C00"/>
    <w:rsid w:val="56FB3ACE"/>
    <w:rsid w:val="57034731"/>
    <w:rsid w:val="570847EE"/>
    <w:rsid w:val="573270B5"/>
    <w:rsid w:val="57331689"/>
    <w:rsid w:val="57340D8E"/>
    <w:rsid w:val="573B211D"/>
    <w:rsid w:val="574014E1"/>
    <w:rsid w:val="57443B56"/>
    <w:rsid w:val="575F1390"/>
    <w:rsid w:val="57614844"/>
    <w:rsid w:val="576A00D2"/>
    <w:rsid w:val="576A530D"/>
    <w:rsid w:val="577A000D"/>
    <w:rsid w:val="578429F3"/>
    <w:rsid w:val="57923D07"/>
    <w:rsid w:val="57971A40"/>
    <w:rsid w:val="579E4D2D"/>
    <w:rsid w:val="57A24175"/>
    <w:rsid w:val="57B1634D"/>
    <w:rsid w:val="57B75717"/>
    <w:rsid w:val="57C470D2"/>
    <w:rsid w:val="57C540DC"/>
    <w:rsid w:val="57C77E19"/>
    <w:rsid w:val="57C87729"/>
    <w:rsid w:val="57CA488B"/>
    <w:rsid w:val="57CE5051"/>
    <w:rsid w:val="57DB47FB"/>
    <w:rsid w:val="57E9181D"/>
    <w:rsid w:val="58003366"/>
    <w:rsid w:val="580846BB"/>
    <w:rsid w:val="5816050F"/>
    <w:rsid w:val="58201313"/>
    <w:rsid w:val="58205F1A"/>
    <w:rsid w:val="582468CD"/>
    <w:rsid w:val="583074F9"/>
    <w:rsid w:val="583628E4"/>
    <w:rsid w:val="58382B00"/>
    <w:rsid w:val="584C2587"/>
    <w:rsid w:val="585127AA"/>
    <w:rsid w:val="58515970"/>
    <w:rsid w:val="5855720E"/>
    <w:rsid w:val="58603D47"/>
    <w:rsid w:val="586666B0"/>
    <w:rsid w:val="586E702A"/>
    <w:rsid w:val="58951D01"/>
    <w:rsid w:val="589917F1"/>
    <w:rsid w:val="58A61818"/>
    <w:rsid w:val="58BB3CCE"/>
    <w:rsid w:val="58C425E6"/>
    <w:rsid w:val="58C6010C"/>
    <w:rsid w:val="58C63C68"/>
    <w:rsid w:val="58ED5699"/>
    <w:rsid w:val="58F261D0"/>
    <w:rsid w:val="59084281"/>
    <w:rsid w:val="590C6A66"/>
    <w:rsid w:val="59125866"/>
    <w:rsid w:val="5915352F"/>
    <w:rsid w:val="59304651"/>
    <w:rsid w:val="593C3382"/>
    <w:rsid w:val="594352B9"/>
    <w:rsid w:val="59466D98"/>
    <w:rsid w:val="594856C1"/>
    <w:rsid w:val="59486EBB"/>
    <w:rsid w:val="59493AFE"/>
    <w:rsid w:val="594C38F9"/>
    <w:rsid w:val="594C4A1E"/>
    <w:rsid w:val="59510615"/>
    <w:rsid w:val="59567838"/>
    <w:rsid w:val="595A7F21"/>
    <w:rsid w:val="595B6AA6"/>
    <w:rsid w:val="59700D18"/>
    <w:rsid w:val="5970491E"/>
    <w:rsid w:val="597304CA"/>
    <w:rsid w:val="59770819"/>
    <w:rsid w:val="597A0373"/>
    <w:rsid w:val="597C290B"/>
    <w:rsid w:val="598803B1"/>
    <w:rsid w:val="5999312B"/>
    <w:rsid w:val="59A5117A"/>
    <w:rsid w:val="59A937D5"/>
    <w:rsid w:val="59B91A1F"/>
    <w:rsid w:val="59C101B4"/>
    <w:rsid w:val="59D923BD"/>
    <w:rsid w:val="59DB746A"/>
    <w:rsid w:val="59F2154E"/>
    <w:rsid w:val="59F82547"/>
    <w:rsid w:val="59F9295E"/>
    <w:rsid w:val="59F9691A"/>
    <w:rsid w:val="5A012975"/>
    <w:rsid w:val="5A032C9A"/>
    <w:rsid w:val="5A097A39"/>
    <w:rsid w:val="5A112448"/>
    <w:rsid w:val="5A1924BD"/>
    <w:rsid w:val="5A1E417A"/>
    <w:rsid w:val="5A2D3B53"/>
    <w:rsid w:val="5A39156C"/>
    <w:rsid w:val="5A3F0176"/>
    <w:rsid w:val="5A4B061B"/>
    <w:rsid w:val="5A560E10"/>
    <w:rsid w:val="5A616802"/>
    <w:rsid w:val="5A6457FD"/>
    <w:rsid w:val="5A645A7F"/>
    <w:rsid w:val="5A6E45B7"/>
    <w:rsid w:val="5A831ACB"/>
    <w:rsid w:val="5A845B3B"/>
    <w:rsid w:val="5A867B53"/>
    <w:rsid w:val="5A873ECB"/>
    <w:rsid w:val="5A8B5169"/>
    <w:rsid w:val="5A934A0F"/>
    <w:rsid w:val="5A957C98"/>
    <w:rsid w:val="5A971D60"/>
    <w:rsid w:val="5A9E6D6F"/>
    <w:rsid w:val="5AA224B3"/>
    <w:rsid w:val="5AA24261"/>
    <w:rsid w:val="5AA955EF"/>
    <w:rsid w:val="5AAD3771"/>
    <w:rsid w:val="5AAD60EA"/>
    <w:rsid w:val="5AB61166"/>
    <w:rsid w:val="5AB61DE0"/>
    <w:rsid w:val="5ACA5CEF"/>
    <w:rsid w:val="5ADC3C17"/>
    <w:rsid w:val="5AF571A2"/>
    <w:rsid w:val="5AF70A51"/>
    <w:rsid w:val="5AF80325"/>
    <w:rsid w:val="5B072DB6"/>
    <w:rsid w:val="5B1C2265"/>
    <w:rsid w:val="5B233465"/>
    <w:rsid w:val="5B24216F"/>
    <w:rsid w:val="5B303F63"/>
    <w:rsid w:val="5B437CDD"/>
    <w:rsid w:val="5B490C9B"/>
    <w:rsid w:val="5B506B61"/>
    <w:rsid w:val="5B5F0F2E"/>
    <w:rsid w:val="5B5F5F31"/>
    <w:rsid w:val="5B6A7475"/>
    <w:rsid w:val="5B6B4F9B"/>
    <w:rsid w:val="5B6B796C"/>
    <w:rsid w:val="5B6F30EB"/>
    <w:rsid w:val="5B7621D4"/>
    <w:rsid w:val="5B914A01"/>
    <w:rsid w:val="5B9808C1"/>
    <w:rsid w:val="5B9C426A"/>
    <w:rsid w:val="5BB10CB2"/>
    <w:rsid w:val="5BC16A09"/>
    <w:rsid w:val="5BD91122"/>
    <w:rsid w:val="5BFD3CD1"/>
    <w:rsid w:val="5C012CC6"/>
    <w:rsid w:val="5C142F3C"/>
    <w:rsid w:val="5C4A2E02"/>
    <w:rsid w:val="5C503DE0"/>
    <w:rsid w:val="5C5435D1"/>
    <w:rsid w:val="5C5C5BA5"/>
    <w:rsid w:val="5C7D6D34"/>
    <w:rsid w:val="5C8C4702"/>
    <w:rsid w:val="5C927ACB"/>
    <w:rsid w:val="5C943DBC"/>
    <w:rsid w:val="5C997625"/>
    <w:rsid w:val="5C9D1184"/>
    <w:rsid w:val="5CA57080"/>
    <w:rsid w:val="5CA77E21"/>
    <w:rsid w:val="5CB7760A"/>
    <w:rsid w:val="5CCD19E5"/>
    <w:rsid w:val="5CE23DAC"/>
    <w:rsid w:val="5CE73917"/>
    <w:rsid w:val="5D0A73AF"/>
    <w:rsid w:val="5D0B433F"/>
    <w:rsid w:val="5D0E312D"/>
    <w:rsid w:val="5D120F26"/>
    <w:rsid w:val="5D123920"/>
    <w:rsid w:val="5D3D64C3"/>
    <w:rsid w:val="5D3E31E9"/>
    <w:rsid w:val="5D436E42"/>
    <w:rsid w:val="5D4C7D5A"/>
    <w:rsid w:val="5D545A7D"/>
    <w:rsid w:val="5D63667B"/>
    <w:rsid w:val="5D6F2EDA"/>
    <w:rsid w:val="5D77338F"/>
    <w:rsid w:val="5D783847"/>
    <w:rsid w:val="5D8B5480"/>
    <w:rsid w:val="5D9941C1"/>
    <w:rsid w:val="5DA92832"/>
    <w:rsid w:val="5DAE502B"/>
    <w:rsid w:val="5DB915F2"/>
    <w:rsid w:val="5DBC60F3"/>
    <w:rsid w:val="5DCA41FA"/>
    <w:rsid w:val="5DCD5E1E"/>
    <w:rsid w:val="5DDA5440"/>
    <w:rsid w:val="5DDD5947"/>
    <w:rsid w:val="5DDF393D"/>
    <w:rsid w:val="5DDF6E4E"/>
    <w:rsid w:val="5DFA49E0"/>
    <w:rsid w:val="5DFC31B0"/>
    <w:rsid w:val="5E0314BA"/>
    <w:rsid w:val="5E033C53"/>
    <w:rsid w:val="5E11349C"/>
    <w:rsid w:val="5E1D0F80"/>
    <w:rsid w:val="5E3261DA"/>
    <w:rsid w:val="5E341674"/>
    <w:rsid w:val="5E4C1080"/>
    <w:rsid w:val="5E4E1C8A"/>
    <w:rsid w:val="5E4E7BBB"/>
    <w:rsid w:val="5E532442"/>
    <w:rsid w:val="5E5D7A78"/>
    <w:rsid w:val="5E736640"/>
    <w:rsid w:val="5E736FCD"/>
    <w:rsid w:val="5E7423B8"/>
    <w:rsid w:val="5E8274BA"/>
    <w:rsid w:val="5E8E347A"/>
    <w:rsid w:val="5E930A90"/>
    <w:rsid w:val="5E960581"/>
    <w:rsid w:val="5E9F11E3"/>
    <w:rsid w:val="5EA53C9A"/>
    <w:rsid w:val="5EAA5DDA"/>
    <w:rsid w:val="5EBC7F37"/>
    <w:rsid w:val="5EBD3D5F"/>
    <w:rsid w:val="5ED36C86"/>
    <w:rsid w:val="5EDA60B0"/>
    <w:rsid w:val="5EE35A57"/>
    <w:rsid w:val="5EFD5F0A"/>
    <w:rsid w:val="5F021772"/>
    <w:rsid w:val="5F13397F"/>
    <w:rsid w:val="5F1645A7"/>
    <w:rsid w:val="5F2636B2"/>
    <w:rsid w:val="5F2C50FF"/>
    <w:rsid w:val="5F50072F"/>
    <w:rsid w:val="5F627459"/>
    <w:rsid w:val="5F6979AC"/>
    <w:rsid w:val="5F6A54DD"/>
    <w:rsid w:val="5F7A39FE"/>
    <w:rsid w:val="5F8108E9"/>
    <w:rsid w:val="5F815969"/>
    <w:rsid w:val="5F887EC9"/>
    <w:rsid w:val="5F893C41"/>
    <w:rsid w:val="5F8B4FA7"/>
    <w:rsid w:val="5F9571F8"/>
    <w:rsid w:val="5F9B72D1"/>
    <w:rsid w:val="5F9C1BC7"/>
    <w:rsid w:val="5FAB005C"/>
    <w:rsid w:val="5FAB0A44"/>
    <w:rsid w:val="5FB34738"/>
    <w:rsid w:val="5FB82D7C"/>
    <w:rsid w:val="5FB83E82"/>
    <w:rsid w:val="5FB95E1C"/>
    <w:rsid w:val="5FBE4BB4"/>
    <w:rsid w:val="5FC25705"/>
    <w:rsid w:val="5FC85F82"/>
    <w:rsid w:val="5FCB3FE5"/>
    <w:rsid w:val="5FE33352"/>
    <w:rsid w:val="5FED772C"/>
    <w:rsid w:val="5FF97EAE"/>
    <w:rsid w:val="600C5381"/>
    <w:rsid w:val="60155C27"/>
    <w:rsid w:val="60162D11"/>
    <w:rsid w:val="601A6070"/>
    <w:rsid w:val="60226F8B"/>
    <w:rsid w:val="6025591D"/>
    <w:rsid w:val="6042276E"/>
    <w:rsid w:val="60477ABF"/>
    <w:rsid w:val="604B06AE"/>
    <w:rsid w:val="60526566"/>
    <w:rsid w:val="60575E97"/>
    <w:rsid w:val="605F72F5"/>
    <w:rsid w:val="6062696C"/>
    <w:rsid w:val="60765F74"/>
    <w:rsid w:val="607F756F"/>
    <w:rsid w:val="60822B6A"/>
    <w:rsid w:val="608D7B10"/>
    <w:rsid w:val="609805E0"/>
    <w:rsid w:val="60982996"/>
    <w:rsid w:val="60C53D01"/>
    <w:rsid w:val="60C9018D"/>
    <w:rsid w:val="60D96503"/>
    <w:rsid w:val="60EC26DA"/>
    <w:rsid w:val="61007F33"/>
    <w:rsid w:val="61012C93"/>
    <w:rsid w:val="61053FC5"/>
    <w:rsid w:val="610C088E"/>
    <w:rsid w:val="6118702B"/>
    <w:rsid w:val="613B0F6B"/>
    <w:rsid w:val="614A03E6"/>
    <w:rsid w:val="61531A50"/>
    <w:rsid w:val="61532201"/>
    <w:rsid w:val="6155027F"/>
    <w:rsid w:val="61572249"/>
    <w:rsid w:val="61651210"/>
    <w:rsid w:val="61666018"/>
    <w:rsid w:val="616B46BB"/>
    <w:rsid w:val="617B6EE4"/>
    <w:rsid w:val="619B5D77"/>
    <w:rsid w:val="619C7C5C"/>
    <w:rsid w:val="61AF3E33"/>
    <w:rsid w:val="61B10243"/>
    <w:rsid w:val="61BB2DD9"/>
    <w:rsid w:val="61C00B2F"/>
    <w:rsid w:val="61C6117D"/>
    <w:rsid w:val="61CC7F6D"/>
    <w:rsid w:val="61DD1B9A"/>
    <w:rsid w:val="61E136F6"/>
    <w:rsid w:val="61F323CC"/>
    <w:rsid w:val="61F4426B"/>
    <w:rsid w:val="61F83805"/>
    <w:rsid w:val="62022776"/>
    <w:rsid w:val="62083BCC"/>
    <w:rsid w:val="620B070F"/>
    <w:rsid w:val="620E0D6B"/>
    <w:rsid w:val="621C6FEF"/>
    <w:rsid w:val="62256C85"/>
    <w:rsid w:val="6250596E"/>
    <w:rsid w:val="62574D95"/>
    <w:rsid w:val="62586747"/>
    <w:rsid w:val="626C60B7"/>
    <w:rsid w:val="627325F5"/>
    <w:rsid w:val="62746498"/>
    <w:rsid w:val="6290313E"/>
    <w:rsid w:val="62922E0D"/>
    <w:rsid w:val="62982A5C"/>
    <w:rsid w:val="62A36DC8"/>
    <w:rsid w:val="62A41769"/>
    <w:rsid w:val="62B611F1"/>
    <w:rsid w:val="62B965EC"/>
    <w:rsid w:val="62BE1E54"/>
    <w:rsid w:val="62CB6D60"/>
    <w:rsid w:val="62D00ABF"/>
    <w:rsid w:val="62F154C5"/>
    <w:rsid w:val="62F45876"/>
    <w:rsid w:val="62FD0A5D"/>
    <w:rsid w:val="630831EC"/>
    <w:rsid w:val="63162338"/>
    <w:rsid w:val="63184704"/>
    <w:rsid w:val="632036E4"/>
    <w:rsid w:val="63232EB3"/>
    <w:rsid w:val="63267478"/>
    <w:rsid w:val="633D315E"/>
    <w:rsid w:val="63466965"/>
    <w:rsid w:val="63517786"/>
    <w:rsid w:val="636724EC"/>
    <w:rsid w:val="636B5B38"/>
    <w:rsid w:val="636C365E"/>
    <w:rsid w:val="637052D7"/>
    <w:rsid w:val="637F5A87"/>
    <w:rsid w:val="6388739F"/>
    <w:rsid w:val="638931FB"/>
    <w:rsid w:val="63954DAA"/>
    <w:rsid w:val="63A70B3A"/>
    <w:rsid w:val="63A948B2"/>
    <w:rsid w:val="63AB062A"/>
    <w:rsid w:val="63AB1A91"/>
    <w:rsid w:val="63AC6354"/>
    <w:rsid w:val="63B76FCF"/>
    <w:rsid w:val="63C74AA3"/>
    <w:rsid w:val="63C96D02"/>
    <w:rsid w:val="63D47B81"/>
    <w:rsid w:val="63D87748"/>
    <w:rsid w:val="63DE2EEF"/>
    <w:rsid w:val="63E94CAF"/>
    <w:rsid w:val="63F16145"/>
    <w:rsid w:val="64024CFF"/>
    <w:rsid w:val="64156999"/>
    <w:rsid w:val="64177A6E"/>
    <w:rsid w:val="641D22DD"/>
    <w:rsid w:val="64306CAD"/>
    <w:rsid w:val="6445580E"/>
    <w:rsid w:val="644A1BF1"/>
    <w:rsid w:val="645B3151"/>
    <w:rsid w:val="64616F3B"/>
    <w:rsid w:val="646A170C"/>
    <w:rsid w:val="646C6303"/>
    <w:rsid w:val="64701038"/>
    <w:rsid w:val="647629E6"/>
    <w:rsid w:val="647948A0"/>
    <w:rsid w:val="64797A3F"/>
    <w:rsid w:val="64815AEE"/>
    <w:rsid w:val="64874BF3"/>
    <w:rsid w:val="64885DC6"/>
    <w:rsid w:val="648937A8"/>
    <w:rsid w:val="648B1BA9"/>
    <w:rsid w:val="648D0F64"/>
    <w:rsid w:val="649449E8"/>
    <w:rsid w:val="649D5D6D"/>
    <w:rsid w:val="64A101E4"/>
    <w:rsid w:val="64A9391A"/>
    <w:rsid w:val="64B259E8"/>
    <w:rsid w:val="64D77B16"/>
    <w:rsid w:val="64F1465A"/>
    <w:rsid w:val="6501677B"/>
    <w:rsid w:val="650A5434"/>
    <w:rsid w:val="650A75D2"/>
    <w:rsid w:val="651B17E0"/>
    <w:rsid w:val="651E27DC"/>
    <w:rsid w:val="654725D5"/>
    <w:rsid w:val="65570D94"/>
    <w:rsid w:val="65574C16"/>
    <w:rsid w:val="655D3BA6"/>
    <w:rsid w:val="65660CAD"/>
    <w:rsid w:val="656F7088"/>
    <w:rsid w:val="65744A4C"/>
    <w:rsid w:val="657A4758"/>
    <w:rsid w:val="65834ED7"/>
    <w:rsid w:val="658904F7"/>
    <w:rsid w:val="65927DA1"/>
    <w:rsid w:val="6593581A"/>
    <w:rsid w:val="65B7553F"/>
    <w:rsid w:val="65BC5BDE"/>
    <w:rsid w:val="65CC6636"/>
    <w:rsid w:val="65D3678B"/>
    <w:rsid w:val="65DB69B9"/>
    <w:rsid w:val="65E142CF"/>
    <w:rsid w:val="65F16DEF"/>
    <w:rsid w:val="65FF5B93"/>
    <w:rsid w:val="66081715"/>
    <w:rsid w:val="661B00EA"/>
    <w:rsid w:val="661D360B"/>
    <w:rsid w:val="661F4E41"/>
    <w:rsid w:val="662A7F2C"/>
    <w:rsid w:val="664352B9"/>
    <w:rsid w:val="66523C3F"/>
    <w:rsid w:val="665C126F"/>
    <w:rsid w:val="666B1717"/>
    <w:rsid w:val="66776086"/>
    <w:rsid w:val="66805D9E"/>
    <w:rsid w:val="66820F47"/>
    <w:rsid w:val="668A782A"/>
    <w:rsid w:val="66AC710E"/>
    <w:rsid w:val="66B07CC1"/>
    <w:rsid w:val="66B14B24"/>
    <w:rsid w:val="66B27D18"/>
    <w:rsid w:val="66B912B0"/>
    <w:rsid w:val="66C80429"/>
    <w:rsid w:val="66D1442C"/>
    <w:rsid w:val="66D47E7F"/>
    <w:rsid w:val="66D64E5B"/>
    <w:rsid w:val="66DD089D"/>
    <w:rsid w:val="66F0016C"/>
    <w:rsid w:val="66FB2BD0"/>
    <w:rsid w:val="66FC2971"/>
    <w:rsid w:val="670008EB"/>
    <w:rsid w:val="67184229"/>
    <w:rsid w:val="671F1859"/>
    <w:rsid w:val="672506F4"/>
    <w:rsid w:val="67262B05"/>
    <w:rsid w:val="674E513F"/>
    <w:rsid w:val="67610E75"/>
    <w:rsid w:val="677178CC"/>
    <w:rsid w:val="677977BA"/>
    <w:rsid w:val="678966A9"/>
    <w:rsid w:val="6796514D"/>
    <w:rsid w:val="679D31F9"/>
    <w:rsid w:val="679D3BF4"/>
    <w:rsid w:val="67A07D7A"/>
    <w:rsid w:val="67B57CC9"/>
    <w:rsid w:val="67B6759E"/>
    <w:rsid w:val="67E071EA"/>
    <w:rsid w:val="67E20393"/>
    <w:rsid w:val="67EC1211"/>
    <w:rsid w:val="67FA392E"/>
    <w:rsid w:val="67FC4971"/>
    <w:rsid w:val="68150768"/>
    <w:rsid w:val="681F3E12"/>
    <w:rsid w:val="68221BAF"/>
    <w:rsid w:val="682D62D9"/>
    <w:rsid w:val="6837248C"/>
    <w:rsid w:val="683E4ABF"/>
    <w:rsid w:val="68407C19"/>
    <w:rsid w:val="685143BC"/>
    <w:rsid w:val="68542A0A"/>
    <w:rsid w:val="68555008"/>
    <w:rsid w:val="68555296"/>
    <w:rsid w:val="686139AD"/>
    <w:rsid w:val="686C1E80"/>
    <w:rsid w:val="687513EA"/>
    <w:rsid w:val="687B1504"/>
    <w:rsid w:val="689079C3"/>
    <w:rsid w:val="6892679C"/>
    <w:rsid w:val="68945B31"/>
    <w:rsid w:val="68C01904"/>
    <w:rsid w:val="68CF0917"/>
    <w:rsid w:val="68D56910"/>
    <w:rsid w:val="68EA05E8"/>
    <w:rsid w:val="68EF70C5"/>
    <w:rsid w:val="68F22D9F"/>
    <w:rsid w:val="69162C86"/>
    <w:rsid w:val="69165641"/>
    <w:rsid w:val="69212D91"/>
    <w:rsid w:val="69214083"/>
    <w:rsid w:val="693B7D5A"/>
    <w:rsid w:val="69456B9A"/>
    <w:rsid w:val="69481344"/>
    <w:rsid w:val="695700E3"/>
    <w:rsid w:val="697C146C"/>
    <w:rsid w:val="6980516E"/>
    <w:rsid w:val="698B51FD"/>
    <w:rsid w:val="69944F4D"/>
    <w:rsid w:val="69960468"/>
    <w:rsid w:val="69A109AD"/>
    <w:rsid w:val="69CE55F7"/>
    <w:rsid w:val="69D5796F"/>
    <w:rsid w:val="69DE3A33"/>
    <w:rsid w:val="69F101EA"/>
    <w:rsid w:val="69F448E4"/>
    <w:rsid w:val="6A090874"/>
    <w:rsid w:val="6A0F6D29"/>
    <w:rsid w:val="6A1E4A89"/>
    <w:rsid w:val="6A206086"/>
    <w:rsid w:val="6A333127"/>
    <w:rsid w:val="6A3F0B90"/>
    <w:rsid w:val="6A3F71AB"/>
    <w:rsid w:val="6A407F9F"/>
    <w:rsid w:val="6A4B3FF0"/>
    <w:rsid w:val="6A4D5F32"/>
    <w:rsid w:val="6A4E3ABD"/>
    <w:rsid w:val="6A4F30DD"/>
    <w:rsid w:val="6A5D65D9"/>
    <w:rsid w:val="6A614FD5"/>
    <w:rsid w:val="6A722F0B"/>
    <w:rsid w:val="6A761B9C"/>
    <w:rsid w:val="6A7A4D5B"/>
    <w:rsid w:val="6A7B141D"/>
    <w:rsid w:val="6A8641CC"/>
    <w:rsid w:val="6A881C38"/>
    <w:rsid w:val="6A9F256B"/>
    <w:rsid w:val="6AA47B81"/>
    <w:rsid w:val="6AC034F3"/>
    <w:rsid w:val="6AC92749"/>
    <w:rsid w:val="6AC96987"/>
    <w:rsid w:val="6ACF15BF"/>
    <w:rsid w:val="6AD42C61"/>
    <w:rsid w:val="6AE14092"/>
    <w:rsid w:val="6AEA323D"/>
    <w:rsid w:val="6AF07997"/>
    <w:rsid w:val="6AF5032D"/>
    <w:rsid w:val="6AFB2812"/>
    <w:rsid w:val="6AFF182D"/>
    <w:rsid w:val="6B016D82"/>
    <w:rsid w:val="6B032C8C"/>
    <w:rsid w:val="6B07445D"/>
    <w:rsid w:val="6B0845B4"/>
    <w:rsid w:val="6B120F8F"/>
    <w:rsid w:val="6B264A3A"/>
    <w:rsid w:val="6B3569BE"/>
    <w:rsid w:val="6B3637EA"/>
    <w:rsid w:val="6B3A1CE8"/>
    <w:rsid w:val="6B3E4E41"/>
    <w:rsid w:val="6B4D49EF"/>
    <w:rsid w:val="6B565CD0"/>
    <w:rsid w:val="6B5E2426"/>
    <w:rsid w:val="6B6D4417"/>
    <w:rsid w:val="6B7022D0"/>
    <w:rsid w:val="6B7B5422"/>
    <w:rsid w:val="6B852192"/>
    <w:rsid w:val="6B925A32"/>
    <w:rsid w:val="6B9C4F5E"/>
    <w:rsid w:val="6BA83728"/>
    <w:rsid w:val="6BAC4113"/>
    <w:rsid w:val="6BE02E3B"/>
    <w:rsid w:val="6BE13B5E"/>
    <w:rsid w:val="6BE31674"/>
    <w:rsid w:val="6BE852C7"/>
    <w:rsid w:val="6BE95EA9"/>
    <w:rsid w:val="6BEA6094"/>
    <w:rsid w:val="6BEF4116"/>
    <w:rsid w:val="6C0D76BF"/>
    <w:rsid w:val="6C114575"/>
    <w:rsid w:val="6C184383"/>
    <w:rsid w:val="6C2930DC"/>
    <w:rsid w:val="6C32337D"/>
    <w:rsid w:val="6C3E2214"/>
    <w:rsid w:val="6C467142"/>
    <w:rsid w:val="6C4D48CD"/>
    <w:rsid w:val="6C5A499B"/>
    <w:rsid w:val="6C635F46"/>
    <w:rsid w:val="6C7C0DB6"/>
    <w:rsid w:val="6C8202CD"/>
    <w:rsid w:val="6C875645"/>
    <w:rsid w:val="6C89702F"/>
    <w:rsid w:val="6C961621"/>
    <w:rsid w:val="6C9D5038"/>
    <w:rsid w:val="6CB26586"/>
    <w:rsid w:val="6CBB7DE1"/>
    <w:rsid w:val="6CC445CB"/>
    <w:rsid w:val="6CD042ED"/>
    <w:rsid w:val="6CDF30F3"/>
    <w:rsid w:val="6CE54BAD"/>
    <w:rsid w:val="6CF01775"/>
    <w:rsid w:val="6CFB62C0"/>
    <w:rsid w:val="6D026DE8"/>
    <w:rsid w:val="6D0316B2"/>
    <w:rsid w:val="6D0E1321"/>
    <w:rsid w:val="6D104BE0"/>
    <w:rsid w:val="6D10513E"/>
    <w:rsid w:val="6D132371"/>
    <w:rsid w:val="6D1B450F"/>
    <w:rsid w:val="6D396CA7"/>
    <w:rsid w:val="6D3E250F"/>
    <w:rsid w:val="6D3F3B91"/>
    <w:rsid w:val="6D487B73"/>
    <w:rsid w:val="6D4B1E5A"/>
    <w:rsid w:val="6D4F63E5"/>
    <w:rsid w:val="6D5E70E9"/>
    <w:rsid w:val="6D6729D8"/>
    <w:rsid w:val="6D6E09F2"/>
    <w:rsid w:val="6D71561E"/>
    <w:rsid w:val="6D852386"/>
    <w:rsid w:val="6D887DB6"/>
    <w:rsid w:val="6D920165"/>
    <w:rsid w:val="6DAE4919"/>
    <w:rsid w:val="6DAF51BB"/>
    <w:rsid w:val="6DBD67AE"/>
    <w:rsid w:val="6DDD7632"/>
    <w:rsid w:val="6DDE1B84"/>
    <w:rsid w:val="6DF453C2"/>
    <w:rsid w:val="6E3363CE"/>
    <w:rsid w:val="6E3C316F"/>
    <w:rsid w:val="6E456275"/>
    <w:rsid w:val="6E475DDD"/>
    <w:rsid w:val="6E4E1C3F"/>
    <w:rsid w:val="6E4E36BD"/>
    <w:rsid w:val="6E4E6782"/>
    <w:rsid w:val="6E6127F4"/>
    <w:rsid w:val="6E631ECC"/>
    <w:rsid w:val="6E697118"/>
    <w:rsid w:val="6E7206C2"/>
    <w:rsid w:val="6E755ABD"/>
    <w:rsid w:val="6E7A0642"/>
    <w:rsid w:val="6E880670"/>
    <w:rsid w:val="6EBD7D11"/>
    <w:rsid w:val="6EC002E5"/>
    <w:rsid w:val="6EC46A44"/>
    <w:rsid w:val="6EC64ECD"/>
    <w:rsid w:val="6ECD2CED"/>
    <w:rsid w:val="6ED66BFA"/>
    <w:rsid w:val="6ED722D3"/>
    <w:rsid w:val="6EE1422E"/>
    <w:rsid w:val="6F1743AC"/>
    <w:rsid w:val="6F2B4C6D"/>
    <w:rsid w:val="6F433E0D"/>
    <w:rsid w:val="6F5C1867"/>
    <w:rsid w:val="6F5C3F48"/>
    <w:rsid w:val="6F60676D"/>
    <w:rsid w:val="6F61462B"/>
    <w:rsid w:val="6F6D6714"/>
    <w:rsid w:val="6F841802"/>
    <w:rsid w:val="6F9C2017"/>
    <w:rsid w:val="6F9F13EF"/>
    <w:rsid w:val="6FAB550E"/>
    <w:rsid w:val="6FB62831"/>
    <w:rsid w:val="6FC2450B"/>
    <w:rsid w:val="6FC36CFC"/>
    <w:rsid w:val="6FCA64CD"/>
    <w:rsid w:val="6FCF744E"/>
    <w:rsid w:val="6FDD600F"/>
    <w:rsid w:val="6FE112C4"/>
    <w:rsid w:val="6FE9448A"/>
    <w:rsid w:val="6FF069FB"/>
    <w:rsid w:val="6FFB0619"/>
    <w:rsid w:val="6FFD7D02"/>
    <w:rsid w:val="70020E6A"/>
    <w:rsid w:val="700A0487"/>
    <w:rsid w:val="70160472"/>
    <w:rsid w:val="701A60AC"/>
    <w:rsid w:val="701A70E6"/>
    <w:rsid w:val="702149D3"/>
    <w:rsid w:val="7021684B"/>
    <w:rsid w:val="70217D0F"/>
    <w:rsid w:val="703674CE"/>
    <w:rsid w:val="7056241A"/>
    <w:rsid w:val="70613296"/>
    <w:rsid w:val="70707AA0"/>
    <w:rsid w:val="707B2CB1"/>
    <w:rsid w:val="707B3132"/>
    <w:rsid w:val="70952588"/>
    <w:rsid w:val="709669EB"/>
    <w:rsid w:val="709F1517"/>
    <w:rsid w:val="70A02B99"/>
    <w:rsid w:val="70A34833"/>
    <w:rsid w:val="70A43D4A"/>
    <w:rsid w:val="70BE0CFD"/>
    <w:rsid w:val="70D34D1C"/>
    <w:rsid w:val="70D56048"/>
    <w:rsid w:val="70DA3248"/>
    <w:rsid w:val="70EB67C6"/>
    <w:rsid w:val="70F33611"/>
    <w:rsid w:val="71025602"/>
    <w:rsid w:val="71027F8C"/>
    <w:rsid w:val="71145A61"/>
    <w:rsid w:val="71155335"/>
    <w:rsid w:val="711772FF"/>
    <w:rsid w:val="7117773C"/>
    <w:rsid w:val="712A4901"/>
    <w:rsid w:val="712B0F99"/>
    <w:rsid w:val="712D744C"/>
    <w:rsid w:val="71357785"/>
    <w:rsid w:val="71391F94"/>
    <w:rsid w:val="714479C8"/>
    <w:rsid w:val="714B51FB"/>
    <w:rsid w:val="715C7408"/>
    <w:rsid w:val="715D7335"/>
    <w:rsid w:val="71705DEE"/>
    <w:rsid w:val="717159EA"/>
    <w:rsid w:val="71763E5A"/>
    <w:rsid w:val="71777D9E"/>
    <w:rsid w:val="71777F8A"/>
    <w:rsid w:val="71810C1C"/>
    <w:rsid w:val="7185070D"/>
    <w:rsid w:val="719340CC"/>
    <w:rsid w:val="71950224"/>
    <w:rsid w:val="71A36DE5"/>
    <w:rsid w:val="71A412EF"/>
    <w:rsid w:val="71B106B0"/>
    <w:rsid w:val="71B61A42"/>
    <w:rsid w:val="71BB267E"/>
    <w:rsid w:val="71C32243"/>
    <w:rsid w:val="71D94178"/>
    <w:rsid w:val="71E258E0"/>
    <w:rsid w:val="71E450CA"/>
    <w:rsid w:val="71EA7F5E"/>
    <w:rsid w:val="71EC42E8"/>
    <w:rsid w:val="71F435DD"/>
    <w:rsid w:val="71F773F9"/>
    <w:rsid w:val="720723CB"/>
    <w:rsid w:val="72137E38"/>
    <w:rsid w:val="721F7D69"/>
    <w:rsid w:val="7225336C"/>
    <w:rsid w:val="722C5F6E"/>
    <w:rsid w:val="724B68D9"/>
    <w:rsid w:val="725400DF"/>
    <w:rsid w:val="725E62FA"/>
    <w:rsid w:val="72860473"/>
    <w:rsid w:val="728C686A"/>
    <w:rsid w:val="7299364D"/>
    <w:rsid w:val="72AB41A3"/>
    <w:rsid w:val="72C16C93"/>
    <w:rsid w:val="72C708F5"/>
    <w:rsid w:val="72D66A82"/>
    <w:rsid w:val="72D67597"/>
    <w:rsid w:val="72E2393D"/>
    <w:rsid w:val="72E43D31"/>
    <w:rsid w:val="72EE22E1"/>
    <w:rsid w:val="72FF6E9B"/>
    <w:rsid w:val="73027148"/>
    <w:rsid w:val="7305147C"/>
    <w:rsid w:val="731A30F8"/>
    <w:rsid w:val="733777E5"/>
    <w:rsid w:val="733A7EE8"/>
    <w:rsid w:val="735A55D3"/>
    <w:rsid w:val="73621B80"/>
    <w:rsid w:val="736305DA"/>
    <w:rsid w:val="7375174D"/>
    <w:rsid w:val="73795D83"/>
    <w:rsid w:val="73850D73"/>
    <w:rsid w:val="738B56FD"/>
    <w:rsid w:val="739F2E93"/>
    <w:rsid w:val="739F35DC"/>
    <w:rsid w:val="73A60FE9"/>
    <w:rsid w:val="73C06788"/>
    <w:rsid w:val="73DC213A"/>
    <w:rsid w:val="73DE1B70"/>
    <w:rsid w:val="73E22FE9"/>
    <w:rsid w:val="73FC458A"/>
    <w:rsid w:val="74001F87"/>
    <w:rsid w:val="74073A63"/>
    <w:rsid w:val="741378E4"/>
    <w:rsid w:val="741B0EB4"/>
    <w:rsid w:val="741E09A4"/>
    <w:rsid w:val="743138C9"/>
    <w:rsid w:val="74432CA1"/>
    <w:rsid w:val="74454183"/>
    <w:rsid w:val="74493C73"/>
    <w:rsid w:val="74497E8D"/>
    <w:rsid w:val="744F70D5"/>
    <w:rsid w:val="7468055C"/>
    <w:rsid w:val="746B1062"/>
    <w:rsid w:val="74957A1D"/>
    <w:rsid w:val="74976F8C"/>
    <w:rsid w:val="749C28D6"/>
    <w:rsid w:val="74A335AC"/>
    <w:rsid w:val="74A466A3"/>
    <w:rsid w:val="74AB66DC"/>
    <w:rsid w:val="74AC2DBE"/>
    <w:rsid w:val="74B4279D"/>
    <w:rsid w:val="74C57CD7"/>
    <w:rsid w:val="74C959EF"/>
    <w:rsid w:val="74D226D8"/>
    <w:rsid w:val="74D951DD"/>
    <w:rsid w:val="74DB2B99"/>
    <w:rsid w:val="74DE3355"/>
    <w:rsid w:val="74E47465"/>
    <w:rsid w:val="74EC53F9"/>
    <w:rsid w:val="74F273DA"/>
    <w:rsid w:val="74F600B5"/>
    <w:rsid w:val="74F6722B"/>
    <w:rsid w:val="750958EA"/>
    <w:rsid w:val="75102AF5"/>
    <w:rsid w:val="751328C1"/>
    <w:rsid w:val="751955D7"/>
    <w:rsid w:val="751C1B98"/>
    <w:rsid w:val="752B3379"/>
    <w:rsid w:val="753F1C14"/>
    <w:rsid w:val="754B45FC"/>
    <w:rsid w:val="754C4FE3"/>
    <w:rsid w:val="754D6952"/>
    <w:rsid w:val="755D3FA7"/>
    <w:rsid w:val="75662603"/>
    <w:rsid w:val="757047DD"/>
    <w:rsid w:val="75780005"/>
    <w:rsid w:val="75790588"/>
    <w:rsid w:val="75A650F5"/>
    <w:rsid w:val="75B23A9A"/>
    <w:rsid w:val="75BA7DC9"/>
    <w:rsid w:val="75BC09DA"/>
    <w:rsid w:val="75C158E1"/>
    <w:rsid w:val="75D752AF"/>
    <w:rsid w:val="75F8173D"/>
    <w:rsid w:val="75FB13BD"/>
    <w:rsid w:val="75FE15A4"/>
    <w:rsid w:val="76087EFE"/>
    <w:rsid w:val="76120095"/>
    <w:rsid w:val="761756AB"/>
    <w:rsid w:val="76277FE4"/>
    <w:rsid w:val="762F3987"/>
    <w:rsid w:val="762F4303"/>
    <w:rsid w:val="763146BA"/>
    <w:rsid w:val="763C17CD"/>
    <w:rsid w:val="763E0E8A"/>
    <w:rsid w:val="7651209F"/>
    <w:rsid w:val="76625186"/>
    <w:rsid w:val="76694515"/>
    <w:rsid w:val="7671183A"/>
    <w:rsid w:val="76795A9A"/>
    <w:rsid w:val="76850BE3"/>
    <w:rsid w:val="76853091"/>
    <w:rsid w:val="768E7AAD"/>
    <w:rsid w:val="769D37DC"/>
    <w:rsid w:val="76AD1FDF"/>
    <w:rsid w:val="76AF483A"/>
    <w:rsid w:val="76C61386"/>
    <w:rsid w:val="76CC46E8"/>
    <w:rsid w:val="76D56664"/>
    <w:rsid w:val="76DB0DCF"/>
    <w:rsid w:val="76DF1C08"/>
    <w:rsid w:val="76E81AE6"/>
    <w:rsid w:val="77075720"/>
    <w:rsid w:val="770802F0"/>
    <w:rsid w:val="771025D4"/>
    <w:rsid w:val="77131639"/>
    <w:rsid w:val="771816DB"/>
    <w:rsid w:val="77196438"/>
    <w:rsid w:val="77237002"/>
    <w:rsid w:val="77326AF1"/>
    <w:rsid w:val="77342D6F"/>
    <w:rsid w:val="77383B2B"/>
    <w:rsid w:val="773B467C"/>
    <w:rsid w:val="774D3A7A"/>
    <w:rsid w:val="775B5775"/>
    <w:rsid w:val="775E0D1F"/>
    <w:rsid w:val="776655B0"/>
    <w:rsid w:val="77672B54"/>
    <w:rsid w:val="77794B8C"/>
    <w:rsid w:val="777B5097"/>
    <w:rsid w:val="777E00C3"/>
    <w:rsid w:val="777E55F4"/>
    <w:rsid w:val="77820DEB"/>
    <w:rsid w:val="7792671F"/>
    <w:rsid w:val="7797445D"/>
    <w:rsid w:val="77986D62"/>
    <w:rsid w:val="779B2CD1"/>
    <w:rsid w:val="77A015C8"/>
    <w:rsid w:val="77A836A9"/>
    <w:rsid w:val="77A92E90"/>
    <w:rsid w:val="77B15DA9"/>
    <w:rsid w:val="77B21B30"/>
    <w:rsid w:val="77B358A8"/>
    <w:rsid w:val="77B650A0"/>
    <w:rsid w:val="77CE0481"/>
    <w:rsid w:val="77D25D2E"/>
    <w:rsid w:val="77E141C3"/>
    <w:rsid w:val="77EC7456"/>
    <w:rsid w:val="77EE7D89"/>
    <w:rsid w:val="77EF0483"/>
    <w:rsid w:val="77F9150C"/>
    <w:rsid w:val="78094BF6"/>
    <w:rsid w:val="780D6D66"/>
    <w:rsid w:val="78131205"/>
    <w:rsid w:val="78177BE5"/>
    <w:rsid w:val="781911C5"/>
    <w:rsid w:val="781A279F"/>
    <w:rsid w:val="782F5811"/>
    <w:rsid w:val="78384A59"/>
    <w:rsid w:val="78393FFF"/>
    <w:rsid w:val="783B343E"/>
    <w:rsid w:val="784A2663"/>
    <w:rsid w:val="784A43B3"/>
    <w:rsid w:val="784A620C"/>
    <w:rsid w:val="785030F6"/>
    <w:rsid w:val="78581051"/>
    <w:rsid w:val="786228CD"/>
    <w:rsid w:val="786678A8"/>
    <w:rsid w:val="786F0FB8"/>
    <w:rsid w:val="78714DF4"/>
    <w:rsid w:val="78756296"/>
    <w:rsid w:val="7882338A"/>
    <w:rsid w:val="78911745"/>
    <w:rsid w:val="789C633C"/>
    <w:rsid w:val="78A91184"/>
    <w:rsid w:val="78B20233"/>
    <w:rsid w:val="78B47B29"/>
    <w:rsid w:val="78CC6C21"/>
    <w:rsid w:val="78CF4963"/>
    <w:rsid w:val="78D81857"/>
    <w:rsid w:val="78E74845"/>
    <w:rsid w:val="78FC0536"/>
    <w:rsid w:val="78FE7954"/>
    <w:rsid w:val="7903264F"/>
    <w:rsid w:val="79150CBA"/>
    <w:rsid w:val="79297BCF"/>
    <w:rsid w:val="79315979"/>
    <w:rsid w:val="793B6981"/>
    <w:rsid w:val="795831E5"/>
    <w:rsid w:val="7967694A"/>
    <w:rsid w:val="796E7E54"/>
    <w:rsid w:val="79756315"/>
    <w:rsid w:val="79765CDA"/>
    <w:rsid w:val="799040F2"/>
    <w:rsid w:val="79A47621"/>
    <w:rsid w:val="79AA18D2"/>
    <w:rsid w:val="79AD6A52"/>
    <w:rsid w:val="79BD6141"/>
    <w:rsid w:val="79C56A19"/>
    <w:rsid w:val="79C842E0"/>
    <w:rsid w:val="79C8563A"/>
    <w:rsid w:val="79CD4C69"/>
    <w:rsid w:val="79D957CA"/>
    <w:rsid w:val="79DA621C"/>
    <w:rsid w:val="79DA711C"/>
    <w:rsid w:val="79E13BA8"/>
    <w:rsid w:val="79ED729C"/>
    <w:rsid w:val="7A0A78E3"/>
    <w:rsid w:val="7A1211D1"/>
    <w:rsid w:val="7A311FA1"/>
    <w:rsid w:val="7A364577"/>
    <w:rsid w:val="7A450F4C"/>
    <w:rsid w:val="7A5151BE"/>
    <w:rsid w:val="7A54735F"/>
    <w:rsid w:val="7A681FA7"/>
    <w:rsid w:val="7A6963D8"/>
    <w:rsid w:val="7A884DCA"/>
    <w:rsid w:val="7A9F1D9B"/>
    <w:rsid w:val="7AA21823"/>
    <w:rsid w:val="7AA7070E"/>
    <w:rsid w:val="7AA900DE"/>
    <w:rsid w:val="7AA936C9"/>
    <w:rsid w:val="7AB12D4C"/>
    <w:rsid w:val="7AB4796D"/>
    <w:rsid w:val="7AC450ED"/>
    <w:rsid w:val="7ACA7190"/>
    <w:rsid w:val="7AD37F76"/>
    <w:rsid w:val="7AEE4FAA"/>
    <w:rsid w:val="7AF771AA"/>
    <w:rsid w:val="7B05641A"/>
    <w:rsid w:val="7B0F7299"/>
    <w:rsid w:val="7B1448AF"/>
    <w:rsid w:val="7B16480F"/>
    <w:rsid w:val="7B190BA4"/>
    <w:rsid w:val="7B2A3951"/>
    <w:rsid w:val="7B36137C"/>
    <w:rsid w:val="7B38234C"/>
    <w:rsid w:val="7B3A4E9F"/>
    <w:rsid w:val="7B615D46"/>
    <w:rsid w:val="7B6F5B5B"/>
    <w:rsid w:val="7B7415FA"/>
    <w:rsid w:val="7B765886"/>
    <w:rsid w:val="7B767496"/>
    <w:rsid w:val="7B7C4D25"/>
    <w:rsid w:val="7B7D4202"/>
    <w:rsid w:val="7B7F3871"/>
    <w:rsid w:val="7B893C25"/>
    <w:rsid w:val="7B8B5C40"/>
    <w:rsid w:val="7B90640C"/>
    <w:rsid w:val="7B922E29"/>
    <w:rsid w:val="7B98728E"/>
    <w:rsid w:val="7B9C6D7F"/>
    <w:rsid w:val="7BC24F1F"/>
    <w:rsid w:val="7BD31291"/>
    <w:rsid w:val="7BD94735"/>
    <w:rsid w:val="7BE23EB3"/>
    <w:rsid w:val="7BFA1CF7"/>
    <w:rsid w:val="7C0861C2"/>
    <w:rsid w:val="7C0F4B17"/>
    <w:rsid w:val="7C26489A"/>
    <w:rsid w:val="7C397E67"/>
    <w:rsid w:val="7C3A2FA7"/>
    <w:rsid w:val="7C5840BF"/>
    <w:rsid w:val="7C5E4034"/>
    <w:rsid w:val="7C9909ED"/>
    <w:rsid w:val="7C9C2291"/>
    <w:rsid w:val="7CA27D9F"/>
    <w:rsid w:val="7CA56991"/>
    <w:rsid w:val="7CA71E0B"/>
    <w:rsid w:val="7CB85E09"/>
    <w:rsid w:val="7CBB1486"/>
    <w:rsid w:val="7CC0084B"/>
    <w:rsid w:val="7CC548D0"/>
    <w:rsid w:val="7CCE2197"/>
    <w:rsid w:val="7CCF13DD"/>
    <w:rsid w:val="7CD15C25"/>
    <w:rsid w:val="7CE46978"/>
    <w:rsid w:val="7CE81B50"/>
    <w:rsid w:val="7CF0254C"/>
    <w:rsid w:val="7CFA743F"/>
    <w:rsid w:val="7CFD713B"/>
    <w:rsid w:val="7CFE3A42"/>
    <w:rsid w:val="7CFF1519"/>
    <w:rsid w:val="7D036A82"/>
    <w:rsid w:val="7D0830DF"/>
    <w:rsid w:val="7D0F508E"/>
    <w:rsid w:val="7D17450A"/>
    <w:rsid w:val="7D1F60A0"/>
    <w:rsid w:val="7D20753B"/>
    <w:rsid w:val="7D2B7EDD"/>
    <w:rsid w:val="7D2D7769"/>
    <w:rsid w:val="7D342FE7"/>
    <w:rsid w:val="7D387BFF"/>
    <w:rsid w:val="7D3F099E"/>
    <w:rsid w:val="7D4B01E2"/>
    <w:rsid w:val="7D533A52"/>
    <w:rsid w:val="7D5B43D0"/>
    <w:rsid w:val="7D5E0064"/>
    <w:rsid w:val="7D6243C6"/>
    <w:rsid w:val="7D76523E"/>
    <w:rsid w:val="7D781E69"/>
    <w:rsid w:val="7D7B5075"/>
    <w:rsid w:val="7D832173"/>
    <w:rsid w:val="7D8950E1"/>
    <w:rsid w:val="7D8A3C14"/>
    <w:rsid w:val="7D8C5B06"/>
    <w:rsid w:val="7D934401"/>
    <w:rsid w:val="7D94262F"/>
    <w:rsid w:val="7D953960"/>
    <w:rsid w:val="7D9579CF"/>
    <w:rsid w:val="7D961406"/>
    <w:rsid w:val="7DA02A62"/>
    <w:rsid w:val="7DB83C18"/>
    <w:rsid w:val="7DC17FCF"/>
    <w:rsid w:val="7DCB394B"/>
    <w:rsid w:val="7DE069AC"/>
    <w:rsid w:val="7DFF0E02"/>
    <w:rsid w:val="7E070C8C"/>
    <w:rsid w:val="7E0C521E"/>
    <w:rsid w:val="7E0E7E19"/>
    <w:rsid w:val="7E1840CC"/>
    <w:rsid w:val="7E1964D0"/>
    <w:rsid w:val="7E303249"/>
    <w:rsid w:val="7E37760E"/>
    <w:rsid w:val="7E4C5F6D"/>
    <w:rsid w:val="7E555123"/>
    <w:rsid w:val="7E557656"/>
    <w:rsid w:val="7E6416AA"/>
    <w:rsid w:val="7E844BCE"/>
    <w:rsid w:val="7E8D660B"/>
    <w:rsid w:val="7E992085"/>
    <w:rsid w:val="7EAA127C"/>
    <w:rsid w:val="7EB47F46"/>
    <w:rsid w:val="7EB94600"/>
    <w:rsid w:val="7ECF7C45"/>
    <w:rsid w:val="7ED82860"/>
    <w:rsid w:val="7EDC7492"/>
    <w:rsid w:val="7EE051D4"/>
    <w:rsid w:val="7EE34CC4"/>
    <w:rsid w:val="7EE34DA7"/>
    <w:rsid w:val="7EF251F3"/>
    <w:rsid w:val="7EF45DB1"/>
    <w:rsid w:val="7EFD2358"/>
    <w:rsid w:val="7EFE2453"/>
    <w:rsid w:val="7EFF5324"/>
    <w:rsid w:val="7F03165A"/>
    <w:rsid w:val="7F077A20"/>
    <w:rsid w:val="7F077BC2"/>
    <w:rsid w:val="7F09267A"/>
    <w:rsid w:val="7F2A644F"/>
    <w:rsid w:val="7F2B23E6"/>
    <w:rsid w:val="7F2B4123"/>
    <w:rsid w:val="7F314142"/>
    <w:rsid w:val="7F3426C9"/>
    <w:rsid w:val="7F394D98"/>
    <w:rsid w:val="7F3E0944"/>
    <w:rsid w:val="7F3E5DC7"/>
    <w:rsid w:val="7F4C3E66"/>
    <w:rsid w:val="7F5C2ED4"/>
    <w:rsid w:val="7F5D2D05"/>
    <w:rsid w:val="7F7A3A4D"/>
    <w:rsid w:val="7F8A3D01"/>
    <w:rsid w:val="7F8C2C66"/>
    <w:rsid w:val="7F9C4EBD"/>
    <w:rsid w:val="7FA06711"/>
    <w:rsid w:val="7FAD310E"/>
    <w:rsid w:val="7FC97C6A"/>
    <w:rsid w:val="7FCD6742"/>
    <w:rsid w:val="7FE40CF4"/>
    <w:rsid w:val="7FE546A7"/>
    <w:rsid w:val="7FE864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semiHidden="0"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qFormat="1" w:unhideWhenUsed="0" w:uiPriority="99" w:semiHidden="0" w:name="table of figures"/>
    <w:lsdException w:uiPriority="99" w:name="envelope address" w:locked="1"/>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65"/>
    <w:autoRedefine/>
    <w:qFormat/>
    <w:uiPriority w:val="99"/>
    <w:pPr>
      <w:keepNext/>
      <w:keepLines/>
      <w:spacing w:line="440" w:lineRule="exact"/>
      <w:jc w:val="center"/>
      <w:outlineLvl w:val="0"/>
    </w:pPr>
    <w:rPr>
      <w:b/>
      <w:bCs/>
      <w:kern w:val="44"/>
      <w:sz w:val="44"/>
      <w:szCs w:val="44"/>
    </w:rPr>
  </w:style>
  <w:style w:type="paragraph" w:styleId="7">
    <w:name w:val="heading 2"/>
    <w:basedOn w:val="1"/>
    <w:next w:val="1"/>
    <w:link w:val="66"/>
    <w:autoRedefine/>
    <w:qFormat/>
    <w:uiPriority w:val="99"/>
    <w:pPr>
      <w:keepNext/>
      <w:keepLines/>
      <w:spacing w:line="440" w:lineRule="exact"/>
      <w:jc w:val="left"/>
      <w:outlineLvl w:val="1"/>
    </w:pPr>
    <w:rPr>
      <w:rFonts w:ascii="Arial" w:hAnsi="Arial" w:eastAsia="黑体"/>
      <w:b/>
      <w:bCs/>
      <w:szCs w:val="32"/>
    </w:rPr>
  </w:style>
  <w:style w:type="paragraph" w:styleId="8">
    <w:name w:val="heading 3"/>
    <w:basedOn w:val="1"/>
    <w:next w:val="1"/>
    <w:link w:val="67"/>
    <w:autoRedefine/>
    <w:qFormat/>
    <w:uiPriority w:val="99"/>
    <w:pPr>
      <w:keepNext/>
      <w:keepLines/>
      <w:spacing w:line="415" w:lineRule="auto"/>
      <w:outlineLvl w:val="2"/>
    </w:pPr>
    <w:rPr>
      <w:b/>
      <w:bCs/>
      <w:kern w:val="0"/>
      <w:sz w:val="32"/>
      <w:szCs w:val="32"/>
    </w:rPr>
  </w:style>
  <w:style w:type="paragraph" w:styleId="9">
    <w:name w:val="heading 4"/>
    <w:basedOn w:val="1"/>
    <w:next w:val="1"/>
    <w:link w:val="68"/>
    <w:autoRedefine/>
    <w:qFormat/>
    <w:uiPriority w:val="99"/>
    <w:pPr>
      <w:keepNext/>
      <w:keepLines/>
      <w:spacing w:line="374" w:lineRule="auto"/>
      <w:outlineLvl w:val="3"/>
    </w:pPr>
    <w:rPr>
      <w:rFonts w:ascii="Arial" w:hAnsi="Arial" w:eastAsia="黑体"/>
      <w:b/>
      <w:bCs/>
      <w:sz w:val="28"/>
      <w:szCs w:val="28"/>
    </w:rPr>
  </w:style>
  <w:style w:type="paragraph" w:styleId="10">
    <w:name w:val="heading 5"/>
    <w:basedOn w:val="1"/>
    <w:next w:val="1"/>
    <w:link w:val="69"/>
    <w:autoRedefine/>
    <w:qFormat/>
    <w:uiPriority w:val="99"/>
    <w:pPr>
      <w:keepNext/>
      <w:keepLines/>
      <w:spacing w:line="376" w:lineRule="auto"/>
      <w:outlineLvl w:val="4"/>
    </w:pPr>
    <w:rPr>
      <w:b/>
      <w:bCs/>
      <w:sz w:val="28"/>
      <w:szCs w:val="28"/>
    </w:rPr>
  </w:style>
  <w:style w:type="paragraph" w:styleId="11">
    <w:name w:val="heading 6"/>
    <w:basedOn w:val="1"/>
    <w:next w:val="1"/>
    <w:link w:val="70"/>
    <w:autoRedefine/>
    <w:qFormat/>
    <w:uiPriority w:val="99"/>
    <w:pPr>
      <w:keepNext/>
      <w:keepLines/>
      <w:widowControl/>
      <w:tabs>
        <w:tab w:val="left" w:pos="1440"/>
      </w:tabs>
      <w:spacing w:line="319" w:lineRule="auto"/>
      <w:ind w:left="1152" w:hanging="1152"/>
      <w:jc w:val="left"/>
      <w:outlineLvl w:val="5"/>
    </w:pPr>
    <w:rPr>
      <w:rFonts w:ascii="Arial" w:hAnsi="Arial" w:eastAsia="黑体"/>
      <w:b/>
      <w:bCs/>
      <w:kern w:val="0"/>
      <w:sz w:val="24"/>
    </w:rPr>
  </w:style>
  <w:style w:type="paragraph" w:styleId="12">
    <w:name w:val="heading 7"/>
    <w:basedOn w:val="1"/>
    <w:next w:val="1"/>
    <w:link w:val="71"/>
    <w:autoRedefine/>
    <w:qFormat/>
    <w:uiPriority w:val="99"/>
    <w:pPr>
      <w:keepNext/>
      <w:keepLines/>
      <w:widowControl/>
      <w:tabs>
        <w:tab w:val="left" w:pos="2520"/>
      </w:tabs>
      <w:spacing w:line="319" w:lineRule="auto"/>
      <w:ind w:left="1296" w:hanging="1296"/>
      <w:jc w:val="left"/>
      <w:outlineLvl w:val="6"/>
    </w:pPr>
    <w:rPr>
      <w:b/>
      <w:bCs/>
      <w:kern w:val="0"/>
      <w:sz w:val="24"/>
    </w:rPr>
  </w:style>
  <w:style w:type="paragraph" w:styleId="13">
    <w:name w:val="heading 8"/>
    <w:basedOn w:val="1"/>
    <w:next w:val="1"/>
    <w:link w:val="72"/>
    <w:autoRedefine/>
    <w:qFormat/>
    <w:uiPriority w:val="99"/>
    <w:pPr>
      <w:keepNext/>
      <w:keepLines/>
      <w:widowControl/>
      <w:tabs>
        <w:tab w:val="left" w:pos="1440"/>
      </w:tabs>
      <w:spacing w:line="319" w:lineRule="auto"/>
      <w:ind w:left="1440" w:hanging="1440"/>
      <w:jc w:val="left"/>
      <w:outlineLvl w:val="7"/>
    </w:pPr>
    <w:rPr>
      <w:rFonts w:ascii="Arial" w:hAnsi="Arial" w:eastAsia="黑体"/>
      <w:kern w:val="0"/>
      <w:sz w:val="24"/>
    </w:rPr>
  </w:style>
  <w:style w:type="paragraph" w:styleId="14">
    <w:name w:val="heading 9"/>
    <w:basedOn w:val="1"/>
    <w:next w:val="1"/>
    <w:link w:val="73"/>
    <w:autoRedefine/>
    <w:qFormat/>
    <w:uiPriority w:val="99"/>
    <w:pPr>
      <w:keepNext/>
      <w:keepLines/>
      <w:widowControl/>
      <w:tabs>
        <w:tab w:val="left" w:pos="1584"/>
      </w:tabs>
      <w:spacing w:line="319" w:lineRule="auto"/>
      <w:ind w:left="1584" w:hanging="1584"/>
      <w:jc w:val="left"/>
      <w:outlineLvl w:val="8"/>
    </w:pPr>
    <w:rPr>
      <w:rFonts w:ascii="Arial" w:hAnsi="Arial" w:eastAsia="黑体"/>
      <w:kern w:val="0"/>
      <w:szCs w:val="21"/>
    </w:rPr>
  </w:style>
  <w:style w:type="character" w:default="1" w:styleId="47">
    <w:name w:val="Default Paragraph Font"/>
    <w:autoRedefine/>
    <w:semiHidden/>
    <w:qFormat/>
    <w:uiPriority w:val="99"/>
  </w:style>
  <w:style w:type="table" w:default="1" w:styleId="4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link w:val="75"/>
    <w:autoRedefine/>
    <w:qFormat/>
    <w:uiPriority w:val="99"/>
    <w:pPr>
      <w:spacing w:line="360" w:lineRule="auto"/>
      <w:ind w:firstLine="200" w:firstLineChars="200"/>
    </w:pPr>
    <w:rPr>
      <w:rFonts w:ascii="宋体"/>
      <w:szCs w:val="20"/>
    </w:rPr>
  </w:style>
  <w:style w:type="paragraph" w:styleId="3">
    <w:name w:val="Body Text Indent"/>
    <w:basedOn w:val="1"/>
    <w:next w:val="4"/>
    <w:link w:val="74"/>
    <w:autoRedefine/>
    <w:qFormat/>
    <w:uiPriority w:val="99"/>
    <w:pPr>
      <w:ind w:left="420" w:leftChars="200"/>
    </w:pPr>
  </w:style>
  <w:style w:type="paragraph" w:styleId="4">
    <w:name w:val="envelope return"/>
    <w:basedOn w:val="1"/>
    <w:next w:val="5"/>
    <w:autoRedefine/>
    <w:qFormat/>
    <w:uiPriority w:val="99"/>
    <w:pPr>
      <w:snapToGrid w:val="0"/>
    </w:pPr>
    <w:rPr>
      <w:rFonts w:ascii="Arial" w:hAnsi="Arial"/>
    </w:rPr>
  </w:style>
  <w:style w:type="paragraph" w:styleId="5">
    <w:name w:val="toc 7"/>
    <w:basedOn w:val="1"/>
    <w:next w:val="1"/>
    <w:autoRedefine/>
    <w:qFormat/>
    <w:uiPriority w:val="99"/>
    <w:pPr>
      <w:ind w:left="1260"/>
      <w:jc w:val="left"/>
    </w:pPr>
    <w:rPr>
      <w:sz w:val="18"/>
      <w:szCs w:val="18"/>
    </w:rPr>
  </w:style>
  <w:style w:type="paragraph" w:styleId="15">
    <w:name w:val="Normal Indent"/>
    <w:basedOn w:val="1"/>
    <w:autoRedefine/>
    <w:qFormat/>
    <w:uiPriority w:val="99"/>
    <w:pPr>
      <w:ind w:firstLine="420" w:firstLineChars="200"/>
    </w:pPr>
  </w:style>
  <w:style w:type="paragraph" w:styleId="16">
    <w:name w:val="Document Map"/>
    <w:basedOn w:val="1"/>
    <w:link w:val="76"/>
    <w:autoRedefine/>
    <w:qFormat/>
    <w:uiPriority w:val="99"/>
    <w:pPr>
      <w:shd w:val="clear" w:color="auto" w:fill="000080"/>
    </w:pPr>
  </w:style>
  <w:style w:type="paragraph" w:styleId="17">
    <w:name w:val="annotation text"/>
    <w:basedOn w:val="1"/>
    <w:link w:val="77"/>
    <w:autoRedefine/>
    <w:qFormat/>
    <w:uiPriority w:val="99"/>
    <w:pPr>
      <w:jc w:val="left"/>
    </w:pPr>
  </w:style>
  <w:style w:type="paragraph" w:styleId="18">
    <w:name w:val="Body Text 3"/>
    <w:basedOn w:val="1"/>
    <w:link w:val="78"/>
    <w:autoRedefine/>
    <w:qFormat/>
    <w:uiPriority w:val="99"/>
    <w:rPr>
      <w:rFonts w:ascii="宋体"/>
      <w:sz w:val="24"/>
      <w:szCs w:val="20"/>
    </w:rPr>
  </w:style>
  <w:style w:type="paragraph" w:styleId="19">
    <w:name w:val="Body Text"/>
    <w:basedOn w:val="1"/>
    <w:link w:val="79"/>
    <w:autoRedefine/>
    <w:qFormat/>
    <w:uiPriority w:val="99"/>
  </w:style>
  <w:style w:type="paragraph" w:styleId="20">
    <w:name w:val="Block Text"/>
    <w:basedOn w:val="1"/>
    <w:autoRedefine/>
    <w:qFormat/>
    <w:uiPriority w:val="99"/>
    <w:pPr>
      <w:spacing w:line="400" w:lineRule="exact"/>
      <w:ind w:left="-359" w:leftChars="-171" w:right="31" w:rightChars="15" w:firstLine="980" w:firstLineChars="350"/>
    </w:pPr>
    <w:rPr>
      <w:rFonts w:ascii="宋体" w:hAnsi="宋体"/>
      <w:sz w:val="28"/>
      <w:szCs w:val="32"/>
    </w:rPr>
  </w:style>
  <w:style w:type="paragraph" w:styleId="21">
    <w:name w:val="toc 5"/>
    <w:basedOn w:val="1"/>
    <w:next w:val="1"/>
    <w:autoRedefine/>
    <w:qFormat/>
    <w:uiPriority w:val="99"/>
    <w:pPr>
      <w:ind w:left="840"/>
      <w:jc w:val="left"/>
    </w:pPr>
    <w:rPr>
      <w:sz w:val="18"/>
      <w:szCs w:val="18"/>
    </w:rPr>
  </w:style>
  <w:style w:type="paragraph" w:styleId="22">
    <w:name w:val="toc 3"/>
    <w:basedOn w:val="1"/>
    <w:next w:val="1"/>
    <w:autoRedefine/>
    <w:qFormat/>
    <w:uiPriority w:val="99"/>
    <w:pPr>
      <w:ind w:left="420"/>
      <w:jc w:val="left"/>
    </w:pPr>
    <w:rPr>
      <w:i/>
      <w:iCs/>
      <w:sz w:val="20"/>
      <w:szCs w:val="20"/>
    </w:rPr>
  </w:style>
  <w:style w:type="paragraph" w:styleId="23">
    <w:name w:val="Plain Text"/>
    <w:basedOn w:val="1"/>
    <w:link w:val="80"/>
    <w:autoRedefine/>
    <w:qFormat/>
    <w:uiPriority w:val="99"/>
    <w:rPr>
      <w:rFonts w:ascii="Courier New" w:hAnsi="Courier New"/>
      <w:szCs w:val="20"/>
    </w:rPr>
  </w:style>
  <w:style w:type="paragraph" w:styleId="24">
    <w:name w:val="toc 8"/>
    <w:basedOn w:val="1"/>
    <w:next w:val="1"/>
    <w:autoRedefine/>
    <w:qFormat/>
    <w:uiPriority w:val="99"/>
    <w:pPr>
      <w:ind w:left="1470"/>
      <w:jc w:val="left"/>
    </w:pPr>
    <w:rPr>
      <w:sz w:val="18"/>
      <w:szCs w:val="18"/>
    </w:rPr>
  </w:style>
  <w:style w:type="paragraph" w:styleId="25">
    <w:name w:val="Date"/>
    <w:basedOn w:val="1"/>
    <w:next w:val="1"/>
    <w:link w:val="81"/>
    <w:autoRedefine/>
    <w:qFormat/>
    <w:uiPriority w:val="99"/>
    <w:rPr>
      <w:sz w:val="24"/>
      <w:szCs w:val="20"/>
    </w:rPr>
  </w:style>
  <w:style w:type="paragraph" w:styleId="26">
    <w:name w:val="Body Text Indent 2"/>
    <w:basedOn w:val="1"/>
    <w:link w:val="82"/>
    <w:autoRedefine/>
    <w:qFormat/>
    <w:uiPriority w:val="99"/>
    <w:pPr>
      <w:spacing w:line="360" w:lineRule="exact"/>
      <w:ind w:firstLine="600" w:firstLineChars="250"/>
      <w:jc w:val="left"/>
    </w:pPr>
    <w:rPr>
      <w:sz w:val="24"/>
    </w:rPr>
  </w:style>
  <w:style w:type="paragraph" w:styleId="27">
    <w:name w:val="Balloon Text"/>
    <w:basedOn w:val="1"/>
    <w:link w:val="83"/>
    <w:autoRedefine/>
    <w:qFormat/>
    <w:uiPriority w:val="99"/>
    <w:rPr>
      <w:sz w:val="18"/>
      <w:szCs w:val="18"/>
    </w:rPr>
  </w:style>
  <w:style w:type="paragraph" w:styleId="28">
    <w:name w:val="footer"/>
    <w:basedOn w:val="1"/>
    <w:link w:val="84"/>
    <w:autoRedefine/>
    <w:qFormat/>
    <w:uiPriority w:val="99"/>
    <w:pPr>
      <w:tabs>
        <w:tab w:val="center" w:pos="4153"/>
        <w:tab w:val="right" w:pos="8306"/>
      </w:tabs>
      <w:snapToGrid w:val="0"/>
      <w:jc w:val="left"/>
    </w:pPr>
    <w:rPr>
      <w:sz w:val="18"/>
      <w:szCs w:val="18"/>
    </w:rPr>
  </w:style>
  <w:style w:type="paragraph" w:styleId="29">
    <w:name w:val="header"/>
    <w:basedOn w:val="1"/>
    <w:link w:val="85"/>
    <w:autoRedefine/>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autoRedefine/>
    <w:qFormat/>
    <w:uiPriority w:val="99"/>
    <w:pPr>
      <w:jc w:val="left"/>
    </w:pPr>
    <w:rPr>
      <w:b/>
      <w:bCs/>
      <w:caps/>
      <w:sz w:val="20"/>
      <w:szCs w:val="20"/>
    </w:rPr>
  </w:style>
  <w:style w:type="paragraph" w:styleId="31">
    <w:name w:val="toc 4"/>
    <w:basedOn w:val="1"/>
    <w:next w:val="1"/>
    <w:autoRedefine/>
    <w:qFormat/>
    <w:uiPriority w:val="99"/>
    <w:pPr>
      <w:ind w:left="630"/>
      <w:jc w:val="left"/>
    </w:pPr>
    <w:rPr>
      <w:sz w:val="18"/>
      <w:szCs w:val="18"/>
    </w:rPr>
  </w:style>
  <w:style w:type="paragraph" w:styleId="32">
    <w:name w:val="List"/>
    <w:basedOn w:val="1"/>
    <w:autoRedefine/>
    <w:qFormat/>
    <w:uiPriority w:val="99"/>
    <w:pPr>
      <w:ind w:left="420" w:hanging="420"/>
    </w:pPr>
  </w:style>
  <w:style w:type="paragraph" w:styleId="33">
    <w:name w:val="footnote text"/>
    <w:basedOn w:val="1"/>
    <w:link w:val="86"/>
    <w:autoRedefine/>
    <w:qFormat/>
    <w:uiPriority w:val="99"/>
    <w:rPr>
      <w:sz w:val="20"/>
      <w:szCs w:val="20"/>
    </w:rPr>
  </w:style>
  <w:style w:type="paragraph" w:styleId="34">
    <w:name w:val="toc 6"/>
    <w:basedOn w:val="1"/>
    <w:next w:val="1"/>
    <w:autoRedefine/>
    <w:qFormat/>
    <w:uiPriority w:val="99"/>
    <w:pPr>
      <w:ind w:left="1050"/>
      <w:jc w:val="left"/>
    </w:pPr>
    <w:rPr>
      <w:sz w:val="18"/>
      <w:szCs w:val="18"/>
    </w:rPr>
  </w:style>
  <w:style w:type="paragraph" w:styleId="35">
    <w:name w:val="Body Text Indent 3"/>
    <w:basedOn w:val="1"/>
    <w:link w:val="87"/>
    <w:autoRedefine/>
    <w:qFormat/>
    <w:uiPriority w:val="99"/>
    <w:pPr>
      <w:ind w:left="420" w:leftChars="200"/>
    </w:pPr>
    <w:rPr>
      <w:sz w:val="16"/>
      <w:szCs w:val="16"/>
    </w:rPr>
  </w:style>
  <w:style w:type="paragraph" w:styleId="36">
    <w:name w:val="table of figures"/>
    <w:basedOn w:val="1"/>
    <w:next w:val="1"/>
    <w:autoRedefine/>
    <w:qFormat/>
    <w:uiPriority w:val="99"/>
    <w:pPr>
      <w:ind w:left="200" w:leftChars="200" w:hanging="200" w:hangingChars="200"/>
    </w:pPr>
  </w:style>
  <w:style w:type="paragraph" w:styleId="37">
    <w:name w:val="toc 2"/>
    <w:basedOn w:val="1"/>
    <w:next w:val="1"/>
    <w:autoRedefine/>
    <w:qFormat/>
    <w:uiPriority w:val="99"/>
    <w:pPr>
      <w:ind w:left="210"/>
      <w:jc w:val="left"/>
    </w:pPr>
    <w:rPr>
      <w:smallCaps/>
      <w:sz w:val="20"/>
      <w:szCs w:val="20"/>
    </w:rPr>
  </w:style>
  <w:style w:type="paragraph" w:styleId="38">
    <w:name w:val="toc 9"/>
    <w:basedOn w:val="1"/>
    <w:next w:val="1"/>
    <w:autoRedefine/>
    <w:qFormat/>
    <w:uiPriority w:val="99"/>
    <w:pPr>
      <w:ind w:left="1680"/>
      <w:jc w:val="left"/>
    </w:pPr>
    <w:rPr>
      <w:sz w:val="18"/>
      <w:szCs w:val="18"/>
    </w:rPr>
  </w:style>
  <w:style w:type="paragraph" w:styleId="39">
    <w:name w:val="Body Text 2"/>
    <w:basedOn w:val="1"/>
    <w:link w:val="88"/>
    <w:autoRedefine/>
    <w:qFormat/>
    <w:uiPriority w:val="99"/>
    <w:pPr>
      <w:spacing w:line="440" w:lineRule="exact"/>
    </w:pPr>
    <w:rPr>
      <w:sz w:val="28"/>
    </w:rPr>
  </w:style>
  <w:style w:type="paragraph" w:styleId="40">
    <w:name w:val="HTML Preformatted"/>
    <w:basedOn w:val="1"/>
    <w:link w:val="89"/>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1">
    <w:name w:val="Normal (Web)"/>
    <w:basedOn w:val="1"/>
    <w:autoRedefine/>
    <w:qFormat/>
    <w:uiPriority w:val="99"/>
    <w:pPr>
      <w:widowControl/>
      <w:spacing w:beforeAutospacing="1" w:afterAutospacing="1"/>
      <w:jc w:val="left"/>
    </w:pPr>
    <w:rPr>
      <w:rFonts w:ascii="宋体" w:hAnsi="宋体" w:cs="宋体"/>
      <w:kern w:val="0"/>
      <w:sz w:val="24"/>
    </w:rPr>
  </w:style>
  <w:style w:type="paragraph" w:styleId="42">
    <w:name w:val="index 1"/>
    <w:basedOn w:val="1"/>
    <w:next w:val="1"/>
    <w:autoRedefine/>
    <w:qFormat/>
    <w:locked/>
    <w:uiPriority w:val="0"/>
    <w:pPr>
      <w:jc w:val="center"/>
    </w:pPr>
    <w:rPr>
      <w:rFonts w:ascii="Arial" w:hAnsi="Arial" w:eastAsia="Arial" w:cs="Arial"/>
      <w:b/>
      <w:bCs/>
      <w:sz w:val="28"/>
    </w:rPr>
  </w:style>
  <w:style w:type="paragraph" w:styleId="43">
    <w:name w:val="Title"/>
    <w:basedOn w:val="1"/>
    <w:next w:val="1"/>
    <w:link w:val="90"/>
    <w:autoRedefine/>
    <w:qFormat/>
    <w:uiPriority w:val="99"/>
    <w:pPr>
      <w:adjustRightInd w:val="0"/>
      <w:spacing w:line="420" w:lineRule="atLeast"/>
      <w:jc w:val="center"/>
      <w:textAlignment w:val="baseline"/>
      <w:outlineLvl w:val="0"/>
    </w:pPr>
    <w:rPr>
      <w:rFonts w:ascii="Arial" w:hAnsi="Arial"/>
      <w:b/>
      <w:kern w:val="0"/>
      <w:sz w:val="32"/>
      <w:szCs w:val="20"/>
    </w:rPr>
  </w:style>
  <w:style w:type="paragraph" w:styleId="44">
    <w:name w:val="annotation subject"/>
    <w:basedOn w:val="17"/>
    <w:next w:val="17"/>
    <w:link w:val="91"/>
    <w:autoRedefine/>
    <w:qFormat/>
    <w:uiPriority w:val="99"/>
    <w:rPr>
      <w:b/>
      <w:bCs/>
    </w:rPr>
  </w:style>
  <w:style w:type="table" w:styleId="46">
    <w:name w:val="Table Grid"/>
    <w:basedOn w:val="45"/>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autoRedefine/>
    <w:qFormat/>
    <w:uiPriority w:val="99"/>
    <w:rPr>
      <w:rFonts w:cs="Times New Roman"/>
      <w:b/>
    </w:rPr>
  </w:style>
  <w:style w:type="character" w:styleId="49">
    <w:name w:val="page number"/>
    <w:basedOn w:val="47"/>
    <w:autoRedefine/>
    <w:qFormat/>
    <w:uiPriority w:val="99"/>
    <w:rPr>
      <w:rFonts w:cs="Times New Roman"/>
    </w:rPr>
  </w:style>
  <w:style w:type="character" w:styleId="50">
    <w:name w:val="FollowedHyperlink"/>
    <w:basedOn w:val="47"/>
    <w:autoRedefine/>
    <w:qFormat/>
    <w:uiPriority w:val="99"/>
    <w:rPr>
      <w:rFonts w:cs="Times New Roman"/>
      <w:color w:val="333333"/>
      <w:u w:val="none"/>
    </w:rPr>
  </w:style>
  <w:style w:type="character" w:styleId="51">
    <w:name w:val="Emphasis"/>
    <w:basedOn w:val="47"/>
    <w:autoRedefine/>
    <w:qFormat/>
    <w:uiPriority w:val="99"/>
    <w:rPr>
      <w:rFonts w:cs="Times New Roman"/>
      <w:color w:val="CC0033"/>
    </w:rPr>
  </w:style>
  <w:style w:type="character" w:styleId="52">
    <w:name w:val="HTML Definition"/>
    <w:basedOn w:val="47"/>
    <w:autoRedefine/>
    <w:qFormat/>
    <w:uiPriority w:val="99"/>
    <w:rPr>
      <w:rFonts w:cs="Times New Roman"/>
    </w:rPr>
  </w:style>
  <w:style w:type="character" w:styleId="53">
    <w:name w:val="HTML Typewriter"/>
    <w:basedOn w:val="47"/>
    <w:autoRedefine/>
    <w:qFormat/>
    <w:uiPriority w:val="99"/>
    <w:rPr>
      <w:rFonts w:ascii="monospace" w:hAnsi="monospace" w:cs="Times New Roman"/>
      <w:sz w:val="20"/>
    </w:rPr>
  </w:style>
  <w:style w:type="character" w:styleId="54">
    <w:name w:val="HTML Acronym"/>
    <w:basedOn w:val="47"/>
    <w:autoRedefine/>
    <w:qFormat/>
    <w:uiPriority w:val="99"/>
    <w:rPr>
      <w:rFonts w:cs="Times New Roman"/>
    </w:rPr>
  </w:style>
  <w:style w:type="character" w:styleId="55">
    <w:name w:val="HTML Variable"/>
    <w:basedOn w:val="47"/>
    <w:autoRedefine/>
    <w:qFormat/>
    <w:uiPriority w:val="99"/>
    <w:rPr>
      <w:rFonts w:cs="Times New Roman"/>
    </w:rPr>
  </w:style>
  <w:style w:type="character" w:styleId="56">
    <w:name w:val="Hyperlink"/>
    <w:basedOn w:val="47"/>
    <w:autoRedefine/>
    <w:qFormat/>
    <w:uiPriority w:val="99"/>
    <w:rPr>
      <w:rFonts w:cs="Times New Roman"/>
      <w:color w:val="333333"/>
      <w:u w:val="none"/>
    </w:rPr>
  </w:style>
  <w:style w:type="character" w:styleId="57">
    <w:name w:val="HTML Code"/>
    <w:basedOn w:val="47"/>
    <w:autoRedefine/>
    <w:qFormat/>
    <w:uiPriority w:val="99"/>
    <w:rPr>
      <w:rFonts w:ascii="monospace" w:hAnsi="monospace" w:cs="Times New Roman"/>
      <w:sz w:val="20"/>
    </w:rPr>
  </w:style>
  <w:style w:type="character" w:styleId="58">
    <w:name w:val="annotation reference"/>
    <w:basedOn w:val="47"/>
    <w:autoRedefine/>
    <w:qFormat/>
    <w:uiPriority w:val="99"/>
    <w:rPr>
      <w:rFonts w:cs="Times New Roman"/>
      <w:sz w:val="21"/>
    </w:rPr>
  </w:style>
  <w:style w:type="character" w:styleId="59">
    <w:name w:val="HTML Cite"/>
    <w:basedOn w:val="47"/>
    <w:autoRedefine/>
    <w:qFormat/>
    <w:uiPriority w:val="99"/>
    <w:rPr>
      <w:rFonts w:cs="Times New Roman"/>
    </w:rPr>
  </w:style>
  <w:style w:type="character" w:styleId="60">
    <w:name w:val="footnote reference"/>
    <w:basedOn w:val="47"/>
    <w:autoRedefine/>
    <w:qFormat/>
    <w:uiPriority w:val="99"/>
    <w:rPr>
      <w:rFonts w:cs="Times New Roman"/>
      <w:vertAlign w:val="superscript"/>
    </w:rPr>
  </w:style>
  <w:style w:type="character" w:styleId="61">
    <w:name w:val="HTML Keyboard"/>
    <w:basedOn w:val="47"/>
    <w:autoRedefine/>
    <w:qFormat/>
    <w:uiPriority w:val="99"/>
    <w:rPr>
      <w:rFonts w:ascii="monospace" w:hAnsi="monospace" w:cs="Times New Roman"/>
      <w:sz w:val="20"/>
    </w:rPr>
  </w:style>
  <w:style w:type="character" w:styleId="62">
    <w:name w:val="HTML Sample"/>
    <w:basedOn w:val="47"/>
    <w:autoRedefine/>
    <w:qFormat/>
    <w:uiPriority w:val="99"/>
    <w:rPr>
      <w:rFonts w:ascii="monospace" w:hAnsi="monospace" w:cs="Times New Roman"/>
    </w:rPr>
  </w:style>
  <w:style w:type="paragraph" w:customStyle="1" w:styleId="63">
    <w:name w:val="正文文字 8"/>
    <w:basedOn w:val="1"/>
    <w:next w:val="1"/>
    <w:autoRedefine/>
    <w:qFormat/>
    <w:uiPriority w:val="99"/>
    <w:pPr>
      <w:ind w:left="240"/>
    </w:pPr>
    <w:rPr>
      <w:sz w:val="16"/>
    </w:rPr>
  </w:style>
  <w:style w:type="paragraph" w:customStyle="1" w:styleId="64">
    <w:name w:val="l正文"/>
    <w:autoRedefine/>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character" w:customStyle="1" w:styleId="65">
    <w:name w:val="Heading 1 Char"/>
    <w:basedOn w:val="47"/>
    <w:link w:val="6"/>
    <w:autoRedefine/>
    <w:qFormat/>
    <w:locked/>
    <w:uiPriority w:val="99"/>
    <w:rPr>
      <w:rFonts w:eastAsia="宋体" w:cs="Times New Roman"/>
      <w:b/>
      <w:kern w:val="44"/>
      <w:sz w:val="44"/>
      <w:lang w:val="en-US" w:eastAsia="zh-CN"/>
    </w:rPr>
  </w:style>
  <w:style w:type="character" w:customStyle="1" w:styleId="66">
    <w:name w:val="Heading 2 Char"/>
    <w:basedOn w:val="47"/>
    <w:link w:val="7"/>
    <w:autoRedefine/>
    <w:qFormat/>
    <w:locked/>
    <w:uiPriority w:val="99"/>
    <w:rPr>
      <w:rFonts w:ascii="Arial" w:hAnsi="Arial" w:eastAsia="黑体" w:cs="Times New Roman"/>
      <w:b/>
      <w:kern w:val="2"/>
      <w:sz w:val="32"/>
      <w:lang w:val="en-US" w:eastAsia="zh-CN"/>
    </w:rPr>
  </w:style>
  <w:style w:type="character" w:customStyle="1" w:styleId="67">
    <w:name w:val="Heading 3 Char"/>
    <w:basedOn w:val="47"/>
    <w:link w:val="8"/>
    <w:autoRedefine/>
    <w:qFormat/>
    <w:locked/>
    <w:uiPriority w:val="99"/>
    <w:rPr>
      <w:rFonts w:cs="Times New Roman"/>
      <w:b/>
      <w:sz w:val="32"/>
    </w:rPr>
  </w:style>
  <w:style w:type="character" w:customStyle="1" w:styleId="68">
    <w:name w:val="Heading 4 Char"/>
    <w:basedOn w:val="47"/>
    <w:link w:val="9"/>
    <w:autoRedefine/>
    <w:semiHidden/>
    <w:qFormat/>
    <w:locked/>
    <w:uiPriority w:val="99"/>
    <w:rPr>
      <w:rFonts w:ascii="Cambria" w:hAnsi="Cambria" w:eastAsia="宋体" w:cs="Times New Roman"/>
      <w:b/>
      <w:bCs/>
      <w:sz w:val="28"/>
      <w:szCs w:val="28"/>
    </w:rPr>
  </w:style>
  <w:style w:type="character" w:customStyle="1" w:styleId="69">
    <w:name w:val="Heading 5 Char"/>
    <w:basedOn w:val="47"/>
    <w:link w:val="10"/>
    <w:autoRedefine/>
    <w:qFormat/>
    <w:locked/>
    <w:uiPriority w:val="99"/>
    <w:rPr>
      <w:rFonts w:cs="Times New Roman"/>
      <w:b/>
      <w:kern w:val="2"/>
      <w:sz w:val="28"/>
    </w:rPr>
  </w:style>
  <w:style w:type="character" w:customStyle="1" w:styleId="70">
    <w:name w:val="Heading 6 Char"/>
    <w:basedOn w:val="47"/>
    <w:link w:val="11"/>
    <w:autoRedefine/>
    <w:semiHidden/>
    <w:qFormat/>
    <w:locked/>
    <w:uiPriority w:val="99"/>
    <w:rPr>
      <w:rFonts w:ascii="Cambria" w:hAnsi="Cambria" w:eastAsia="宋体" w:cs="Times New Roman"/>
      <w:b/>
      <w:bCs/>
      <w:sz w:val="24"/>
      <w:szCs w:val="24"/>
    </w:rPr>
  </w:style>
  <w:style w:type="character" w:customStyle="1" w:styleId="71">
    <w:name w:val="Heading 7 Char"/>
    <w:basedOn w:val="47"/>
    <w:link w:val="12"/>
    <w:autoRedefine/>
    <w:semiHidden/>
    <w:qFormat/>
    <w:locked/>
    <w:uiPriority w:val="99"/>
    <w:rPr>
      <w:rFonts w:cs="Times New Roman"/>
      <w:b/>
      <w:bCs/>
      <w:sz w:val="24"/>
      <w:szCs w:val="24"/>
    </w:rPr>
  </w:style>
  <w:style w:type="character" w:customStyle="1" w:styleId="72">
    <w:name w:val="Heading 8 Char"/>
    <w:basedOn w:val="47"/>
    <w:link w:val="13"/>
    <w:autoRedefine/>
    <w:semiHidden/>
    <w:qFormat/>
    <w:locked/>
    <w:uiPriority w:val="99"/>
    <w:rPr>
      <w:rFonts w:ascii="Cambria" w:hAnsi="Cambria" w:eastAsia="宋体" w:cs="Times New Roman"/>
      <w:sz w:val="24"/>
      <w:szCs w:val="24"/>
    </w:rPr>
  </w:style>
  <w:style w:type="character" w:customStyle="1" w:styleId="73">
    <w:name w:val="Heading 9 Char"/>
    <w:basedOn w:val="47"/>
    <w:link w:val="14"/>
    <w:autoRedefine/>
    <w:semiHidden/>
    <w:qFormat/>
    <w:locked/>
    <w:uiPriority w:val="99"/>
    <w:rPr>
      <w:rFonts w:ascii="Cambria" w:hAnsi="Cambria" w:eastAsia="宋体" w:cs="Times New Roman"/>
      <w:sz w:val="21"/>
      <w:szCs w:val="21"/>
    </w:rPr>
  </w:style>
  <w:style w:type="character" w:customStyle="1" w:styleId="74">
    <w:name w:val="Body Text Indent Char"/>
    <w:basedOn w:val="47"/>
    <w:link w:val="3"/>
    <w:autoRedefine/>
    <w:semiHidden/>
    <w:qFormat/>
    <w:locked/>
    <w:uiPriority w:val="99"/>
    <w:rPr>
      <w:rFonts w:cs="Times New Roman"/>
      <w:sz w:val="24"/>
      <w:szCs w:val="24"/>
    </w:rPr>
  </w:style>
  <w:style w:type="character" w:customStyle="1" w:styleId="75">
    <w:name w:val="Body Text First Indent 2 Char"/>
    <w:basedOn w:val="74"/>
    <w:link w:val="2"/>
    <w:autoRedefine/>
    <w:semiHidden/>
    <w:qFormat/>
    <w:locked/>
    <w:uiPriority w:val="99"/>
  </w:style>
  <w:style w:type="character" w:customStyle="1" w:styleId="76">
    <w:name w:val="Document Map Char"/>
    <w:basedOn w:val="47"/>
    <w:link w:val="16"/>
    <w:autoRedefine/>
    <w:semiHidden/>
    <w:qFormat/>
    <w:locked/>
    <w:uiPriority w:val="99"/>
    <w:rPr>
      <w:rFonts w:cs="Times New Roman"/>
      <w:sz w:val="2"/>
    </w:rPr>
  </w:style>
  <w:style w:type="character" w:customStyle="1" w:styleId="77">
    <w:name w:val="Comment Text Char"/>
    <w:basedOn w:val="47"/>
    <w:link w:val="17"/>
    <w:autoRedefine/>
    <w:qFormat/>
    <w:locked/>
    <w:uiPriority w:val="99"/>
    <w:rPr>
      <w:rFonts w:eastAsia="宋体" w:cs="Times New Roman"/>
      <w:kern w:val="2"/>
      <w:sz w:val="24"/>
      <w:lang w:val="en-US" w:eastAsia="zh-CN"/>
    </w:rPr>
  </w:style>
  <w:style w:type="character" w:customStyle="1" w:styleId="78">
    <w:name w:val="Body Text 3 Char"/>
    <w:basedOn w:val="47"/>
    <w:link w:val="18"/>
    <w:autoRedefine/>
    <w:semiHidden/>
    <w:qFormat/>
    <w:locked/>
    <w:uiPriority w:val="99"/>
    <w:rPr>
      <w:rFonts w:cs="Times New Roman"/>
      <w:sz w:val="16"/>
      <w:szCs w:val="16"/>
    </w:rPr>
  </w:style>
  <w:style w:type="character" w:customStyle="1" w:styleId="79">
    <w:name w:val="Body Text Char"/>
    <w:basedOn w:val="47"/>
    <w:link w:val="19"/>
    <w:autoRedefine/>
    <w:qFormat/>
    <w:locked/>
    <w:uiPriority w:val="99"/>
    <w:rPr>
      <w:rFonts w:eastAsia="宋体" w:cs="Times New Roman"/>
      <w:kern w:val="2"/>
      <w:sz w:val="24"/>
      <w:lang w:val="en-US" w:eastAsia="zh-CN"/>
    </w:rPr>
  </w:style>
  <w:style w:type="character" w:customStyle="1" w:styleId="80">
    <w:name w:val="Plain Text Char"/>
    <w:basedOn w:val="47"/>
    <w:link w:val="23"/>
    <w:autoRedefine/>
    <w:qFormat/>
    <w:locked/>
    <w:uiPriority w:val="99"/>
    <w:rPr>
      <w:rFonts w:ascii="Courier New" w:hAnsi="Courier New" w:eastAsia="宋体" w:cs="Times New Roman"/>
      <w:kern w:val="2"/>
      <w:sz w:val="21"/>
      <w:lang w:val="en-US" w:eastAsia="zh-CN"/>
    </w:rPr>
  </w:style>
  <w:style w:type="character" w:customStyle="1" w:styleId="81">
    <w:name w:val="Date Char"/>
    <w:basedOn w:val="47"/>
    <w:link w:val="25"/>
    <w:autoRedefine/>
    <w:semiHidden/>
    <w:qFormat/>
    <w:locked/>
    <w:uiPriority w:val="99"/>
    <w:rPr>
      <w:rFonts w:cs="Times New Roman"/>
      <w:sz w:val="24"/>
      <w:szCs w:val="24"/>
    </w:rPr>
  </w:style>
  <w:style w:type="character" w:customStyle="1" w:styleId="82">
    <w:name w:val="Body Text Indent 2 Char"/>
    <w:basedOn w:val="47"/>
    <w:link w:val="26"/>
    <w:autoRedefine/>
    <w:semiHidden/>
    <w:qFormat/>
    <w:locked/>
    <w:uiPriority w:val="99"/>
    <w:rPr>
      <w:rFonts w:cs="Times New Roman"/>
      <w:sz w:val="24"/>
      <w:szCs w:val="24"/>
    </w:rPr>
  </w:style>
  <w:style w:type="character" w:customStyle="1" w:styleId="83">
    <w:name w:val="Balloon Text Char"/>
    <w:basedOn w:val="47"/>
    <w:link w:val="27"/>
    <w:autoRedefine/>
    <w:semiHidden/>
    <w:qFormat/>
    <w:locked/>
    <w:uiPriority w:val="99"/>
    <w:rPr>
      <w:rFonts w:cs="Times New Roman"/>
      <w:sz w:val="2"/>
    </w:rPr>
  </w:style>
  <w:style w:type="character" w:customStyle="1" w:styleId="84">
    <w:name w:val="Footer Char"/>
    <w:basedOn w:val="47"/>
    <w:link w:val="28"/>
    <w:autoRedefine/>
    <w:semiHidden/>
    <w:qFormat/>
    <w:locked/>
    <w:uiPriority w:val="99"/>
    <w:rPr>
      <w:rFonts w:cs="Times New Roman"/>
      <w:sz w:val="18"/>
      <w:szCs w:val="18"/>
    </w:rPr>
  </w:style>
  <w:style w:type="character" w:customStyle="1" w:styleId="85">
    <w:name w:val="Header Char"/>
    <w:basedOn w:val="47"/>
    <w:link w:val="29"/>
    <w:autoRedefine/>
    <w:semiHidden/>
    <w:qFormat/>
    <w:locked/>
    <w:uiPriority w:val="99"/>
    <w:rPr>
      <w:rFonts w:cs="Times New Roman"/>
      <w:sz w:val="18"/>
      <w:szCs w:val="18"/>
    </w:rPr>
  </w:style>
  <w:style w:type="character" w:customStyle="1" w:styleId="86">
    <w:name w:val="Footnote Text Char"/>
    <w:basedOn w:val="47"/>
    <w:link w:val="33"/>
    <w:autoRedefine/>
    <w:semiHidden/>
    <w:qFormat/>
    <w:locked/>
    <w:uiPriority w:val="99"/>
    <w:rPr>
      <w:rFonts w:cs="Times New Roman"/>
      <w:sz w:val="18"/>
      <w:szCs w:val="18"/>
    </w:rPr>
  </w:style>
  <w:style w:type="character" w:customStyle="1" w:styleId="87">
    <w:name w:val="Body Text Indent 3 Char"/>
    <w:basedOn w:val="47"/>
    <w:link w:val="35"/>
    <w:autoRedefine/>
    <w:semiHidden/>
    <w:qFormat/>
    <w:locked/>
    <w:uiPriority w:val="99"/>
    <w:rPr>
      <w:rFonts w:cs="Times New Roman"/>
      <w:sz w:val="16"/>
      <w:szCs w:val="16"/>
    </w:rPr>
  </w:style>
  <w:style w:type="character" w:customStyle="1" w:styleId="88">
    <w:name w:val="Body Text 2 Char"/>
    <w:basedOn w:val="47"/>
    <w:link w:val="39"/>
    <w:autoRedefine/>
    <w:semiHidden/>
    <w:qFormat/>
    <w:locked/>
    <w:uiPriority w:val="99"/>
    <w:rPr>
      <w:rFonts w:cs="Times New Roman"/>
      <w:sz w:val="24"/>
      <w:szCs w:val="24"/>
    </w:rPr>
  </w:style>
  <w:style w:type="character" w:customStyle="1" w:styleId="89">
    <w:name w:val="HTML Preformatted Char"/>
    <w:basedOn w:val="47"/>
    <w:link w:val="40"/>
    <w:autoRedefine/>
    <w:qFormat/>
    <w:locked/>
    <w:uiPriority w:val="99"/>
    <w:rPr>
      <w:rFonts w:ascii="宋体" w:eastAsia="宋体" w:cs="Times New Roman"/>
      <w:sz w:val="24"/>
    </w:rPr>
  </w:style>
  <w:style w:type="character" w:customStyle="1" w:styleId="90">
    <w:name w:val="Title Char"/>
    <w:basedOn w:val="47"/>
    <w:link w:val="43"/>
    <w:autoRedefine/>
    <w:qFormat/>
    <w:locked/>
    <w:uiPriority w:val="99"/>
    <w:rPr>
      <w:rFonts w:ascii="Cambria" w:hAnsi="Cambria" w:cs="Times New Roman"/>
      <w:b/>
      <w:bCs/>
      <w:sz w:val="32"/>
      <w:szCs w:val="32"/>
    </w:rPr>
  </w:style>
  <w:style w:type="character" w:customStyle="1" w:styleId="91">
    <w:name w:val="Comment Subject Char"/>
    <w:basedOn w:val="77"/>
    <w:link w:val="44"/>
    <w:autoRedefine/>
    <w:semiHidden/>
    <w:qFormat/>
    <w:locked/>
    <w:uiPriority w:val="99"/>
    <w:rPr>
      <w:b/>
      <w:bCs/>
      <w:szCs w:val="24"/>
    </w:rPr>
  </w:style>
  <w:style w:type="paragraph" w:customStyle="1" w:styleId="92">
    <w:name w:val="List Paragraph1"/>
    <w:basedOn w:val="1"/>
    <w:autoRedefine/>
    <w:qFormat/>
    <w:uiPriority w:val="99"/>
    <w:pPr>
      <w:ind w:firstLine="420" w:firstLineChars="200"/>
    </w:pPr>
  </w:style>
  <w:style w:type="paragraph" w:customStyle="1" w:styleId="93">
    <w:name w:val="_Style 62"/>
    <w:basedOn w:val="1"/>
    <w:next w:val="1"/>
    <w:autoRedefine/>
    <w:qFormat/>
    <w:uiPriority w:val="99"/>
    <w:pPr>
      <w:pBdr>
        <w:top w:val="single" w:color="auto" w:sz="6" w:space="1"/>
      </w:pBdr>
      <w:jc w:val="center"/>
    </w:pPr>
    <w:rPr>
      <w:rFonts w:ascii="Arial"/>
      <w:vanish/>
      <w:sz w:val="16"/>
    </w:rPr>
  </w:style>
  <w:style w:type="paragraph" w:customStyle="1" w:styleId="94">
    <w:name w:val="Blockquote"/>
    <w:basedOn w:val="1"/>
    <w:autoRedefine/>
    <w:qFormat/>
    <w:uiPriority w:val="99"/>
    <w:pPr>
      <w:autoSpaceDE w:val="0"/>
      <w:autoSpaceDN w:val="0"/>
      <w:adjustRightInd w:val="0"/>
      <w:ind w:left="360" w:right="360"/>
      <w:jc w:val="left"/>
    </w:pPr>
    <w:rPr>
      <w:kern w:val="0"/>
      <w:sz w:val="24"/>
      <w:szCs w:val="20"/>
    </w:rPr>
  </w:style>
  <w:style w:type="paragraph" w:customStyle="1" w:styleId="95">
    <w:name w:val="表格"/>
    <w:basedOn w:val="1"/>
    <w:autoRedefine/>
    <w:qFormat/>
    <w:uiPriority w:val="99"/>
    <w:pPr>
      <w:jc w:val="center"/>
      <w:textAlignment w:val="center"/>
    </w:pPr>
    <w:rPr>
      <w:rFonts w:ascii="华文细黑" w:hAnsi="华文细黑"/>
      <w:kern w:val="0"/>
      <w:szCs w:val="20"/>
    </w:rPr>
  </w:style>
  <w:style w:type="paragraph" w:customStyle="1" w:styleId="96">
    <w:name w:val="表格文字"/>
    <w:basedOn w:val="1"/>
    <w:autoRedefine/>
    <w:qFormat/>
    <w:uiPriority w:val="99"/>
    <w:pPr>
      <w:adjustRightInd w:val="0"/>
      <w:spacing w:line="420" w:lineRule="atLeast"/>
      <w:jc w:val="left"/>
      <w:textAlignment w:val="baseline"/>
    </w:pPr>
    <w:rPr>
      <w:kern w:val="0"/>
      <w:szCs w:val="20"/>
    </w:rPr>
  </w:style>
  <w:style w:type="paragraph" w:customStyle="1" w:styleId="97">
    <w:name w:val="Char"/>
    <w:basedOn w:val="1"/>
    <w:next w:val="1"/>
    <w:autoRedefine/>
    <w:qFormat/>
    <w:uiPriority w:val="99"/>
    <w:pPr>
      <w:widowControl/>
      <w:spacing w:line="360" w:lineRule="auto"/>
      <w:jc w:val="left"/>
    </w:pPr>
    <w:rPr>
      <w:kern w:val="0"/>
      <w:szCs w:val="20"/>
      <w:lang w:eastAsia="en-US"/>
    </w:rPr>
  </w:style>
  <w:style w:type="paragraph" w:customStyle="1" w:styleId="98">
    <w:name w:val="6'"/>
    <w:basedOn w:val="1"/>
    <w:autoRedefine/>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99">
    <w:name w:val="样式2"/>
    <w:basedOn w:val="8"/>
    <w:autoRedefine/>
    <w:qFormat/>
    <w:uiPriority w:val="99"/>
  </w:style>
  <w:style w:type="paragraph" w:customStyle="1" w:styleId="100">
    <w:name w:val="Default Paragraph Char Char Char Char"/>
    <w:basedOn w:val="1"/>
    <w:next w:val="1"/>
    <w:autoRedefine/>
    <w:qFormat/>
    <w:uiPriority w:val="99"/>
    <w:pPr>
      <w:spacing w:line="360" w:lineRule="auto"/>
    </w:pPr>
    <w:rPr>
      <w:szCs w:val="20"/>
    </w:rPr>
  </w:style>
  <w:style w:type="paragraph" w:customStyle="1" w:styleId="101">
    <w:name w:val="节标题"/>
    <w:basedOn w:val="1"/>
    <w:next w:val="1"/>
    <w:autoRedefine/>
    <w:qFormat/>
    <w:uiPriority w:val="99"/>
    <w:pPr>
      <w:widowControl/>
      <w:spacing w:line="289" w:lineRule="atLeast"/>
      <w:jc w:val="center"/>
      <w:textAlignment w:val="baseline"/>
    </w:pPr>
    <w:rPr>
      <w:color w:val="000000"/>
      <w:kern w:val="0"/>
      <w:sz w:val="28"/>
      <w:szCs w:val="20"/>
      <w:u w:color="000000"/>
    </w:rPr>
  </w:style>
  <w:style w:type="paragraph" w:customStyle="1" w:styleId="102">
    <w:name w:val="默认段落字体 Para Char Char Char Char"/>
    <w:basedOn w:val="1"/>
    <w:autoRedefine/>
    <w:qFormat/>
    <w:uiPriority w:val="99"/>
  </w:style>
  <w:style w:type="paragraph" w:customStyle="1" w:styleId="103">
    <w:name w:val="样式 标题 1 + 黑体 五号"/>
    <w:basedOn w:val="6"/>
    <w:autoRedefine/>
    <w:qFormat/>
    <w:uiPriority w:val="99"/>
    <w:pPr>
      <w:jc w:val="left"/>
    </w:pPr>
    <w:rPr>
      <w:rFonts w:ascii="黑体" w:hAnsi="黑体" w:eastAsia="黑体"/>
      <w:sz w:val="21"/>
    </w:rPr>
  </w:style>
  <w:style w:type="paragraph" w:customStyle="1" w:styleId="104">
    <w:name w:val="样式4"/>
    <w:basedOn w:val="8"/>
    <w:autoRedefine/>
    <w:qFormat/>
    <w:uiPriority w:val="99"/>
  </w:style>
  <w:style w:type="paragraph" w:customStyle="1" w:styleId="105">
    <w:name w:val="正文1"/>
    <w:autoRedefine/>
    <w:qFormat/>
    <w:uiPriority w:val="99"/>
    <w:pPr>
      <w:widowControl w:val="0"/>
      <w:adjustRightInd w:val="0"/>
      <w:spacing w:line="312" w:lineRule="atLeast"/>
      <w:jc w:val="both"/>
      <w:textAlignment w:val="baseline"/>
    </w:pPr>
    <w:rPr>
      <w:rFonts w:ascii="宋体" w:hAnsi="Times New Roman" w:eastAsia="宋体" w:cs="宋体"/>
      <w:kern w:val="0"/>
      <w:sz w:val="24"/>
      <w:szCs w:val="24"/>
      <w:lang w:val="en-US" w:eastAsia="zh-CN" w:bidi="ar-SA"/>
    </w:rPr>
  </w:style>
  <w:style w:type="paragraph" w:customStyle="1" w:styleId="106">
    <w:name w:val="列出段落1"/>
    <w:basedOn w:val="1"/>
    <w:autoRedefine/>
    <w:qFormat/>
    <w:uiPriority w:val="99"/>
    <w:pPr>
      <w:ind w:firstLine="200" w:firstLineChars="200"/>
    </w:pPr>
  </w:style>
  <w:style w:type="paragraph" w:customStyle="1" w:styleId="107">
    <w:name w:val="p0 New"/>
    <w:basedOn w:val="1"/>
    <w:autoRedefine/>
    <w:qFormat/>
    <w:uiPriority w:val="99"/>
    <w:pPr>
      <w:widowControl/>
      <w:jc w:val="left"/>
    </w:pPr>
    <w:rPr>
      <w:rFonts w:ascii="宋体" w:hAnsi="宋体" w:cs="宋体"/>
      <w:kern w:val="0"/>
      <w:sz w:val="18"/>
      <w:szCs w:val="18"/>
    </w:rPr>
  </w:style>
  <w:style w:type="paragraph" w:customStyle="1" w:styleId="108">
    <w:name w:val="样式 标题 1 + 黑体 三号 非加粗 居中 段前: 6 磅 段后: 6 磅 行距: 固定值 20 磅"/>
    <w:basedOn w:val="6"/>
    <w:autoRedefine/>
    <w:qFormat/>
    <w:uiPriority w:val="99"/>
    <w:pPr>
      <w:spacing w:line="400" w:lineRule="exact"/>
    </w:pPr>
    <w:rPr>
      <w:rFonts w:ascii="黑体" w:hAnsi="黑体" w:eastAsia="黑体" w:cs="宋体"/>
      <w:b w:val="0"/>
      <w:bCs w:val="0"/>
      <w:sz w:val="32"/>
      <w:szCs w:val="20"/>
    </w:rPr>
  </w:style>
  <w:style w:type="paragraph" w:customStyle="1" w:styleId="109">
    <w:name w:val="_Style 78"/>
    <w:basedOn w:val="6"/>
    <w:next w:val="1"/>
    <w:autoRedefine/>
    <w:qFormat/>
    <w:uiPriority w:val="99"/>
    <w:pPr>
      <w:widowControl/>
      <w:spacing w:before="480" w:line="276" w:lineRule="auto"/>
      <w:jc w:val="left"/>
      <w:outlineLvl w:val="9"/>
    </w:pPr>
    <w:rPr>
      <w:rFonts w:ascii="Cambria" w:hAnsi="Cambria"/>
      <w:color w:val="365F91"/>
      <w:kern w:val="0"/>
      <w:sz w:val="28"/>
      <w:szCs w:val="28"/>
    </w:rPr>
  </w:style>
  <w:style w:type="paragraph" w:customStyle="1" w:styleId="110">
    <w:name w:val="Char1"/>
    <w:basedOn w:val="1"/>
    <w:autoRedefine/>
    <w:qFormat/>
    <w:uiPriority w:val="99"/>
    <w:pPr>
      <w:tabs>
        <w:tab w:val="left" w:pos="360"/>
      </w:tabs>
    </w:pPr>
    <w:rPr>
      <w:sz w:val="24"/>
    </w:rPr>
  </w:style>
  <w:style w:type="paragraph" w:customStyle="1" w:styleId="111">
    <w:name w:val="样式1"/>
    <w:basedOn w:val="8"/>
    <w:autoRedefine/>
    <w:qFormat/>
    <w:uiPriority w:val="99"/>
  </w:style>
  <w:style w:type="paragraph" w:customStyle="1" w:styleId="112">
    <w:name w:val="Char Char Char Char Char Char Char Char Char Char Char Char Char"/>
    <w:basedOn w:val="1"/>
    <w:autoRedefine/>
    <w:qFormat/>
    <w:uiPriority w:val="99"/>
  </w:style>
  <w:style w:type="paragraph" w:customStyle="1" w:styleId="113">
    <w:name w:val="p"/>
    <w:basedOn w:val="1"/>
    <w:autoRedefine/>
    <w:qFormat/>
    <w:uiPriority w:val="99"/>
    <w:rPr>
      <w:rFonts w:ascii="宋体"/>
      <w:sz w:val="24"/>
    </w:rPr>
  </w:style>
  <w:style w:type="paragraph" w:customStyle="1" w:styleId="114">
    <w:name w:val="Char Char Char Char"/>
    <w:basedOn w:val="1"/>
    <w:autoRedefine/>
    <w:qFormat/>
    <w:uiPriority w:val="99"/>
  </w:style>
  <w:style w:type="paragraph" w:customStyle="1" w:styleId="115">
    <w:name w:val="_Style 84"/>
    <w:basedOn w:val="1"/>
    <w:next w:val="1"/>
    <w:autoRedefine/>
    <w:qFormat/>
    <w:uiPriority w:val="99"/>
    <w:pPr>
      <w:pBdr>
        <w:bottom w:val="single" w:color="auto" w:sz="6" w:space="1"/>
      </w:pBdr>
      <w:jc w:val="center"/>
    </w:pPr>
    <w:rPr>
      <w:rFonts w:ascii="Arial"/>
      <w:vanish/>
      <w:sz w:val="16"/>
    </w:rPr>
  </w:style>
  <w:style w:type="paragraph" w:customStyle="1" w:styleId="116">
    <w:name w:val="1"/>
    <w:basedOn w:val="1"/>
    <w:next w:val="1"/>
    <w:autoRedefine/>
    <w:qFormat/>
    <w:uiPriority w:val="99"/>
  </w:style>
  <w:style w:type="paragraph" w:customStyle="1" w:styleId="117">
    <w:name w:val="p15"/>
    <w:autoRedefine/>
    <w:qFormat/>
    <w:uiPriority w:val="99"/>
    <w:pPr>
      <w:jc w:val="both"/>
    </w:pPr>
    <w:rPr>
      <w:rFonts w:ascii="宋体" w:hAnsi="Times New Roman" w:eastAsia="宋体" w:cs="宋体"/>
      <w:kern w:val="0"/>
      <w:sz w:val="21"/>
      <w:szCs w:val="21"/>
      <w:lang w:val="en-US" w:eastAsia="zh-CN" w:bidi="ar-SA"/>
    </w:rPr>
  </w:style>
  <w:style w:type="paragraph" w:customStyle="1" w:styleId="118">
    <w:name w:val="样式 标题 2 + Times New Roman 四号 非加粗 段前: 5 磅 段后: 0 磅 行距: 固定值 20..."/>
    <w:basedOn w:val="7"/>
    <w:autoRedefine/>
    <w:qFormat/>
    <w:uiPriority w:val="99"/>
    <w:pPr>
      <w:spacing w:line="400" w:lineRule="exact"/>
    </w:pPr>
    <w:rPr>
      <w:rFonts w:ascii="Times New Roman" w:hAnsi="Times New Roman" w:cs="宋体"/>
      <w:b w:val="0"/>
      <w:bCs w:val="0"/>
      <w:sz w:val="28"/>
      <w:szCs w:val="20"/>
    </w:rPr>
  </w:style>
  <w:style w:type="paragraph" w:customStyle="1" w:styleId="119">
    <w:name w:val="Table Paragraph"/>
    <w:basedOn w:val="1"/>
    <w:autoRedefine/>
    <w:qFormat/>
    <w:uiPriority w:val="99"/>
    <w:pPr>
      <w:autoSpaceDE w:val="0"/>
      <w:autoSpaceDN w:val="0"/>
      <w:jc w:val="left"/>
    </w:pPr>
    <w:rPr>
      <w:rFonts w:ascii="宋体" w:hAnsi="宋体" w:cs="宋体"/>
      <w:kern w:val="0"/>
      <w:sz w:val="22"/>
      <w:szCs w:val="22"/>
      <w:lang w:val="zh-CN"/>
    </w:rPr>
  </w:style>
  <w:style w:type="paragraph" w:customStyle="1" w:styleId="120">
    <w:name w:val="p0"/>
    <w:basedOn w:val="1"/>
    <w:autoRedefine/>
    <w:qFormat/>
    <w:uiPriority w:val="99"/>
    <w:pPr>
      <w:widowControl/>
    </w:pPr>
    <w:rPr>
      <w:kern w:val="0"/>
      <w:szCs w:val="21"/>
    </w:rPr>
  </w:style>
  <w:style w:type="paragraph" w:customStyle="1" w:styleId="121">
    <w:name w:val="样式3"/>
    <w:basedOn w:val="8"/>
    <w:autoRedefine/>
    <w:qFormat/>
    <w:uiPriority w:val="99"/>
  </w:style>
  <w:style w:type="paragraph" w:customStyle="1" w:styleId="122">
    <w:name w:val="样式 标题 3 + (中文) 黑体 小四 非加粗 段前: 7.8 磅 段后: 0 磅 行距: 固定值 20 磅"/>
    <w:basedOn w:val="8"/>
    <w:autoRedefine/>
    <w:qFormat/>
    <w:uiPriority w:val="99"/>
    <w:pPr>
      <w:spacing w:line="400" w:lineRule="exact"/>
    </w:pPr>
    <w:rPr>
      <w:rFonts w:eastAsia="黑体" w:cs="宋体"/>
      <w:b w:val="0"/>
      <w:bCs w:val="0"/>
      <w:sz w:val="24"/>
      <w:szCs w:val="20"/>
    </w:rPr>
  </w:style>
  <w:style w:type="paragraph" w:customStyle="1" w:styleId="123">
    <w:name w:val="Char Char Char Char Char Char Char Char Char Char Char Char Char1"/>
    <w:basedOn w:val="1"/>
    <w:autoRedefine/>
    <w:qFormat/>
    <w:uiPriority w:val="99"/>
  </w:style>
  <w:style w:type="paragraph" w:customStyle="1" w:styleId="124">
    <w:name w:val="Char4"/>
    <w:basedOn w:val="1"/>
    <w:autoRedefine/>
    <w:qFormat/>
    <w:uiPriority w:val="99"/>
    <w:pPr>
      <w:widowControl/>
      <w:spacing w:line="360" w:lineRule="auto"/>
      <w:ind w:firstLine="200" w:firstLineChars="200"/>
      <w:textAlignment w:val="baseline"/>
    </w:pPr>
    <w:rPr>
      <w:color w:val="000000"/>
      <w:kern w:val="0"/>
      <w:szCs w:val="20"/>
      <w:u w:color="000000"/>
    </w:rPr>
  </w:style>
  <w:style w:type="paragraph" w:customStyle="1" w:styleId="125">
    <w:name w:val="Normal1"/>
    <w:autoRedefine/>
    <w:qFormat/>
    <w:uiPriority w:val="99"/>
    <w:pPr>
      <w:widowControl w:val="0"/>
      <w:jc w:val="both"/>
    </w:pPr>
    <w:rPr>
      <w:rFonts w:ascii="Times New Roman" w:hAnsi="Times New Roman" w:eastAsia="宋体" w:cs="Times New Roman"/>
      <w:kern w:val="0"/>
      <w:sz w:val="20"/>
      <w:szCs w:val="20"/>
      <w:lang w:val="en-US" w:eastAsia="zh-CN" w:bidi="ar-SA"/>
    </w:rPr>
  </w:style>
  <w:style w:type="character" w:customStyle="1" w:styleId="126">
    <w:name w:val="first-child"/>
    <w:basedOn w:val="47"/>
    <w:autoRedefine/>
    <w:qFormat/>
    <w:uiPriority w:val="99"/>
    <w:rPr>
      <w:rFonts w:cs="Times New Roman"/>
    </w:rPr>
  </w:style>
  <w:style w:type="character" w:customStyle="1" w:styleId="127">
    <w:name w:val="Char Char Char Char Char Char"/>
    <w:autoRedefine/>
    <w:qFormat/>
    <w:uiPriority w:val="99"/>
    <w:rPr>
      <w:rFonts w:ascii="Arial" w:hAnsi="Arial" w:eastAsia="黑体"/>
      <w:b/>
      <w:kern w:val="2"/>
      <w:sz w:val="32"/>
      <w:lang w:val="en-US" w:eastAsia="zh-CN"/>
    </w:rPr>
  </w:style>
  <w:style w:type="character" w:customStyle="1" w:styleId="128">
    <w:name w:val="l11"/>
    <w:autoRedefine/>
    <w:qFormat/>
    <w:uiPriority w:val="99"/>
    <w:rPr>
      <w:color w:val="999999"/>
    </w:rPr>
  </w:style>
  <w:style w:type="character" w:customStyle="1" w:styleId="129">
    <w:name w:val="Char Char"/>
    <w:autoRedefine/>
    <w:qFormat/>
    <w:uiPriority w:val="99"/>
    <w:rPr>
      <w:rFonts w:ascii="Arial" w:hAnsi="Arial" w:eastAsia="黑体"/>
      <w:b/>
      <w:kern w:val="2"/>
      <w:sz w:val="32"/>
      <w:lang w:val="en-US" w:eastAsia="zh-CN"/>
    </w:rPr>
  </w:style>
  <w:style w:type="character" w:customStyle="1" w:styleId="130">
    <w:name w:val="Char Char5"/>
    <w:autoRedefine/>
    <w:qFormat/>
    <w:uiPriority w:val="99"/>
    <w:rPr>
      <w:rFonts w:ascii="Arial" w:hAnsi="Arial" w:eastAsia="黑体"/>
      <w:b/>
      <w:kern w:val="2"/>
      <w:sz w:val="32"/>
    </w:rPr>
  </w:style>
  <w:style w:type="character" w:customStyle="1" w:styleId="131">
    <w:name w:val="msg-box28"/>
    <w:basedOn w:val="47"/>
    <w:autoRedefine/>
    <w:qFormat/>
    <w:uiPriority w:val="99"/>
    <w:rPr>
      <w:rFonts w:cs="Times New Roman"/>
    </w:rPr>
  </w:style>
  <w:style w:type="character" w:customStyle="1" w:styleId="132">
    <w:name w:val="img_title6"/>
    <w:autoRedefine/>
    <w:qFormat/>
    <w:uiPriority w:val="99"/>
    <w:rPr>
      <w:vanish/>
    </w:rPr>
  </w:style>
  <w:style w:type="character" w:customStyle="1" w:styleId="133">
    <w:name w:val="tit12"/>
    <w:autoRedefine/>
    <w:qFormat/>
    <w:uiPriority w:val="99"/>
    <w:rPr>
      <w:color w:val="04A06C"/>
    </w:rPr>
  </w:style>
  <w:style w:type="character" w:customStyle="1" w:styleId="134">
    <w:name w:val="Char Char2"/>
    <w:autoRedefine/>
    <w:qFormat/>
    <w:uiPriority w:val="99"/>
    <w:rPr>
      <w:rFonts w:eastAsia="宋体"/>
      <w:kern w:val="2"/>
      <w:sz w:val="24"/>
      <w:lang w:val="en-US" w:eastAsia="zh-CN"/>
    </w:rPr>
  </w:style>
  <w:style w:type="character" w:customStyle="1" w:styleId="135">
    <w:name w:val="nostart"/>
    <w:autoRedefine/>
    <w:qFormat/>
    <w:uiPriority w:val="99"/>
    <w:rPr>
      <w:color w:val="FF0000"/>
    </w:rPr>
  </w:style>
  <w:style w:type="character" w:customStyle="1" w:styleId="136">
    <w:name w:val="nostart3"/>
    <w:basedOn w:val="47"/>
    <w:autoRedefine/>
    <w:qFormat/>
    <w:uiPriority w:val="99"/>
    <w:rPr>
      <w:rFonts w:cs="Times New Roman"/>
    </w:rPr>
  </w:style>
  <w:style w:type="character" w:customStyle="1" w:styleId="137">
    <w:name w:val="img4"/>
    <w:basedOn w:val="47"/>
    <w:autoRedefine/>
    <w:qFormat/>
    <w:uiPriority w:val="99"/>
    <w:rPr>
      <w:rFonts w:cs="Times New Roman"/>
    </w:rPr>
  </w:style>
  <w:style w:type="character" w:customStyle="1" w:styleId="138">
    <w:name w:val="tit11"/>
    <w:autoRedefine/>
    <w:qFormat/>
    <w:uiPriority w:val="99"/>
    <w:rPr>
      <w:color w:val="B60000"/>
    </w:rPr>
  </w:style>
  <w:style w:type="character" w:customStyle="1" w:styleId="139">
    <w:name w:val="over"/>
    <w:autoRedefine/>
    <w:qFormat/>
    <w:uiPriority w:val="99"/>
    <w:rPr>
      <w:color w:val="B60000"/>
    </w:rPr>
  </w:style>
  <w:style w:type="character" w:customStyle="1" w:styleId="140">
    <w:name w:val="l6"/>
    <w:autoRedefine/>
    <w:qFormat/>
    <w:uiPriority w:val="99"/>
    <w:rPr>
      <w:color w:val="999999"/>
    </w:rPr>
  </w:style>
  <w:style w:type="character" w:customStyle="1" w:styleId="141">
    <w:name w:val="datetime"/>
    <w:autoRedefine/>
    <w:qFormat/>
    <w:uiPriority w:val="99"/>
    <w:rPr>
      <w:rFonts w:ascii="Arial" w:hAnsi="Arial"/>
      <w:color w:val="999999"/>
      <w:sz w:val="21"/>
    </w:rPr>
  </w:style>
  <w:style w:type="character" w:customStyle="1" w:styleId="142">
    <w:name w:val="txt1"/>
    <w:basedOn w:val="47"/>
    <w:autoRedefine/>
    <w:qFormat/>
    <w:uiPriority w:val="99"/>
    <w:rPr>
      <w:rFonts w:cs="Times New Roman"/>
    </w:rPr>
  </w:style>
  <w:style w:type="character" w:customStyle="1" w:styleId="143">
    <w:name w:val="starting1"/>
    <w:autoRedefine/>
    <w:qFormat/>
    <w:uiPriority w:val="99"/>
    <w:rPr>
      <w:color w:val="339900"/>
    </w:rPr>
  </w:style>
  <w:style w:type="character" w:customStyle="1" w:styleId="144">
    <w:name w:val="starting2"/>
    <w:autoRedefine/>
    <w:qFormat/>
    <w:uiPriority w:val="99"/>
    <w:rPr>
      <w:color w:val="B60000"/>
    </w:rPr>
  </w:style>
  <w:style w:type="character" w:customStyle="1" w:styleId="145">
    <w:name w:val="red"/>
    <w:autoRedefine/>
    <w:qFormat/>
    <w:uiPriority w:val="99"/>
    <w:rPr>
      <w:rFonts w:ascii="Arial" w:hAnsi="Arial"/>
      <w:color w:val="E50000"/>
    </w:rPr>
  </w:style>
  <w:style w:type="character" w:customStyle="1" w:styleId="146">
    <w:name w:val="Char Char4"/>
    <w:autoRedefine/>
    <w:qFormat/>
    <w:uiPriority w:val="99"/>
    <w:rPr>
      <w:rFonts w:eastAsia="宋体"/>
      <w:b/>
      <w:kern w:val="44"/>
      <w:sz w:val="44"/>
      <w:lang w:val="en-US" w:eastAsia="zh-CN"/>
    </w:rPr>
  </w:style>
  <w:style w:type="character" w:customStyle="1" w:styleId="147">
    <w:name w:val="font161"/>
    <w:autoRedefine/>
    <w:qFormat/>
    <w:uiPriority w:val="99"/>
    <w:rPr>
      <w:b/>
      <w:sz w:val="32"/>
    </w:rPr>
  </w:style>
  <w:style w:type="character" w:customStyle="1" w:styleId="148">
    <w:name w:val="Char Char8"/>
    <w:autoRedefine/>
    <w:qFormat/>
    <w:uiPriority w:val="99"/>
    <w:rPr>
      <w:rFonts w:ascii="Arial" w:hAnsi="Arial" w:eastAsia="黑体"/>
      <w:b/>
      <w:kern w:val="2"/>
      <w:sz w:val="32"/>
      <w:lang w:val="en-US" w:eastAsia="zh-CN"/>
    </w:rPr>
  </w:style>
  <w:style w:type="character" w:customStyle="1" w:styleId="149">
    <w:name w:val="msg-box29"/>
    <w:basedOn w:val="47"/>
    <w:autoRedefine/>
    <w:qFormat/>
    <w:uiPriority w:val="99"/>
    <w:rPr>
      <w:rFonts w:cs="Times New Roman"/>
    </w:rPr>
  </w:style>
  <w:style w:type="character" w:customStyle="1" w:styleId="150">
    <w:name w:val="over2"/>
    <w:autoRedefine/>
    <w:qFormat/>
    <w:uiPriority w:val="99"/>
    <w:rPr>
      <w:color w:val="999999"/>
    </w:rPr>
  </w:style>
  <w:style w:type="character" w:customStyle="1" w:styleId="151">
    <w:name w:val="img_title7"/>
    <w:autoRedefine/>
    <w:qFormat/>
    <w:uiPriority w:val="99"/>
    <w:rPr>
      <w:vanish/>
    </w:rPr>
  </w:style>
  <w:style w:type="character" w:customStyle="1" w:styleId="152">
    <w:name w:val="l7"/>
    <w:autoRedefine/>
    <w:qFormat/>
    <w:uiPriority w:val="99"/>
    <w:rPr>
      <w:color w:val="999999"/>
    </w:rPr>
  </w:style>
  <w:style w:type="character" w:customStyle="1" w:styleId="153">
    <w:name w:val="l51"/>
    <w:autoRedefine/>
    <w:qFormat/>
    <w:uiPriority w:val="99"/>
    <w:rPr>
      <w:color w:val="999999"/>
    </w:rPr>
  </w:style>
  <w:style w:type="character" w:customStyle="1" w:styleId="154">
    <w:name w:val="num81"/>
    <w:basedOn w:val="47"/>
    <w:autoRedefine/>
    <w:qFormat/>
    <w:uiPriority w:val="99"/>
    <w:rPr>
      <w:rFonts w:cs="Times New Roman"/>
    </w:rPr>
  </w:style>
  <w:style w:type="character" w:customStyle="1" w:styleId="155">
    <w:name w:val="Char Char1"/>
    <w:autoRedefine/>
    <w:qFormat/>
    <w:uiPriority w:val="99"/>
    <w:rPr>
      <w:rFonts w:eastAsia="宋体"/>
      <w:kern w:val="2"/>
      <w:sz w:val="24"/>
      <w:lang w:val="en-US" w:eastAsia="zh-CN"/>
    </w:rPr>
  </w:style>
  <w:style w:type="character" w:customStyle="1" w:styleId="156">
    <w:name w:val="zs"/>
    <w:autoRedefine/>
    <w:qFormat/>
    <w:uiPriority w:val="99"/>
    <w:rPr>
      <w:color w:val="8D744B"/>
      <w:sz w:val="18"/>
    </w:rPr>
  </w:style>
  <w:style w:type="character" w:customStyle="1" w:styleId="157">
    <w:name w:val="bigfont"/>
    <w:basedOn w:val="47"/>
    <w:autoRedefine/>
    <w:qFormat/>
    <w:uiPriority w:val="99"/>
    <w:rPr>
      <w:rFonts w:cs="Times New Roman"/>
    </w:rPr>
  </w:style>
  <w:style w:type="character" w:customStyle="1" w:styleId="158">
    <w:name w:val="txt"/>
    <w:autoRedefine/>
    <w:qFormat/>
    <w:uiPriority w:val="99"/>
    <w:rPr>
      <w:color w:val="C0C0C0"/>
    </w:rPr>
  </w:style>
  <w:style w:type="character" w:customStyle="1" w:styleId="159">
    <w:name w:val="jg"/>
    <w:basedOn w:val="47"/>
    <w:autoRedefine/>
    <w:qFormat/>
    <w:uiPriority w:val="99"/>
    <w:rPr>
      <w:rFonts w:cs="Times New Roman"/>
    </w:rPr>
  </w:style>
  <w:style w:type="character" w:customStyle="1" w:styleId="160">
    <w:name w:val="17"/>
    <w:autoRedefine/>
    <w:qFormat/>
    <w:uiPriority w:val="99"/>
    <w:rPr>
      <w:rFonts w:ascii="仿宋_GB2312" w:eastAsia="仿宋_GB2312"/>
      <w:color w:val="auto"/>
      <w:sz w:val="28"/>
      <w:u w:val="single"/>
    </w:rPr>
  </w:style>
  <w:style w:type="character" w:customStyle="1" w:styleId="161">
    <w:name w:val="job"/>
    <w:basedOn w:val="47"/>
    <w:autoRedefine/>
    <w:qFormat/>
    <w:uiPriority w:val="99"/>
    <w:rPr>
      <w:rFonts w:cs="Times New Roman"/>
    </w:rPr>
  </w:style>
  <w:style w:type="character" w:customStyle="1" w:styleId="162">
    <w:name w:val="job1"/>
    <w:basedOn w:val="47"/>
    <w:autoRedefine/>
    <w:qFormat/>
    <w:uiPriority w:val="99"/>
    <w:rPr>
      <w:rFonts w:cs="Times New Roman"/>
    </w:rPr>
  </w:style>
  <w:style w:type="character" w:customStyle="1" w:styleId="163">
    <w:name w:val="标题 2 Char"/>
    <w:autoRedefine/>
    <w:qFormat/>
    <w:uiPriority w:val="99"/>
    <w:rPr>
      <w:rFonts w:ascii="Arial" w:hAnsi="Arial" w:eastAsia="黑体"/>
      <w:b/>
      <w:kern w:val="2"/>
      <w:sz w:val="32"/>
      <w:lang w:val="en-US" w:eastAsia="zh-CN"/>
    </w:rPr>
  </w:style>
  <w:style w:type="character" w:customStyle="1" w:styleId="164">
    <w:name w:val="p05"/>
    <w:basedOn w:val="47"/>
    <w:autoRedefine/>
    <w:qFormat/>
    <w:uiPriority w:val="99"/>
    <w:rPr>
      <w:rFonts w:cs="Times New Roman"/>
    </w:rPr>
  </w:style>
  <w:style w:type="character" w:customStyle="1" w:styleId="165">
    <w:name w:val="Char Char7"/>
    <w:autoRedefine/>
    <w:qFormat/>
    <w:uiPriority w:val="99"/>
    <w:rPr>
      <w:rFonts w:ascii="Arial" w:hAnsi="Arial" w:eastAsia="黑体"/>
      <w:b/>
      <w:kern w:val="2"/>
      <w:sz w:val="32"/>
      <w:lang w:val="en-US" w:eastAsia="zh-CN"/>
    </w:rPr>
  </w:style>
  <w:style w:type="character" w:customStyle="1" w:styleId="166">
    <w:name w:val="over3"/>
    <w:basedOn w:val="47"/>
    <w:autoRedefine/>
    <w:qFormat/>
    <w:uiPriority w:val="99"/>
    <w:rPr>
      <w:rFonts w:cs="Times New Roman"/>
    </w:rPr>
  </w:style>
  <w:style w:type="character" w:customStyle="1" w:styleId="167">
    <w:name w:val="Char Char3"/>
    <w:autoRedefine/>
    <w:qFormat/>
    <w:uiPriority w:val="99"/>
    <w:rPr>
      <w:rFonts w:ascii="Arial" w:hAnsi="Arial" w:eastAsia="黑体"/>
      <w:b/>
      <w:kern w:val="2"/>
      <w:sz w:val="32"/>
      <w:lang w:val="en-US" w:eastAsia="zh-CN"/>
    </w:rPr>
  </w:style>
  <w:style w:type="character" w:customStyle="1" w:styleId="168">
    <w:name w:val="Char Char71"/>
    <w:autoRedefine/>
    <w:qFormat/>
    <w:uiPriority w:val="99"/>
    <w:rPr>
      <w:rFonts w:ascii="Arial" w:hAnsi="Arial" w:eastAsia="黑体"/>
      <w:b/>
      <w:kern w:val="2"/>
      <w:sz w:val="32"/>
      <w:lang w:val="en-US" w:eastAsia="zh-CN"/>
    </w:rPr>
  </w:style>
  <w:style w:type="character" w:customStyle="1" w:styleId="169">
    <w:name w:val="num51"/>
    <w:basedOn w:val="47"/>
    <w:autoRedefine/>
    <w:qFormat/>
    <w:uiPriority w:val="99"/>
    <w:rPr>
      <w:rFonts w:cs="Times New Roman"/>
    </w:rPr>
  </w:style>
  <w:style w:type="character" w:customStyle="1" w:styleId="170">
    <w:name w:val="Char Char Char"/>
    <w:autoRedefine/>
    <w:qFormat/>
    <w:uiPriority w:val="99"/>
    <w:rPr>
      <w:rFonts w:eastAsia="宋体"/>
      <w:b/>
      <w:kern w:val="44"/>
      <w:sz w:val="44"/>
      <w:lang w:val="en-US" w:eastAsia="zh-CN"/>
    </w:rPr>
  </w:style>
  <w:style w:type="character" w:customStyle="1" w:styleId="171">
    <w:name w:val="msg-box31"/>
    <w:basedOn w:val="47"/>
    <w:autoRedefine/>
    <w:qFormat/>
    <w:uiPriority w:val="99"/>
    <w:rPr>
      <w:rFonts w:cs="Times New Roman"/>
    </w:rPr>
  </w:style>
  <w:style w:type="character" w:customStyle="1" w:styleId="172">
    <w:name w:val="msg-box30"/>
    <w:basedOn w:val="47"/>
    <w:autoRedefine/>
    <w:qFormat/>
    <w:uiPriority w:val="99"/>
    <w:rPr>
      <w:rFonts w:cs="Times New Roman"/>
    </w:rPr>
  </w:style>
  <w:style w:type="character" w:customStyle="1" w:styleId="173">
    <w:name w:val="标题 1 Char Char"/>
    <w:autoRedefine/>
    <w:qFormat/>
    <w:uiPriority w:val="99"/>
    <w:rPr>
      <w:rFonts w:eastAsia="宋体"/>
      <w:b/>
      <w:kern w:val="44"/>
      <w:sz w:val="44"/>
      <w:lang w:val="en-US" w:eastAsia="zh-CN"/>
    </w:rPr>
  </w:style>
  <w:style w:type="character" w:customStyle="1" w:styleId="174">
    <w:name w:val="c1"/>
    <w:basedOn w:val="47"/>
    <w:autoRedefine/>
    <w:qFormat/>
    <w:uiPriority w:val="99"/>
    <w:rPr>
      <w:rFonts w:cs="Times New Roman"/>
    </w:rPr>
  </w:style>
  <w:style w:type="character" w:customStyle="1" w:styleId="175">
    <w:name w:val="纯文本 Char1"/>
    <w:autoRedefine/>
    <w:qFormat/>
    <w:uiPriority w:val="99"/>
    <w:rPr>
      <w:rFonts w:ascii="Courier New" w:hAnsi="Courier New" w:eastAsia="宋体"/>
      <w:kern w:val="2"/>
      <w:sz w:val="21"/>
      <w:lang w:val="en-US" w:eastAsia="zh-CN"/>
    </w:rPr>
  </w:style>
  <w:style w:type="character" w:customStyle="1" w:styleId="176">
    <w:name w:val="Char Char Char1"/>
    <w:autoRedefine/>
    <w:qFormat/>
    <w:uiPriority w:val="99"/>
    <w:rPr>
      <w:rFonts w:ascii="Arial" w:hAnsi="Arial" w:eastAsia="黑体"/>
      <w:b/>
      <w:kern w:val="2"/>
      <w:sz w:val="32"/>
      <w:lang w:val="en-US" w:eastAsia="zh-CN"/>
    </w:rPr>
  </w:style>
  <w:style w:type="character" w:customStyle="1" w:styleId="177">
    <w:name w:val="l3"/>
    <w:autoRedefine/>
    <w:qFormat/>
    <w:uiPriority w:val="99"/>
    <w:rPr>
      <w:color w:val="999999"/>
    </w:rPr>
  </w:style>
  <w:style w:type="character" w:customStyle="1" w:styleId="178">
    <w:name w:val="tit14"/>
    <w:autoRedefine/>
    <w:qFormat/>
    <w:uiPriority w:val="99"/>
    <w:rPr>
      <w:color w:val="B60000"/>
    </w:rPr>
  </w:style>
  <w:style w:type="character" w:customStyle="1" w:styleId="179">
    <w:name w:val="tit10"/>
    <w:autoRedefine/>
    <w:qFormat/>
    <w:uiPriority w:val="99"/>
    <w:rPr>
      <w:color w:val="B60000"/>
    </w:rPr>
  </w:style>
  <w:style w:type="character" w:customStyle="1" w:styleId="180">
    <w:name w:val="l21"/>
    <w:autoRedefine/>
    <w:qFormat/>
    <w:uiPriority w:val="99"/>
    <w:rPr>
      <w:color w:val="999999"/>
    </w:rPr>
  </w:style>
  <w:style w:type="character" w:customStyle="1" w:styleId="181">
    <w:name w:val="num71"/>
    <w:basedOn w:val="47"/>
    <w:autoRedefine/>
    <w:qFormat/>
    <w:uiPriority w:val="99"/>
    <w:rPr>
      <w:rFonts w:cs="Times New Roman"/>
    </w:rPr>
  </w:style>
  <w:style w:type="character" w:customStyle="1" w:styleId="182">
    <w:name w:val="标题 2 Char Char"/>
    <w:autoRedefine/>
    <w:qFormat/>
    <w:uiPriority w:val="99"/>
    <w:rPr>
      <w:rFonts w:ascii="Arial" w:hAnsi="Arial" w:eastAsia="黑体"/>
      <w:b/>
      <w:kern w:val="2"/>
      <w:sz w:val="32"/>
      <w:lang w:val="en-US" w:eastAsia="zh-CN"/>
    </w:rPr>
  </w:style>
  <w:style w:type="character" w:customStyle="1" w:styleId="183">
    <w:name w:val="buvis"/>
    <w:autoRedefine/>
    <w:qFormat/>
    <w:uiPriority w:val="99"/>
    <w:rPr>
      <w:color w:val="999999"/>
    </w:rPr>
  </w:style>
  <w:style w:type="character" w:customStyle="1" w:styleId="184">
    <w:name w:val="name"/>
    <w:autoRedefine/>
    <w:qFormat/>
    <w:uiPriority w:val="99"/>
    <w:rPr>
      <w:color w:val="444444"/>
      <w:sz w:val="21"/>
    </w:rPr>
  </w:style>
  <w:style w:type="character" w:customStyle="1" w:styleId="185">
    <w:name w:val="layui-this"/>
    <w:autoRedefine/>
    <w:qFormat/>
    <w:uiPriority w:val="99"/>
    <w:rPr>
      <w:bdr w:val="single" w:color="EEEEEE" w:sz="6" w:space="0"/>
      <w:shd w:val="clear" w:color="auto" w:fill="FFFFFF"/>
    </w:rPr>
  </w:style>
  <w:style w:type="character" w:customStyle="1" w:styleId="186">
    <w:name w:val="标题 2 Char1"/>
    <w:autoRedefine/>
    <w:qFormat/>
    <w:uiPriority w:val="99"/>
    <w:rPr>
      <w:rFonts w:ascii="Arial" w:hAnsi="Arial" w:eastAsia="黑体"/>
      <w:b/>
      <w:kern w:val="2"/>
      <w:sz w:val="32"/>
      <w:lang w:val="en-US" w:eastAsia="zh-CN"/>
    </w:rPr>
  </w:style>
  <w:style w:type="character" w:customStyle="1" w:styleId="187">
    <w:name w:val="zw"/>
    <w:autoRedefine/>
    <w:qFormat/>
    <w:uiPriority w:val="99"/>
    <w:rPr>
      <w:color w:val="BD1E22"/>
      <w:sz w:val="22"/>
    </w:rPr>
  </w:style>
  <w:style w:type="character" w:customStyle="1" w:styleId="188">
    <w:name w:val="name1"/>
    <w:autoRedefine/>
    <w:qFormat/>
    <w:uiPriority w:val="99"/>
    <w:rPr>
      <w:color w:val="695435"/>
      <w:sz w:val="24"/>
    </w:rPr>
  </w:style>
  <w:style w:type="character" w:customStyle="1" w:styleId="189">
    <w:name w:val="num61"/>
    <w:basedOn w:val="47"/>
    <w:autoRedefine/>
    <w:qFormat/>
    <w:uiPriority w:val="99"/>
    <w:rPr>
      <w:rFonts w:cs="Times New Roman"/>
    </w:rPr>
  </w:style>
  <w:style w:type="character" w:customStyle="1" w:styleId="190">
    <w:name w:val="mesg-myd"/>
    <w:autoRedefine/>
    <w:qFormat/>
    <w:uiPriority w:val="99"/>
    <w:rPr>
      <w:color w:val="EE0000"/>
    </w:rPr>
  </w:style>
  <w:style w:type="character" w:customStyle="1" w:styleId="191">
    <w:name w:val="c2"/>
    <w:basedOn w:val="47"/>
    <w:autoRedefine/>
    <w:qFormat/>
    <w:uiPriority w:val="99"/>
    <w:rPr>
      <w:rFonts w:cs="Times New Roman"/>
    </w:rPr>
  </w:style>
  <w:style w:type="character" w:customStyle="1" w:styleId="192">
    <w:name w:val="c3"/>
    <w:basedOn w:val="47"/>
    <w:autoRedefine/>
    <w:qFormat/>
    <w:uiPriority w:val="99"/>
    <w:rPr>
      <w:rFonts w:cs="Times New Roman"/>
    </w:rPr>
  </w:style>
  <w:style w:type="character" w:customStyle="1" w:styleId="193">
    <w:name w:val="over1"/>
    <w:autoRedefine/>
    <w:qFormat/>
    <w:uiPriority w:val="99"/>
    <w:rPr>
      <w:color w:val="B60000"/>
    </w:rPr>
  </w:style>
  <w:style w:type="character" w:customStyle="1" w:styleId="194">
    <w:name w:val="tit13"/>
    <w:autoRedefine/>
    <w:qFormat/>
    <w:uiPriority w:val="99"/>
    <w:rPr>
      <w:color w:val="FFFFFF"/>
    </w:rPr>
  </w:style>
  <w:style w:type="character" w:customStyle="1" w:styleId="195">
    <w:name w:val="Char Char21"/>
    <w:autoRedefine/>
    <w:qFormat/>
    <w:uiPriority w:val="99"/>
    <w:rPr>
      <w:rFonts w:eastAsia="宋体"/>
      <w:kern w:val="2"/>
      <w:sz w:val="24"/>
      <w:lang w:val="en-US" w:eastAsia="zh-CN"/>
    </w:rPr>
  </w:style>
  <w:style w:type="character" w:customStyle="1" w:styleId="196">
    <w:name w:val="l41"/>
    <w:autoRedefine/>
    <w:qFormat/>
    <w:uiPriority w:val="99"/>
    <w:rPr>
      <w:color w:val="999999"/>
    </w:rPr>
  </w:style>
  <w:style w:type="character" w:customStyle="1" w:styleId="197">
    <w:name w:val="16"/>
    <w:autoRedefine/>
    <w:qFormat/>
    <w:uiPriority w:val="99"/>
    <w:rPr>
      <w:rFonts w:ascii="仿宋_GB2312" w:eastAsia="仿宋_GB2312"/>
      <w:color w:val="auto"/>
      <w:sz w:val="28"/>
    </w:rPr>
  </w:style>
  <w:style w:type="character" w:customStyle="1" w:styleId="198">
    <w:name w:val="num31"/>
    <w:basedOn w:val="47"/>
    <w:autoRedefine/>
    <w:qFormat/>
    <w:uiPriority w:val="99"/>
    <w:rPr>
      <w:rFonts w:cs="Times New Roman"/>
    </w:rPr>
  </w:style>
  <w:style w:type="character" w:customStyle="1" w:styleId="199">
    <w:name w:val="starting4"/>
    <w:basedOn w:val="47"/>
    <w:autoRedefine/>
    <w:qFormat/>
    <w:uiPriority w:val="99"/>
    <w:rPr>
      <w:rFonts w:cs="Times New Roman"/>
    </w:rPr>
  </w:style>
  <w:style w:type="character" w:customStyle="1" w:styleId="200">
    <w:name w:val="bsharetext"/>
    <w:basedOn w:val="47"/>
    <w:autoRedefine/>
    <w:qFormat/>
    <w:uiPriority w:val="99"/>
    <w:rPr>
      <w:rFonts w:cs="Times New Roman"/>
    </w:rPr>
  </w:style>
  <w:style w:type="character" w:customStyle="1" w:styleId="201">
    <w:name w:val="unit"/>
    <w:autoRedefine/>
    <w:qFormat/>
    <w:uiPriority w:val="99"/>
    <w:rPr>
      <w:color w:val="999999"/>
    </w:rPr>
  </w:style>
  <w:style w:type="character" w:customStyle="1" w:styleId="202">
    <w:name w:val="nostart2"/>
    <w:autoRedefine/>
    <w:qFormat/>
    <w:uiPriority w:val="99"/>
    <w:rPr>
      <w:color w:val="B60000"/>
    </w:rPr>
  </w:style>
  <w:style w:type="character" w:customStyle="1" w:styleId="203">
    <w:name w:val="纯文本 Char"/>
    <w:autoRedefine/>
    <w:qFormat/>
    <w:uiPriority w:val="99"/>
    <w:rPr>
      <w:rFonts w:ascii="Courier New" w:hAnsi="Courier New" w:eastAsia="宋体"/>
      <w:kern w:val="2"/>
      <w:sz w:val="21"/>
      <w:lang w:val="en-US" w:eastAsia="zh-CN"/>
    </w:rPr>
  </w:style>
  <w:style w:type="character" w:customStyle="1" w:styleId="204">
    <w:name w:val="Char Char81"/>
    <w:autoRedefine/>
    <w:qFormat/>
    <w:uiPriority w:val="99"/>
    <w:rPr>
      <w:rFonts w:ascii="Arial" w:hAnsi="Arial" w:eastAsia="黑体"/>
      <w:b/>
      <w:kern w:val="2"/>
      <w:sz w:val="32"/>
      <w:lang w:val="en-US" w:eastAsia="zh-CN"/>
    </w:rPr>
  </w:style>
  <w:style w:type="character" w:customStyle="1" w:styleId="205">
    <w:name w:val="starting"/>
    <w:autoRedefine/>
    <w:qFormat/>
    <w:uiPriority w:val="99"/>
    <w:rPr>
      <w:color w:val="339900"/>
    </w:rPr>
  </w:style>
  <w:style w:type="character" w:customStyle="1" w:styleId="206">
    <w:name w:val="nostart1"/>
    <w:autoRedefine/>
    <w:qFormat/>
    <w:uiPriority w:val="99"/>
    <w:rPr>
      <w:color w:val="FF0000"/>
    </w:rPr>
  </w:style>
  <w:style w:type="character" w:customStyle="1" w:styleId="207">
    <w:name w:val="num210"/>
    <w:basedOn w:val="47"/>
    <w:autoRedefine/>
    <w:qFormat/>
    <w:uiPriority w:val="99"/>
    <w:rPr>
      <w:rFonts w:cs="Times New Roman"/>
    </w:rPr>
  </w:style>
  <w:style w:type="character" w:customStyle="1" w:styleId="208">
    <w:name w:val="buvis1"/>
    <w:autoRedefine/>
    <w:qFormat/>
    <w:uiPriority w:val="99"/>
    <w:rPr>
      <w:color w:val="CC0000"/>
    </w:rPr>
  </w:style>
  <w:style w:type="character" w:customStyle="1" w:styleId="209">
    <w:name w:val="starting3"/>
    <w:basedOn w:val="47"/>
    <w:autoRedefine/>
    <w:qFormat/>
    <w:uiPriority w:val="99"/>
    <w:rPr>
      <w:rFonts w:cs="Times New Roman"/>
    </w:rPr>
  </w:style>
  <w:style w:type="character" w:customStyle="1" w:styleId="210">
    <w:name w:val="textcontents"/>
    <w:basedOn w:val="47"/>
    <w:autoRedefine/>
    <w:qFormat/>
    <w:uiPriority w:val="99"/>
    <w:rPr>
      <w:rFonts w:cs="Times New Roman"/>
    </w:rPr>
  </w:style>
  <w:style w:type="character" w:customStyle="1" w:styleId="211">
    <w:name w:val="num41"/>
    <w:basedOn w:val="47"/>
    <w:autoRedefine/>
    <w:qFormat/>
    <w:uiPriority w:val="99"/>
    <w:rPr>
      <w:rFonts w:cs="Times New Roman"/>
    </w:rPr>
  </w:style>
  <w:style w:type="character" w:customStyle="1" w:styleId="212">
    <w:name w:val="tit9"/>
    <w:autoRedefine/>
    <w:qFormat/>
    <w:uiPriority w:val="99"/>
    <w:rPr>
      <w:color w:val="B60000"/>
      <w:sz w:val="27"/>
      <w:bdr w:val="single" w:color="DFCEB8" w:sz="6" w:space="0"/>
      <w:shd w:val="clear" w:color="auto" w:fill="FFFFFF"/>
    </w:rPr>
  </w:style>
  <w:style w:type="character" w:customStyle="1" w:styleId="213">
    <w:name w:val="name2"/>
    <w:autoRedefine/>
    <w:qFormat/>
    <w:uiPriority w:val="99"/>
    <w:rPr>
      <w:color w:val="000000"/>
      <w:sz w:val="39"/>
    </w:rPr>
  </w:style>
  <w:style w:type="character" w:customStyle="1" w:styleId="214">
    <w:name w:val="img_title8"/>
    <w:autoRedefine/>
    <w:qFormat/>
    <w:uiPriority w:val="99"/>
    <w:rPr>
      <w:vanish/>
    </w:rPr>
  </w:style>
  <w:style w:type="character" w:customStyle="1" w:styleId="215">
    <w:name w:val="tit15"/>
    <w:autoRedefine/>
    <w:qFormat/>
    <w:uiPriority w:val="99"/>
    <w:rPr>
      <w:b/>
      <w:color w:val="B60000"/>
    </w:rPr>
  </w:style>
  <w:style w:type="character" w:customStyle="1" w:styleId="216">
    <w:name w:val="img_title9"/>
    <w:autoRedefine/>
    <w:qFormat/>
    <w:uiPriority w:val="99"/>
    <w:rPr>
      <w:vanish/>
    </w:rPr>
  </w:style>
  <w:style w:type="table" w:customStyle="1" w:styleId="217">
    <w:name w:val="Table Normal"/>
    <w:autoRedefine/>
    <w:unhideWhenUsed/>
    <w:qFormat/>
    <w:uiPriority w:val="0"/>
    <w:tblPr>
      <w:tblCellMar>
        <w:top w:w="0" w:type="dxa"/>
        <w:left w:w="0" w:type="dxa"/>
        <w:bottom w:w="0" w:type="dxa"/>
        <w:right w:w="0" w:type="dxa"/>
      </w:tblCellMar>
    </w:tblPr>
  </w:style>
  <w:style w:type="paragraph" w:customStyle="1" w:styleId="218">
    <w:name w:val="正文 New"/>
    <w:autoRedefine/>
    <w:qFormat/>
    <w:uiPriority w:val="0"/>
    <w:pPr>
      <w:widowControl w:val="0"/>
      <w:spacing w:line="440" w:lineRule="exact"/>
      <w:ind w:left="357" w:hanging="357"/>
      <w:jc w:val="both"/>
    </w:pPr>
    <w:rPr>
      <w:rFonts w:ascii="Calibri" w:hAnsi="Calibri" w:eastAsia="宋体" w:cs="Times New Roman"/>
      <w:kern w:val="2"/>
      <w:sz w:val="21"/>
      <w:szCs w:val="22"/>
      <w:lang w:val="en-US" w:eastAsia="zh-CN" w:bidi="ar-SA"/>
    </w:rPr>
  </w:style>
  <w:style w:type="character" w:customStyle="1" w:styleId="219">
    <w:name w:val="hover"/>
    <w:basedOn w:val="47"/>
    <w:autoRedefine/>
    <w:qFormat/>
    <w:uiPriority w:val="0"/>
    <w:rPr>
      <w:color w:val="2590EB"/>
    </w:rPr>
  </w:style>
  <w:style w:type="character" w:customStyle="1" w:styleId="220">
    <w:name w:val="hover1"/>
    <w:basedOn w:val="47"/>
    <w:autoRedefine/>
    <w:qFormat/>
    <w:uiPriority w:val="0"/>
    <w:rPr>
      <w:color w:val="2590EB"/>
    </w:rPr>
  </w:style>
  <w:style w:type="character" w:customStyle="1" w:styleId="221">
    <w:name w:val="hover2"/>
    <w:basedOn w:val="47"/>
    <w:autoRedefine/>
    <w:qFormat/>
    <w:uiPriority w:val="0"/>
    <w:rPr>
      <w:color w:val="2590EB"/>
      <w:shd w:val="clear" w:fill="E9F4FD"/>
    </w:rPr>
  </w:style>
  <w:style w:type="character" w:customStyle="1" w:styleId="222">
    <w:name w:val="hover3"/>
    <w:basedOn w:val="47"/>
    <w:autoRedefine/>
    <w:qFormat/>
    <w:uiPriority w:val="0"/>
  </w:style>
  <w:style w:type="character" w:customStyle="1" w:styleId="223">
    <w:name w:val="mini-outputtext1"/>
    <w:basedOn w:val="47"/>
    <w:autoRedefine/>
    <w:qFormat/>
    <w:uiPriority w:val="0"/>
  </w:style>
  <w:style w:type="character" w:customStyle="1" w:styleId="224">
    <w:name w:val="hover4"/>
    <w:basedOn w:val="47"/>
    <w:autoRedefine/>
    <w:qFormat/>
    <w:uiPriority w:val="0"/>
    <w:rPr>
      <w:color w:val="2590EB"/>
    </w:rPr>
  </w:style>
  <w:style w:type="paragraph" w:styleId="225">
    <w:name w:val="List Paragraph"/>
    <w:basedOn w:val="1"/>
    <w:autoRedefine/>
    <w:qFormat/>
    <w:uiPriority w:val="34"/>
    <w:pPr>
      <w:ind w:firstLine="420" w:firstLineChars="200"/>
    </w:pPr>
  </w:style>
  <w:style w:type="paragraph" w:customStyle="1" w:styleId="22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7">
    <w:name w:val="_Style 117"/>
    <w:basedOn w:val="1"/>
    <w:next w:val="1"/>
    <w:qFormat/>
    <w:uiPriority w:val="0"/>
    <w:pPr>
      <w:pBdr>
        <w:bottom w:val="single" w:color="auto" w:sz="6" w:space="1"/>
      </w:pBdr>
      <w:jc w:val="center"/>
    </w:pPr>
    <w:rPr>
      <w:rFonts w:ascii="Arial" w:eastAsia="宋体"/>
      <w:vanish/>
      <w:sz w:val="16"/>
    </w:rPr>
  </w:style>
  <w:style w:type="paragraph" w:customStyle="1" w:styleId="228">
    <w:name w:val="_Style 118"/>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67</Pages>
  <Words>16634</Words>
  <Characters>17602</Characters>
  <Lines>0</Lines>
  <Paragraphs>0</Paragraphs>
  <TotalTime>0</TotalTime>
  <ScaleCrop>false</ScaleCrop>
  <LinksUpToDate>false</LinksUpToDate>
  <CharactersWithSpaces>17856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2016-05-15T08:29:00Z</dcterms:created>
  <dc:creator>dengxiaochun</dc:creator>
  <cp:lastModifiedBy>韦韦</cp:lastModifiedBy>
  <cp:lastPrinted>2025-01-02T07:19:00Z</cp:lastPrinted>
  <dcterms:modified xsi:type="dcterms:W3CDTF">2025-08-05T05:14:35Z</dcterms:modified>
  <dc:title>标准交易文件</dc:title>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0F8BB1678D7949C185753363EB4540A6_13</vt:lpwstr>
  </property>
  <property fmtid="{D5CDD505-2E9C-101B-9397-08002B2CF9AE}" pid="4" name="KSOTemplateDocerSaveRecord">
    <vt:lpwstr>eyJoZGlkIjoiZmQ5MGI3YTdkMjVkZTZjM2ZjZTQ5YjMxYTJjZjRlOWEiLCJ1c2VySWQiOiIzNjE4MjQ5In0=</vt:lpwstr>
  </property>
</Properties>
</file>