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2026年公园游园设施安全整治</w:t>
      </w:r>
      <w:bookmarkStart w:id="206" w:name="_GoBack"/>
      <w:bookmarkEnd w:id="206"/>
      <w:r>
        <w:rPr>
          <w:rFonts w:hint="eastAsia" w:ascii="宋体" w:hAnsi="宋体" w:cs="宋体"/>
          <w:b/>
          <w:bCs/>
          <w:color w:val="auto"/>
          <w:spacing w:val="-10"/>
          <w:sz w:val="48"/>
          <w:szCs w:val="48"/>
          <w:highlight w:val="none"/>
          <w:lang w:val="en-US" w:eastAsia="zh-CN"/>
        </w:rPr>
        <w:t>项目工程量清单及最高投标限价编制项目</w:t>
      </w:r>
    </w:p>
    <w:p w14:paraId="3C7E2285">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3128CBC">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项目编号：HXJY1110001059712</w:t>
      </w:r>
      <w:r>
        <w:rPr>
          <w:rFonts w:hint="eastAsia" w:ascii="宋体" w:hAnsi="宋体" w:cs="宋体"/>
          <w:color w:val="auto"/>
          <w:sz w:val="32"/>
          <w:highlight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74C5A809">
      <w:pPr>
        <w:pStyle w:val="44"/>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7366701">
      <w:pPr>
        <w:pStyle w:val="44"/>
        <w:rPr>
          <w:rFonts w:hint="eastAsia" w:ascii="宋体" w:hAnsi="宋体" w:eastAsia="宋体" w:cs="宋体"/>
          <w:b/>
          <w:bCs/>
          <w:color w:val="auto"/>
          <w:sz w:val="32"/>
          <w:szCs w:val="32"/>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cs="宋体"/>
          <w:color w:val="auto"/>
          <w:sz w:val="32"/>
          <w:highlight w:val="none"/>
          <w:lang w:val="en-US" w:eastAsia="zh-CN"/>
        </w:rPr>
        <w:t xml:space="preserve">   </w:t>
      </w: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w:t>
      </w:r>
      <w:r>
        <w:rPr>
          <w:rFonts w:hint="eastAsia" w:ascii="宋体" w:cs="宋体"/>
          <w:color w:val="auto"/>
          <w:sz w:val="32"/>
          <w:highlight w:val="none"/>
          <w:u w:val="single"/>
          <w:lang w:val="en-US" w:eastAsia="zh-CN"/>
        </w:rPr>
        <w:t xml:space="preserve">滁州市园林景观管理中心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eastAsia" w:ascii="宋体" w:hAnsi="宋体" w:eastAsia="宋体" w:cs="宋体"/>
          <w:color w:val="auto"/>
          <w:sz w:val="32"/>
          <w:highlight w:val="none"/>
          <w:u w:val="none"/>
          <w:lang w:val="en-US" w:eastAsia="zh-CN"/>
        </w:rPr>
      </w:pPr>
      <w:r>
        <w:rPr>
          <w:rFonts w:hint="eastAsia" w:ascii="宋体" w:hAnsi="宋体" w:cs="宋体"/>
          <w:color w:val="auto"/>
          <w:sz w:val="32"/>
          <w:highlight w:val="none"/>
          <w:u w:val="none"/>
          <w:lang w:eastAsia="zh-CN"/>
        </w:rPr>
        <w:t>2026年7月</w:t>
      </w:r>
      <w:r>
        <w:rPr>
          <w:rFonts w:hint="eastAsia" w:ascii="宋体" w:hAnsi="宋体" w:cs="宋体"/>
          <w:color w:val="auto"/>
          <w:sz w:val="32"/>
          <w:highlight w:val="none"/>
          <w:u w:val="none"/>
          <w:lang w:val="en-US" w:eastAsia="zh-CN"/>
        </w:rPr>
        <w:t>17</w:t>
      </w:r>
      <w:r>
        <w:rPr>
          <w:rFonts w:hint="eastAsia" w:ascii="宋体" w:hAnsi="宋体" w:cs="宋体"/>
          <w:color w:val="auto"/>
          <w:sz w:val="32"/>
          <w:highlight w:val="none"/>
          <w:u w:val="none"/>
          <w:lang w:eastAsia="zh-CN"/>
        </w:rPr>
        <w:t>日</w:t>
      </w:r>
    </w:p>
    <w:p w14:paraId="0DD946A4">
      <w:pPr>
        <w:spacing w:line="800" w:lineRule="exact"/>
        <w:jc w:val="center"/>
        <w:rPr>
          <w:rFonts w:hint="eastAsia" w:ascii="宋体" w:hAnsi="宋体" w:eastAsia="宋体" w:cs="宋体"/>
          <w:color w:val="auto"/>
          <w:sz w:val="32"/>
          <w:highlight w:val="none"/>
        </w:rPr>
      </w:pPr>
    </w:p>
    <w:p w14:paraId="10160BEE">
      <w:pPr>
        <w:spacing w:line="800" w:lineRule="exact"/>
        <w:jc w:val="center"/>
        <w:rPr>
          <w:rFonts w:hint="eastAsia" w:ascii="宋体" w:hAnsi="宋体" w:eastAsia="宋体" w:cs="宋体"/>
          <w:color w:val="auto"/>
          <w:sz w:val="32"/>
          <w:highlight w:val="none"/>
        </w:rPr>
      </w:pPr>
    </w:p>
    <w:p w14:paraId="0DF29175">
      <w:pPr>
        <w:spacing w:line="800" w:lineRule="exact"/>
        <w:jc w:val="center"/>
        <w:rPr>
          <w:rFonts w:hint="eastAsia" w:ascii="宋体" w:hAnsi="宋体" w:eastAsia="宋体" w:cs="宋体"/>
          <w:b/>
          <w:bCs/>
          <w:color w:val="auto"/>
          <w:sz w:val="48"/>
          <w:szCs w:val="48"/>
          <w:highlight w:val="none"/>
        </w:rPr>
      </w:pP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1</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6</w:t>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1" w:name="_Toc14627"/>
      <w:bookmarkStart w:id="2" w:name="_Toc21262"/>
      <w:r>
        <w:rPr>
          <w:rFonts w:hint="eastAsia" w:ascii="华文中宋" w:hAnsi="华文中宋" w:eastAsia="华文中宋" w:cs="Times New Roman"/>
          <w:color w:val="auto"/>
          <w:highlight w:val="none"/>
          <w:lang w:val="en-US" w:eastAsia="zh-CN"/>
        </w:rPr>
        <w:t>2026年公园游园设施安全整治项目工程量清单及最高投标限价编制项目</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 w:name="_Toc23993"/>
      <w:bookmarkStart w:id="4" w:name="_Toc35393621"/>
      <w:bookmarkStart w:id="5" w:name="_Toc11704"/>
      <w:bookmarkStart w:id="6" w:name="_Toc28359002"/>
      <w:bookmarkStart w:id="7" w:name="_Toc31215"/>
      <w:bookmarkStart w:id="8" w:name="_Toc35393790"/>
      <w:bookmarkStart w:id="9" w:name="_Toc28359079"/>
      <w:bookmarkStart w:id="10" w:name="_Hlk24379207"/>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bookmarkStart w:id="11" w:name="_Toc28004"/>
      <w:bookmarkStart w:id="12" w:name="_Toc35393791"/>
      <w:bookmarkStart w:id="13" w:name="_Toc28359003"/>
      <w:bookmarkStart w:id="14" w:name="_Toc4879"/>
      <w:bookmarkStart w:id="15" w:name="_Toc28359080"/>
      <w:bookmarkStart w:id="16" w:name="_Toc35393622"/>
      <w:r>
        <w:rPr>
          <w:rFonts w:ascii="仿宋" w:hAnsi="仿宋" w:eastAsia="仿宋" w:cs="仿宋"/>
          <w:i w:val="0"/>
          <w:iCs w:val="0"/>
          <w:caps w:val="0"/>
          <w:color w:val="auto"/>
          <w:spacing w:val="0"/>
          <w:kern w:val="0"/>
          <w:sz w:val="28"/>
          <w:szCs w:val="28"/>
          <w:highlight w:val="none"/>
          <w:shd w:val="clear" w:fill="FFFFFF"/>
          <w:lang w:val="en-US" w:eastAsia="zh-CN" w:bidi="ar"/>
        </w:rPr>
        <w:t>项目编号：</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HXJY1110001059712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项目名称：2026年公园游园设施安全整治项目工程量清单及最高投标限价编制项目。</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预算金额：约0.3万元。</w:t>
      </w:r>
    </w:p>
    <w:p w14:paraId="126CD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最高限价：《收费标准》计算费用的60%（报价均保留两位小数，小数点后第三位将四舍五入进行修正），投标单位投标报价不得高于上述费率最高限价，否则按无效标处理。《收费标准》详见附表。</w:t>
      </w:r>
    </w:p>
    <w:p w14:paraId="3AB68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注：服务费用=【施工中标价-（暂列金+暂估价）】*相应费率*中标费率。</w:t>
      </w:r>
    </w:p>
    <w:p w14:paraId="45CFA0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服务需求：清流河公园一期会峰路桥北侧水体驳岸倾斜坍塌整治、南湖公园四期丰泰门至一院约600米园路积水问题整治、内城河公园三中东门对面亭子地基下沉柱体腐烂等问题整治、北湖公园拱极门东北侧北湖北岸大理石护栏倾斜塌落及墙砖脱落维修恢复等各项涉及安全隐患急需维修的内容。项目金额约65万元，工程量清单及最高投标限价编制费约0.3万元。</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投标人要求：具有承担本项目相应服务能力的企业；</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81"/>
      <w:bookmarkStart w:id="19" w:name="_Toc28359004"/>
      <w:r>
        <w:rPr>
          <w:rFonts w:hint="eastAsia" w:ascii="仿宋" w:hAnsi="仿宋" w:eastAsia="仿宋" w:cs="仿宋"/>
          <w:color w:val="auto"/>
          <w:sz w:val="28"/>
          <w:szCs w:val="28"/>
          <w:highlight w:val="none"/>
          <w:lang w:val="en-US" w:eastAsia="zh-CN"/>
        </w:rPr>
        <w:t>2.项目负责人要求：投标人拟派的项目负责人必须具有注册在投标单位的一级注册造价工程师（或原注册造价工程师）；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w:t>
      </w:r>
      <w:r>
        <w:rPr>
          <w:rFonts w:hint="eastAsia" w:ascii="仿宋" w:hAnsi="仿宋" w:eastAsia="仿宋" w:cs="仿宋"/>
          <w:color w:val="auto"/>
          <w:sz w:val="28"/>
          <w:szCs w:val="28"/>
          <w:highlight w:val="none"/>
          <w:lang w:val="en-US" w:eastAsia="zh-CN"/>
        </w:rPr>
        <w:t>不少于1名注册在投标单位的二级及以上造价工程师；</w:t>
      </w:r>
    </w:p>
    <w:p w14:paraId="2AEC28B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35393623"/>
      <w:bookmarkStart w:id="21" w:name="_Toc2689"/>
      <w:bookmarkStart w:id="22" w:name="_Toc28172"/>
      <w:bookmarkStart w:id="23" w:name="_Toc7189"/>
      <w:bookmarkStart w:id="24" w:name="_Toc35393792"/>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42BFF7A7">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7B7E7722">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2026年7月17日</w:t>
      </w:r>
      <w:r>
        <w:rPr>
          <w:rFonts w:hint="eastAsia" w:ascii="仿宋" w:hAnsi="仿宋" w:eastAsia="仿宋" w:cs="仿宋"/>
          <w:i w:val="0"/>
          <w:iCs w:val="0"/>
          <w:caps w:val="0"/>
          <w:color w:val="auto"/>
          <w:spacing w:val="0"/>
          <w:sz w:val="28"/>
          <w:szCs w:val="28"/>
          <w:highlight w:val="none"/>
          <w:u w:val="none"/>
          <w:shd w:val="clear" w:fill="FFFFFF"/>
        </w:rPr>
        <w:t>至</w:t>
      </w:r>
      <w:r>
        <w:rPr>
          <w:rFonts w:hint="eastAsia" w:ascii="仿宋" w:hAnsi="仿宋" w:eastAsia="仿宋" w:cs="仿宋"/>
          <w:i w:val="0"/>
          <w:iCs w:val="0"/>
          <w:caps w:val="0"/>
          <w:color w:val="auto"/>
          <w:spacing w:val="0"/>
          <w:sz w:val="28"/>
          <w:szCs w:val="28"/>
          <w:highlight w:val="none"/>
          <w:u w:val="none"/>
          <w:shd w:val="clear" w:fill="FFFFFF"/>
          <w:lang w:val="en-US" w:eastAsia="zh-CN"/>
        </w:rPr>
        <w:t>2026年7月22日9时30分</w:t>
      </w:r>
      <w:r>
        <w:rPr>
          <w:rFonts w:hint="eastAsia" w:ascii="仿宋" w:hAnsi="仿宋" w:eastAsia="仿宋" w:cs="仿宋"/>
          <w:i w:val="0"/>
          <w:iCs w:val="0"/>
          <w:caps w:val="0"/>
          <w:color w:val="auto"/>
          <w:spacing w:val="0"/>
          <w:sz w:val="28"/>
          <w:szCs w:val="28"/>
          <w:highlight w:val="none"/>
          <w:shd w:val="clear" w:fill="FFFFFF"/>
          <w:lang w:val="en-US" w:eastAsia="zh-CN"/>
        </w:rPr>
        <w:t>。</w:t>
      </w:r>
    </w:p>
    <w:p w14:paraId="074FEE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重点工程建设管理处（http://zdc.chuzhou.gov.cn/）或滁州市城投工程咨询管理有限公司官网（https://www.czctgczx.com/）下载。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2、招标文件及相关资料售价：人民币0元/套（含清单控制价、图纸及澄清答疑文件）</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05"/>
      <w:bookmarkStart w:id="26" w:name="_Toc28359082"/>
      <w:bookmarkStart w:id="27" w:name="_Toc23486"/>
      <w:bookmarkStart w:id="28" w:name="_Toc6135"/>
      <w:bookmarkStart w:id="29" w:name="_Toc35393624"/>
      <w:bookmarkStart w:id="30" w:name="_Toc35393793"/>
      <w:bookmarkStart w:id="31" w:name="_Toc19139"/>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19623"/>
      <w:bookmarkStart w:id="33" w:name="_Toc28359084"/>
      <w:bookmarkStart w:id="34" w:name="_Toc28359007"/>
      <w:bookmarkStart w:id="35" w:name="_Toc5602"/>
      <w:bookmarkStart w:id="36" w:name="_Toc35393625"/>
      <w:bookmarkStart w:id="37" w:name="_Toc1913"/>
      <w:bookmarkStart w:id="38" w:name="_Toc35393794"/>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 xml:space="preserve">2026年7月22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9</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30</w:t>
      </w:r>
      <w:r>
        <w:rPr>
          <w:rFonts w:hint="eastAsia" w:ascii="仿宋" w:hAnsi="仿宋" w:eastAsia="仿宋" w:cs="仿宋"/>
          <w:b w:val="0"/>
          <w:bCs w:val="0"/>
          <w:color w:val="auto"/>
          <w:sz w:val="28"/>
          <w:szCs w:val="28"/>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3、投标人应在投标截止时间之前，登陆新点电子交易平台【滁州专区】上传投标文件。</w:t>
      </w:r>
    </w:p>
    <w:p w14:paraId="68E7038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4、投标人逾期上传投标文件的，电子系统不予受理</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自本公告发布之日起至投标截止时间止。</w:t>
      </w:r>
    </w:p>
    <w:p w14:paraId="55C898E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上发布。</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0369C8D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3CC939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08F99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滁州市园林景观管理中心</w:t>
      </w:r>
    </w:p>
    <w:p w14:paraId="2676EEB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 xml:space="preserve">滁州市林业大厦8楼 </w:t>
      </w:r>
    </w:p>
    <w:p w14:paraId="378EA9C3">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bookmarkStart w:id="39" w:name="_Toc28359086"/>
      <w:bookmarkStart w:id="40" w:name="_Toc28359009"/>
      <w:r>
        <w:rPr>
          <w:rFonts w:hint="eastAsia" w:ascii="仿宋" w:hAnsi="仿宋" w:eastAsia="仿宋" w:cs="仿宋"/>
          <w:color w:val="auto"/>
          <w:sz w:val="28"/>
          <w:szCs w:val="28"/>
          <w:highlight w:val="none"/>
          <w:lang w:val="en-US" w:eastAsia="zh-CN"/>
        </w:rPr>
        <w:t xml:space="preserve">曾建博  0550-3010861 </w:t>
      </w:r>
    </w:p>
    <w:p w14:paraId="03EF20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172B81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10"/>
      <w:bookmarkStart w:id="42" w:name="_Toc28359087"/>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5BA4DE3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滁州市龙蟠大道109号房产商务大厦6楼605室</w:t>
      </w:r>
    </w:p>
    <w:p w14:paraId="4E1C1D7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曹思敏 0550-3519516 18712012204</w:t>
      </w:r>
    </w:p>
    <w:bookmarkEnd w:id="41"/>
    <w:bookmarkEnd w:id="42"/>
    <w:p w14:paraId="70CCC2F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0668F3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A7007A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133A6AC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7D2A9F0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4.本项目采用不见面开标，投标人登录滁州市城投工程咨询有限公司不见面开标系统参与网上开标（网址：http://js.etrading.cn/EpointBidOpening/bidopeninghallaction/hall/login）。</w:t>
      </w:r>
    </w:p>
    <w:p w14:paraId="54D5153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10D1861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62483E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16147551">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5ECB63B7">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2026年公园游园设施安全整治项目工程量清单及最高投标限价编制项目</w:t>
            </w:r>
          </w:p>
          <w:p w14:paraId="3D870AD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00" w:lineRule="exact"/>
              <w:ind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color w:val="auto"/>
                <w:kern w:val="0"/>
                <w:sz w:val="21"/>
                <w:szCs w:val="21"/>
                <w:highlight w:val="none"/>
                <w:lang w:val="en-US" w:eastAsia="zh-CN"/>
              </w:rPr>
              <w:t>0.3</w:t>
            </w:r>
            <w:r>
              <w:rPr>
                <w:rFonts w:hint="eastAsia" w:ascii="宋体" w:hAnsi="宋体" w:eastAsia="宋体" w:cs="宋体"/>
                <w:color w:val="auto"/>
                <w:kern w:val="0"/>
                <w:sz w:val="21"/>
                <w:szCs w:val="21"/>
                <w:highlight w:val="none"/>
                <w:lang w:val="en-US" w:eastAsia="zh-CN"/>
              </w:rPr>
              <w:t>万元。</w:t>
            </w:r>
          </w:p>
        </w:tc>
      </w:tr>
      <w:tr w14:paraId="4047B0BA">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42" w:leftChars="2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r>
              <w:rPr>
                <w:rFonts w:hint="eastAsia" w:ascii="宋体" w:hAnsi="宋体" w:eastAsia="宋体" w:cs="宋体"/>
                <w:color w:val="auto"/>
                <w:sz w:val="21"/>
                <w:szCs w:val="21"/>
                <w:highlight w:val="none"/>
              </w:rPr>
              <w:t>。</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0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0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w:t>
            </w:r>
            <w:r>
              <w:rPr>
                <w:rFonts w:hint="eastAsia" w:ascii="宋体" w:hAnsi="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lang w:val="en-US" w:eastAsia="zh-CN"/>
              </w:rPr>
              <w:t>（报价均保留两位小数，小数点后第三位将四舍五入进行修正）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2026年7月</w:t>
            </w:r>
            <w:r>
              <w:rPr>
                <w:rFonts w:hint="eastAsia" w:ascii="宋体" w:hAnsi="宋体" w:cs="宋体"/>
                <w:color w:val="auto"/>
                <w:spacing w:val="-4"/>
                <w:kern w:val="0"/>
                <w:sz w:val="21"/>
                <w:szCs w:val="21"/>
                <w:highlight w:val="none"/>
                <w:lang w:val="en-US" w:eastAsia="zh-CN"/>
              </w:rPr>
              <w:t>20</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2026年7月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20</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spacing w:line="400" w:lineRule="exact"/>
              <w:ind w:left="0"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00" w:lineRule="exact"/>
              <w:ind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2026年7月22日9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2D17B673">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40B70F0C">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29D105D4">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rPr>
              <w:t>不见面开标系统进行开标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投标人须</w:t>
            </w:r>
            <w:r>
              <w:rPr>
                <w:rFonts w:hint="eastAsia" w:ascii="宋体" w:hAnsi="宋体" w:eastAsia="宋体" w:cs="宋体"/>
                <w:color w:val="auto"/>
                <w:szCs w:val="21"/>
                <w:highlight w:val="none"/>
                <w:lang w:eastAsia="zh-CN"/>
              </w:rPr>
              <w:t xml:space="preserve">在 </w:t>
            </w:r>
            <w:r>
              <w:rPr>
                <w:rFonts w:hint="eastAsia" w:ascii="宋体" w:hAnsi="宋体" w:cs="宋体"/>
                <w:color w:val="auto"/>
                <w:szCs w:val="21"/>
                <w:highlight w:val="none"/>
                <w:lang w:eastAsia="zh-CN"/>
              </w:rPr>
              <w:t>2026年7月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0分</w:t>
            </w:r>
            <w:r>
              <w:rPr>
                <w:rFonts w:hint="eastAsia" w:ascii="宋体" w:hAnsi="宋体" w:eastAsia="宋体" w:cs="宋体"/>
                <w:color w:val="auto"/>
                <w:szCs w:val="21"/>
                <w:highlight w:val="none"/>
                <w:lang w:val="en-US" w:eastAsia="zh-CN"/>
              </w:rPr>
              <w:t>至</w:t>
            </w:r>
            <w:r>
              <w:rPr>
                <w:rFonts w:hint="eastAsia" w:ascii="宋体" w:hAnsi="宋体" w:cs="宋体"/>
                <w:color w:val="auto"/>
                <w:szCs w:val="21"/>
                <w:highlight w:val="none"/>
                <w:lang w:eastAsia="zh-CN"/>
              </w:rPr>
              <w:t>2026年7月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0分</w:t>
            </w:r>
            <w:r>
              <w:rPr>
                <w:rFonts w:hint="eastAsia" w:ascii="宋体" w:hAnsi="宋体" w:eastAsia="宋体" w:cs="宋体"/>
                <w:color w:val="auto"/>
                <w:szCs w:val="21"/>
                <w:highlight w:val="none"/>
                <w:lang w:val="en-US" w:eastAsia="zh-CN"/>
              </w:rPr>
              <w:t>解密</w:t>
            </w:r>
            <w:r>
              <w:rPr>
                <w:rFonts w:hint="eastAsia" w:ascii="宋体" w:hAnsi="宋体" w:cs="宋体"/>
                <w:color w:val="auto"/>
                <w:szCs w:val="21"/>
                <w:highlight w:val="none"/>
                <w:lang w:val="en-US" w:eastAsia="zh-CN"/>
              </w:rPr>
              <w:t>（具体以不见面开标系统为准）</w:t>
            </w:r>
            <w:r>
              <w:rPr>
                <w:rFonts w:hint="eastAsia" w:ascii="宋体" w:hAnsi="宋体" w:eastAsia="宋体" w:cs="宋体"/>
                <w:color w:val="auto"/>
                <w:szCs w:val="21"/>
                <w:highlight w:val="none"/>
                <w:lang w:val="en-US" w:eastAsia="zh-CN"/>
              </w:rPr>
              <w:t>；未在规定时间内完成解密的，退回其投标文件；如有因系统因系统原</w:t>
            </w:r>
            <w:r>
              <w:rPr>
                <w:rFonts w:hint="eastAsia" w:ascii="宋体" w:hAnsi="宋体" w:eastAsia="宋体" w:cs="宋体"/>
                <w:color w:val="auto"/>
                <w:szCs w:val="21"/>
                <w:highlight w:val="none"/>
                <w:u w:val="single"/>
                <w:lang w:val="en-US" w:eastAsia="zh-CN"/>
              </w:rPr>
              <w:t>因造成的故障，代理机构可申请延迟解密时间。</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w:t>
            </w:r>
            <w:r>
              <w:rPr>
                <w:rFonts w:hint="eastAsia" w:hAnsi="宋体" w:cs="宋体"/>
                <w:color w:val="auto"/>
                <w:sz w:val="21"/>
                <w:szCs w:val="21"/>
                <w:highlight w:val="none"/>
                <w:lang w:val="en-US" w:eastAsia="zh-CN"/>
              </w:rPr>
              <w:t>评标活动开始24小时</w:t>
            </w:r>
            <w:r>
              <w:rPr>
                <w:rFonts w:hint="eastAsia" w:ascii="宋体" w:hAnsi="宋体" w:eastAsia="宋体" w:cs="宋体"/>
                <w:color w:val="auto"/>
                <w:sz w:val="21"/>
                <w:szCs w:val="21"/>
                <w:highlight w:val="none"/>
              </w:rPr>
              <w:t>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382"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overflowPunct/>
              <w:topLinePunct w:val="0"/>
              <w:autoSpaceDE/>
              <w:autoSpaceDN/>
              <w:bidi w:val="0"/>
              <w:spacing w:line="400" w:lineRule="exact"/>
              <w:ind w:left="0" w:leftChars="0" w:firstLine="0" w:firstLineChars="0"/>
              <w:textAlignment w:val="auto"/>
              <w:rPr>
                <w:rFonts w:hint="default"/>
                <w:b w:val="0"/>
                <w:bCs w:val="0"/>
                <w:color w:val="auto"/>
                <w:highlight w:val="none"/>
                <w:lang w:val="en-US" w:eastAsia="zh-CN"/>
              </w:rPr>
            </w:pPr>
            <w:r>
              <w:rPr>
                <w:rFonts w:hint="eastAsia" w:ascii="宋体" w:hAnsi="宋体" w:cs="宋体"/>
                <w:b w:val="0"/>
                <w:bCs w:val="0"/>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元，专家评审费另计（最终以实际发生为准，按实计收</w:t>
            </w:r>
            <w:r>
              <w:rPr>
                <w:rFonts w:hint="eastAsia" w:ascii="宋体" w:hAnsi="宋体" w:cs="宋体"/>
                <w:color w:val="auto"/>
                <w:kern w:val="0"/>
                <w:sz w:val="21"/>
                <w:szCs w:val="21"/>
                <w:highlight w:val="none"/>
                <w:lang w:val="en-US" w:eastAsia="zh-CN"/>
              </w:rPr>
              <w:t>，约1240元</w:t>
            </w:r>
            <w:r>
              <w:rPr>
                <w:rFonts w:hint="eastAsia" w:ascii="宋体" w:hAnsi="宋体" w:eastAsia="宋体" w:cs="宋体"/>
                <w:color w:val="auto"/>
                <w:kern w:val="0"/>
                <w:sz w:val="21"/>
                <w:szCs w:val="21"/>
                <w:highlight w:val="none"/>
                <w:lang w:val="en-US" w:eastAsia="zh-CN"/>
              </w:rPr>
              <w:t>），中标单位在领取中标通知书前一次性支付给代理公司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10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3FB9B323">
        <w:tblPrEx>
          <w:tblCellMar>
            <w:top w:w="0" w:type="dxa"/>
            <w:left w:w="0" w:type="dxa"/>
            <w:bottom w:w="0" w:type="dxa"/>
            <w:right w:w="0" w:type="dxa"/>
          </w:tblCellMar>
        </w:tblPrEx>
        <w:trPr>
          <w:trHeight w:val="1181"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47B8DF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13663"/>
            <w:bookmarkStart w:id="45" w:name="_Toc515"/>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5A4593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9B33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3DA82C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41141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overflowPunct/>
              <w:topLinePunct w:val="0"/>
              <w:autoSpaceDE/>
              <w:autoSpaceDN/>
              <w:bidi w:val="0"/>
              <w:spacing w:line="400" w:lineRule="exact"/>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3F700D07">
      <w:pPr>
        <w:spacing w:line="400" w:lineRule="exact"/>
        <w:jc w:val="center"/>
        <w:outlineLvl w:val="1"/>
        <w:rPr>
          <w:rFonts w:hint="eastAsia" w:ascii="宋体" w:hAnsi="宋体" w:eastAsia="宋体" w:cs="宋体"/>
          <w:b/>
          <w:bCs/>
          <w:color w:val="auto"/>
          <w:sz w:val="28"/>
          <w:highlight w:val="none"/>
        </w:rPr>
      </w:pP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2026年公园游园设施安全整治项目工程量清单及最高投标限价编制项目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滁州市园林景观管理中心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工程量清单及最高投标限价编制费约0.3万元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17301"/>
      <w:bookmarkStart w:id="47" w:name="_Toc29988"/>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60%</w:t>
      </w:r>
      <w:r>
        <w:rPr>
          <w:rFonts w:hint="eastAsia" w:ascii="宋体" w:hAnsi="宋体" w:eastAsia="宋体" w:cs="宋体"/>
          <w:b/>
          <w:bCs/>
          <w:color w:val="auto"/>
          <w:sz w:val="21"/>
          <w:szCs w:val="21"/>
          <w:highlight w:val="none"/>
          <w:lang w:val="en-US" w:eastAsia="zh-CN"/>
        </w:rPr>
        <w:t>，投标单位投标报价不得高于上述费率最高限价，否则按无效标处理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w:t>
      </w:r>
      <w:r>
        <w:rPr>
          <w:rFonts w:hint="eastAsia" w:ascii="宋体" w:hAnsi="宋体" w:eastAsia="宋体" w:cs="宋体"/>
          <w:color w:val="auto"/>
          <w:sz w:val="21"/>
          <w:szCs w:val="21"/>
          <w:highlight w:val="none"/>
          <w:lang w:val="en-US" w:eastAsia="zh-CN"/>
        </w:rPr>
        <w:t>证明材料</w:t>
      </w:r>
      <w:r>
        <w:rPr>
          <w:rFonts w:hint="eastAsia" w:ascii="宋体" w:hAnsi="宋体" w:cs="宋体"/>
          <w:color w:val="auto"/>
          <w:sz w:val="21"/>
          <w:szCs w:val="21"/>
          <w:highlight w:val="none"/>
          <w:lang w:val="en-US" w:eastAsia="zh-CN"/>
        </w:rPr>
        <w:t xml:space="preserve">； </w:t>
      </w:r>
    </w:p>
    <w:p w14:paraId="18064BF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名且具有在本单位注册的二级及以上造价工程师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2777844">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400928009-5 （工作日）或者网站首页在线客服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1" w:name="_Toc58430318"/>
      <w:bookmarkStart w:id="62" w:name="_Toc44902887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eastAsia="宋体" w:cs="宋体"/>
                <w:color w:val="auto"/>
                <w:sz w:val="21"/>
                <w:szCs w:val="21"/>
                <w:highlight w:val="none"/>
              </w:rPr>
              <w:t>拟派项目负责人证书</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项目人员配备表</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名且具有在本单位注册的二级及以上造价工程师</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ascii="宋体" w:hAnsi="宋体" w:cs="宋体"/>
                <w:color w:val="auto"/>
                <w:sz w:val="21"/>
                <w:szCs w:val="21"/>
                <w:highlight w:val="none"/>
                <w:lang w:val="en-US" w:eastAsia="zh-CN"/>
              </w:rPr>
              <w:t>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w:t>
            </w:r>
            <w:r>
              <w:rPr>
                <w:rFonts w:hint="eastAsia" w:ascii="宋体" w:hAnsi="宋体" w:cs="宋体"/>
                <w:color w:val="auto"/>
                <w:sz w:val="21"/>
                <w:szCs w:val="21"/>
                <w:highlight w:val="none"/>
                <w:lang w:val="en-US" w:eastAsia="zh-CN"/>
              </w:rPr>
              <w:t>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5101"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5101"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28EFBD0">
      <w:pPr>
        <w:rPr>
          <w:rFonts w:hint="eastAsia" w:ascii="宋体" w:hAnsi="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br w:type="page"/>
      </w: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为《收费标准》计算费用的60%（报价均保留两位小数，小数点后第三位将四舍五入进行修正）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（2）评标基准值=所有有效投标人的有效报价的算术平均值（小数点后保留两位小数，小数点后第三位四舍五入）。</w:t>
            </w:r>
          </w:p>
          <w:p w14:paraId="4CAC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（3）各投标人的有效报价与评标基准值相比，相等的得</w:t>
            </w:r>
            <w:r>
              <w:rPr>
                <w:rFonts w:hint="eastAsia" w:ascii="宋体"/>
                <w:color w:val="auto"/>
                <w:sz w:val="21"/>
                <w:szCs w:val="21"/>
                <w:highlight w:val="none"/>
                <w:lang w:val="en-US" w:eastAsia="zh-CN"/>
              </w:rPr>
              <w:t>1</w:t>
            </w:r>
            <w:r>
              <w:rPr>
                <w:rFonts w:hint="eastAsia" w:ascii="宋体"/>
                <w:color w:val="auto"/>
                <w:sz w:val="21"/>
                <w:szCs w:val="21"/>
                <w:highlight w:val="none"/>
              </w:rPr>
              <w:t>0</w:t>
            </w:r>
            <w:r>
              <w:rPr>
                <w:rFonts w:hint="eastAsia" w:ascii="宋体"/>
                <w:color w:val="auto"/>
                <w:sz w:val="21"/>
                <w:szCs w:val="21"/>
                <w:highlight w:val="none"/>
                <w:lang w:val="en-US" w:eastAsia="zh-CN"/>
              </w:rPr>
              <w:t>0</w:t>
            </w:r>
            <w:r>
              <w:rPr>
                <w:rFonts w:hint="eastAsia" w:ascii="宋体"/>
                <w:color w:val="auto"/>
                <w:sz w:val="21"/>
                <w:szCs w:val="21"/>
                <w:highlight w:val="none"/>
              </w:rPr>
              <w:t>分；每增加1%扣</w:t>
            </w:r>
            <w:r>
              <w:rPr>
                <w:rFonts w:hint="eastAsia" w:ascii="宋体"/>
                <w:color w:val="auto"/>
                <w:sz w:val="21"/>
                <w:szCs w:val="21"/>
                <w:highlight w:val="none"/>
                <w:lang w:val="en-US" w:eastAsia="zh-CN"/>
              </w:rPr>
              <w:t>1.0</w:t>
            </w:r>
            <w:r>
              <w:rPr>
                <w:rFonts w:hint="eastAsia" w:ascii="宋体"/>
                <w:color w:val="auto"/>
                <w:sz w:val="21"/>
                <w:szCs w:val="21"/>
                <w:highlight w:val="none"/>
              </w:rPr>
              <w:t>分；每减少1%扣</w:t>
            </w:r>
            <w:r>
              <w:rPr>
                <w:rFonts w:hint="eastAsia" w:ascii="宋体"/>
                <w:color w:val="auto"/>
                <w:sz w:val="21"/>
                <w:szCs w:val="21"/>
                <w:highlight w:val="none"/>
                <w:lang w:val="en-US" w:eastAsia="zh-CN"/>
              </w:rPr>
              <w:t>0.5</w:t>
            </w:r>
            <w:r>
              <w:rPr>
                <w:rFonts w:hint="eastAsia" w:ascii="宋体"/>
                <w:color w:val="auto"/>
                <w:sz w:val="21"/>
                <w:szCs w:val="21"/>
                <w:highlight w:val="none"/>
              </w:rPr>
              <w:t>分；扣完为止，不足1%时按插入法计算，百分数取二位小数，小数点后第三位四舍五入。例说明如下：评标基准值F为30%，投标人甲的报价为32%、投标人乙的报价为28%，计算各投标人得分如下：</w:t>
            </w:r>
          </w:p>
          <w:p w14:paraId="29D83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计算投标人甲投标报价与评标基准值的百分比为：【（32%-30%）÷30%】*100%=6.67%，其得分=</w:t>
            </w:r>
            <w:r>
              <w:rPr>
                <w:rFonts w:hint="eastAsia" w:ascii="宋体"/>
                <w:color w:val="auto"/>
                <w:sz w:val="21"/>
                <w:szCs w:val="21"/>
                <w:highlight w:val="none"/>
                <w:lang w:val="en-US" w:eastAsia="zh-CN"/>
              </w:rPr>
              <w:t>100</w:t>
            </w:r>
            <w:r>
              <w:rPr>
                <w:rFonts w:hint="eastAsia" w:ascii="宋体"/>
                <w:color w:val="auto"/>
                <w:sz w:val="21"/>
                <w:szCs w:val="21"/>
                <w:highlight w:val="none"/>
              </w:rPr>
              <w:t>-6.67*</w:t>
            </w:r>
            <w:r>
              <w:rPr>
                <w:rFonts w:hint="eastAsia" w:ascii="宋体"/>
                <w:color w:val="auto"/>
                <w:sz w:val="21"/>
                <w:szCs w:val="21"/>
                <w:highlight w:val="none"/>
                <w:lang w:val="en-US" w:eastAsia="zh-CN"/>
              </w:rPr>
              <w:t>1.0</w:t>
            </w:r>
            <w:r>
              <w:rPr>
                <w:rFonts w:hint="eastAsia" w:ascii="宋体"/>
                <w:color w:val="auto"/>
                <w:sz w:val="21"/>
                <w:szCs w:val="21"/>
                <w:highlight w:val="none"/>
              </w:rPr>
              <w:t>=</w:t>
            </w:r>
            <w:r>
              <w:rPr>
                <w:rFonts w:hint="eastAsia" w:ascii="宋体"/>
                <w:color w:val="auto"/>
                <w:sz w:val="21"/>
                <w:szCs w:val="21"/>
                <w:highlight w:val="none"/>
                <w:lang w:val="en-US" w:eastAsia="zh-CN"/>
              </w:rPr>
              <w:t>93.33</w:t>
            </w:r>
            <w:r>
              <w:rPr>
                <w:rFonts w:hint="eastAsia" w:ascii="宋体"/>
                <w:color w:val="auto"/>
                <w:sz w:val="21"/>
                <w:szCs w:val="21"/>
                <w:highlight w:val="none"/>
              </w:rPr>
              <w:t>分；</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计算投标人乙投标报价与评标基准值的百分比为：【（28%-30%）÷30%】*100%=-6.67%，其得分=</w:t>
            </w:r>
            <w:r>
              <w:rPr>
                <w:rFonts w:hint="eastAsia" w:ascii="宋体"/>
                <w:color w:val="auto"/>
                <w:sz w:val="21"/>
                <w:szCs w:val="21"/>
                <w:highlight w:val="none"/>
                <w:lang w:val="en-US" w:eastAsia="zh-CN"/>
              </w:rPr>
              <w:t>10</w:t>
            </w:r>
            <w:r>
              <w:rPr>
                <w:rFonts w:hint="eastAsia" w:ascii="宋体"/>
                <w:color w:val="auto"/>
                <w:sz w:val="21"/>
                <w:szCs w:val="21"/>
                <w:highlight w:val="none"/>
              </w:rPr>
              <w:t>0-6.67*</w:t>
            </w:r>
            <w:r>
              <w:rPr>
                <w:rFonts w:hint="eastAsia" w:ascii="宋体"/>
                <w:color w:val="auto"/>
                <w:sz w:val="21"/>
                <w:szCs w:val="21"/>
                <w:highlight w:val="none"/>
                <w:lang w:val="en-US" w:eastAsia="zh-CN"/>
              </w:rPr>
              <w:t>0.5</w:t>
            </w:r>
            <w:r>
              <w:rPr>
                <w:rFonts w:hint="eastAsia" w:ascii="宋体"/>
                <w:color w:val="auto"/>
                <w:sz w:val="21"/>
                <w:szCs w:val="21"/>
                <w:highlight w:val="none"/>
              </w:rPr>
              <w:t>=</w:t>
            </w:r>
            <w:r>
              <w:rPr>
                <w:rFonts w:hint="eastAsia" w:ascii="宋体"/>
                <w:color w:val="auto"/>
                <w:sz w:val="21"/>
                <w:szCs w:val="21"/>
                <w:highlight w:val="none"/>
                <w:lang w:val="en-US" w:eastAsia="zh-CN"/>
              </w:rPr>
              <w:t>96.67</w:t>
            </w:r>
            <w:r>
              <w:rPr>
                <w:rFonts w:hint="eastAsia" w:ascii="宋体"/>
                <w:color w:val="auto"/>
                <w:sz w:val="21"/>
                <w:szCs w:val="21"/>
                <w:highlight w:val="none"/>
              </w:rPr>
              <w:t>分。</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本项分值由招标代理机构工作人员计算，评标委员会审核。</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56AEB650">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7AB5CC3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194B8410">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滁州市园林景观管理中心      </w:t>
      </w:r>
      <w:r>
        <w:rPr>
          <w:rFonts w:hint="eastAsia" w:ascii="宋体" w:hAnsi="宋体" w:cs="宋体"/>
          <w:b w:val="0"/>
          <w:color w:val="auto"/>
          <w:kern w:val="2"/>
          <w:sz w:val="24"/>
          <w:szCs w:val="24"/>
          <w:highlight w:val="none"/>
          <w:u w:val="single"/>
          <w:lang w:val="en-US" w:eastAsia="zh-CN" w:bidi="ar"/>
        </w:rPr>
        <w:t xml:space="preserve">                             </w:t>
      </w:r>
    </w:p>
    <w:p w14:paraId="36D2A725">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327F24FF">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2026年公园游园设施安全整治项目</w:t>
      </w:r>
      <w:r>
        <w:rPr>
          <w:rFonts w:hint="eastAsia" w:ascii="宋体" w:hAnsi="宋体" w:eastAsia="宋体" w:cs="宋体"/>
          <w:color w:val="auto"/>
          <w:kern w:val="2"/>
          <w:sz w:val="24"/>
          <w:szCs w:val="24"/>
          <w:highlight w:val="none"/>
          <w:u w:val="single"/>
          <w:lang w:val="en-US" w:eastAsia="zh-CN" w:bidi="ar"/>
        </w:rPr>
        <w:t xml:space="preserve">工程量清单及最高投标限价编制项目 </w:t>
      </w:r>
      <w:r>
        <w:rPr>
          <w:rFonts w:hint="eastAsia" w:ascii="宋体" w:hAnsi="宋体" w:eastAsia="宋体" w:cs="宋体"/>
          <w:color w:val="auto"/>
          <w:kern w:val="2"/>
          <w:sz w:val="24"/>
          <w:szCs w:val="24"/>
          <w:highlight w:val="none"/>
          <w:lang w:val="en-US" w:eastAsia="zh-CN" w:bidi="ar"/>
        </w:rPr>
        <w:t>及有关事项协商一致，共同达成如下协议：</w:t>
      </w:r>
    </w:p>
    <w:p w14:paraId="42A3C45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134E39D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2026年公园游园设施安全整治项目</w:t>
      </w:r>
      <w:r>
        <w:rPr>
          <w:rFonts w:hint="eastAsia" w:ascii="宋体" w:hAnsi="宋体" w:eastAsia="宋体" w:cs="宋体"/>
          <w:color w:val="auto"/>
          <w:kern w:val="2"/>
          <w:sz w:val="24"/>
          <w:szCs w:val="24"/>
          <w:highlight w:val="none"/>
          <w:u w:val="single"/>
          <w:lang w:val="en-US" w:eastAsia="zh-CN" w:bidi="ar"/>
        </w:rPr>
        <w:t>工程量清单及最高投标限价编制项目</w:t>
      </w:r>
    </w:p>
    <w:p w14:paraId="1A00E67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6C925AB0">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5C509E6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5F45E4F0">
      <w:pPr>
        <w:keepNext w:val="0"/>
        <w:keepLines w:val="0"/>
        <w:widowControl w:val="0"/>
        <w:suppressLineNumbers w:val="0"/>
        <w:spacing w:before="153" w:beforeLines="50" w:beforeAutospacing="0" w:after="153" w:afterLines="50" w:afterAutospacing="0" w:line="400" w:lineRule="exact"/>
        <w:ind w:left="0" w:right="0" w:firstLine="480" w:firstLineChars="200"/>
        <w:jc w:val="left"/>
        <w:rPr>
          <w:rFonts w:hint="eastAsia" w:ascii="宋体" w:hAnsi="宋体" w:eastAsia="宋体" w:cs="宋体"/>
          <w:color w:val="auto"/>
          <w:kern w:val="2"/>
          <w:sz w:val="24"/>
          <w:szCs w:val="24"/>
          <w:highlight w:val="none"/>
          <w:u w:val="single"/>
          <w:lang w:val="en-US" w:eastAsia="zh-CN" w:bidi="ar"/>
        </w:rPr>
      </w:pPr>
      <w:r>
        <w:rPr>
          <w:rFonts w:hint="eastAsia" w:ascii="宋体" w:hAnsi="宋体" w:cs="宋体"/>
          <w:color w:val="auto"/>
          <w:kern w:val="2"/>
          <w:sz w:val="24"/>
          <w:szCs w:val="24"/>
          <w:highlight w:val="none"/>
          <w:u w:val="single"/>
          <w:lang w:val="en-US" w:eastAsia="zh-CN" w:bidi="ar"/>
        </w:rPr>
        <w:t>2026年公园游园设施安全整治项目</w:t>
      </w:r>
      <w:r>
        <w:rPr>
          <w:rFonts w:hint="eastAsia" w:ascii="宋体" w:hAnsi="宋体" w:eastAsia="宋体" w:cs="宋体"/>
          <w:color w:val="auto"/>
          <w:kern w:val="2"/>
          <w:sz w:val="24"/>
          <w:szCs w:val="24"/>
          <w:highlight w:val="none"/>
          <w:u w:val="single"/>
          <w:lang w:val="en-US" w:eastAsia="zh-CN" w:bidi="ar"/>
        </w:rPr>
        <w:t>工程量清单及最高投标限价编制</w:t>
      </w:r>
    </w:p>
    <w:p w14:paraId="1AA7855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6401B200">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289A565A">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4E80AC9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2C22594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13EF0579">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1904926D">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7C0BA4C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eastAsia="宋体" w:cs="宋体"/>
          <w:b/>
          <w:bCs/>
          <w:color w:val="auto"/>
          <w:kern w:val="0"/>
          <w:sz w:val="21"/>
          <w:szCs w:val="21"/>
          <w:highlight w:val="non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w:t>
      </w:r>
    </w:p>
    <w:p w14:paraId="33B1DA54">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52F1067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101246B9">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4BC33C13">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7333214">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3F7BBCE8">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1FD89047">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24C7818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28C1E91A">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71D2D786">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5D0709B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0BA532B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4E57E903">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1D2889F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eastAsia="宋体" w:cs="宋体"/>
          <w:b/>
          <w:bCs/>
          <w:color w:val="auto"/>
          <w:kern w:val="2"/>
          <w:sz w:val="24"/>
          <w:szCs w:val="24"/>
          <w:highlight w:val="none"/>
          <w:u w:val="single"/>
          <w:lang w:val="en-US" w:eastAsia="zh-CN" w:bidi="ar"/>
        </w:rPr>
        <w:t xml:space="preserve">  202</w:t>
      </w:r>
      <w:r>
        <w:rPr>
          <w:rFonts w:hint="eastAsia" w:ascii="宋体" w:hAnsi="宋体" w:cs="宋体"/>
          <w:b/>
          <w:bCs/>
          <w:color w:val="auto"/>
          <w:kern w:val="2"/>
          <w:sz w:val="24"/>
          <w:szCs w:val="24"/>
          <w:highlight w:val="none"/>
          <w:u w:val="single"/>
          <w:lang w:val="en-US" w:eastAsia="zh-CN" w:bidi="ar"/>
        </w:rPr>
        <w:t>6</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6B99552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66167F8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滁州市园林景观管理中心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67D7BFB1">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1B5F58A3">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72CEDC5D">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79969C36">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59EFB852">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41400542">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49CAF0B0">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21B6AE35">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18DF228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2467ED1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041C98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3DA36BDD">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11D3B82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DAF36E1">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721B2EF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3871A81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7D273E4E">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744CC72">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3D7975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6A03019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5F41C83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EA0F145">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612211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385F8643">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7" w:name="_Toc303538972"/>
      <w:bookmarkEnd w:id="67"/>
      <w:bookmarkStart w:id="68" w:name="_Toc303538976"/>
      <w:bookmarkEnd w:id="68"/>
      <w:bookmarkStart w:id="69" w:name="_Toc303538973"/>
      <w:bookmarkEnd w:id="69"/>
      <w:bookmarkStart w:id="70" w:name="_Toc303538974"/>
      <w:bookmarkEnd w:id="70"/>
      <w:bookmarkStart w:id="71" w:name="_Toc303538975"/>
      <w:bookmarkEnd w:id="71"/>
      <w:bookmarkStart w:id="72" w:name="_Toc296346528"/>
      <w:bookmarkStart w:id="73" w:name="_Toc296503027"/>
      <w:r>
        <w:rPr>
          <w:rFonts w:hint="eastAsia" w:ascii="宋体" w:hAnsi="宋体" w:eastAsia="宋体" w:cs="宋体"/>
          <w:b w:val="0"/>
          <w:color w:val="auto"/>
          <w:sz w:val="24"/>
          <w:szCs w:val="24"/>
          <w:highlight w:val="none"/>
        </w:rPr>
        <w:t xml:space="preserve"> 一般约定</w:t>
      </w:r>
      <w:bookmarkEnd w:id="72"/>
      <w:bookmarkEnd w:id="73"/>
    </w:p>
    <w:p w14:paraId="5D7E60A2">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4" w:name="_Toc296346529"/>
      <w:bookmarkStart w:id="75" w:name="_Toc296503028"/>
      <w:bookmarkStart w:id="76" w:name="_Toc337558728"/>
      <w:bookmarkStart w:id="77" w:name="_Toc407261895"/>
      <w:r>
        <w:rPr>
          <w:rFonts w:hint="eastAsia" w:ascii="宋体" w:hAnsi="宋体" w:eastAsia="宋体" w:cs="宋体"/>
          <w:color w:val="auto"/>
          <w:sz w:val="24"/>
          <w:szCs w:val="24"/>
          <w:highlight w:val="none"/>
        </w:rPr>
        <w:t>1.1 词语定义</w:t>
      </w:r>
      <w:bookmarkEnd w:id="74"/>
      <w:bookmarkEnd w:id="75"/>
      <w:bookmarkEnd w:id="76"/>
      <w:r>
        <w:rPr>
          <w:rFonts w:hint="eastAsia" w:ascii="宋体" w:hAnsi="宋体" w:eastAsia="宋体" w:cs="宋体"/>
          <w:color w:val="auto"/>
          <w:sz w:val="24"/>
          <w:szCs w:val="24"/>
          <w:highlight w:val="none"/>
        </w:rPr>
        <w:t>与解释</w:t>
      </w:r>
      <w:bookmarkEnd w:id="77"/>
    </w:p>
    <w:p w14:paraId="395FD1B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532D19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27BF35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28A992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5FC40E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7503309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7D767B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02D2D98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33E9AA8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4BCDB7A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2A15078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8" w:name="_Toc296503029"/>
      <w:bookmarkStart w:id="79" w:name="_Toc296346530"/>
      <w:bookmarkStart w:id="80" w:name="_Toc337558729"/>
      <w:bookmarkStart w:id="81" w:name="_Toc407261896"/>
      <w:r>
        <w:rPr>
          <w:rFonts w:hint="eastAsia" w:ascii="宋体" w:hAnsi="宋体" w:eastAsia="宋体" w:cs="宋体"/>
          <w:color w:val="auto"/>
          <w:sz w:val="24"/>
          <w:szCs w:val="24"/>
          <w:highlight w:val="none"/>
        </w:rPr>
        <w:t>1.2 语言文字</w:t>
      </w:r>
      <w:bookmarkEnd w:id="78"/>
      <w:bookmarkEnd w:id="79"/>
      <w:bookmarkEnd w:id="80"/>
      <w:bookmarkEnd w:id="81"/>
    </w:p>
    <w:p w14:paraId="4E312DA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6908C66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2" w:name="_Toc296346531"/>
      <w:bookmarkStart w:id="83" w:name="_Toc296503030"/>
      <w:bookmarkStart w:id="84" w:name="_Toc337558730"/>
      <w:bookmarkStart w:id="85" w:name="_Toc407261897"/>
      <w:r>
        <w:rPr>
          <w:rFonts w:hint="eastAsia" w:ascii="宋体" w:hAnsi="宋体" w:eastAsia="宋体" w:cs="宋体"/>
          <w:color w:val="auto"/>
          <w:sz w:val="24"/>
          <w:szCs w:val="24"/>
          <w:highlight w:val="none"/>
        </w:rPr>
        <w:t>1.3 法律</w:t>
      </w:r>
      <w:bookmarkEnd w:id="82"/>
      <w:bookmarkEnd w:id="83"/>
      <w:bookmarkEnd w:id="84"/>
      <w:bookmarkEnd w:id="85"/>
    </w:p>
    <w:p w14:paraId="6791C57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02542A9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31771BE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6" w:name="_Toc407261898"/>
      <w:r>
        <w:rPr>
          <w:rFonts w:hint="eastAsia" w:ascii="宋体" w:hAnsi="宋体" w:eastAsia="宋体" w:cs="宋体"/>
          <w:color w:val="auto"/>
          <w:sz w:val="24"/>
          <w:szCs w:val="24"/>
          <w:highlight w:val="none"/>
        </w:rPr>
        <w:t>1.4 标准和规范</w:t>
      </w:r>
      <w:bookmarkEnd w:id="86"/>
    </w:p>
    <w:p w14:paraId="41EAAE8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3EAD1B0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7" w:name="_Toc407261899"/>
      <w:r>
        <w:rPr>
          <w:rFonts w:hint="eastAsia" w:ascii="宋体" w:hAnsi="宋体" w:eastAsia="宋体" w:cs="宋体"/>
          <w:color w:val="auto"/>
          <w:sz w:val="24"/>
          <w:szCs w:val="24"/>
          <w:highlight w:val="none"/>
        </w:rPr>
        <w:t>1</w:t>
      </w:r>
      <w:bookmarkStart w:id="88" w:name="_Toc337558731"/>
      <w:bookmarkStart w:id="89" w:name="_Toc296346532"/>
      <w:bookmarkStart w:id="90" w:name="_Toc296503031"/>
      <w:r>
        <w:rPr>
          <w:rFonts w:hint="eastAsia" w:ascii="宋体" w:hAnsi="宋体" w:eastAsia="宋体" w:cs="宋体"/>
          <w:color w:val="auto"/>
          <w:sz w:val="24"/>
          <w:szCs w:val="24"/>
          <w:highlight w:val="none"/>
        </w:rPr>
        <w:t>.5 合同文件的优先顺序</w:t>
      </w:r>
      <w:bookmarkEnd w:id="87"/>
    </w:p>
    <w:bookmarkEnd w:id="88"/>
    <w:bookmarkEnd w:id="89"/>
    <w:bookmarkEnd w:id="90"/>
    <w:p w14:paraId="6E6A91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7CC966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DAEBE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5E7DA5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2278D03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279A61C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2683A23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13B7793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174DC12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1" w:name="_Toc351203502"/>
      <w:bookmarkStart w:id="92" w:name="_Toc407261900"/>
      <w:r>
        <w:rPr>
          <w:rFonts w:hint="eastAsia" w:ascii="宋体" w:hAnsi="宋体" w:eastAsia="宋体" w:cs="宋体"/>
          <w:color w:val="auto"/>
          <w:sz w:val="24"/>
          <w:szCs w:val="24"/>
          <w:highlight w:val="none"/>
        </w:rPr>
        <w:t>1</w:t>
      </w:r>
      <w:bookmarkStart w:id="93" w:name="_Toc337558733"/>
      <w:bookmarkStart w:id="94" w:name="_Toc296346534"/>
      <w:bookmarkStart w:id="95" w:name="_Toc296503033"/>
      <w:r>
        <w:rPr>
          <w:rFonts w:hint="eastAsia" w:ascii="宋体" w:hAnsi="宋体" w:eastAsia="宋体" w:cs="宋体"/>
          <w:color w:val="auto"/>
          <w:sz w:val="24"/>
          <w:szCs w:val="24"/>
          <w:highlight w:val="none"/>
        </w:rPr>
        <w:t>.6 联络</w:t>
      </w:r>
      <w:bookmarkEnd w:id="91"/>
      <w:bookmarkEnd w:id="92"/>
    </w:p>
    <w:bookmarkEnd w:id="93"/>
    <w:bookmarkEnd w:id="94"/>
    <w:bookmarkEnd w:id="95"/>
    <w:p w14:paraId="2C01C3B8">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02F8FF25">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3698C77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32E775A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6" w:name="_Toc407261901"/>
      <w:r>
        <w:rPr>
          <w:rFonts w:hint="eastAsia" w:ascii="宋体" w:hAnsi="宋体" w:eastAsia="宋体" w:cs="宋体"/>
          <w:color w:val="auto"/>
          <w:sz w:val="24"/>
          <w:szCs w:val="24"/>
          <w:highlight w:val="none"/>
        </w:rPr>
        <w:t>1.7 守法诚信</w:t>
      </w:r>
      <w:bookmarkEnd w:id="96"/>
    </w:p>
    <w:p w14:paraId="2E6A758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1579F9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7" w:name="_Toc407261902"/>
      <w:r>
        <w:rPr>
          <w:rFonts w:hint="eastAsia" w:ascii="宋体" w:hAnsi="宋体" w:eastAsia="宋体" w:cs="宋体"/>
          <w:color w:val="auto"/>
          <w:sz w:val="24"/>
          <w:szCs w:val="24"/>
          <w:highlight w:val="none"/>
        </w:rPr>
        <w:t>1.8 保密</w:t>
      </w:r>
      <w:bookmarkEnd w:id="97"/>
    </w:p>
    <w:p w14:paraId="6241F62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694C5CBA">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98" w:name="_Toc407261903"/>
      <w:r>
        <w:rPr>
          <w:rFonts w:hint="eastAsia" w:ascii="宋体" w:hAnsi="宋体" w:eastAsia="宋体" w:cs="宋体"/>
          <w:b w:val="0"/>
          <w:color w:val="auto"/>
          <w:sz w:val="24"/>
          <w:szCs w:val="24"/>
          <w:highlight w:val="none"/>
        </w:rPr>
        <w:t>2. 委托人</w:t>
      </w:r>
      <w:bookmarkEnd w:id="98"/>
    </w:p>
    <w:p w14:paraId="2D03D2F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4"/>
      <w:r>
        <w:rPr>
          <w:rFonts w:hint="eastAsia" w:ascii="宋体" w:hAnsi="宋体" w:eastAsia="宋体" w:cs="宋体"/>
          <w:color w:val="auto"/>
          <w:sz w:val="24"/>
          <w:szCs w:val="24"/>
          <w:highlight w:val="none"/>
        </w:rPr>
        <w:t>2.1 委托人代表</w:t>
      </w:r>
      <w:bookmarkEnd w:id="99"/>
    </w:p>
    <w:p w14:paraId="46B2CA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4741398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0" w:name="_Toc407261905"/>
      <w:r>
        <w:rPr>
          <w:rFonts w:hint="eastAsia" w:ascii="宋体" w:hAnsi="宋体" w:eastAsia="宋体" w:cs="宋体"/>
          <w:color w:val="auto"/>
          <w:sz w:val="24"/>
          <w:szCs w:val="24"/>
          <w:highlight w:val="none"/>
        </w:rPr>
        <w:t>2.2 提供资料</w:t>
      </w:r>
      <w:bookmarkEnd w:id="100"/>
    </w:p>
    <w:p w14:paraId="107BAF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C1FA17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0DF71E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0EAFFD4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6"/>
      <w:r>
        <w:rPr>
          <w:rFonts w:hint="eastAsia" w:ascii="宋体" w:hAnsi="宋体" w:eastAsia="宋体" w:cs="宋体"/>
          <w:color w:val="auto"/>
          <w:sz w:val="24"/>
          <w:szCs w:val="24"/>
          <w:highlight w:val="none"/>
        </w:rPr>
        <w:t>2.3 提供工作条件</w:t>
      </w:r>
      <w:bookmarkEnd w:id="101"/>
    </w:p>
    <w:p w14:paraId="08AAB1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7A6F5C8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54DCBE2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7"/>
      <w:r>
        <w:rPr>
          <w:rFonts w:hint="eastAsia" w:ascii="宋体" w:hAnsi="宋体" w:eastAsia="宋体" w:cs="宋体"/>
          <w:color w:val="auto"/>
          <w:sz w:val="24"/>
          <w:szCs w:val="24"/>
          <w:highlight w:val="none"/>
        </w:rPr>
        <w:t>2.4 答复</w:t>
      </w:r>
      <w:bookmarkEnd w:id="102"/>
    </w:p>
    <w:p w14:paraId="445933F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62A4A73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446F50A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8"/>
      <w:r>
        <w:rPr>
          <w:rFonts w:hint="eastAsia" w:ascii="宋体" w:hAnsi="宋体" w:eastAsia="宋体" w:cs="宋体"/>
          <w:color w:val="auto"/>
          <w:sz w:val="24"/>
          <w:szCs w:val="24"/>
          <w:highlight w:val="none"/>
        </w:rPr>
        <w:t>2.5 支付酬金</w:t>
      </w:r>
      <w:bookmarkEnd w:id="103"/>
    </w:p>
    <w:p w14:paraId="2D0F44D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67B1CA5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4" w:name="_Toc407261909"/>
      <w:r>
        <w:rPr>
          <w:rFonts w:hint="eastAsia" w:ascii="宋体" w:hAnsi="宋体" w:eastAsia="宋体" w:cs="宋体"/>
          <w:b w:val="0"/>
          <w:color w:val="auto"/>
          <w:sz w:val="24"/>
          <w:szCs w:val="24"/>
          <w:highlight w:val="none"/>
        </w:rPr>
        <w:t>3. 咨询人</w:t>
      </w:r>
      <w:bookmarkEnd w:id="104"/>
    </w:p>
    <w:p w14:paraId="5BC3E55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389663475"/>
      <w:bookmarkStart w:id="106" w:name="_Toc407261910"/>
      <w:bookmarkStart w:id="107" w:name="_Toc384026373"/>
      <w:bookmarkStart w:id="108" w:name="_Toc383940899"/>
      <w:bookmarkStart w:id="109" w:name="_Toc384137544"/>
      <w:bookmarkStart w:id="110" w:name="_Toc389602818"/>
      <w:r>
        <w:rPr>
          <w:rFonts w:hint="eastAsia" w:ascii="宋体" w:hAnsi="宋体" w:eastAsia="宋体" w:cs="宋体"/>
          <w:color w:val="auto"/>
          <w:sz w:val="24"/>
          <w:szCs w:val="24"/>
          <w:highlight w:val="none"/>
        </w:rPr>
        <w:t>3.1 咨询人的一般义务</w:t>
      </w:r>
      <w:bookmarkEnd w:id="105"/>
      <w:bookmarkEnd w:id="106"/>
      <w:bookmarkEnd w:id="107"/>
      <w:bookmarkEnd w:id="108"/>
      <w:bookmarkEnd w:id="109"/>
      <w:bookmarkEnd w:id="110"/>
    </w:p>
    <w:p w14:paraId="7CC9FD8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60EA33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F9D11A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5ADA7A1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D22E71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10E5CFC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1" w:name="_Toc407261911"/>
      <w:r>
        <w:rPr>
          <w:rFonts w:hint="eastAsia" w:ascii="宋体" w:hAnsi="宋体" w:eastAsia="宋体" w:cs="宋体"/>
          <w:color w:val="auto"/>
          <w:sz w:val="24"/>
          <w:szCs w:val="24"/>
          <w:highlight w:val="none"/>
        </w:rPr>
        <w:t>3.2 项目负责人</w:t>
      </w:r>
      <w:bookmarkEnd w:id="111"/>
    </w:p>
    <w:p w14:paraId="721770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45CACA3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2" w:name="_Toc383940901"/>
      <w:bookmarkStart w:id="113" w:name="_Toc389663477"/>
      <w:bookmarkStart w:id="114" w:name="_Toc384026375"/>
      <w:bookmarkStart w:id="115" w:name="_Toc407261912"/>
      <w:bookmarkStart w:id="116" w:name="_Toc384137546"/>
      <w:bookmarkStart w:id="117" w:name="_Toc389602820"/>
      <w:r>
        <w:rPr>
          <w:rFonts w:hint="eastAsia" w:ascii="宋体" w:hAnsi="宋体" w:eastAsia="宋体" w:cs="宋体"/>
          <w:color w:val="auto"/>
          <w:sz w:val="24"/>
          <w:szCs w:val="24"/>
          <w:highlight w:val="none"/>
        </w:rPr>
        <w:t>3.3 工程造价专业人员</w:t>
      </w:r>
      <w:bookmarkEnd w:id="112"/>
      <w:bookmarkEnd w:id="113"/>
      <w:bookmarkEnd w:id="114"/>
      <w:bookmarkEnd w:id="115"/>
      <w:bookmarkEnd w:id="116"/>
      <w:bookmarkEnd w:id="117"/>
    </w:p>
    <w:p w14:paraId="0402748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6FD3E87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E6F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658A082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571FB304">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18" w:name="_Toc407261913"/>
      <w:r>
        <w:rPr>
          <w:rFonts w:hint="eastAsia" w:ascii="宋体" w:hAnsi="宋体" w:eastAsia="宋体" w:cs="宋体"/>
          <w:b w:val="0"/>
          <w:color w:val="auto"/>
          <w:sz w:val="24"/>
          <w:szCs w:val="24"/>
          <w:highlight w:val="none"/>
        </w:rPr>
        <w:t>4. 咨询业务范围和工作内容</w:t>
      </w:r>
      <w:bookmarkEnd w:id="118"/>
    </w:p>
    <w:p w14:paraId="23536F8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9" w:name="_Toc407261914"/>
      <w:r>
        <w:rPr>
          <w:rFonts w:hint="eastAsia" w:ascii="宋体" w:hAnsi="宋体" w:eastAsia="宋体" w:cs="宋体"/>
          <w:color w:val="auto"/>
          <w:sz w:val="24"/>
          <w:szCs w:val="24"/>
          <w:highlight w:val="none"/>
        </w:rPr>
        <w:t>4.1 咨询业务范围</w:t>
      </w:r>
      <w:bookmarkEnd w:id="119"/>
    </w:p>
    <w:p w14:paraId="2557AC4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53E6864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7F29459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57ABE1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47A4505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21136C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58C485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55BEC68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2F8071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3CFEEA0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7C7330C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0A14E9A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0" w:name="_Toc407261915"/>
      <w:r>
        <w:rPr>
          <w:rFonts w:hint="eastAsia" w:ascii="宋体" w:hAnsi="宋体" w:eastAsia="宋体" w:cs="宋体"/>
          <w:color w:val="auto"/>
          <w:sz w:val="24"/>
          <w:szCs w:val="24"/>
          <w:highlight w:val="none"/>
        </w:rPr>
        <w:t>4.2 咨询工作内容</w:t>
      </w:r>
      <w:bookmarkEnd w:id="120"/>
    </w:p>
    <w:p w14:paraId="6ACE02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1483C58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1" w:name="_Toc407261916"/>
      <w:bookmarkStart w:id="122" w:name="_Toc296346574"/>
      <w:bookmarkStart w:id="123" w:name="_Toc296503073"/>
      <w:bookmarkStart w:id="124" w:name="_Toc337558772"/>
      <w:r>
        <w:rPr>
          <w:rFonts w:hint="eastAsia" w:ascii="宋体" w:hAnsi="宋体" w:eastAsia="宋体" w:cs="宋体"/>
          <w:b w:val="0"/>
          <w:color w:val="auto"/>
          <w:sz w:val="24"/>
          <w:szCs w:val="24"/>
          <w:highlight w:val="none"/>
        </w:rPr>
        <w:t>5. 咨询期限</w:t>
      </w:r>
      <w:bookmarkEnd w:id="121"/>
    </w:p>
    <w:bookmarkEnd w:id="122"/>
    <w:bookmarkEnd w:id="123"/>
    <w:bookmarkEnd w:id="124"/>
    <w:p w14:paraId="2981F15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5" w:name="_Toc407261917"/>
      <w:r>
        <w:rPr>
          <w:rFonts w:hint="eastAsia" w:ascii="宋体" w:hAnsi="宋体" w:eastAsia="宋体" w:cs="宋体"/>
          <w:color w:val="auto"/>
          <w:sz w:val="24"/>
          <w:szCs w:val="24"/>
          <w:highlight w:val="none"/>
        </w:rPr>
        <w:t>5.1 咨询期限开始</w:t>
      </w:r>
      <w:bookmarkEnd w:id="125"/>
    </w:p>
    <w:p w14:paraId="27304E5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5B5A4FD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6" w:name="_Toc407261918"/>
      <w:r>
        <w:rPr>
          <w:rFonts w:hint="eastAsia" w:ascii="宋体" w:hAnsi="宋体" w:eastAsia="宋体" w:cs="宋体"/>
          <w:color w:val="auto"/>
          <w:sz w:val="24"/>
          <w:szCs w:val="24"/>
          <w:highlight w:val="none"/>
        </w:rPr>
        <w:t>5.2 咨询期限延误</w:t>
      </w:r>
      <w:bookmarkEnd w:id="126"/>
    </w:p>
    <w:p w14:paraId="5C7874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11242D5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DEAFA8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627CC03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5D8F07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00D2C8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7E486A6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1A316C7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055D127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46044C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7" w:name="_Toc296503076"/>
      <w:bookmarkStart w:id="128" w:name="_Toc296346577"/>
      <w:r>
        <w:rPr>
          <w:rFonts w:hint="eastAsia" w:ascii="宋体" w:hAnsi="宋体" w:eastAsia="宋体" w:cs="宋体"/>
          <w:color w:val="auto"/>
          <w:sz w:val="24"/>
          <w:szCs w:val="24"/>
          <w:highlight w:val="none"/>
        </w:rPr>
        <w:t>因</w:t>
      </w:r>
      <w:bookmarkEnd w:id="127"/>
      <w:bookmarkEnd w:id="128"/>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6E4078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1565FC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7D2B0A7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28F73EA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72757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715EA47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9" w:name="_Toc407261919"/>
      <w:r>
        <w:rPr>
          <w:rFonts w:hint="eastAsia" w:ascii="宋体" w:hAnsi="宋体" w:eastAsia="宋体" w:cs="宋体"/>
          <w:color w:val="auto"/>
          <w:sz w:val="24"/>
          <w:szCs w:val="24"/>
          <w:highlight w:val="none"/>
        </w:rPr>
        <w:t>5.3 工程造价咨询成果文件交付期限</w:t>
      </w:r>
      <w:bookmarkEnd w:id="129"/>
    </w:p>
    <w:p w14:paraId="7E0D747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30C57B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589645F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6C9AE3C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0" w:name="_Toc407261920"/>
      <w:r>
        <w:rPr>
          <w:rFonts w:hint="eastAsia" w:ascii="宋体" w:hAnsi="宋体" w:eastAsia="宋体" w:cs="宋体"/>
          <w:b w:val="0"/>
          <w:color w:val="auto"/>
          <w:sz w:val="24"/>
          <w:szCs w:val="24"/>
          <w:highlight w:val="none"/>
        </w:rPr>
        <w:t>6. 咨询质量</w:t>
      </w:r>
      <w:bookmarkEnd w:id="130"/>
    </w:p>
    <w:p w14:paraId="69DEB05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21"/>
      <w:r>
        <w:rPr>
          <w:rFonts w:hint="eastAsia" w:ascii="宋体" w:hAnsi="宋体" w:eastAsia="宋体" w:cs="宋体"/>
          <w:color w:val="auto"/>
          <w:sz w:val="24"/>
          <w:szCs w:val="24"/>
          <w:highlight w:val="none"/>
        </w:rPr>
        <w:t>6.1 质量要求</w:t>
      </w:r>
      <w:bookmarkEnd w:id="131"/>
    </w:p>
    <w:p w14:paraId="60E65E0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2"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BE13DB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4BED239A">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2"/>
      <w:r>
        <w:rPr>
          <w:rFonts w:hint="eastAsia" w:ascii="宋体" w:hAnsi="宋体" w:eastAsia="宋体" w:cs="宋体"/>
          <w:color w:val="auto"/>
          <w:sz w:val="24"/>
          <w:szCs w:val="24"/>
          <w:highlight w:val="none"/>
        </w:rPr>
        <w:t>6.2 质量保证措施</w:t>
      </w:r>
      <w:bookmarkEnd w:id="133"/>
    </w:p>
    <w:bookmarkEnd w:id="132"/>
    <w:p w14:paraId="138AED5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478233E2">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4" w:name="_Toc407261923"/>
      <w:r>
        <w:rPr>
          <w:rFonts w:hint="eastAsia" w:ascii="宋体" w:hAnsi="宋体" w:eastAsia="宋体" w:cs="宋体"/>
          <w:color w:val="auto"/>
          <w:sz w:val="24"/>
          <w:szCs w:val="24"/>
          <w:highlight w:val="none"/>
        </w:rPr>
        <w:t>6.3 质量不合格处理</w:t>
      </w:r>
      <w:bookmarkEnd w:id="134"/>
    </w:p>
    <w:p w14:paraId="6CBD580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57FBAA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363AD1F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5" w:name="_Toc407261924"/>
      <w:r>
        <w:rPr>
          <w:rFonts w:hint="eastAsia" w:ascii="宋体" w:hAnsi="宋体" w:eastAsia="宋体" w:cs="宋体"/>
          <w:b w:val="0"/>
          <w:color w:val="auto"/>
          <w:sz w:val="24"/>
          <w:szCs w:val="24"/>
          <w:highlight w:val="none"/>
        </w:rPr>
        <w:t>7. 咨询酬金</w:t>
      </w:r>
      <w:bookmarkEnd w:id="135"/>
    </w:p>
    <w:p w14:paraId="1B67AD8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5"/>
      <w:r>
        <w:rPr>
          <w:rFonts w:hint="eastAsia" w:ascii="宋体" w:hAnsi="宋体" w:eastAsia="宋体" w:cs="宋体"/>
          <w:color w:val="auto"/>
          <w:sz w:val="24"/>
          <w:szCs w:val="24"/>
          <w:highlight w:val="none"/>
        </w:rPr>
        <w:t>7.1 酬金计算方式</w:t>
      </w:r>
      <w:bookmarkEnd w:id="136"/>
    </w:p>
    <w:p w14:paraId="7FCFFD7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5950AA4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55421E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965F9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0B1A3E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137C65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5CE3B7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2EC9DF4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7" w:name="_Toc407261926"/>
      <w:r>
        <w:rPr>
          <w:rFonts w:hint="eastAsia" w:ascii="宋体" w:hAnsi="宋体" w:eastAsia="宋体" w:cs="宋体"/>
          <w:color w:val="auto"/>
          <w:sz w:val="24"/>
          <w:szCs w:val="24"/>
          <w:highlight w:val="none"/>
        </w:rPr>
        <w:t>7.2 预付酬金</w:t>
      </w:r>
      <w:bookmarkEnd w:id="137"/>
    </w:p>
    <w:p w14:paraId="789CF8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6662063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7"/>
      <w:r>
        <w:rPr>
          <w:rFonts w:hint="eastAsia" w:ascii="宋体" w:hAnsi="宋体" w:eastAsia="宋体" w:cs="宋体"/>
          <w:color w:val="auto"/>
          <w:sz w:val="24"/>
          <w:szCs w:val="24"/>
          <w:highlight w:val="none"/>
        </w:rPr>
        <w:t>7.3 酬金分段结算与支付</w:t>
      </w:r>
      <w:bookmarkEnd w:id="138"/>
    </w:p>
    <w:p w14:paraId="0425258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4B5171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20BC20F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8"/>
      <w:r>
        <w:rPr>
          <w:rFonts w:hint="eastAsia" w:ascii="宋体" w:hAnsi="宋体" w:eastAsia="宋体" w:cs="宋体"/>
          <w:color w:val="auto"/>
          <w:sz w:val="24"/>
          <w:szCs w:val="24"/>
          <w:highlight w:val="none"/>
        </w:rPr>
        <w:t>7.4 酬金结清与支付</w:t>
      </w:r>
      <w:bookmarkEnd w:id="139"/>
    </w:p>
    <w:p w14:paraId="6F3FCFF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F10397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1C228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02B313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3307A88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9"/>
      <w:r>
        <w:rPr>
          <w:rFonts w:hint="eastAsia" w:ascii="宋体" w:hAnsi="宋体" w:eastAsia="宋体" w:cs="宋体"/>
          <w:color w:val="auto"/>
          <w:sz w:val="24"/>
          <w:szCs w:val="24"/>
          <w:highlight w:val="none"/>
        </w:rPr>
        <w:t>7.5 费用支付</w:t>
      </w:r>
      <w:bookmarkEnd w:id="140"/>
    </w:p>
    <w:p w14:paraId="7C6C6BD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3277FC1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1" w:name="_Toc407261930"/>
      <w:r>
        <w:rPr>
          <w:rFonts w:hint="eastAsia" w:ascii="宋体" w:hAnsi="宋体" w:eastAsia="宋体" w:cs="宋体"/>
          <w:b w:val="0"/>
          <w:color w:val="auto"/>
          <w:sz w:val="24"/>
          <w:szCs w:val="24"/>
          <w:highlight w:val="none"/>
        </w:rPr>
        <w:t>8. 变更</w:t>
      </w:r>
      <w:bookmarkEnd w:id="141"/>
    </w:p>
    <w:p w14:paraId="1278C6A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31"/>
      <w:bookmarkStart w:id="143" w:name="_Toc296503084"/>
      <w:bookmarkStart w:id="144" w:name="_Toc337558788"/>
      <w:bookmarkStart w:id="145" w:name="_Toc296346585"/>
      <w:r>
        <w:rPr>
          <w:rFonts w:hint="eastAsia" w:ascii="宋体" w:hAnsi="宋体" w:eastAsia="宋体" w:cs="宋体"/>
          <w:color w:val="auto"/>
          <w:sz w:val="24"/>
          <w:szCs w:val="24"/>
          <w:highlight w:val="none"/>
        </w:rPr>
        <w:t>8.1 变更的范围</w:t>
      </w:r>
      <w:bookmarkEnd w:id="142"/>
    </w:p>
    <w:bookmarkEnd w:id="143"/>
    <w:bookmarkEnd w:id="144"/>
    <w:bookmarkEnd w:id="145"/>
    <w:p w14:paraId="4D0BBF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4E6E8A3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184621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7598817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6A9FEBA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19E3480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6" w:name="_Toc407261932"/>
      <w:r>
        <w:rPr>
          <w:rFonts w:hint="eastAsia" w:ascii="宋体" w:hAnsi="宋体" w:eastAsia="宋体" w:cs="宋体"/>
          <w:color w:val="auto"/>
          <w:sz w:val="24"/>
          <w:szCs w:val="24"/>
          <w:highlight w:val="none"/>
        </w:rPr>
        <w:t>8.2 变更引起的咨询酬金和期限调整</w:t>
      </w:r>
      <w:bookmarkEnd w:id="146"/>
    </w:p>
    <w:p w14:paraId="0DC5B2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6A614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00A073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7" w:name="_Toc407261933"/>
      <w:r>
        <w:rPr>
          <w:rFonts w:hint="eastAsia" w:ascii="宋体" w:hAnsi="宋体" w:eastAsia="宋体" w:cs="宋体"/>
          <w:color w:val="auto"/>
          <w:sz w:val="24"/>
          <w:szCs w:val="24"/>
          <w:highlight w:val="none"/>
        </w:rPr>
        <w:t>8.3 咨询人的合理化建议</w:t>
      </w:r>
      <w:bookmarkEnd w:id="147"/>
    </w:p>
    <w:p w14:paraId="219DC0A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334530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BBDE499">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8" w:name="_Toc407261934"/>
      <w:r>
        <w:rPr>
          <w:rFonts w:hint="eastAsia" w:ascii="宋体" w:hAnsi="宋体" w:eastAsia="宋体" w:cs="宋体"/>
          <w:b w:val="0"/>
          <w:color w:val="auto"/>
          <w:sz w:val="24"/>
          <w:szCs w:val="24"/>
          <w:highlight w:val="none"/>
        </w:rPr>
        <w:t>9. 违约</w:t>
      </w:r>
      <w:bookmarkEnd w:id="148"/>
    </w:p>
    <w:p w14:paraId="197595C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5"/>
      <w:r>
        <w:rPr>
          <w:rFonts w:hint="eastAsia" w:ascii="宋体" w:hAnsi="宋体" w:eastAsia="宋体" w:cs="宋体"/>
          <w:color w:val="auto"/>
          <w:sz w:val="24"/>
          <w:szCs w:val="24"/>
          <w:highlight w:val="none"/>
        </w:rPr>
        <w:t>9.1 委托人违约</w:t>
      </w:r>
      <w:bookmarkEnd w:id="149"/>
    </w:p>
    <w:p w14:paraId="3A6D4E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CD239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799D07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0" w:name="_Toc407261936"/>
      <w:r>
        <w:rPr>
          <w:rFonts w:hint="eastAsia" w:ascii="宋体" w:hAnsi="宋体" w:eastAsia="宋体" w:cs="宋体"/>
          <w:color w:val="auto"/>
          <w:sz w:val="24"/>
          <w:szCs w:val="24"/>
          <w:highlight w:val="none"/>
        </w:rPr>
        <w:t>9.2 咨询人违约</w:t>
      </w:r>
      <w:bookmarkEnd w:id="150"/>
    </w:p>
    <w:p w14:paraId="2E091FB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1A22243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356E53D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7"/>
      <w:r>
        <w:rPr>
          <w:rFonts w:hint="eastAsia" w:ascii="宋体" w:hAnsi="宋体" w:eastAsia="宋体" w:cs="宋体"/>
          <w:color w:val="auto"/>
          <w:sz w:val="24"/>
          <w:szCs w:val="24"/>
          <w:highlight w:val="none"/>
        </w:rPr>
        <w:t>9.3 第三人造成的违约</w:t>
      </w:r>
      <w:bookmarkEnd w:id="151"/>
    </w:p>
    <w:p w14:paraId="580478E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D279B3">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2" w:name="_Toc407261938"/>
      <w:r>
        <w:rPr>
          <w:rFonts w:hint="eastAsia" w:ascii="宋体" w:hAnsi="宋体" w:eastAsia="宋体" w:cs="宋体"/>
          <w:b w:val="0"/>
          <w:color w:val="auto"/>
          <w:sz w:val="24"/>
          <w:szCs w:val="24"/>
          <w:highlight w:val="none"/>
        </w:rPr>
        <w:t>10. 争议解决</w:t>
      </w:r>
      <w:bookmarkEnd w:id="152"/>
    </w:p>
    <w:p w14:paraId="33ADFD4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9"/>
      <w:bookmarkStart w:id="154" w:name="_Toc296503147"/>
      <w:bookmarkStart w:id="155" w:name="_Toc296346648"/>
      <w:bookmarkStart w:id="156" w:name="_Toc337558841"/>
      <w:r>
        <w:rPr>
          <w:rFonts w:hint="eastAsia" w:ascii="宋体" w:hAnsi="宋体" w:eastAsia="宋体" w:cs="宋体"/>
          <w:color w:val="auto"/>
          <w:sz w:val="24"/>
          <w:szCs w:val="24"/>
          <w:highlight w:val="none"/>
        </w:rPr>
        <w:t>10.1 和解</w:t>
      </w:r>
      <w:bookmarkEnd w:id="153"/>
    </w:p>
    <w:bookmarkEnd w:id="154"/>
    <w:bookmarkEnd w:id="155"/>
    <w:bookmarkEnd w:id="156"/>
    <w:p w14:paraId="0E59C43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1F5FA97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7" w:name="_Toc407261940"/>
      <w:r>
        <w:rPr>
          <w:rFonts w:hint="eastAsia" w:ascii="宋体" w:hAnsi="宋体" w:eastAsia="宋体" w:cs="宋体"/>
          <w:color w:val="auto"/>
          <w:sz w:val="24"/>
          <w:szCs w:val="24"/>
          <w:highlight w:val="none"/>
        </w:rPr>
        <w:t>10</w:t>
      </w:r>
      <w:bookmarkStart w:id="158" w:name="_Toc337558842"/>
      <w:bookmarkStart w:id="159" w:name="_Toc296346649"/>
      <w:bookmarkStart w:id="160" w:name="_Toc296503148"/>
      <w:r>
        <w:rPr>
          <w:rFonts w:hint="eastAsia" w:ascii="宋体" w:hAnsi="宋体" w:eastAsia="宋体" w:cs="宋体"/>
          <w:color w:val="auto"/>
          <w:sz w:val="24"/>
          <w:szCs w:val="24"/>
          <w:highlight w:val="none"/>
        </w:rPr>
        <w:t>.2 调解</w:t>
      </w:r>
      <w:bookmarkEnd w:id="157"/>
    </w:p>
    <w:bookmarkEnd w:id="158"/>
    <w:bookmarkEnd w:id="159"/>
    <w:bookmarkEnd w:id="160"/>
    <w:p w14:paraId="1D2951F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4E467CD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1" w:name="_Toc407261941"/>
      <w:r>
        <w:rPr>
          <w:rFonts w:hint="eastAsia" w:ascii="宋体" w:hAnsi="宋体" w:eastAsia="宋体" w:cs="宋体"/>
          <w:color w:val="auto"/>
          <w:sz w:val="24"/>
          <w:szCs w:val="24"/>
          <w:highlight w:val="none"/>
        </w:rPr>
        <w:t>10.3 仲裁或诉讼</w:t>
      </w:r>
      <w:bookmarkEnd w:id="161"/>
    </w:p>
    <w:p w14:paraId="56E6C9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0C90D7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7ECD26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0AA7722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2" w:name="_Toc407261942"/>
      <w:r>
        <w:rPr>
          <w:rFonts w:hint="eastAsia" w:ascii="宋体" w:hAnsi="宋体" w:eastAsia="宋体" w:cs="宋体"/>
          <w:color w:val="auto"/>
          <w:sz w:val="24"/>
          <w:szCs w:val="24"/>
          <w:highlight w:val="none"/>
        </w:rPr>
        <w:t>10.4 争议解决条款效力</w:t>
      </w:r>
      <w:bookmarkEnd w:id="162"/>
    </w:p>
    <w:p w14:paraId="1E2892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26AFC29D">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D9FC191">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17925F4B">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12EF6366">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D1A9BA1">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24D2E458">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4D7C18E4">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3" w:name="_Toc297048342"/>
      <w:bookmarkStart w:id="164" w:name="_Toc296890984"/>
      <w:bookmarkStart w:id="165" w:name="_Toc292559866"/>
      <w:bookmarkStart w:id="166" w:name="_Toc297120456"/>
      <w:bookmarkStart w:id="167" w:name="_Toc296346657"/>
      <w:bookmarkStart w:id="168" w:name="_Toc292559361"/>
      <w:bookmarkStart w:id="169" w:name="_Toc296891196"/>
      <w:bookmarkStart w:id="170" w:name="_Toc296503156"/>
      <w:bookmarkStart w:id="171" w:name="_Toc296347155"/>
      <w:bookmarkStart w:id="172" w:name="_Toc296944495"/>
      <w:r>
        <w:rPr>
          <w:rFonts w:hint="eastAsia" w:ascii="宋体" w:hAnsi="宋体" w:eastAsia="宋体" w:cs="宋体"/>
          <w:b w:val="0"/>
          <w:color w:val="auto"/>
          <w:sz w:val="24"/>
          <w:szCs w:val="24"/>
          <w:highlight w:val="none"/>
        </w:rPr>
        <w:t>. 一般约定</w:t>
      </w:r>
    </w:p>
    <w:bookmarkEnd w:id="163"/>
    <w:bookmarkEnd w:id="164"/>
    <w:bookmarkEnd w:id="165"/>
    <w:bookmarkEnd w:id="166"/>
    <w:bookmarkEnd w:id="167"/>
    <w:bookmarkEnd w:id="168"/>
    <w:bookmarkEnd w:id="169"/>
    <w:bookmarkEnd w:id="170"/>
    <w:bookmarkEnd w:id="171"/>
    <w:bookmarkEnd w:id="172"/>
    <w:p w14:paraId="24D257D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30861F06">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437C5DF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A27C48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16D17E8E">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535E5AEC">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1D4DBF7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35FA633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765401E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kern w:val="0"/>
          <w:sz w:val="24"/>
          <w:szCs w:val="24"/>
          <w:highlight w:val="none"/>
          <w:u w:val="single"/>
        </w:rPr>
        <w:t xml:space="preserve">滁州市园林景观管理中心 </w:t>
      </w:r>
      <w:r>
        <w:rPr>
          <w:rFonts w:hint="eastAsia" w:ascii="宋体" w:hAnsi="宋体" w:eastAsia="宋体" w:cs="宋体"/>
          <w:color w:val="auto"/>
          <w:kern w:val="0"/>
          <w:sz w:val="24"/>
          <w:szCs w:val="24"/>
          <w:highlight w:val="none"/>
        </w:rPr>
        <w:t>；</w:t>
      </w:r>
    </w:p>
    <w:p w14:paraId="2DC521C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A0C956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B843771">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68B3C2D5">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B66049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CE7A081">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3" w:name="_Toc351203634"/>
      <w:bookmarkStart w:id="174" w:name="_Toc407261945"/>
      <w:r>
        <w:rPr>
          <w:rFonts w:hint="eastAsia" w:ascii="宋体" w:hAnsi="宋体" w:eastAsia="宋体" w:cs="宋体"/>
          <w:b w:val="0"/>
          <w:color w:val="auto"/>
          <w:sz w:val="24"/>
          <w:szCs w:val="24"/>
          <w:highlight w:val="none"/>
        </w:rPr>
        <w:t>2</w:t>
      </w:r>
      <w:bookmarkStart w:id="175" w:name="_Toc296503157"/>
      <w:bookmarkStart w:id="176" w:name="_Toc297048343"/>
      <w:bookmarkStart w:id="177" w:name="_Toc297120457"/>
      <w:bookmarkStart w:id="178" w:name="_Toc292559867"/>
      <w:bookmarkStart w:id="179" w:name="_Toc296944496"/>
      <w:bookmarkStart w:id="180" w:name="_Toc296890985"/>
      <w:bookmarkStart w:id="181" w:name="_Toc296347156"/>
      <w:bookmarkStart w:id="182" w:name="_Toc292559362"/>
      <w:bookmarkStart w:id="183" w:name="_Toc296346658"/>
      <w:bookmarkStart w:id="184" w:name="_Toc296891197"/>
      <w:r>
        <w:rPr>
          <w:rFonts w:hint="eastAsia" w:ascii="宋体" w:hAnsi="宋体" w:eastAsia="宋体" w:cs="宋体"/>
          <w:b w:val="0"/>
          <w:color w:val="auto"/>
          <w:sz w:val="24"/>
          <w:szCs w:val="24"/>
          <w:highlight w:val="none"/>
        </w:rPr>
        <w:t>. 委托人</w:t>
      </w:r>
      <w:bookmarkEnd w:id="173"/>
      <w:bookmarkEnd w:id="174"/>
    </w:p>
    <w:bookmarkEnd w:id="175"/>
    <w:bookmarkEnd w:id="176"/>
    <w:bookmarkEnd w:id="177"/>
    <w:bookmarkEnd w:id="178"/>
    <w:bookmarkEnd w:id="179"/>
    <w:bookmarkEnd w:id="180"/>
    <w:bookmarkEnd w:id="181"/>
    <w:bookmarkEnd w:id="182"/>
    <w:bookmarkEnd w:id="183"/>
    <w:bookmarkEnd w:id="184"/>
    <w:p w14:paraId="3D17543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42E4128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62ED2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28D4CC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ADBF0A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E2A1DE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2B93E8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滁州市园林景观管理中心                 </w:t>
      </w:r>
      <w:r>
        <w:rPr>
          <w:rFonts w:hint="eastAsia" w:ascii="宋体" w:hAnsi="宋体" w:eastAsia="宋体" w:cs="宋体"/>
          <w:color w:val="auto"/>
          <w:sz w:val="24"/>
          <w:szCs w:val="24"/>
          <w:highlight w:val="none"/>
        </w:rPr>
        <w:t>。</w:t>
      </w:r>
    </w:p>
    <w:p w14:paraId="09AC2C99">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4D51A0E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405FDF3">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482DF0A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6E803C8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7A42879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3A95E6B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BDF97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1E156C26">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5" w:name="_Toc407261946"/>
      <w:r>
        <w:rPr>
          <w:rFonts w:hint="eastAsia" w:ascii="宋体" w:hAnsi="宋体" w:eastAsia="宋体" w:cs="宋体"/>
          <w:b w:val="0"/>
          <w:color w:val="auto"/>
          <w:sz w:val="24"/>
          <w:szCs w:val="24"/>
          <w:highlight w:val="none"/>
        </w:rPr>
        <w:t>3. 咨询人</w:t>
      </w:r>
      <w:bookmarkEnd w:id="185"/>
    </w:p>
    <w:p w14:paraId="0340816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6594DF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CAADC5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32B6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E1ACAE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4B8E6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C9F10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233A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9BC1F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47B2706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4E056C">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5266C3">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1CF2181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61F23B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98F67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592FE5A7">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6" w:name="_Toc407261947"/>
      <w:r>
        <w:rPr>
          <w:rFonts w:hint="eastAsia" w:ascii="宋体" w:hAnsi="宋体" w:eastAsia="宋体" w:cs="宋体"/>
          <w:b w:val="0"/>
          <w:color w:val="auto"/>
          <w:sz w:val="24"/>
          <w:szCs w:val="24"/>
          <w:highlight w:val="none"/>
        </w:rPr>
        <w:t>4. 咨询业务范围和工作内容</w:t>
      </w:r>
      <w:bookmarkEnd w:id="186"/>
    </w:p>
    <w:p w14:paraId="7E046E5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5375C0D8">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6CBCF98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BE9B58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64D8AF8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F1D5F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7" w:name="_Toc303539127"/>
      <w:bookmarkStart w:id="188" w:name="_Toc304295548"/>
      <w:bookmarkStart w:id="189" w:name="_Toc300934970"/>
      <w:bookmarkStart w:id="190" w:name="_Toc297216177"/>
      <w:bookmarkStart w:id="191" w:name="_Toc297123518"/>
      <w:r>
        <w:rPr>
          <w:rFonts w:hint="eastAsia" w:ascii="宋体" w:hAnsi="宋体" w:eastAsia="宋体" w:cs="宋体"/>
          <w:color w:val="auto"/>
          <w:sz w:val="24"/>
          <w:szCs w:val="24"/>
          <w:highlight w:val="none"/>
        </w:rPr>
        <w:t>5.2.2 因咨询人原因导致咨询期限延误</w:t>
      </w:r>
    </w:p>
    <w:p w14:paraId="5A5B6B0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2" w:name="_Toc312678013"/>
      <w:bookmarkStart w:id="193" w:name="_Toc312677487"/>
      <w:bookmarkStart w:id="194"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7"/>
      <w:bookmarkEnd w:id="188"/>
      <w:bookmarkEnd w:id="189"/>
      <w:bookmarkEnd w:id="190"/>
      <w:bookmarkEnd w:id="191"/>
      <w:bookmarkEnd w:id="192"/>
      <w:bookmarkEnd w:id="193"/>
    </w:p>
    <w:bookmarkEnd w:id="194"/>
    <w:p w14:paraId="4F6AB63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5" w:name="_Toc312678014"/>
      <w:bookmarkStart w:id="196" w:name="_Toc318581171"/>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5"/>
    <w:bookmarkEnd w:id="196"/>
    <w:p w14:paraId="3B253D35">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361D0A6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93D84B5">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056E0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0D451DE8">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1F1C4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   </w:t>
      </w:r>
    </w:p>
    <w:p w14:paraId="2F7E7544">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7" w:name="_Toc407261949"/>
      <w:r>
        <w:rPr>
          <w:rFonts w:hint="eastAsia" w:ascii="宋体" w:hAnsi="宋体" w:eastAsia="宋体" w:cs="宋体"/>
          <w:b w:val="0"/>
          <w:color w:val="auto"/>
          <w:sz w:val="24"/>
          <w:szCs w:val="24"/>
          <w:highlight w:val="none"/>
        </w:rPr>
        <w:t>6. 咨询质量</w:t>
      </w:r>
      <w:bookmarkEnd w:id="197"/>
    </w:p>
    <w:p w14:paraId="6B48E0F4">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1DDFBF6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5EDAE144">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5B77668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B13E0D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84F4C65">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8" w:name="_Toc407261950"/>
      <w:r>
        <w:rPr>
          <w:rFonts w:hint="eastAsia" w:ascii="宋体" w:hAnsi="宋体" w:eastAsia="宋体" w:cs="宋体"/>
          <w:b w:val="0"/>
          <w:color w:val="auto"/>
          <w:sz w:val="24"/>
          <w:szCs w:val="24"/>
          <w:highlight w:val="none"/>
        </w:rPr>
        <w:t>7. 咨询酬金</w:t>
      </w:r>
      <w:bookmarkEnd w:id="198"/>
    </w:p>
    <w:p w14:paraId="060930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55D944F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 xml:space="preserve">  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53F46146">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05F2147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B8CC3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B50F17F">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37BC601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11CFF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492EA9C">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26283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8372EB6">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065B957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301408A">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3930F3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71ABC83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1C21B49">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eastAsia="宋体" w:cs="宋体"/>
          <w:color w:val="auto"/>
          <w:sz w:val="24"/>
          <w:szCs w:val="24"/>
          <w:highlight w:val="none"/>
          <w:u w:val="single"/>
        </w:rPr>
        <w:t xml:space="preserve">  最终出具编制报告后一次性付清合同价款。若出具多个报告的，最终汇总按一个总价进行请款。</w:t>
      </w:r>
    </w:p>
    <w:p w14:paraId="1F3E764A">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199" w:name="_Toc407261951"/>
      <w:r>
        <w:rPr>
          <w:rFonts w:hint="eastAsia" w:ascii="宋体" w:hAnsi="宋体" w:eastAsia="宋体" w:cs="宋体"/>
          <w:b w:val="0"/>
          <w:color w:val="auto"/>
          <w:sz w:val="24"/>
          <w:szCs w:val="24"/>
          <w:highlight w:val="none"/>
        </w:rPr>
        <w:t>8. 变更</w:t>
      </w:r>
      <w:bookmarkEnd w:id="199"/>
    </w:p>
    <w:p w14:paraId="48E36E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0C5319ED">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CD1FE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3B6206B9">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4504C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92D4F0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2C03DF0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6A9B4C">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27E3C65">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0" w:name="_Toc407261952"/>
      <w:r>
        <w:rPr>
          <w:rFonts w:hint="eastAsia" w:ascii="宋体" w:hAnsi="宋体" w:eastAsia="宋体" w:cs="宋体"/>
          <w:b w:val="0"/>
          <w:color w:val="auto"/>
          <w:sz w:val="24"/>
          <w:szCs w:val="24"/>
          <w:highlight w:val="none"/>
        </w:rPr>
        <w:t>9. 违约</w:t>
      </w:r>
      <w:bookmarkEnd w:id="200"/>
    </w:p>
    <w:p w14:paraId="2375D91B">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7C199F35">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0A08B45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BD27A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5695465D">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0BE96EC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3FE0CEC">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3"/>
      <w:r>
        <w:rPr>
          <w:rFonts w:hint="eastAsia" w:ascii="宋体" w:hAnsi="宋体" w:eastAsia="宋体" w:cs="宋体"/>
          <w:b w:val="0"/>
          <w:color w:val="auto"/>
          <w:sz w:val="24"/>
          <w:szCs w:val="24"/>
          <w:highlight w:val="none"/>
        </w:rPr>
        <w:t>10. 争议解决</w:t>
      </w:r>
      <w:bookmarkEnd w:id="201"/>
    </w:p>
    <w:p w14:paraId="1EB6CFA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0D952F42">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6E28414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2BDC9261">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2EAD87E6">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4"/>
      <w:r>
        <w:rPr>
          <w:rFonts w:hint="eastAsia" w:ascii="宋体" w:hAnsi="宋体" w:eastAsia="宋体" w:cs="宋体"/>
          <w:b w:val="0"/>
          <w:color w:val="auto"/>
          <w:sz w:val="24"/>
          <w:szCs w:val="24"/>
          <w:highlight w:val="none"/>
        </w:rPr>
        <w:t>11. 补充条款</w:t>
      </w:r>
      <w:bookmarkEnd w:id="202"/>
    </w:p>
    <w:p w14:paraId="27653C1A">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22C08F2A">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6B6E25C9">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3D50994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375773E6">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0FF70E1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656E90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24A9BE75">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4ED96A5F">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16A994B5">
      <w:pPr>
        <w:pStyle w:val="44"/>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4B8F5127">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069C594A">
      <w:pPr>
        <w:pStyle w:val="44"/>
        <w:spacing w:beforeLines="0" w:afterLines="0"/>
        <w:rPr>
          <w:rFonts w:hint="eastAsia" w:ascii="仿宋_GB2312" w:hAnsi="仿宋_GB2312" w:eastAsia="仿宋_GB2312" w:cs="仿宋_GB2312"/>
          <w:color w:val="auto"/>
          <w:sz w:val="30"/>
          <w:szCs w:val="30"/>
          <w:highlight w:val="none"/>
        </w:rPr>
      </w:pPr>
    </w:p>
    <w:p w14:paraId="3042E0E6">
      <w:pPr>
        <w:spacing w:beforeLines="0" w:afterLines="0"/>
        <w:rPr>
          <w:rFonts w:hint="eastAsia" w:ascii="仿宋_GB2312" w:hAnsi="仿宋_GB2312" w:eastAsia="仿宋_GB2312" w:cs="仿宋_GB2312"/>
          <w:color w:val="auto"/>
          <w:sz w:val="30"/>
          <w:szCs w:val="30"/>
          <w:highlight w:val="none"/>
        </w:rPr>
      </w:pPr>
    </w:p>
    <w:p w14:paraId="5E14DB9E">
      <w:pPr>
        <w:keepNext w:val="0"/>
        <w:keepLines w:val="0"/>
        <w:widowControl w:val="0"/>
        <w:suppressLineNumbers w:val="0"/>
        <w:spacing w:before="0" w:beforeAutospacing="0" w:after="0" w:afterAutospacing="0"/>
        <w:ind w:left="0" w:right="0"/>
        <w:jc w:val="both"/>
        <w:rPr>
          <w:color w:val="auto"/>
          <w:highlight w:val="none"/>
        </w:rPr>
      </w:pPr>
    </w:p>
    <w:p w14:paraId="2AD51CAA">
      <w:pPr>
        <w:pStyle w:val="2"/>
        <w:spacing w:before="0" w:after="0"/>
        <w:rPr>
          <w:rFonts w:hint="eastAsia" w:ascii="宋体" w:hAnsi="宋体" w:eastAsia="宋体" w:cs="宋体"/>
          <w:color w:val="auto"/>
          <w:highlight w:val="none"/>
          <w:lang w:val="en-US" w:eastAsia="zh-CN"/>
        </w:rPr>
      </w:pPr>
    </w:p>
    <w:p w14:paraId="7232AAD7">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57D3D26B">
      <w:pPr>
        <w:pStyle w:val="44"/>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cols w:space="0" w:num="1"/>
          <w:docGrid w:type="lines" w:linePitch="318" w:charSpace="0"/>
        </w:sectPr>
      </w:pPr>
    </w:p>
    <w:p w14:paraId="46711F55">
      <w:pPr>
        <w:pStyle w:val="44"/>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013BB05F">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66B3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E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A6E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018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237D98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53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0793A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80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4EFF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A87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4E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70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9FC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E95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CAD58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6A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24F6E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2AD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D014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4C3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4A0C83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E3A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0296C9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45D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18ADEBF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B73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2508A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D174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60648E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DF0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EC51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2E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214A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4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0305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66D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17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369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7D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A1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D6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5E84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0685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04FB2A5D">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516B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4E5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F80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359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1BB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0A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93B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D8CB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262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E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47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11E1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087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21C2636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BF5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3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D1B3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B4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C6B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37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4CB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E78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A8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0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22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E01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36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9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4A03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70545F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2CD042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5EF3BC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347082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45020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6C1FB7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44D43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CA3C">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4AC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7476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8F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3AE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76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36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AB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C1E4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9DB9B">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6AB9CE6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1D1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401C364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74A87A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51687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5412A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DA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146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790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735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11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8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1C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877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7B36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1E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E05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90761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F0C5F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5FB48B4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29EE9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5F60EF0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476C24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5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BB8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93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080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4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80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66C1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4B8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B3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290E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197674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079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4C0DA5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EFEB0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563695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4B6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14E9A9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F0D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CF99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11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811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6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5E2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91D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A14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991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09752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7C0972F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3231D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769619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7E3F5">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7767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E74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507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283DFF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5FA3A73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52223D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32DFD8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7A094E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35BC55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B4125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4513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AC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ED0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1D7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992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C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2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B9B8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02DB2">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1EEE2">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37F336C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297B0AD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0836242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1EC6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488F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B738B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19FDBD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6F4B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AE18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3C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CDB5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6A84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457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1D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0B4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5A8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4959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CE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FC4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A48F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685A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5444849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2D75E7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5A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1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D7A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06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D4A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4E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B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DCB4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0843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35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94D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87BB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279CF2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1ADD5D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A06E7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E64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DE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DED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22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C4F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78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4F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F74F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406B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18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79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42AEBF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ECDC8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293CE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68A89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433F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C2C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C88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62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A1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C65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40E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30F95">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1327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87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D99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BE5B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429DC3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1710068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DF84D4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2B9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B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8FC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9FA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A54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0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EA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5E1D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17932">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E04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04A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92708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AC926C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78566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666B65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214C60F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477FB49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1AAFF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B11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3E3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4286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98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6D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F24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BDD4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5D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E4A2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55AEB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7C2B74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FB5F93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F2696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4E023B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CD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5E7D348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7C18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BD5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723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1E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B2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776C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B8E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C1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74F5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45C9E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82DDA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005B45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F3FAE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43617">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CD2D0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B4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545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1F36E9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224A08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407EE1B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336AB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6A1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C058">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AF86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72F8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77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4C3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57A8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F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6182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6177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18CD1B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701E8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001B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FC2B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CF13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AA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E90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1D17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B2E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B3BE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00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81D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317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86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9CE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A00E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72121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EF5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6A06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A6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1A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2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5C0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CCDE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8DE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A14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223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CF2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26C990">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9E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3FF15654">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28B192BD">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340AE0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5DDAA62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5EB5F82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12A5E8A3">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195207B9">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pgSz w:w="15840" w:h="12240" w:orient="landscape"/>
          <w:pgMar w:top="1259" w:right="935" w:bottom="1106" w:left="936" w:header="680" w:footer="680" w:gutter="0"/>
          <w:pgNumType w:fmt="decimal"/>
          <w:cols w:space="0" w:num="1"/>
          <w:rtlGutter w:val="0"/>
          <w:docGrid w:type="lines" w:linePitch="318" w:charSpace="0"/>
        </w:sectPr>
      </w:pP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3" w:name="_Toc30675"/>
      <w:r>
        <w:rPr>
          <w:rFonts w:hint="eastAsia" w:ascii="宋体" w:hAnsi="宋体" w:eastAsia="宋体" w:cs="宋体"/>
          <w:color w:val="auto"/>
          <w:highlight w:val="none"/>
          <w:lang w:val="en-US" w:eastAsia="zh-CN"/>
        </w:rPr>
        <w:t>第四章 投标文件格式</w:t>
      </w:r>
      <w:bookmarkEnd w:id="203"/>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5A83058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34D4B75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0BFA71A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w:t>
      </w:r>
      <w:r>
        <w:rPr>
          <w:rFonts w:hint="eastAsia" w:ascii="宋体" w:hAnsi="宋体" w:cs="宋体"/>
          <w:color w:val="auto"/>
          <w:sz w:val="21"/>
          <w:szCs w:val="21"/>
          <w:highlight w:val="none"/>
          <w:lang w:val="en-US" w:eastAsia="zh-CN"/>
        </w:rPr>
        <w:t xml:space="preserve">； </w:t>
      </w:r>
    </w:p>
    <w:p w14:paraId="66EDBA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2398675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名且具有在本单位注册的二级及以上造价工程师</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p>
    <w:p w14:paraId="291A7267">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w:t>
      </w:r>
      <w:r>
        <w:rPr>
          <w:rFonts w:hint="eastAsia" w:ascii="宋体" w:hAnsi="宋体" w:cs="宋体"/>
          <w:color w:val="auto"/>
          <w:sz w:val="21"/>
          <w:szCs w:val="21"/>
          <w:highlight w:val="none"/>
          <w:lang w:val="en-US" w:eastAsia="zh-CN"/>
        </w:rPr>
        <w:t>明材料；②与投标人签订的返聘劳动合同；③项目负责人社保卡所在银行出具的退休工资流水；④银行出具的工资流水和返聘单位出具的工资表（加盖返聘单位公章，现聘用单位（投标人）所发工资）。</w:t>
      </w:r>
    </w:p>
    <w:p w14:paraId="29FEEB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p>
    <w:p w14:paraId="587CD33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4"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4"/>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205" w:name="_Toc31498"/>
      <w:r>
        <w:rPr>
          <w:rFonts w:hint="eastAsia" w:ascii="宋体" w:hAnsi="宋体" w:eastAsia="宋体" w:cs="宋体"/>
          <w:color w:val="auto"/>
          <w:highlight w:val="none"/>
          <w:lang w:val="en-US" w:eastAsia="zh-CN"/>
        </w:rPr>
        <w:t>第五章 招标单位、招标代理机构对本招标文件的确认</w:t>
      </w:r>
      <w:bookmarkEnd w:id="205"/>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2026年公园游园设施安全整治项目工程量清单及最高投标限价编制项目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招标人：滁州市园林景观管理中心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曾建博</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 xml:space="preserve">0550-3010861 </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2026年7月</w:t>
            </w:r>
            <w:r>
              <w:rPr>
                <w:rFonts w:hint="eastAsia" w:ascii="宋体" w:hAnsi="宋体" w:cs="宋体"/>
                <w:color w:val="auto"/>
                <w:sz w:val="28"/>
                <w:szCs w:val="28"/>
                <w:highlight w:val="none"/>
                <w:lang w:val="en-US" w:eastAsia="zh-CN"/>
              </w:rPr>
              <w:t>17</w:t>
            </w:r>
            <w:r>
              <w:rPr>
                <w:rFonts w:hint="eastAsia" w:ascii="宋体" w:hAnsi="宋体" w:cs="宋体"/>
                <w:color w:val="auto"/>
                <w:sz w:val="28"/>
                <w:szCs w:val="28"/>
                <w:highlight w:val="none"/>
                <w:lang w:eastAsia="zh-CN"/>
              </w:rPr>
              <w:t>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cs="宋体"/>
                <w:color w:val="auto"/>
                <w:sz w:val="28"/>
                <w:szCs w:val="28"/>
                <w:highlight w:val="none"/>
                <w:lang w:eastAsia="zh-CN"/>
              </w:rPr>
              <w:t>0550-3519516</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18712012204</w:t>
            </w:r>
          </w:p>
          <w:p w14:paraId="497AA04E">
            <w:pPr>
              <w:rPr>
                <w:rFonts w:hint="eastAsia" w:ascii="宋体" w:hAnsi="宋体" w:eastAsia="宋体" w:cs="宋体"/>
                <w:color w:val="auto"/>
                <w:sz w:val="28"/>
                <w:szCs w:val="28"/>
                <w:highlight w:val="none"/>
              </w:rPr>
            </w:pPr>
          </w:p>
          <w:p w14:paraId="60AF574C">
            <w:pPr>
              <w:ind w:firstLine="560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2026年7月</w:t>
            </w:r>
            <w:r>
              <w:rPr>
                <w:rFonts w:hint="eastAsia" w:ascii="宋体" w:hAnsi="宋体" w:cs="宋体"/>
                <w:color w:val="auto"/>
                <w:sz w:val="28"/>
                <w:szCs w:val="28"/>
                <w:highlight w:val="none"/>
                <w:lang w:val="en-US" w:eastAsia="zh-CN"/>
              </w:rPr>
              <w:t>17</w:t>
            </w:r>
            <w:r>
              <w:rPr>
                <w:rFonts w:hint="eastAsia" w:ascii="宋体" w:hAnsi="宋体" w:cs="宋体"/>
                <w:color w:val="auto"/>
                <w:sz w:val="28"/>
                <w:szCs w:val="28"/>
                <w:highlight w:val="none"/>
                <w:lang w:eastAsia="zh-CN"/>
              </w:rPr>
              <w:t>日</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386F7769">
      <w:pPr>
        <w:pStyle w:val="44"/>
        <w:ind w:left="199" w:leftChars="95" w:firstLine="198" w:firstLineChars="66"/>
        <w:rPr>
          <w:rFonts w:hint="eastAsia" w:hAnsi="宋体"/>
          <w:color w:val="auto"/>
          <w:sz w:val="30"/>
          <w:szCs w:val="30"/>
          <w:highlight w:val="none"/>
        </w:rPr>
      </w:pPr>
    </w:p>
    <w:p w14:paraId="155ACA93">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3C4FBDD1">
      <w:pPr>
        <w:pStyle w:val="44"/>
        <w:ind w:left="199" w:leftChars="95" w:firstLine="198" w:firstLineChars="66"/>
        <w:rPr>
          <w:rFonts w:hint="eastAsia" w:hAnsi="宋体"/>
          <w:color w:val="auto"/>
          <w:sz w:val="30"/>
          <w:szCs w:val="30"/>
          <w:highlight w:val="none"/>
        </w:rPr>
      </w:pPr>
    </w:p>
    <w:p w14:paraId="65694767">
      <w:pPr>
        <w:rPr>
          <w:rFonts w:hint="eastAsia"/>
          <w:color w:val="auto"/>
          <w:highlight w:val="none"/>
        </w:rPr>
      </w:pPr>
    </w:p>
    <w:p w14:paraId="50AFC473">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44"/>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44"/>
        <w:rPr>
          <w:rFonts w:hint="default"/>
          <w:color w:val="auto"/>
          <w:highlight w:val="none"/>
        </w:rPr>
      </w:pPr>
    </w:p>
    <w:p w14:paraId="7C253514">
      <w:pPr>
        <w:rPr>
          <w:rFonts w:hint="default"/>
          <w:color w:val="auto"/>
          <w:highlight w:val="none"/>
        </w:rPr>
      </w:pPr>
    </w:p>
    <w:p w14:paraId="4F847B55">
      <w:pPr>
        <w:pStyle w:val="44"/>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44"/>
        <w:rPr>
          <w:rFonts w:hint="default"/>
          <w:color w:val="auto"/>
          <w:highlight w:val="none"/>
        </w:rPr>
      </w:pPr>
    </w:p>
    <w:p w14:paraId="0CF9E964">
      <w:pPr>
        <w:rPr>
          <w:rFonts w:hint="default"/>
          <w:color w:val="auto"/>
          <w:highlight w:val="none"/>
        </w:rPr>
      </w:pPr>
    </w:p>
    <w:p w14:paraId="690872C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31C99BA8">
      <w:pPr>
        <w:keepNext w:val="0"/>
        <w:keepLines w:val="0"/>
        <w:pageBreakBefore w:val="0"/>
        <w:kinsoku/>
        <w:wordWrap/>
        <w:overflowPunct/>
        <w:topLinePunct w:val="0"/>
        <w:autoSpaceDE/>
        <w:autoSpaceDN/>
        <w:bidi w:val="0"/>
        <w:adjustRightInd/>
        <w:spacing w:line="400" w:lineRule="exact"/>
        <w:ind w:left="0" w:leftChars="0" w:firstLine="604"/>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sz w:val="32"/>
          <w:szCs w:val="32"/>
          <w:highlight w:val="none"/>
          <w:lang w:eastAsia="zh-CN"/>
        </w:rPr>
        <w:t>第五条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综合计划科负责</w:t>
      </w:r>
      <w:r>
        <w:rPr>
          <w:rFonts w:hint="default" w:ascii="Times New Roman" w:hAnsi="Times New Roman" w:eastAsia="仿宋_GB2312" w:cs="Times New Roman"/>
          <w:color w:val="auto"/>
          <w:kern w:val="36"/>
          <w:sz w:val="32"/>
          <w:szCs w:val="32"/>
          <w:highlight w:val="none"/>
        </w:rPr>
        <w:t>征集具备</w:t>
      </w:r>
      <w:r>
        <w:rPr>
          <w:rFonts w:hint="default" w:ascii="Times New Roman" w:hAnsi="Times New Roman" w:eastAsia="仿宋_GB2312" w:cs="Times New Roman"/>
          <w:color w:val="auto"/>
          <w:kern w:val="36"/>
          <w:sz w:val="32"/>
          <w:szCs w:val="32"/>
          <w:highlight w:val="none"/>
          <w:lang w:eastAsia="zh-CN"/>
        </w:rPr>
        <w:t>独立法人资格并有相应业务能力的</w:t>
      </w:r>
      <w:r>
        <w:rPr>
          <w:rFonts w:hint="default" w:ascii="Times New Roman" w:hAnsi="Times New Roman" w:eastAsia="仿宋_GB2312" w:cs="Times New Roman"/>
          <w:color w:val="auto"/>
          <w:spacing w:val="-4"/>
          <w:kern w:val="0"/>
          <w:sz w:val="32"/>
          <w:szCs w:val="32"/>
          <w:highlight w:val="none"/>
        </w:rPr>
        <w:t>造价企业，建立</w:t>
      </w:r>
      <w:r>
        <w:rPr>
          <w:rFonts w:hint="default" w:ascii="Times New Roman" w:hAnsi="Times New Roman" w:eastAsia="仿宋_GB2312" w:cs="Times New Roman"/>
          <w:color w:val="auto"/>
          <w:kern w:val="36"/>
          <w:sz w:val="32"/>
          <w:szCs w:val="32"/>
          <w:highlight w:val="none"/>
        </w:rPr>
        <w:t>“</w:t>
      </w:r>
      <w:r>
        <w:rPr>
          <w:rFonts w:hint="default" w:ascii="Times New Roman" w:hAnsi="Times New Roman" w:eastAsia="仿宋_GB2312" w:cs="Times New Roman"/>
          <w:color w:val="auto"/>
          <w:spacing w:val="-4"/>
          <w:kern w:val="0"/>
          <w:sz w:val="32"/>
          <w:szCs w:val="32"/>
          <w:highlight w:val="none"/>
        </w:rPr>
        <w:t>滁州市重点工程建设管理处工程造价咨询</w:t>
      </w:r>
      <w:r>
        <w:rPr>
          <w:rFonts w:hint="default" w:ascii="Times New Roman" w:hAnsi="Times New Roman" w:eastAsia="仿宋_GB2312" w:cs="Times New Roman"/>
          <w:color w:val="auto"/>
          <w:sz w:val="32"/>
          <w:szCs w:val="32"/>
          <w:highlight w:val="none"/>
        </w:rPr>
        <w:t>库”（以下简称“库”），</w:t>
      </w:r>
      <w:r>
        <w:rPr>
          <w:rFonts w:hint="default" w:ascii="Times New Roman" w:hAnsi="Times New Roman" w:eastAsia="仿宋_GB2312" w:cs="Times New Roman"/>
          <w:b w:val="0"/>
          <w:bCs w:val="0"/>
          <w:color w:val="auto"/>
          <w:sz w:val="32"/>
          <w:szCs w:val="32"/>
          <w:highlight w:val="none"/>
        </w:rPr>
        <w:t>该库</w:t>
      </w:r>
      <w:r>
        <w:rPr>
          <w:rFonts w:hint="default" w:ascii="Times New Roman" w:hAnsi="Times New Roman" w:eastAsia="仿宋_GB2312" w:cs="Times New Roman"/>
          <w:color w:val="auto"/>
          <w:kern w:val="0"/>
          <w:sz w:val="32"/>
          <w:szCs w:val="32"/>
          <w:highlight w:val="none"/>
        </w:rPr>
        <w:t>动态管理</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kern w:val="0"/>
          <w:sz w:val="32"/>
          <w:szCs w:val="32"/>
          <w:highlight w:val="none"/>
          <w:lang w:val="en-US" w:eastAsia="zh-CN"/>
        </w:rPr>
        <w:t>随时</w:t>
      </w:r>
      <w:r>
        <w:rPr>
          <w:rFonts w:hint="default" w:ascii="Times New Roman" w:hAnsi="Times New Roman" w:eastAsia="仿宋_GB2312" w:cs="Times New Roman"/>
          <w:b/>
          <w:bCs/>
          <w:color w:val="auto"/>
          <w:sz w:val="32"/>
          <w:szCs w:val="32"/>
          <w:highlight w:val="none"/>
        </w:rPr>
        <w:t>登记</w:t>
      </w:r>
      <w:r>
        <w:rPr>
          <w:rFonts w:hint="default" w:ascii="Times New Roman" w:hAnsi="Times New Roman" w:eastAsia="仿宋_GB2312" w:cs="Times New Roman"/>
          <w:color w:val="auto"/>
          <w:sz w:val="32"/>
          <w:szCs w:val="32"/>
          <w:highlight w:val="none"/>
        </w:rPr>
        <w:t>，造价企业自</w:t>
      </w:r>
      <w:r>
        <w:rPr>
          <w:rFonts w:hint="default" w:ascii="Times New Roman" w:hAnsi="Times New Roman" w:eastAsia="仿宋_GB2312" w:cs="Times New Roman"/>
          <w:color w:val="auto"/>
          <w:sz w:val="32"/>
          <w:szCs w:val="32"/>
          <w:highlight w:val="none"/>
          <w:lang w:eastAsia="zh-CN"/>
        </w:rPr>
        <w:t>主</w:t>
      </w:r>
      <w:r>
        <w:rPr>
          <w:rFonts w:hint="default" w:ascii="Times New Roman" w:hAnsi="Times New Roman" w:eastAsia="仿宋_GB2312" w:cs="Times New Roman"/>
          <w:color w:val="auto"/>
          <w:sz w:val="32"/>
          <w:szCs w:val="32"/>
          <w:highlight w:val="none"/>
        </w:rPr>
        <w:t>报名</w:t>
      </w:r>
      <w:r>
        <w:rPr>
          <w:rFonts w:hint="default" w:ascii="Times New Roman" w:hAnsi="Times New Roman" w:eastAsia="仿宋_GB2312" w:cs="Times New Roman"/>
          <w:color w:val="auto"/>
          <w:sz w:val="32"/>
          <w:szCs w:val="32"/>
          <w:highlight w:val="none"/>
          <w:lang w:eastAsia="zh-CN"/>
        </w:rPr>
        <w:t>申请入库</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计划科</w:t>
      </w:r>
      <w:r>
        <w:rPr>
          <w:rFonts w:hint="default" w:ascii="Times New Roman" w:hAnsi="Times New Roman" w:eastAsia="仿宋_GB2312" w:cs="Times New Roman"/>
          <w:color w:val="auto"/>
          <w:sz w:val="32"/>
          <w:szCs w:val="32"/>
          <w:highlight w:val="none"/>
          <w:lang w:eastAsia="zh-CN"/>
        </w:rPr>
        <w:t>组织工程建设科、工程监管科等科室</w:t>
      </w:r>
      <w:r>
        <w:rPr>
          <w:rFonts w:hint="default" w:ascii="Times New Roman" w:hAnsi="Times New Roman" w:eastAsia="仿宋_GB2312" w:cs="Times New Roman"/>
          <w:color w:val="auto"/>
          <w:sz w:val="32"/>
          <w:szCs w:val="32"/>
          <w:highlight w:val="none"/>
        </w:rPr>
        <w:t>审查，入库的</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lang w:eastAsia="zh-CN"/>
        </w:rPr>
        <w:t>违反本办法第二十八条、第二十九条、第三十条及</w:t>
      </w:r>
      <w:r>
        <w:rPr>
          <w:rFonts w:hint="default" w:ascii="Times New Roman" w:hAnsi="Times New Roman" w:eastAsia="仿宋_GB2312" w:cs="Times New Roman"/>
          <w:color w:val="auto"/>
          <w:sz w:val="32"/>
          <w:szCs w:val="32"/>
          <w:highlight w:val="none"/>
        </w:rPr>
        <w:t>存在违法违规行为等影响其履约能力的予以退库</w:t>
      </w:r>
      <w:r>
        <w:rPr>
          <w:rFonts w:hint="default" w:ascii="Times New Roman" w:hAnsi="Times New Roman" w:eastAsia="仿宋_GB2312" w:cs="Times New Roman"/>
          <w:color w:val="auto"/>
          <w:kern w:val="0"/>
          <w:sz w:val="32"/>
          <w:szCs w:val="32"/>
          <w:highlight w:val="none"/>
        </w:rPr>
        <w:t>。</w:t>
      </w:r>
    </w:p>
    <w:p w14:paraId="432B43E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万元以下项目在库中委托（上述限额标准根据市公共资源进场交易目录同步调整），委托方式</w:t>
      </w:r>
      <w:r>
        <w:rPr>
          <w:rFonts w:hint="default" w:ascii="Times New Roman" w:hAnsi="Times New Roman" w:eastAsia="仿宋_GB2312" w:cs="Times New Roman"/>
          <w:color w:val="auto"/>
          <w:sz w:val="32"/>
          <w:szCs w:val="32"/>
          <w:highlight w:val="none"/>
          <w:lang w:eastAsia="zh-CN"/>
        </w:rPr>
        <w:t>有</w:t>
      </w:r>
      <w:r>
        <w:rPr>
          <w:rFonts w:hint="default" w:ascii="Times New Roman" w:hAnsi="Times New Roman" w:eastAsia="仿宋_GB2312" w:cs="Times New Roman"/>
          <w:color w:val="auto"/>
          <w:sz w:val="32"/>
          <w:szCs w:val="32"/>
          <w:highlight w:val="none"/>
        </w:rPr>
        <w:t>公开、邀请、奖励和指定方式</w:t>
      </w:r>
      <w:r>
        <w:rPr>
          <w:rFonts w:hint="default" w:ascii="Times New Roman" w:hAnsi="Times New Roman" w:eastAsia="仿宋_GB2312" w:cs="Times New Roman"/>
          <w:color w:val="auto"/>
          <w:sz w:val="32"/>
          <w:szCs w:val="32"/>
          <w:highlight w:val="none"/>
          <w:lang w:eastAsia="zh-CN"/>
        </w:rPr>
        <w:t>。</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综合计划科根据项目性质和特点，在库中筛选、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208E6A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奖励方式</w:t>
      </w:r>
    </w:p>
    <w:p w14:paraId="1633AE20">
      <w:pPr>
        <w:keepNext w:val="0"/>
        <w:keepLines w:val="0"/>
        <w:pageBreakBefore w:val="0"/>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为体现质量、信用优先原则，依据年度考核结果，对部分项目采取奖励方式委托</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rPr>
        <w:t>。</w:t>
      </w:r>
    </w:p>
    <w:p w14:paraId="599E84F1">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年度考核</w:t>
      </w:r>
      <w:r>
        <w:rPr>
          <w:rFonts w:hint="default" w:ascii="Times New Roman" w:hAnsi="Times New Roman" w:eastAsia="仿宋_GB2312" w:cs="Times New Roman"/>
          <w:color w:val="auto"/>
          <w:sz w:val="32"/>
          <w:szCs w:val="32"/>
          <w:highlight w:val="none"/>
          <w:lang w:eastAsia="zh-CN"/>
        </w:rPr>
        <w:t>优秀等级</w:t>
      </w:r>
      <w:r>
        <w:rPr>
          <w:rFonts w:hint="default" w:ascii="Times New Roman" w:hAnsi="Times New Roman" w:eastAsia="仿宋_GB2312" w:cs="Times New Roman"/>
          <w:color w:val="auto"/>
          <w:sz w:val="32"/>
          <w:szCs w:val="32"/>
          <w:highlight w:val="none"/>
        </w:rPr>
        <w:t>排名前</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位</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奖励</w:t>
      </w:r>
      <w:r>
        <w:rPr>
          <w:rFonts w:hint="default" w:ascii="Times New Roman" w:hAnsi="Times New Roman" w:eastAsia="仿宋_GB2312" w:cs="Times New Roman"/>
          <w:color w:val="auto"/>
          <w:sz w:val="32"/>
          <w:szCs w:val="32"/>
          <w:highlight w:val="none"/>
          <w:lang w:eastAsia="zh-CN"/>
        </w:rPr>
        <w:t>一个投资额</w:t>
      </w:r>
      <w:r>
        <w:rPr>
          <w:rFonts w:hint="default" w:ascii="Times New Roman" w:hAnsi="Times New Roman" w:eastAsia="仿宋_GB2312" w:cs="Times New Roman"/>
          <w:color w:val="auto"/>
          <w:sz w:val="32"/>
          <w:szCs w:val="32"/>
          <w:highlight w:val="none"/>
          <w:lang w:val="en-US" w:eastAsia="zh-CN"/>
        </w:rPr>
        <w:t>5000-10000万元的项目。</w:t>
      </w:r>
    </w:p>
    <w:p w14:paraId="4A3AA4DA">
      <w:pPr>
        <w:keepNext w:val="0"/>
        <w:keepLines w:val="0"/>
        <w:pageBreakBefore w:val="0"/>
        <w:numPr>
          <w:ilvl w:val="0"/>
          <w:numId w:val="2"/>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奖励项目的具体安排，由综合计划科根据项目特</w:t>
      </w:r>
      <w:r>
        <w:rPr>
          <w:rFonts w:hint="default" w:ascii="Times New Roman" w:hAnsi="Times New Roman" w:eastAsia="仿宋_GB2312" w:cs="Times New Roman"/>
          <w:color w:val="auto"/>
          <w:sz w:val="32"/>
          <w:szCs w:val="32"/>
          <w:highlight w:val="none"/>
          <w:lang w:eastAsia="zh-CN"/>
        </w:rPr>
        <w:t>点</w:t>
      </w:r>
      <w:r>
        <w:rPr>
          <w:rFonts w:hint="default" w:ascii="Times New Roman" w:hAnsi="Times New Roman" w:eastAsia="仿宋_GB2312" w:cs="Times New Roman"/>
          <w:color w:val="auto"/>
          <w:sz w:val="32"/>
          <w:szCs w:val="32"/>
          <w:highlight w:val="none"/>
        </w:rPr>
        <w:t>，对符合奖励条件的造价企业，提出分配</w:t>
      </w:r>
      <w:r>
        <w:rPr>
          <w:rFonts w:hint="default" w:ascii="Times New Roman" w:hAnsi="Times New Roman" w:eastAsia="仿宋_GB2312" w:cs="Times New Roman"/>
          <w:color w:val="auto"/>
          <w:kern w:val="0"/>
          <w:sz w:val="32"/>
          <w:szCs w:val="32"/>
          <w:highlight w:val="none"/>
        </w:rPr>
        <w:t>意见，</w:t>
      </w:r>
      <w:r>
        <w:rPr>
          <w:rFonts w:hint="default" w:ascii="Times New Roman" w:hAnsi="Times New Roman" w:eastAsia="仿宋_GB2312" w:cs="Times New Roman"/>
          <w:color w:val="auto"/>
          <w:sz w:val="32"/>
          <w:szCs w:val="32"/>
          <w:highlight w:val="none"/>
        </w:rPr>
        <w:t>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少量潜在造价企业可供选择的，由综合计划科在</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eastAsia" w:eastAsia="仿宋_GB2312" w:cs="Times New Roman"/>
          <w:b/>
          <w:bCs/>
          <w:color w:val="auto"/>
          <w:sz w:val="32"/>
          <w:szCs w:val="32"/>
          <w:highlight w:val="none"/>
          <w:lang w:val="en-US" w:eastAsia="zh-CN"/>
        </w:rPr>
        <w:t>60%</w:t>
      </w:r>
      <w:r>
        <w:rPr>
          <w:rFonts w:hint="default" w:ascii="Times New Roman" w:hAnsi="Times New Roman" w:eastAsia="仿宋_GB2312" w:cs="Times New Roman"/>
          <w:b/>
          <w:bCs/>
          <w:color w:val="auto"/>
          <w:sz w:val="32"/>
          <w:szCs w:val="32"/>
          <w:highlight w:val="none"/>
          <w:lang w:val="en-US" w:eastAsia="zh-CN"/>
        </w:rPr>
        <w:t>-60%）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第十五条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第二十四条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第二十六条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第二十七条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项目造价咨询委托协议，清除出库，并在处官网通报，同时抄送市审计局，市住建局，市财政局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造价企业有下列情形之一的，可扣减审计服务费用，终止审计委托协议，提请行政主管部门给予警告、通报，清除出库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r>
        <w:rPr>
          <w:rFonts w:hint="default" w:ascii="Times New Roman" w:hAnsi="Times New Roman" w:eastAsia="仿宋_GB2312" w:cs="Times New Roman"/>
          <w:color w:val="auto"/>
          <w:sz w:val="32"/>
          <w:szCs w:val="32"/>
          <w:highlight w:val="none"/>
          <w:lang w:eastAsia="zh-CN"/>
        </w:rPr>
        <w:t>，清除出库，三年内不得申请入库</w:t>
      </w:r>
      <w:r>
        <w:rPr>
          <w:rFonts w:hint="default" w:ascii="Times New Roman" w:hAnsi="Times New Roman" w:eastAsia="仿宋_GB2312" w:cs="Times New Roman"/>
          <w:color w:val="auto"/>
          <w:sz w:val="32"/>
          <w:szCs w:val="32"/>
          <w:highlight w:val="none"/>
        </w:rPr>
        <w:t>。</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第三十一条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7"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44"/>
        <w:spacing w:line="240" w:lineRule="auto"/>
        <w:ind w:left="0" w:leftChars="0" w:firstLine="0" w:firstLineChars="0"/>
        <w:rPr>
          <w:rFonts w:hint="eastAsia" w:ascii="宋体" w:hAnsi="宋体" w:eastAsia="宋体" w:cs="宋体"/>
          <w:color w:val="auto"/>
          <w:sz w:val="32"/>
          <w:szCs w:val="32"/>
          <w:highlight w:val="none"/>
        </w:rPr>
      </w:pPr>
    </w:p>
    <w:p w14:paraId="15FDB7B2">
      <w:pPr>
        <w:pStyle w:val="44"/>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44"/>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44"/>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44"/>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44"/>
        <w:ind w:left="0" w:leftChars="0" w:firstLine="0" w:firstLineChars="0"/>
        <w:rPr>
          <w:rFonts w:hint="eastAsia" w:ascii="宋体" w:hAnsi="宋体" w:eastAsia="宋体" w:cs="宋体"/>
          <w:color w:val="auto"/>
          <w:sz w:val="32"/>
          <w:szCs w:val="32"/>
          <w:highlight w:val="none"/>
        </w:rPr>
      </w:pPr>
    </w:p>
    <w:p w14:paraId="0E2AC145">
      <w:pPr>
        <w:pStyle w:val="44"/>
        <w:ind w:left="0" w:leftChars="0" w:firstLine="0" w:firstLineChars="0"/>
        <w:rPr>
          <w:rFonts w:hint="eastAsia" w:ascii="宋体" w:hAnsi="宋体" w:eastAsia="宋体" w:cs="宋体"/>
          <w:color w:val="auto"/>
          <w:sz w:val="32"/>
          <w:szCs w:val="32"/>
          <w:highlight w:val="none"/>
        </w:rPr>
      </w:pPr>
    </w:p>
    <w:p w14:paraId="638855D6">
      <w:pPr>
        <w:pStyle w:val="44"/>
        <w:ind w:left="0" w:leftChars="0" w:firstLine="0" w:firstLineChars="0"/>
        <w:rPr>
          <w:rFonts w:hint="eastAsia" w:ascii="宋体" w:hAnsi="宋体" w:eastAsia="宋体" w:cs="宋体"/>
          <w:color w:val="auto"/>
          <w:sz w:val="32"/>
          <w:szCs w:val="32"/>
          <w:highlight w:val="none"/>
        </w:rPr>
      </w:pPr>
    </w:p>
    <w:p w14:paraId="7F47CD82">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7"/>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44"/>
        <w:rPr>
          <w:rFonts w:hint="eastAsia"/>
          <w:color w:val="auto"/>
          <w:highlight w:val="none"/>
        </w:rPr>
      </w:pPr>
    </w:p>
    <w:p w14:paraId="5DB86DD5">
      <w:pPr>
        <w:pStyle w:val="44"/>
        <w:ind w:left="420" w:firstLine="420"/>
        <w:rPr>
          <w:rFonts w:hint="eastAsia"/>
          <w:color w:val="auto"/>
          <w:highlight w:val="none"/>
        </w:rPr>
      </w:pPr>
    </w:p>
    <w:p w14:paraId="53AB3B76">
      <w:pPr>
        <w:pStyle w:val="17"/>
        <w:jc w:val="left"/>
        <w:rPr>
          <w:rFonts w:hint="eastAsia" w:ascii="宋体" w:hAnsi="宋体" w:eastAsia="宋体" w:cs="宋体"/>
          <w:color w:val="auto"/>
          <w:kern w:val="0"/>
          <w:sz w:val="24"/>
          <w:szCs w:val="24"/>
          <w:highlight w:val="none"/>
        </w:rPr>
      </w:pPr>
    </w:p>
    <w:p w14:paraId="32517B5B">
      <w:pPr>
        <w:pStyle w:val="17"/>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B0500000000000000"/>
    <w:charset w:val="86"/>
    <w:family w:val="modern"/>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3C529">
                          <w:pPr>
                            <w:pStyle w:val="2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63C529">
                    <w:pPr>
                      <w:pStyle w:val="29"/>
                    </w:pPr>
                    <w:r>
                      <w:fldChar w:fldCharType="begin"/>
                    </w:r>
                    <w:r>
                      <w:instrText xml:space="preserve"> PAGE  \* MERGEFORMAT </w:instrText>
                    </w:r>
                    <w:r>
                      <w:fldChar w:fldCharType="separate"/>
                    </w:r>
                    <w:r>
                      <w:t>19</w:t>
                    </w:r>
                    <w:r>
                      <w:fldChar w:fldCharType="end"/>
                    </w:r>
                  </w:p>
                </w:txbxContent>
              </v:textbox>
            </v:shape>
          </w:pict>
        </mc:Fallback>
      </mc:AlternateContent>
    </w:r>
  </w:p>
  <w:p w14:paraId="77C6AFA8">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2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1BEA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31BEA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1C41FA">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91C41FA">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056297AE"/>
    <w:multiLevelType w:val="singleLevel"/>
    <w:tmpl w:val="056297AE"/>
    <w:lvl w:ilvl="0" w:tentative="0">
      <w:start w:val="3"/>
      <w:numFmt w:val="chineseCounting"/>
      <w:suff w:val="space"/>
      <w:lvlText w:val="(%1)"/>
      <w:lvlJc w:val="left"/>
      <w:rPr>
        <w:rFonts w:hint="eastAsia"/>
      </w:rPr>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2DA63DE"/>
    <w:rsid w:val="03311B51"/>
    <w:rsid w:val="035607B0"/>
    <w:rsid w:val="035A0B08"/>
    <w:rsid w:val="03BE185C"/>
    <w:rsid w:val="03DD3435"/>
    <w:rsid w:val="04880F3B"/>
    <w:rsid w:val="04BB1052"/>
    <w:rsid w:val="04EF66A6"/>
    <w:rsid w:val="058F191A"/>
    <w:rsid w:val="0620235A"/>
    <w:rsid w:val="064047AA"/>
    <w:rsid w:val="07023E8A"/>
    <w:rsid w:val="073060B3"/>
    <w:rsid w:val="073F34F8"/>
    <w:rsid w:val="07855569"/>
    <w:rsid w:val="07DD03A2"/>
    <w:rsid w:val="08891FDF"/>
    <w:rsid w:val="08EE1782"/>
    <w:rsid w:val="090B57DF"/>
    <w:rsid w:val="094625ED"/>
    <w:rsid w:val="098C0FAE"/>
    <w:rsid w:val="0A1370D9"/>
    <w:rsid w:val="0A426CE3"/>
    <w:rsid w:val="0A783487"/>
    <w:rsid w:val="0A920A74"/>
    <w:rsid w:val="0B1A05CF"/>
    <w:rsid w:val="0B3B4932"/>
    <w:rsid w:val="0B7A075E"/>
    <w:rsid w:val="0B8A5AE2"/>
    <w:rsid w:val="0C30371E"/>
    <w:rsid w:val="0C47209B"/>
    <w:rsid w:val="0C56467C"/>
    <w:rsid w:val="0CDE4AF1"/>
    <w:rsid w:val="0CEC2F96"/>
    <w:rsid w:val="0D2F7233"/>
    <w:rsid w:val="0D352C95"/>
    <w:rsid w:val="0DB0649C"/>
    <w:rsid w:val="0E2234E7"/>
    <w:rsid w:val="0E832759"/>
    <w:rsid w:val="0EA842DB"/>
    <w:rsid w:val="0ECF7747"/>
    <w:rsid w:val="0F9D46EF"/>
    <w:rsid w:val="0FEB41C1"/>
    <w:rsid w:val="11D57582"/>
    <w:rsid w:val="124026B6"/>
    <w:rsid w:val="12C329EB"/>
    <w:rsid w:val="12DA0F1C"/>
    <w:rsid w:val="13516249"/>
    <w:rsid w:val="137A735A"/>
    <w:rsid w:val="13B24508"/>
    <w:rsid w:val="13E245B8"/>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8E65745"/>
    <w:rsid w:val="19475149"/>
    <w:rsid w:val="194962C6"/>
    <w:rsid w:val="1A1E40F3"/>
    <w:rsid w:val="1AF847D0"/>
    <w:rsid w:val="1C112A19"/>
    <w:rsid w:val="1C136BB6"/>
    <w:rsid w:val="1C4B5EA8"/>
    <w:rsid w:val="1D854405"/>
    <w:rsid w:val="1DB42418"/>
    <w:rsid w:val="1DF93765"/>
    <w:rsid w:val="1E1554ED"/>
    <w:rsid w:val="1E66223E"/>
    <w:rsid w:val="1F5C123B"/>
    <w:rsid w:val="1FA31BDA"/>
    <w:rsid w:val="1FA4448B"/>
    <w:rsid w:val="2022793B"/>
    <w:rsid w:val="207B6E01"/>
    <w:rsid w:val="211B1C44"/>
    <w:rsid w:val="21F200C1"/>
    <w:rsid w:val="224A075F"/>
    <w:rsid w:val="22E66E8E"/>
    <w:rsid w:val="23816BA4"/>
    <w:rsid w:val="23B802A0"/>
    <w:rsid w:val="254E4396"/>
    <w:rsid w:val="25E4098B"/>
    <w:rsid w:val="26252182"/>
    <w:rsid w:val="265122FF"/>
    <w:rsid w:val="265E174C"/>
    <w:rsid w:val="2686038F"/>
    <w:rsid w:val="26EF5515"/>
    <w:rsid w:val="271C79A1"/>
    <w:rsid w:val="274F505D"/>
    <w:rsid w:val="28C72B2B"/>
    <w:rsid w:val="29D8382E"/>
    <w:rsid w:val="29E75E0C"/>
    <w:rsid w:val="29F23E8A"/>
    <w:rsid w:val="2A241E9E"/>
    <w:rsid w:val="2A566AD6"/>
    <w:rsid w:val="2B231E21"/>
    <w:rsid w:val="2B367DA6"/>
    <w:rsid w:val="2C6C3FFF"/>
    <w:rsid w:val="2C7D3C0D"/>
    <w:rsid w:val="2C874AAF"/>
    <w:rsid w:val="2C8E66A6"/>
    <w:rsid w:val="2CAF5168"/>
    <w:rsid w:val="2CBB47F9"/>
    <w:rsid w:val="2CF26DC6"/>
    <w:rsid w:val="2D4A1910"/>
    <w:rsid w:val="2DFF7667"/>
    <w:rsid w:val="2E267150"/>
    <w:rsid w:val="2E5874B6"/>
    <w:rsid w:val="2EFD1D1D"/>
    <w:rsid w:val="2F3A186E"/>
    <w:rsid w:val="2FE563D7"/>
    <w:rsid w:val="319951CC"/>
    <w:rsid w:val="31FB42D0"/>
    <w:rsid w:val="32852601"/>
    <w:rsid w:val="32D3700E"/>
    <w:rsid w:val="32F07192"/>
    <w:rsid w:val="332433C5"/>
    <w:rsid w:val="3376156C"/>
    <w:rsid w:val="33DB598F"/>
    <w:rsid w:val="33FB393B"/>
    <w:rsid w:val="348E387D"/>
    <w:rsid w:val="35A46FAE"/>
    <w:rsid w:val="37026723"/>
    <w:rsid w:val="37526B7E"/>
    <w:rsid w:val="37FB07C3"/>
    <w:rsid w:val="385F78F9"/>
    <w:rsid w:val="398960D8"/>
    <w:rsid w:val="39E8421F"/>
    <w:rsid w:val="3A066436"/>
    <w:rsid w:val="3A2516BB"/>
    <w:rsid w:val="3B3C635C"/>
    <w:rsid w:val="3CCB04A6"/>
    <w:rsid w:val="3CD37326"/>
    <w:rsid w:val="3DA16242"/>
    <w:rsid w:val="3E7850FA"/>
    <w:rsid w:val="3EED354E"/>
    <w:rsid w:val="3F1410DB"/>
    <w:rsid w:val="3F173AB4"/>
    <w:rsid w:val="3F7A539C"/>
    <w:rsid w:val="3FB5783A"/>
    <w:rsid w:val="402406BD"/>
    <w:rsid w:val="408338D7"/>
    <w:rsid w:val="41510996"/>
    <w:rsid w:val="42147451"/>
    <w:rsid w:val="42664FBD"/>
    <w:rsid w:val="43727992"/>
    <w:rsid w:val="43881670"/>
    <w:rsid w:val="43E82525"/>
    <w:rsid w:val="44592EA6"/>
    <w:rsid w:val="44A8055A"/>
    <w:rsid w:val="44B02520"/>
    <w:rsid w:val="44F7334E"/>
    <w:rsid w:val="44FA379B"/>
    <w:rsid w:val="45273CAF"/>
    <w:rsid w:val="45AF30FD"/>
    <w:rsid w:val="46420BB9"/>
    <w:rsid w:val="465B3014"/>
    <w:rsid w:val="472F5293"/>
    <w:rsid w:val="473A07C7"/>
    <w:rsid w:val="474E7DCE"/>
    <w:rsid w:val="47DB0FE0"/>
    <w:rsid w:val="47E77736"/>
    <w:rsid w:val="47EB386F"/>
    <w:rsid w:val="485A4022"/>
    <w:rsid w:val="48986B3F"/>
    <w:rsid w:val="48C93BB0"/>
    <w:rsid w:val="48CE1A9E"/>
    <w:rsid w:val="494476DB"/>
    <w:rsid w:val="49B66251"/>
    <w:rsid w:val="4A125037"/>
    <w:rsid w:val="4AB455FC"/>
    <w:rsid w:val="4B4C6831"/>
    <w:rsid w:val="4BB93099"/>
    <w:rsid w:val="4CA21C4A"/>
    <w:rsid w:val="4E87606B"/>
    <w:rsid w:val="4ED1777D"/>
    <w:rsid w:val="4F443F90"/>
    <w:rsid w:val="4F627A2B"/>
    <w:rsid w:val="4F8A1859"/>
    <w:rsid w:val="4FCD4721"/>
    <w:rsid w:val="4FE45773"/>
    <w:rsid w:val="50281B04"/>
    <w:rsid w:val="502D24E4"/>
    <w:rsid w:val="504773D5"/>
    <w:rsid w:val="50EC70D4"/>
    <w:rsid w:val="511E5BAD"/>
    <w:rsid w:val="513918A9"/>
    <w:rsid w:val="517F3DD4"/>
    <w:rsid w:val="51BC2AE8"/>
    <w:rsid w:val="52244348"/>
    <w:rsid w:val="52466141"/>
    <w:rsid w:val="52CE5689"/>
    <w:rsid w:val="52FA06C5"/>
    <w:rsid w:val="538843E3"/>
    <w:rsid w:val="548A4581"/>
    <w:rsid w:val="55376345"/>
    <w:rsid w:val="558A3D0F"/>
    <w:rsid w:val="559A68B9"/>
    <w:rsid w:val="55B10490"/>
    <w:rsid w:val="569E5C28"/>
    <w:rsid w:val="56B17EF3"/>
    <w:rsid w:val="57313D11"/>
    <w:rsid w:val="578D69F6"/>
    <w:rsid w:val="58311B26"/>
    <w:rsid w:val="583B105E"/>
    <w:rsid w:val="59254E33"/>
    <w:rsid w:val="597E4543"/>
    <w:rsid w:val="599A4762"/>
    <w:rsid w:val="59B94A33"/>
    <w:rsid w:val="59C42C57"/>
    <w:rsid w:val="5A613B97"/>
    <w:rsid w:val="5AFB2C32"/>
    <w:rsid w:val="5B127639"/>
    <w:rsid w:val="5B1A64ED"/>
    <w:rsid w:val="5B2F036B"/>
    <w:rsid w:val="5B583D18"/>
    <w:rsid w:val="5B5877E2"/>
    <w:rsid w:val="5BA9771F"/>
    <w:rsid w:val="5BAC7A1D"/>
    <w:rsid w:val="5BAE0EF6"/>
    <w:rsid w:val="5BE3458F"/>
    <w:rsid w:val="5DD0286D"/>
    <w:rsid w:val="5EEA0F2A"/>
    <w:rsid w:val="5F9D1CA2"/>
    <w:rsid w:val="5FD300DB"/>
    <w:rsid w:val="5FE25B93"/>
    <w:rsid w:val="603F3AE9"/>
    <w:rsid w:val="608C59E7"/>
    <w:rsid w:val="61051B53"/>
    <w:rsid w:val="61095D5D"/>
    <w:rsid w:val="61284751"/>
    <w:rsid w:val="629F458E"/>
    <w:rsid w:val="63637DFA"/>
    <w:rsid w:val="63B5357F"/>
    <w:rsid w:val="63C45248"/>
    <w:rsid w:val="63EE6769"/>
    <w:rsid w:val="64F222D0"/>
    <w:rsid w:val="655541D3"/>
    <w:rsid w:val="65594766"/>
    <w:rsid w:val="65AE22F3"/>
    <w:rsid w:val="65C12033"/>
    <w:rsid w:val="66465782"/>
    <w:rsid w:val="6686712D"/>
    <w:rsid w:val="66AF6E4C"/>
    <w:rsid w:val="670A4733"/>
    <w:rsid w:val="67DE5EA5"/>
    <w:rsid w:val="68DB72BC"/>
    <w:rsid w:val="68E615DD"/>
    <w:rsid w:val="6907286A"/>
    <w:rsid w:val="6908397B"/>
    <w:rsid w:val="6A16299D"/>
    <w:rsid w:val="6A751609"/>
    <w:rsid w:val="6B1637B6"/>
    <w:rsid w:val="6B354DBB"/>
    <w:rsid w:val="6C8368BA"/>
    <w:rsid w:val="6CC00CAD"/>
    <w:rsid w:val="6D0B604A"/>
    <w:rsid w:val="6DAC05BE"/>
    <w:rsid w:val="6E2337BB"/>
    <w:rsid w:val="6E526A5F"/>
    <w:rsid w:val="6E531FEA"/>
    <w:rsid w:val="6E802F39"/>
    <w:rsid w:val="6F5F3A74"/>
    <w:rsid w:val="6F8373FF"/>
    <w:rsid w:val="6FDE7145"/>
    <w:rsid w:val="701268B7"/>
    <w:rsid w:val="7025059A"/>
    <w:rsid w:val="708446DD"/>
    <w:rsid w:val="713E6246"/>
    <w:rsid w:val="71607761"/>
    <w:rsid w:val="725809D6"/>
    <w:rsid w:val="7274040D"/>
    <w:rsid w:val="72EE22E1"/>
    <w:rsid w:val="73840989"/>
    <w:rsid w:val="73875405"/>
    <w:rsid w:val="73B74532"/>
    <w:rsid w:val="74425F26"/>
    <w:rsid w:val="74CC7CBB"/>
    <w:rsid w:val="75401980"/>
    <w:rsid w:val="75847F67"/>
    <w:rsid w:val="75F06371"/>
    <w:rsid w:val="7682140E"/>
    <w:rsid w:val="76D62696"/>
    <w:rsid w:val="774E2667"/>
    <w:rsid w:val="77910BE3"/>
    <w:rsid w:val="78270463"/>
    <w:rsid w:val="783F0EE9"/>
    <w:rsid w:val="787B059F"/>
    <w:rsid w:val="78EA3B59"/>
    <w:rsid w:val="7B2726C7"/>
    <w:rsid w:val="7B360113"/>
    <w:rsid w:val="7C016BE2"/>
    <w:rsid w:val="7C8660BD"/>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next w:val="1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75</Pages>
  <Words>4092</Words>
  <Characters>4922</Characters>
  <Lines>0</Lines>
  <Paragraphs>0</Paragraphs>
  <TotalTime>20</TotalTime>
  <ScaleCrop>false</ScaleCrop>
  <LinksUpToDate>false</LinksUpToDate>
  <CharactersWithSpaces>4985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Pim Pom丶</cp:lastModifiedBy>
  <cp:lastPrinted>2025-04-11T07:13:00Z</cp:lastPrinted>
  <dcterms:modified xsi:type="dcterms:W3CDTF">2026-07-17T02:04:03Z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9CFEE953F2184222AB867545202810F6_13</vt:lpwstr>
  </property>
  <property fmtid="{D5CDD505-2E9C-101B-9397-08002B2CF9AE}" pid="4" name="KSOTemplateDocerSaveRecord">
    <vt:lpwstr>eyJoZGlkIjoiOTk1OGJkZDZlMmJiZjgxZThhZWQ4YzE0YWIxYTUyMmQiLCJ1c2VySWQiOiI0MDkyMjI1MTkifQ==</vt:lpwstr>
  </property>
</Properties>
</file>