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6A82B">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r>
        <w:rPr>
          <w:rFonts w:hint="eastAsia" w:ascii="宋体" w:hAnsi="宋体" w:eastAsia="宋体"/>
          <w:b/>
          <w:bCs/>
          <w:color w:val="auto"/>
          <w:sz w:val="52"/>
          <w:szCs w:val="52"/>
          <w:highlight w:val="none"/>
          <w:lang w:val="en-US" w:eastAsia="zh-CN"/>
        </w:rPr>
        <w:t xml:space="preserve"> </w:t>
      </w:r>
    </w:p>
    <w:p w14:paraId="55320482">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77D825B7">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41E8562C">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货物类</w:t>
      </w:r>
      <w:r>
        <w:rPr>
          <w:rFonts w:hint="eastAsia" w:ascii="宋体" w:hAnsi="宋体" w:eastAsia="宋体"/>
          <w:b/>
          <w:bCs/>
          <w:color w:val="auto"/>
          <w:sz w:val="52"/>
          <w:szCs w:val="52"/>
          <w:highlight w:val="none"/>
          <w:lang w:eastAsia="zh-CN"/>
        </w:rPr>
        <w:t>）</w:t>
      </w:r>
    </w:p>
    <w:p w14:paraId="5867FCE2">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2026年版</w:t>
      </w:r>
      <w:r>
        <w:rPr>
          <w:rFonts w:hint="eastAsia" w:ascii="宋体" w:hAnsi="宋体" w:eastAsia="宋体"/>
          <w:b/>
          <w:bCs/>
          <w:color w:val="auto"/>
          <w:sz w:val="52"/>
          <w:szCs w:val="52"/>
          <w:highlight w:val="none"/>
          <w:lang w:eastAsia="zh-CN"/>
        </w:rPr>
        <w:t>）</w:t>
      </w:r>
    </w:p>
    <w:p w14:paraId="19DE0D3D">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34FD8A2">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771DE0F">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5380A41C">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1622F0F">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1767F44">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val="en-US" w:eastAsia="zh-CN"/>
        </w:rPr>
      </w:pPr>
      <w:r>
        <w:rPr>
          <w:rFonts w:hint="eastAsia" w:ascii="宋体" w:hAnsi="宋体" w:eastAsia="宋体"/>
          <w:b/>
          <w:color w:val="auto"/>
          <w:spacing w:val="20"/>
          <w:kern w:val="0"/>
          <w:sz w:val="32"/>
          <w:szCs w:val="32"/>
          <w:highlight w:val="none"/>
        </w:rPr>
        <w:t>项目名称：</w:t>
      </w:r>
      <w:r>
        <w:rPr>
          <w:rFonts w:hint="eastAsia" w:ascii="宋体" w:hAnsi="宋体" w:eastAsia="宋体"/>
          <w:b/>
          <w:color w:val="auto"/>
          <w:spacing w:val="20"/>
          <w:kern w:val="0"/>
          <w:sz w:val="32"/>
          <w:szCs w:val="32"/>
          <w:highlight w:val="none"/>
          <w:u w:val="single"/>
          <w:lang w:val="en-US" w:eastAsia="zh-CN"/>
        </w:rPr>
        <w:t>滁州市第二中学学生公寓家具采购项目</w:t>
      </w:r>
    </w:p>
    <w:p w14:paraId="4140C048">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项目编号：</w:t>
      </w:r>
      <w:r>
        <w:rPr>
          <w:rFonts w:hint="eastAsia" w:ascii="宋体" w:hAnsi="宋体" w:eastAsia="宋体"/>
          <w:b/>
          <w:color w:val="auto"/>
          <w:spacing w:val="20"/>
          <w:kern w:val="0"/>
          <w:sz w:val="32"/>
          <w:szCs w:val="32"/>
          <w:highlight w:val="none"/>
          <w:u w:val="single"/>
          <w:lang w:val="en-US" w:eastAsia="zh-CN"/>
        </w:rPr>
        <w:t>czsjcg202606-003</w:t>
      </w:r>
    </w:p>
    <w:p w14:paraId="41D93CD6">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 购 人：</w:t>
      </w:r>
      <w:r>
        <w:rPr>
          <w:rFonts w:hint="eastAsia" w:ascii="宋体" w:hAnsi="宋体" w:eastAsia="宋体"/>
          <w:b/>
          <w:color w:val="auto"/>
          <w:spacing w:val="20"/>
          <w:kern w:val="0"/>
          <w:sz w:val="32"/>
          <w:szCs w:val="32"/>
          <w:highlight w:val="none"/>
          <w:u w:val="single"/>
          <w:lang w:val="en-US" w:eastAsia="zh-CN"/>
        </w:rPr>
        <w:t xml:space="preserve">  滁州市第二中学  </w:t>
      </w:r>
    </w:p>
    <w:p w14:paraId="1C94B61E">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采购代理机构：</w:t>
      </w:r>
      <w:r>
        <w:rPr>
          <w:rFonts w:hint="eastAsia" w:ascii="宋体" w:hAnsi="宋体" w:eastAsia="宋体"/>
          <w:b/>
          <w:color w:val="auto"/>
          <w:spacing w:val="20"/>
          <w:kern w:val="0"/>
          <w:sz w:val="32"/>
          <w:szCs w:val="32"/>
          <w:highlight w:val="none"/>
          <w:u w:val="single"/>
          <w:lang w:val="en-US" w:eastAsia="zh-CN"/>
        </w:rPr>
        <w:t xml:space="preserve"> 滁州市政府采购中心</w:t>
      </w:r>
    </w:p>
    <w:p w14:paraId="011B9CE2">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2AF0A14D">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u w:val="single"/>
          <w:lang w:val="en-US" w:eastAsia="zh-CN"/>
        </w:rPr>
        <w:t>2026</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lang w:val="en-US" w:eastAsia="zh-CN"/>
        </w:rPr>
        <w:t>6</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347146C1">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5EF6A05C">
      <w:pPr>
        <w:pStyle w:val="20"/>
        <w:tabs>
          <w:tab w:val="right" w:leader="dot" w:pos="8306"/>
        </w:tabs>
        <w:rPr>
          <w:color w:val="auto"/>
          <w:highlight w:val="none"/>
        </w:rPr>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color w:val="auto"/>
          <w:highlight w:val="none"/>
        </w:rPr>
        <w:fldChar w:fldCharType="begin"/>
      </w:r>
      <w:r>
        <w:rPr>
          <w:color w:val="auto"/>
          <w:highlight w:val="none"/>
        </w:rPr>
        <w:instrText xml:space="preserve"> HYPERLINK \l _Toc23443 </w:instrText>
      </w:r>
      <w:r>
        <w:rPr>
          <w:color w:val="auto"/>
          <w:highlight w:val="none"/>
        </w:rPr>
        <w:fldChar w:fldCharType="separate"/>
      </w:r>
      <w:r>
        <w:rPr>
          <w:rFonts w:hint="eastAsia"/>
          <w:color w:val="auto"/>
          <w:highlight w:val="none"/>
        </w:rPr>
        <w:t xml:space="preserve">第一章 </w:t>
      </w:r>
      <w:r>
        <w:rPr>
          <w:color w:val="auto"/>
          <w:highlight w:val="none"/>
        </w:rPr>
        <w:t xml:space="preserve"> 投标邀请</w:t>
      </w:r>
      <w:r>
        <w:rPr>
          <w:color w:val="auto"/>
          <w:highlight w:val="none"/>
        </w:rPr>
        <w:tab/>
      </w:r>
      <w:r>
        <w:rPr>
          <w:color w:val="auto"/>
          <w:highlight w:val="none"/>
        </w:rPr>
        <w:fldChar w:fldCharType="begin"/>
      </w:r>
      <w:r>
        <w:rPr>
          <w:color w:val="auto"/>
          <w:highlight w:val="none"/>
        </w:rPr>
        <w:instrText xml:space="preserve"> PAGEREF _Toc23443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91A3B79">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_Toc31935 </w:instrText>
      </w:r>
      <w:r>
        <w:rPr>
          <w:color w:val="auto"/>
          <w:highlight w:val="none"/>
        </w:rPr>
        <w:fldChar w:fldCharType="separate"/>
      </w:r>
      <w:r>
        <w:rPr>
          <w:rFonts w:hint="eastAsia"/>
          <w:color w:val="auto"/>
          <w:highlight w:val="none"/>
        </w:rPr>
        <w:t>第二章</w:t>
      </w:r>
      <w:r>
        <w:rPr>
          <w:color w:val="auto"/>
          <w:highlight w:val="none"/>
        </w:rPr>
        <w:t xml:space="preserve"> </w:t>
      </w:r>
      <w:r>
        <w:rPr>
          <w:rFonts w:hint="eastAsia"/>
          <w:color w:val="auto"/>
          <w:highlight w:val="none"/>
        </w:rPr>
        <w:t xml:space="preserve"> </w:t>
      </w:r>
      <w:r>
        <w:rPr>
          <w:color w:val="auto"/>
          <w:highlight w:val="none"/>
        </w:rPr>
        <w:t>投标人须知</w:t>
      </w:r>
      <w:r>
        <w:rPr>
          <w:color w:val="auto"/>
          <w:highlight w:val="none"/>
        </w:rPr>
        <w:tab/>
      </w:r>
      <w:r>
        <w:rPr>
          <w:rFonts w:hint="eastAsia"/>
          <w:color w:val="auto"/>
          <w:highlight w:val="none"/>
          <w:lang w:val="en-US" w:eastAsia="zh-CN"/>
        </w:rPr>
        <w:t>4</w:t>
      </w:r>
      <w:r>
        <w:rPr>
          <w:color w:val="auto"/>
          <w:highlight w:val="none"/>
        </w:rPr>
        <w:fldChar w:fldCharType="end"/>
      </w:r>
    </w:p>
    <w:p w14:paraId="263B7E9C">
      <w:pPr>
        <w:pStyle w:val="20"/>
        <w:tabs>
          <w:tab w:val="right" w:leader="dot" w:pos="8306"/>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_Toc10891 </w:instrText>
      </w:r>
      <w:r>
        <w:rPr>
          <w:color w:val="auto"/>
          <w:highlight w:val="none"/>
        </w:rPr>
        <w:fldChar w:fldCharType="separate"/>
      </w:r>
      <w:r>
        <w:rPr>
          <w:rFonts w:hint="eastAsia"/>
          <w:color w:val="auto"/>
          <w:highlight w:val="none"/>
        </w:rPr>
        <w:t>第三章  采购需求</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4</w:t>
      </w:r>
    </w:p>
    <w:p w14:paraId="271560F6">
      <w:pPr>
        <w:pStyle w:val="20"/>
        <w:tabs>
          <w:tab w:val="right" w:leader="dot" w:pos="8306"/>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_Toc16417 </w:instrText>
      </w:r>
      <w:r>
        <w:rPr>
          <w:color w:val="auto"/>
          <w:highlight w:val="none"/>
        </w:rPr>
        <w:fldChar w:fldCharType="separate"/>
      </w:r>
      <w:r>
        <w:rPr>
          <w:rFonts w:hint="eastAsia"/>
          <w:color w:val="auto"/>
          <w:highlight w:val="none"/>
        </w:rPr>
        <w:t>第四章  评标方法和标准（综合评分法）</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2</w:t>
      </w:r>
    </w:p>
    <w:p w14:paraId="234B5C6B">
      <w:pPr>
        <w:pStyle w:val="20"/>
        <w:tabs>
          <w:tab w:val="right" w:leader="dot" w:pos="8306"/>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_Toc4682 </w:instrText>
      </w:r>
      <w:r>
        <w:rPr>
          <w:color w:val="auto"/>
          <w:highlight w:val="none"/>
        </w:rPr>
        <w:fldChar w:fldCharType="separate"/>
      </w:r>
      <w:r>
        <w:rPr>
          <w:rFonts w:hint="eastAsia"/>
          <w:color w:val="auto"/>
          <w:highlight w:val="none"/>
        </w:rPr>
        <w:t xml:space="preserve">第五章  </w:t>
      </w:r>
      <w:r>
        <w:rPr>
          <w:color w:val="auto"/>
          <w:highlight w:val="none"/>
        </w:rPr>
        <w:t>政府采购合同</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2</w:t>
      </w:r>
    </w:p>
    <w:p w14:paraId="7C1176E1">
      <w:pPr>
        <w:pStyle w:val="20"/>
        <w:tabs>
          <w:tab w:val="right" w:leader="dot" w:pos="8306"/>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_Toc22492 </w:instrText>
      </w:r>
      <w:r>
        <w:rPr>
          <w:color w:val="auto"/>
          <w:highlight w:val="none"/>
        </w:rPr>
        <w:fldChar w:fldCharType="separate"/>
      </w:r>
      <w:r>
        <w:rPr>
          <w:rFonts w:hint="eastAsia"/>
          <w:color w:val="auto"/>
          <w:highlight w:val="none"/>
        </w:rPr>
        <w:t>第六章  投标文件格式</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2</w:t>
      </w:r>
    </w:p>
    <w:p w14:paraId="024CAFFC">
      <w:pPr>
        <w:pStyle w:val="20"/>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_Toc18131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第</w:t>
      </w:r>
      <w:r>
        <w:rPr>
          <w:rFonts w:hint="eastAsia" w:asciiTheme="minorEastAsia" w:hAnsiTheme="minorEastAsia" w:eastAsiaTheme="minorEastAsia"/>
          <w:color w:val="auto"/>
          <w:highlight w:val="none"/>
          <w:lang w:val="en-US" w:eastAsia="zh-CN"/>
        </w:rPr>
        <w:t>七</w:t>
      </w:r>
      <w:r>
        <w:rPr>
          <w:rFonts w:hint="eastAsia" w:asciiTheme="minorEastAsia" w:hAnsiTheme="minorEastAsia" w:eastAsiaTheme="minorEastAsia"/>
          <w:color w:val="auto"/>
          <w:highlight w:val="none"/>
        </w:rPr>
        <w:t>章</w:t>
      </w:r>
      <w:r>
        <w:rPr>
          <w:rFonts w:hint="eastAsia" w:ascii="宋体" w:hAnsi="宋体" w:eastAsia="宋体"/>
          <w:bCs/>
          <w:color w:val="auto"/>
          <w:highlight w:val="none"/>
        </w:rPr>
        <w:t xml:space="preserve">  政府采购</w:t>
      </w:r>
      <w:r>
        <w:rPr>
          <w:rFonts w:hint="eastAsia" w:asciiTheme="minorEastAsia" w:hAnsiTheme="minorEastAsia" w:eastAsiaTheme="minorEastAsia"/>
          <w:color w:val="auto"/>
          <w:highlight w:val="none"/>
        </w:rPr>
        <w:t>供应</w:t>
      </w:r>
      <w:r>
        <w:rPr>
          <w:rFonts w:hint="eastAsia" w:ascii="宋体" w:hAnsi="宋体" w:eastAsia="宋体"/>
          <w:bCs/>
          <w:color w:val="auto"/>
          <w:highlight w:val="none"/>
        </w:rPr>
        <w:t>商询问函和质疑函范本</w:t>
      </w:r>
      <w:r>
        <w:rPr>
          <w:color w:val="auto"/>
          <w:highlight w:val="none"/>
        </w:rPr>
        <w:tab/>
      </w:r>
      <w:r>
        <w:rPr>
          <w:color w:val="auto"/>
          <w:highlight w:val="none"/>
        </w:rPr>
        <w:fldChar w:fldCharType="begin"/>
      </w:r>
      <w:r>
        <w:rPr>
          <w:color w:val="auto"/>
          <w:highlight w:val="none"/>
        </w:rPr>
        <w:instrText xml:space="preserve"> PAGEREF _Toc18131 \h </w:instrText>
      </w:r>
      <w:r>
        <w:rPr>
          <w:color w:val="auto"/>
          <w:highlight w:val="none"/>
        </w:rPr>
        <w:fldChar w:fldCharType="separate"/>
      </w:r>
      <w:r>
        <w:rPr>
          <w:rFonts w:hint="eastAsia"/>
          <w:color w:val="auto"/>
          <w:highlight w:val="none"/>
          <w:lang w:val="en-US" w:eastAsia="zh-CN"/>
        </w:rPr>
        <w:t>78</w:t>
      </w:r>
      <w:r>
        <w:rPr>
          <w:color w:val="auto"/>
          <w:highlight w:val="none"/>
        </w:rPr>
        <w:fldChar w:fldCharType="end"/>
      </w:r>
      <w:r>
        <w:rPr>
          <w:rFonts w:asciiTheme="minorEastAsia" w:hAnsiTheme="minorEastAsia" w:eastAsiaTheme="minorEastAsia"/>
          <w:color w:val="auto"/>
          <w:szCs w:val="24"/>
          <w:highlight w:val="none"/>
        </w:rPr>
        <w:fldChar w:fldCharType="end"/>
      </w:r>
    </w:p>
    <w:p w14:paraId="16CBBC0F">
      <w:pPr>
        <w:spacing w:line="360" w:lineRule="auto"/>
        <w:jc w:val="center"/>
        <w:outlineLvl w:val="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fldChar w:fldCharType="end"/>
      </w:r>
      <w:bookmarkStart w:id="1" w:name="_Toc23443"/>
    </w:p>
    <w:p w14:paraId="4E65A230">
      <w:pPr>
        <w:pStyle w:val="20"/>
        <w:tabs>
          <w:tab w:val="right" w:leader="dot" w:pos="8306"/>
        </w:tabs>
        <w:rPr>
          <w:rFonts w:hint="eastAsia" w:asciiTheme="minorEastAsia" w:hAnsiTheme="minorEastAsia" w:eastAsiaTheme="minorEastAsia"/>
          <w:b/>
          <w:color w:val="auto"/>
          <w:sz w:val="28"/>
          <w:highlight w:val="none"/>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6B5B5C16">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7936E386">
      <w:pPr>
        <w:keepNext/>
        <w:keepLines/>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项目概况</w:t>
      </w:r>
    </w:p>
    <w:p w14:paraId="57A02490">
      <w:pPr>
        <w:keepNext/>
        <w:keepLines/>
        <w:pageBreakBefore w:val="0"/>
        <w:widowControl w:val="0"/>
        <w:suppressLineNumbers w:val="0"/>
        <w:kinsoku/>
        <w:wordWrap w:val="0"/>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b w:val="0"/>
          <w:color w:val="auto"/>
          <w:kern w:val="2"/>
          <w:sz w:val="24"/>
          <w:szCs w:val="24"/>
          <w:highlight w:val="none"/>
          <w:u w:val="single"/>
          <w:lang w:val="en-US" w:eastAsia="zh-CN" w:bidi="ar"/>
        </w:rPr>
        <w:t>滁州市第二中学学生公寓家具采购项目</w:t>
      </w:r>
      <w:r>
        <w:rPr>
          <w:rFonts w:hint="eastAsia" w:ascii="宋体" w:hAnsi="宋体" w:eastAsia="宋体" w:cs="宋体"/>
          <w:color w:val="auto"/>
          <w:kern w:val="2"/>
          <w:sz w:val="24"/>
          <w:szCs w:val="24"/>
          <w:highlight w:val="none"/>
          <w:lang w:val="en-US" w:eastAsia="zh-CN" w:bidi="ar"/>
        </w:rPr>
        <w:t>的潜在投标人应在</w:t>
      </w:r>
      <w:r>
        <w:rPr>
          <w:rFonts w:hint="eastAsia" w:ascii="宋体" w:hAnsi="宋体" w:eastAsia="宋体" w:cs="宋体"/>
          <w:color w:val="auto"/>
          <w:kern w:val="2"/>
          <w:sz w:val="24"/>
          <w:szCs w:val="24"/>
          <w:highlight w:val="none"/>
          <w:u w:val="single"/>
          <w:lang w:val="en-US" w:eastAsia="zh-CN" w:bidi="ar"/>
        </w:rPr>
        <w:t>滁州市公共资源交易中心网（http：//ggzy.chuzhou.gov.cn/）</w:t>
      </w:r>
      <w:r>
        <w:rPr>
          <w:rFonts w:hint="eastAsia" w:ascii="宋体" w:hAnsi="宋体" w:eastAsia="宋体" w:cs="宋体"/>
          <w:color w:val="auto"/>
          <w:kern w:val="2"/>
          <w:sz w:val="24"/>
          <w:szCs w:val="24"/>
          <w:highlight w:val="none"/>
          <w:lang w:val="en-US" w:eastAsia="zh-CN" w:bidi="ar"/>
        </w:rPr>
        <w:t>获取招标文件，并于</w:t>
      </w:r>
      <w:r>
        <w:rPr>
          <w:rFonts w:hint="eastAsia" w:ascii="宋体" w:hAnsi="宋体" w:eastAsia="宋体" w:cs="宋体"/>
          <w:color w:val="auto"/>
          <w:kern w:val="2"/>
          <w:sz w:val="24"/>
          <w:szCs w:val="24"/>
          <w:highlight w:val="none"/>
          <w:u w:val="single"/>
          <w:lang w:val="en-US" w:eastAsia="zh-CN" w:bidi="ar"/>
        </w:rPr>
        <w:t>2026年7月7日9点30分</w:t>
      </w:r>
      <w:r>
        <w:rPr>
          <w:rFonts w:hint="eastAsia" w:ascii="宋体" w:hAnsi="宋体" w:eastAsia="宋体" w:cs="宋体"/>
          <w:color w:val="auto"/>
          <w:kern w:val="2"/>
          <w:sz w:val="24"/>
          <w:szCs w:val="24"/>
          <w:highlight w:val="none"/>
          <w:lang w:val="en-US" w:eastAsia="zh-CN" w:bidi="ar"/>
        </w:rPr>
        <w:t>（北京时间）前递交投标文件。</w:t>
      </w:r>
    </w:p>
    <w:p w14:paraId="2D56A207">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一、项目基本情况</w:t>
      </w:r>
    </w:p>
    <w:p w14:paraId="238A16CD">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项目编号：czsjcg202606-003</w:t>
      </w:r>
    </w:p>
    <w:p w14:paraId="79697DB4">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项目名称：滁州市第二中学学生公寓家具采购项目</w:t>
      </w:r>
    </w:p>
    <w:p w14:paraId="47CE6835">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预算金额：1365000.00元</w:t>
      </w:r>
    </w:p>
    <w:p w14:paraId="0DF6480E">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最高限价：1365000.00元，投标报价不得高于最高限价，否则按无效投标处理。</w:t>
      </w:r>
    </w:p>
    <w:p w14:paraId="7DBF10C7">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采购需求：学生公寓家具采购、安装及学生公寓内部现存床铺及家具的拆除、搬运。</w:t>
      </w:r>
    </w:p>
    <w:p w14:paraId="3F65015E">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合同履行期限：</w:t>
      </w:r>
      <w:r>
        <w:rPr>
          <w:rFonts w:hint="eastAsia" w:asciiTheme="minorEastAsia" w:hAnsiTheme="minorEastAsia" w:eastAsiaTheme="minorEastAsia"/>
          <w:color w:val="auto"/>
          <w:sz w:val="24"/>
          <w:highlight w:val="none"/>
          <w:u w:val="single"/>
        </w:rPr>
        <w:t>自合同签订生效后，接到采购人通知之日起</w:t>
      </w:r>
      <w:r>
        <w:rPr>
          <w:rFonts w:hint="eastAsia" w:asciiTheme="minorEastAsia" w:hAnsiTheme="minorEastAsia" w:eastAsiaTheme="minorEastAsia"/>
          <w:color w:val="auto"/>
          <w:sz w:val="24"/>
          <w:highlight w:val="none"/>
          <w:u w:val="single"/>
          <w:lang w:val="en-US" w:eastAsia="zh-CN"/>
        </w:rPr>
        <w:t>40</w:t>
      </w:r>
      <w:r>
        <w:rPr>
          <w:rFonts w:hint="eastAsia" w:asciiTheme="minorEastAsia" w:hAnsiTheme="minorEastAsia" w:eastAsiaTheme="minorEastAsia"/>
          <w:color w:val="auto"/>
          <w:sz w:val="24"/>
          <w:highlight w:val="none"/>
          <w:u w:val="single"/>
        </w:rPr>
        <w:t>个日历天内完成货物的供货、安装、调试工作，并验收合格交付使用</w:t>
      </w:r>
      <w:r>
        <w:rPr>
          <w:rFonts w:hint="eastAsia" w:ascii="宋体" w:hAnsi="宋体" w:eastAsia="宋体" w:cs="宋体"/>
          <w:color w:val="auto"/>
          <w:kern w:val="2"/>
          <w:sz w:val="24"/>
          <w:szCs w:val="24"/>
          <w:highlight w:val="none"/>
          <w:lang w:val="en-US" w:eastAsia="zh-CN" w:bidi="ar"/>
        </w:rPr>
        <w:t>。</w:t>
      </w:r>
    </w:p>
    <w:p w14:paraId="37E60E3D">
      <w:pPr>
        <w:pageBreakBefore w:val="0"/>
        <w:widowControl w:val="0"/>
        <w:tabs>
          <w:tab w:val="left" w:pos="2410"/>
        </w:tabs>
        <w:kinsoku/>
        <w:overflowPunct/>
        <w:topLinePunct w:val="0"/>
        <w:autoSpaceDE w:val="0"/>
        <w:autoSpaceDN w:val="0"/>
        <w:bidi w:val="0"/>
        <w:adjustRightInd w:val="0"/>
        <w:snapToGrid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本项目不接受联合体投标。</w:t>
      </w:r>
    </w:p>
    <w:p w14:paraId="56BD6B60">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二、申请人的资格要求</w:t>
      </w:r>
    </w:p>
    <w:p w14:paraId="01D246D1">
      <w:pPr>
        <w:spacing w:line="420" w:lineRule="exact"/>
        <w:ind w:firstLine="435"/>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1.满足《中华人民共和国政府采购法》第二十二条规定；</w:t>
      </w:r>
    </w:p>
    <w:p w14:paraId="0F07334E">
      <w:pPr>
        <w:spacing w:line="420" w:lineRule="exact"/>
        <w:ind w:firstLine="435"/>
        <w:rPr>
          <w:rFonts w:hint="eastAsia" w:ascii="宋体" w:hAnsi="宋体" w:eastAsia="宋体" w:cs="宋体"/>
          <w:color w:val="auto"/>
          <w:kern w:val="2"/>
          <w:sz w:val="24"/>
          <w:szCs w:val="24"/>
          <w:highlight w:val="none"/>
          <w:u w:val="none"/>
        </w:rPr>
      </w:pPr>
      <w:r>
        <w:rPr>
          <w:rFonts w:hint="eastAsia" w:ascii="宋体" w:hAnsi="宋体" w:eastAsia="宋体" w:cs="宋体"/>
          <w:color w:val="auto"/>
          <w:kern w:val="2"/>
          <w:sz w:val="24"/>
          <w:szCs w:val="24"/>
          <w:highlight w:val="none"/>
          <w:lang w:val="en-US" w:eastAsia="zh-CN" w:bidi="ar"/>
        </w:rPr>
        <w:t>2.落实政府采购政策需满足的资格要求：按照财政部、工业和信息化部制定的《政府采购促进中小企业发展管理办法》，本项目为专门面向中小企业采购项目。企业划型标准按照《关于印发中小企业划型标准规定的通知》（工信部联企业〔2011〕300号）规定执行；</w:t>
      </w:r>
    </w:p>
    <w:p w14:paraId="4CCCC7D8">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3.本项目的特定资格要求：/；</w:t>
      </w:r>
    </w:p>
    <w:p w14:paraId="0B1730B3">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4.信誉要求：投标人不得存在以下情形：</w:t>
      </w:r>
    </w:p>
    <w:p w14:paraId="64DE8D25">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①被列入“信用中国”网站“失信被执行人”的；</w:t>
      </w:r>
    </w:p>
    <w:p w14:paraId="78B2D364">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②被列入“信用中国”网站“重大税收违法失信主体”的；</w:t>
      </w:r>
    </w:p>
    <w:p w14:paraId="02CE2AAD">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③被列入“信用中国”网站 “严重失信主体名单”的；</w:t>
      </w:r>
    </w:p>
    <w:p w14:paraId="44B6A437">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④在“信用中国”网站上披露的仍在公示期的严重失信行为(具体行为类别及判定依据见“信用中国”查询的严重失信行为类别及判定依据)的。</w:t>
      </w:r>
    </w:p>
    <w:p w14:paraId="42E2953A">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⑤被列入国家企业信用信息公示系统网站“经营异常名录”或者“严重违法失信名单”的。</w:t>
      </w:r>
    </w:p>
    <w:p w14:paraId="17ACBEB5">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⑥被列入中国政府采购网站“政府采购严重违法失信行为信息记录”的。</w:t>
      </w:r>
    </w:p>
    <w:p w14:paraId="3D6C377C">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⑦前三年有行贿犯罪行为的单位和个人。</w:t>
      </w:r>
    </w:p>
    <w:p w14:paraId="4BE6D419">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5.投标人所属分公司、办事处等分支机构存在第4款信誉要求①-⑦项情形之一的，接受其投标人参加本项目。</w:t>
      </w:r>
    </w:p>
    <w:p w14:paraId="166DBDE7">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备注：第4、5条按照“关于联合惩戒失信行为加强信用查询管理的通知”查询或承诺。</w:t>
      </w:r>
    </w:p>
    <w:p w14:paraId="4B7FB1DE">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三、获取招标文件</w:t>
      </w:r>
    </w:p>
    <w:p w14:paraId="74816791">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540"/>
        <w:jc w:val="both"/>
        <w:textAlignment w:val="auto"/>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时间：</w:t>
      </w:r>
      <w:r>
        <w:rPr>
          <w:rFonts w:hint="eastAsia" w:ascii="宋体" w:hAnsi="宋体" w:eastAsia="宋体" w:cs="宋体"/>
          <w:color w:val="auto"/>
          <w:kern w:val="2"/>
          <w:sz w:val="24"/>
          <w:szCs w:val="24"/>
          <w:highlight w:val="none"/>
          <w:u w:val="single"/>
          <w:lang w:val="en-US" w:eastAsia="zh-CN" w:bidi="ar"/>
        </w:rPr>
        <w:t>2026年6月2日</w:t>
      </w:r>
      <w:r>
        <w:rPr>
          <w:rFonts w:hint="eastAsia" w:ascii="宋体" w:hAnsi="宋体" w:eastAsia="宋体" w:cs="宋体"/>
          <w:color w:val="auto"/>
          <w:kern w:val="2"/>
          <w:sz w:val="24"/>
          <w:szCs w:val="24"/>
          <w:highlight w:val="none"/>
          <w:lang w:val="en-US" w:eastAsia="zh-CN" w:bidi="ar"/>
        </w:rPr>
        <w:t>至</w:t>
      </w:r>
      <w:r>
        <w:rPr>
          <w:rFonts w:hint="eastAsia" w:ascii="宋体" w:hAnsi="宋体" w:eastAsia="宋体" w:cs="宋体"/>
          <w:color w:val="auto"/>
          <w:kern w:val="2"/>
          <w:sz w:val="24"/>
          <w:szCs w:val="24"/>
          <w:highlight w:val="none"/>
          <w:u w:val="single"/>
          <w:lang w:val="en-US" w:eastAsia="zh-CN" w:bidi="ar"/>
        </w:rPr>
        <w:t>2026年7月7日（提供期限自本公告发布之日起不得少于5个工作日）</w:t>
      </w:r>
    </w:p>
    <w:p w14:paraId="0AEB1E86">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540"/>
        <w:jc w:val="both"/>
        <w:textAlignment w:val="auto"/>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地点：滁州市公共资源交易中心网</w:t>
      </w:r>
    </w:p>
    <w:p w14:paraId="64D9B7B2">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540"/>
        <w:jc w:val="both"/>
        <w:textAlignment w:val="auto"/>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方式：网上下载</w:t>
      </w:r>
    </w:p>
    <w:p w14:paraId="56CFCA46">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54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售价：0元</w:t>
      </w:r>
    </w:p>
    <w:p w14:paraId="69E74B10">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四、提交投标文件截止时间、开标时间和地点</w:t>
      </w:r>
    </w:p>
    <w:p w14:paraId="79AABD36">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2026年7月7日09点30分</w:t>
      </w:r>
      <w:r>
        <w:rPr>
          <w:rFonts w:hint="eastAsia" w:ascii="宋体" w:hAnsi="宋体" w:eastAsia="宋体" w:cs="宋体"/>
          <w:color w:val="auto"/>
          <w:kern w:val="0"/>
          <w:sz w:val="24"/>
          <w:szCs w:val="24"/>
          <w:highlight w:val="none"/>
          <w:lang w:val="en-US" w:eastAsia="zh-CN" w:bidi="ar"/>
        </w:rPr>
        <w:t>（北京时间）（自招标文件开始发出之日起至投标人提交投标文件截止之日止，不得少于20日）</w:t>
      </w:r>
    </w:p>
    <w:p w14:paraId="14671949">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地点：</w:t>
      </w:r>
      <w:r>
        <w:rPr>
          <w:rFonts w:hint="eastAsia" w:ascii="宋体" w:hAnsi="宋体" w:eastAsia="宋体" w:cs="宋体"/>
          <w:color w:val="auto"/>
          <w:kern w:val="2"/>
          <w:sz w:val="24"/>
          <w:szCs w:val="24"/>
          <w:highlight w:val="none"/>
          <w:lang w:val="en-US" w:eastAsia="zh-CN" w:bidi="ar"/>
        </w:rPr>
        <w:t>滁州市公共资源交易平台电子交易系统</w:t>
      </w:r>
    </w:p>
    <w:p w14:paraId="64722055">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五、公告期限</w:t>
      </w:r>
    </w:p>
    <w:p w14:paraId="65EE9B5E">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自本公告发布之日起5个工作日。</w:t>
      </w:r>
    </w:p>
    <w:p w14:paraId="139DC6E4">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六、其他补充事宜</w:t>
      </w:r>
    </w:p>
    <w:p w14:paraId="08C29ADB">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w:t>
      </w:r>
      <w:r>
        <w:rPr>
          <w:rFonts w:hint="eastAsia" w:ascii="宋体" w:hAnsi="宋体" w:eastAsia="宋体"/>
          <w:color w:val="auto"/>
          <w:sz w:val="24"/>
          <w:szCs w:val="24"/>
          <w:highlight w:val="none"/>
        </w:rPr>
        <w:t>相关服务电话：（1）安徽省公共资源交易市场主体库使用相关问题（系统登录、信息登记、录入及提交、数字证书关联等）：010-86483801转5-2；（2）CA数字证书有关问题：安徽CA客服400-615-8899、0550-3019013（工作日）,CFCA客服025-66085508、0550-3801669（工作日）；（3）市场主体招标环节和投标环节系统使用问题：0512-58188516（8:00-21:00）、0550-3801701（工作日）</w:t>
      </w:r>
      <w:r>
        <w:rPr>
          <w:rFonts w:hint="eastAsia" w:ascii="宋体" w:hAnsi="宋体" w:eastAsia="宋体" w:cs="宋体"/>
          <w:color w:val="auto"/>
          <w:kern w:val="2"/>
          <w:sz w:val="24"/>
          <w:szCs w:val="24"/>
          <w:highlight w:val="none"/>
          <w:lang w:val="en-US" w:eastAsia="zh-CN" w:bidi="ar"/>
        </w:rPr>
        <w:t>。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4E7CB97C">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2.请投标人登录滁州市公共资源交易中心网站查看参加本项目的程序。（具体操作步骤和程序请参见服务指南&gt;交易须知&gt;投标人填写投标信息、下载文件及网上提问操作手册）。</w:t>
      </w:r>
    </w:p>
    <w:p w14:paraId="4BE139A8">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leftChars="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75A9CC9C">
      <w:pPr>
        <w:keepNext w:val="0"/>
        <w:keepLines w:val="0"/>
        <w:pageBreakBefore w:val="0"/>
        <w:widowControl w:val="0"/>
        <w:suppressLineNumbers w:val="0"/>
        <w:kinsoku/>
        <w:overflowPunct/>
        <w:topLinePunct w:val="0"/>
        <w:autoSpaceDE w:val="0"/>
        <w:autoSpaceDN/>
        <w:bidi w:val="0"/>
        <w:spacing w:before="0" w:beforeAutospacing="0" w:after="0" w:afterAutospacing="0" w:line="420" w:lineRule="exact"/>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p w14:paraId="6AA2BFB6">
      <w:pPr>
        <w:pageBreakBefore w:val="0"/>
        <w:widowControl w:val="0"/>
        <w:kinsoku/>
        <w:overflowPunct/>
        <w:topLinePunct w:val="0"/>
        <w:bidi w:val="0"/>
        <w:spacing w:line="420" w:lineRule="exact"/>
        <w:ind w:firstLine="437"/>
        <w:textAlignment w:val="auto"/>
        <w:outlineLvl w:val="1"/>
        <w:rPr>
          <w:rFonts w:hint="eastAsia" w:ascii="宋体" w:hAnsi="宋体" w:eastAsia="宋体" w:cstheme="minorBidi"/>
          <w:b/>
          <w:color w:val="auto"/>
          <w:kern w:val="0"/>
          <w:sz w:val="24"/>
          <w:highlight w:val="none"/>
          <w:lang w:val="en-US" w:eastAsia="zh-CN"/>
        </w:rPr>
      </w:pPr>
      <w:r>
        <w:rPr>
          <w:rFonts w:hint="eastAsia" w:ascii="宋体" w:hAnsi="宋体" w:eastAsia="宋体" w:cstheme="minorBidi"/>
          <w:b/>
          <w:color w:val="auto"/>
          <w:kern w:val="0"/>
          <w:sz w:val="24"/>
          <w:highlight w:val="none"/>
          <w:lang w:val="en-US" w:eastAsia="zh-CN"/>
        </w:rPr>
        <w:t>七、对本次招标提出询问，请按以下方式联系</w:t>
      </w:r>
    </w:p>
    <w:p w14:paraId="05770D4F">
      <w:pPr>
        <w:keepNext w:val="0"/>
        <w:keepLines w:val="0"/>
        <w:pageBreakBefore w:val="0"/>
        <w:widowControl w:val="0"/>
        <w:suppressLineNumbers w:val="0"/>
        <w:kinsoku/>
        <w:overflowPunct/>
        <w:topLinePunct w:val="0"/>
        <w:autoSpaceDE w:val="0"/>
        <w:autoSpaceDN/>
        <w:bidi w:val="0"/>
        <w:spacing w:before="0" w:beforeAutospacing="0" w:after="0" w:afterAutospacing="0" w:line="420" w:lineRule="exact"/>
        <w:ind w:left="0" w:leftChars="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1.采购人信息</w:t>
      </w:r>
    </w:p>
    <w:p w14:paraId="34725C08">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eastAsia="zh-CN"/>
        </w:rPr>
      </w:pPr>
      <w:r>
        <w:rPr>
          <w:rFonts w:hint="eastAsia" w:ascii="宋体" w:hAnsi="宋体" w:eastAsia="宋体"/>
          <w:color w:val="auto"/>
          <w:sz w:val="24"/>
          <w:szCs w:val="18"/>
          <w:highlight w:val="none"/>
          <w:u w:val="none"/>
          <w:lang w:val="en-US" w:eastAsia="zh-CN"/>
        </w:rPr>
        <w:t>名  称：</w:t>
      </w:r>
      <w:r>
        <w:rPr>
          <w:rFonts w:hint="eastAsia" w:ascii="宋体" w:hAnsi="宋体" w:eastAsia="宋体"/>
          <w:color w:val="auto"/>
          <w:sz w:val="24"/>
          <w:szCs w:val="18"/>
          <w:highlight w:val="none"/>
          <w:u w:val="none"/>
          <w:lang w:eastAsia="zh-CN"/>
        </w:rPr>
        <w:t>滁州市第二中学</w:t>
      </w:r>
    </w:p>
    <w:p w14:paraId="46BC8291">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val="en-US" w:eastAsia="zh-CN"/>
        </w:rPr>
      </w:pPr>
      <w:r>
        <w:rPr>
          <w:rFonts w:hint="eastAsia" w:ascii="宋体" w:hAnsi="宋体" w:eastAsia="宋体"/>
          <w:color w:val="auto"/>
          <w:sz w:val="24"/>
          <w:szCs w:val="18"/>
          <w:highlight w:val="none"/>
          <w:u w:val="none"/>
          <w:lang w:val="en-US" w:eastAsia="zh-CN"/>
        </w:rPr>
        <w:t>地  址：</w:t>
      </w:r>
      <w:r>
        <w:rPr>
          <w:rFonts w:hint="eastAsia" w:ascii="宋体" w:hAnsi="宋体" w:eastAsia="宋体"/>
          <w:color w:val="auto"/>
          <w:sz w:val="24"/>
          <w:szCs w:val="18"/>
          <w:highlight w:val="none"/>
          <w:u w:val="none"/>
          <w:lang w:eastAsia="zh-CN"/>
        </w:rPr>
        <w:t>滁州市明光东路431号</w:t>
      </w:r>
    </w:p>
    <w:p w14:paraId="097BE3E3">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联系人：张壮</w:t>
      </w:r>
    </w:p>
    <w:p w14:paraId="0A949C95">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联系方式：18160876012</w:t>
      </w:r>
    </w:p>
    <w:p w14:paraId="2438983F">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2.采购代理机构信息</w:t>
      </w:r>
    </w:p>
    <w:p w14:paraId="0DD8611D">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eastAsia="zh-CN"/>
        </w:rPr>
      </w:pPr>
      <w:r>
        <w:rPr>
          <w:rFonts w:hint="eastAsia" w:ascii="宋体" w:hAnsi="宋体" w:eastAsia="宋体"/>
          <w:color w:val="auto"/>
          <w:sz w:val="24"/>
          <w:szCs w:val="18"/>
          <w:highlight w:val="none"/>
          <w:u w:val="none"/>
          <w:lang w:val="en-US" w:eastAsia="zh-CN"/>
        </w:rPr>
        <w:t>名  称：</w:t>
      </w:r>
      <w:r>
        <w:rPr>
          <w:rFonts w:hint="eastAsia" w:ascii="宋体" w:hAnsi="宋体" w:eastAsia="宋体"/>
          <w:color w:val="auto"/>
          <w:sz w:val="24"/>
          <w:szCs w:val="18"/>
          <w:highlight w:val="none"/>
          <w:u w:val="none"/>
          <w:lang w:eastAsia="zh-CN"/>
        </w:rPr>
        <w:t>滁州市政府采购中心</w:t>
      </w:r>
    </w:p>
    <w:p w14:paraId="421F51AA">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地  址：</w:t>
      </w:r>
      <w:r>
        <w:rPr>
          <w:rFonts w:hint="eastAsia" w:ascii="宋体" w:hAnsi="宋体" w:eastAsia="宋体"/>
          <w:color w:val="auto"/>
          <w:sz w:val="24"/>
          <w:szCs w:val="18"/>
          <w:highlight w:val="none"/>
          <w:u w:val="none"/>
          <w:lang w:eastAsia="zh-CN"/>
        </w:rPr>
        <w:t>滁州市龙蟠大道109号房产商务大厦2楼</w:t>
      </w:r>
    </w:p>
    <w:p w14:paraId="6F5502F4">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联系人：周蓓蕾</w:t>
      </w:r>
    </w:p>
    <w:p w14:paraId="031802F2">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rPr>
      </w:pPr>
      <w:r>
        <w:rPr>
          <w:rFonts w:hint="eastAsia" w:ascii="宋体" w:hAnsi="宋体" w:eastAsia="宋体"/>
          <w:color w:val="auto"/>
          <w:sz w:val="24"/>
          <w:szCs w:val="18"/>
          <w:highlight w:val="none"/>
          <w:u w:val="none"/>
          <w:lang w:val="en-US" w:eastAsia="zh-CN"/>
        </w:rPr>
        <w:t>联系方式：0550-3519519、18005505728</w:t>
      </w:r>
    </w:p>
    <w:p w14:paraId="382CDD8E">
      <w:pPr>
        <w:keepNext w:val="0"/>
        <w:keepLines w:val="0"/>
        <w:pageBreakBefore w:val="0"/>
        <w:widowControl w:val="0"/>
        <w:suppressLineNumbers w:val="0"/>
        <w:kinsoku/>
        <w:overflowPunct/>
        <w:topLinePunct w:val="0"/>
        <w:autoSpaceDE w:val="0"/>
        <w:autoSpaceDN/>
        <w:bidi w:val="0"/>
        <w:spacing w:before="0" w:beforeAutospacing="0" w:after="0" w:afterAutospacing="0" w:line="420" w:lineRule="exact"/>
        <w:ind w:left="0" w:leftChars="0" w:right="0"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3.政府采购监督管理部门信息</w:t>
      </w:r>
    </w:p>
    <w:p w14:paraId="449D0FB1">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eastAsia="zh-CN"/>
        </w:rPr>
      </w:pPr>
      <w:r>
        <w:rPr>
          <w:rFonts w:hint="eastAsia" w:ascii="宋体" w:hAnsi="宋体" w:eastAsia="宋体"/>
          <w:color w:val="auto"/>
          <w:sz w:val="24"/>
          <w:szCs w:val="18"/>
          <w:highlight w:val="none"/>
          <w:u w:val="none"/>
          <w:lang w:val="en-US" w:eastAsia="zh-CN"/>
        </w:rPr>
        <w:t>名  称：滁州市公共资源交易监督管理局</w:t>
      </w:r>
    </w:p>
    <w:p w14:paraId="57DB74AC">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eastAsia="zh-CN"/>
        </w:rPr>
      </w:pPr>
      <w:r>
        <w:rPr>
          <w:rFonts w:hint="eastAsia" w:ascii="宋体" w:hAnsi="宋体" w:eastAsia="宋体"/>
          <w:color w:val="auto"/>
          <w:sz w:val="24"/>
          <w:szCs w:val="18"/>
          <w:highlight w:val="none"/>
          <w:u w:val="none"/>
          <w:lang w:val="en-US" w:eastAsia="zh-CN"/>
        </w:rPr>
        <w:t>地  址：滁州市龙蟠大道109号房产大厦三楼</w:t>
      </w:r>
    </w:p>
    <w:p w14:paraId="4017A15D">
      <w:pPr>
        <w:keepNext w:val="0"/>
        <w:keepLines w:val="0"/>
        <w:pageBreakBefore w:val="0"/>
        <w:widowControl w:val="0"/>
        <w:suppressLineNumbers w:val="0"/>
        <w:kinsoku/>
        <w:wordWrap w:val="0"/>
        <w:overflowPunct/>
        <w:topLinePunct w:val="0"/>
        <w:autoSpaceDE w:val="0"/>
        <w:autoSpaceDN/>
        <w:bidi w:val="0"/>
        <w:spacing w:before="0" w:beforeAutospacing="0" w:after="0" w:afterAutospacing="0" w:line="420" w:lineRule="exact"/>
        <w:ind w:left="0" w:right="0" w:firstLine="480" w:firstLineChars="200"/>
        <w:jc w:val="both"/>
        <w:textAlignment w:val="auto"/>
        <w:rPr>
          <w:rFonts w:hint="eastAsia" w:ascii="宋体" w:hAnsi="宋体" w:eastAsia="宋体"/>
          <w:color w:val="auto"/>
          <w:sz w:val="24"/>
          <w:szCs w:val="18"/>
          <w:highlight w:val="none"/>
          <w:u w:val="none"/>
          <w:lang w:val="en-US" w:eastAsia="zh-CN"/>
        </w:rPr>
      </w:pPr>
      <w:r>
        <w:rPr>
          <w:rFonts w:hint="eastAsia" w:ascii="宋体" w:hAnsi="宋体" w:eastAsia="宋体"/>
          <w:color w:val="auto"/>
          <w:sz w:val="24"/>
          <w:szCs w:val="18"/>
          <w:highlight w:val="none"/>
          <w:u w:val="none"/>
          <w:lang w:val="en-US" w:eastAsia="zh-CN"/>
        </w:rPr>
        <w:t>联系方式：0550-3801631</w:t>
      </w:r>
    </w:p>
    <w:p w14:paraId="1B906841">
      <w:pPr>
        <w:spacing w:line="360" w:lineRule="auto"/>
        <w:ind w:firstLine="437"/>
        <w:outlineLvl w:val="2"/>
        <w:rPr>
          <w:rFonts w:ascii="宋体" w:hAnsi="宋体" w:eastAsia="宋体"/>
          <w:color w:val="auto"/>
          <w:sz w:val="24"/>
          <w:szCs w:val="18"/>
          <w:highlight w:val="none"/>
        </w:rPr>
      </w:pPr>
      <w:r>
        <w:rPr>
          <w:rFonts w:ascii="宋体" w:hAnsi="宋体" w:eastAsia="宋体"/>
          <w:color w:val="auto"/>
          <w:sz w:val="24"/>
          <w:szCs w:val="18"/>
          <w:highlight w:val="none"/>
        </w:rPr>
        <w:br w:type="page"/>
      </w:r>
    </w:p>
    <w:p w14:paraId="0F87B095">
      <w:pPr>
        <w:spacing w:line="360" w:lineRule="auto"/>
        <w:jc w:val="center"/>
        <w:outlineLvl w:val="0"/>
        <w:rPr>
          <w:rFonts w:asciiTheme="minorEastAsia" w:hAnsiTheme="minorEastAsia" w:eastAsiaTheme="minorEastAsia"/>
          <w:b/>
          <w:color w:val="auto"/>
          <w:sz w:val="28"/>
          <w:highlight w:val="none"/>
        </w:rPr>
      </w:pPr>
      <w:bookmarkStart w:id="2" w:name="_Toc31935"/>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2"/>
    </w:p>
    <w:p w14:paraId="4615C53C">
      <w:pPr>
        <w:spacing w:line="360" w:lineRule="auto"/>
        <w:jc w:val="center"/>
        <w:outlineLvl w:val="1"/>
        <w:rPr>
          <w:rFonts w:asciiTheme="minorEastAsia" w:hAnsiTheme="minorEastAsia" w:eastAsiaTheme="minorEastAsia"/>
          <w:b/>
          <w:color w:val="auto"/>
          <w:sz w:val="24"/>
          <w:highlight w:val="none"/>
        </w:rPr>
      </w:pPr>
      <w:bookmarkStart w:id="3" w:name="_Toc7178"/>
      <w:bookmarkStart w:id="4" w:name="_Toc3114"/>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3"/>
      <w:bookmarkEnd w:id="4"/>
    </w:p>
    <w:p w14:paraId="382BCE7C">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8"/>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200"/>
        <w:gridCol w:w="5790"/>
      </w:tblGrid>
      <w:tr w14:paraId="6F4A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23B46AB9">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98" w:type="pct"/>
            <w:vAlign w:val="center"/>
          </w:tcPr>
          <w:p w14:paraId="63DF797B">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152" w:type="pct"/>
            <w:vAlign w:val="center"/>
          </w:tcPr>
          <w:p w14:paraId="29D0B71B">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568B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3D54FC54">
            <w:pPr>
              <w:pStyle w:val="47"/>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198" w:type="pct"/>
            <w:vAlign w:val="center"/>
          </w:tcPr>
          <w:p w14:paraId="3F967F5A">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3152" w:type="pct"/>
            <w:vAlign w:val="center"/>
          </w:tcPr>
          <w:p w14:paraId="5220493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5119E1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5E79964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181C332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5FCBA0A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233AC2F1">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如投标人未参加采购人统一组织的现场考察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，由此引起的一切责任由投标人自行承担。</w:t>
            </w:r>
          </w:p>
        </w:tc>
      </w:tr>
      <w:tr w14:paraId="39DC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7CA32EE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6</w:t>
            </w:r>
            <w:r>
              <w:rPr>
                <w:rFonts w:ascii="宋体" w:hAnsi="宋体" w:eastAsia="宋体"/>
                <w:bCs/>
                <w:color w:val="auto"/>
                <w:kern w:val="2"/>
                <w:highlight w:val="none"/>
              </w:rPr>
              <w:t>.1</w:t>
            </w:r>
          </w:p>
        </w:tc>
        <w:tc>
          <w:tcPr>
            <w:tcW w:w="1198" w:type="pct"/>
            <w:vAlign w:val="center"/>
          </w:tcPr>
          <w:p w14:paraId="30336F5A">
            <w:pPr>
              <w:pStyle w:val="46"/>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152" w:type="pct"/>
            <w:vAlign w:val="center"/>
          </w:tcPr>
          <w:p w14:paraId="60CDFC4F">
            <w:pPr>
              <w:pStyle w:val="46"/>
              <w:widowControl w:val="0"/>
              <w:spacing w:before="0" w:beforeAutospacing="0" w:after="0" w:afterAutospacing="0"/>
              <w:jc w:val="both"/>
              <w:rPr>
                <w:rFonts w:ascii="宋体" w:hAnsi="宋体" w:eastAsia="宋体"/>
                <w:b w:val="0"/>
                <w:color w:val="auto"/>
                <w:sz w:val="24"/>
                <w:highlight w:val="none"/>
              </w:rPr>
            </w:pPr>
            <w:r>
              <w:rPr>
                <w:rFonts w:hint="eastAsia" w:ascii="宋体" w:hAnsi="宋体" w:eastAsia="宋体"/>
                <w:b w:val="0"/>
                <w:color w:val="auto"/>
                <w:sz w:val="24"/>
                <w:highlight w:val="none"/>
                <w:u w:val="single"/>
                <w:lang w:val="en-US" w:eastAsia="zh-CN"/>
              </w:rPr>
              <w:t>2026</w:t>
            </w:r>
            <w:r>
              <w:rPr>
                <w:rFonts w:ascii="宋体" w:hAnsi="宋体" w:eastAsia="宋体"/>
                <w:b w:val="0"/>
                <w:color w:val="auto"/>
                <w:sz w:val="24"/>
                <w:highlight w:val="none"/>
              </w:rPr>
              <w:t>年</w:t>
            </w:r>
            <w:r>
              <w:rPr>
                <w:rFonts w:hint="eastAsia" w:ascii="宋体" w:hAnsi="宋体" w:eastAsia="宋体"/>
                <w:b w:val="0"/>
                <w:color w:val="auto"/>
                <w:sz w:val="24"/>
                <w:highlight w:val="none"/>
                <w:u w:val="single"/>
                <w:lang w:val="en-US" w:eastAsia="zh-CN"/>
              </w:rPr>
              <w:t>6</w:t>
            </w:r>
            <w:r>
              <w:rPr>
                <w:rFonts w:ascii="宋体" w:hAnsi="宋体" w:eastAsia="宋体"/>
                <w:b w:val="0"/>
                <w:color w:val="auto"/>
                <w:sz w:val="24"/>
                <w:highlight w:val="none"/>
              </w:rPr>
              <w:t>月</w:t>
            </w:r>
            <w:r>
              <w:rPr>
                <w:rFonts w:hint="eastAsia" w:ascii="宋体" w:hAnsi="宋体" w:eastAsia="宋体"/>
                <w:b w:val="0"/>
                <w:color w:val="auto"/>
                <w:sz w:val="24"/>
                <w:highlight w:val="none"/>
                <w:u w:val="single"/>
                <w:lang w:val="en-US" w:eastAsia="zh-CN"/>
              </w:rPr>
              <w:t>9</w:t>
            </w:r>
            <w:r>
              <w:rPr>
                <w:rFonts w:ascii="宋体" w:hAnsi="宋体" w:eastAsia="宋体"/>
                <w:b w:val="0"/>
                <w:color w:val="auto"/>
                <w:sz w:val="24"/>
                <w:highlight w:val="none"/>
              </w:rPr>
              <w:t>日</w:t>
            </w:r>
            <w:r>
              <w:rPr>
                <w:rFonts w:hint="eastAsia" w:ascii="宋体" w:hAnsi="宋体" w:eastAsia="宋体"/>
                <w:b w:val="0"/>
                <w:color w:val="auto"/>
                <w:sz w:val="24"/>
                <w:highlight w:val="none"/>
                <w:u w:val="single"/>
                <w:lang w:val="en-US" w:eastAsia="zh-CN"/>
              </w:rPr>
              <w:t>17</w:t>
            </w:r>
            <w:r>
              <w:rPr>
                <w:rFonts w:ascii="宋体" w:hAnsi="宋体" w:eastAsia="宋体"/>
                <w:b w:val="0"/>
                <w:color w:val="auto"/>
                <w:sz w:val="24"/>
                <w:highlight w:val="none"/>
              </w:rPr>
              <w:t>时</w:t>
            </w:r>
            <w:r>
              <w:rPr>
                <w:rFonts w:hint="eastAsia" w:ascii="宋体" w:hAnsi="宋体" w:eastAsia="宋体"/>
                <w:b w:val="0"/>
                <w:color w:val="auto"/>
                <w:sz w:val="24"/>
                <w:highlight w:val="none"/>
                <w:u w:val="single"/>
                <w:lang w:val="en-US" w:eastAsia="zh-CN"/>
              </w:rPr>
              <w:t>30</w:t>
            </w:r>
            <w:r>
              <w:rPr>
                <w:rFonts w:hint="eastAsia" w:ascii="宋体" w:hAnsi="宋体" w:eastAsia="宋体"/>
                <w:b w:val="0"/>
                <w:color w:val="auto"/>
                <w:sz w:val="24"/>
                <w:highlight w:val="none"/>
              </w:rPr>
              <w:t>分</w:t>
            </w:r>
          </w:p>
        </w:tc>
      </w:tr>
      <w:tr w14:paraId="736D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57AC1695">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7</w:t>
            </w:r>
            <w:r>
              <w:rPr>
                <w:rFonts w:ascii="宋体" w:hAnsi="宋体" w:eastAsia="宋体"/>
                <w:bCs/>
                <w:color w:val="auto"/>
                <w:kern w:val="2"/>
                <w:highlight w:val="none"/>
              </w:rPr>
              <w:t>.1</w:t>
            </w:r>
          </w:p>
        </w:tc>
        <w:tc>
          <w:tcPr>
            <w:tcW w:w="1198" w:type="pct"/>
            <w:vAlign w:val="center"/>
          </w:tcPr>
          <w:p w14:paraId="395DF4C8">
            <w:pPr>
              <w:pStyle w:val="46"/>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152" w:type="pct"/>
            <w:vAlign w:val="center"/>
          </w:tcPr>
          <w:p w14:paraId="53B69A77">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ascii="宋体" w:hAnsi="宋体" w:eastAsia="宋体"/>
                <w:b w:val="0"/>
                <w:color w:val="auto"/>
                <w:sz w:val="24"/>
                <w:highlight w:val="none"/>
              </w:rPr>
              <w:t>不分包     □分为  个包</w:t>
            </w:r>
          </w:p>
          <w:p w14:paraId="456C4922">
            <w:pPr>
              <w:pStyle w:val="46"/>
              <w:widowControl w:val="0"/>
              <w:spacing w:before="0" w:beforeAutospacing="0" w:after="0" w:afterAutospacing="0"/>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ascii="宋体" w:hAnsi="宋体" w:eastAsia="宋体"/>
                <w:b w:val="0"/>
                <w:bCs w:val="0"/>
                <w:color w:val="auto"/>
                <w:sz w:val="24"/>
                <w:szCs w:val="18"/>
                <w:highlight w:val="none"/>
                <w:u w:val="single"/>
              </w:rPr>
              <w:t xml:space="preserve">       </w:t>
            </w:r>
          </w:p>
        </w:tc>
      </w:tr>
      <w:tr w14:paraId="3CD9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48" w:type="pct"/>
            <w:vAlign w:val="center"/>
          </w:tcPr>
          <w:p w14:paraId="45B08E9C">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0</w:t>
            </w:r>
            <w:r>
              <w:rPr>
                <w:rFonts w:ascii="宋体" w:hAnsi="宋体" w:eastAsia="宋体"/>
                <w:bCs/>
                <w:color w:val="auto"/>
                <w:kern w:val="2"/>
                <w:highlight w:val="none"/>
              </w:rPr>
              <w:t>.1</w:t>
            </w:r>
          </w:p>
        </w:tc>
        <w:tc>
          <w:tcPr>
            <w:tcW w:w="1198" w:type="pct"/>
            <w:vAlign w:val="center"/>
          </w:tcPr>
          <w:p w14:paraId="1E5AABA0">
            <w:pPr>
              <w:pStyle w:val="46"/>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152" w:type="pct"/>
            <w:vAlign w:val="center"/>
          </w:tcPr>
          <w:p w14:paraId="1AADC726">
            <w:pPr>
              <w:spacing w:line="360" w:lineRule="auto"/>
              <w:rPr>
                <w:color w:val="auto"/>
                <w:highlight w:val="none"/>
              </w:rPr>
            </w:pPr>
            <w:r>
              <w:rPr>
                <w:rFonts w:hint="eastAsia" w:ascii="宋体" w:hAnsi="宋体" w:eastAsia="宋体"/>
                <w:bCs/>
                <w:color w:val="auto"/>
                <w:kern w:val="0"/>
                <w:sz w:val="24"/>
                <w:szCs w:val="28"/>
                <w:highlight w:val="none"/>
              </w:rPr>
              <w:t>不收取</w:t>
            </w:r>
          </w:p>
        </w:tc>
      </w:tr>
      <w:tr w14:paraId="0073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48BCB381">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.1</w:t>
            </w:r>
          </w:p>
        </w:tc>
        <w:tc>
          <w:tcPr>
            <w:tcW w:w="1198" w:type="pct"/>
            <w:vAlign w:val="center"/>
          </w:tcPr>
          <w:p w14:paraId="63CE91AA">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152" w:type="pct"/>
            <w:vAlign w:val="center"/>
          </w:tcPr>
          <w:p w14:paraId="0A1B703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 xml:space="preserve">90 </w:t>
            </w:r>
            <w:r>
              <w:rPr>
                <w:rFonts w:hint="eastAsia" w:ascii="宋体" w:hAnsi="宋体" w:eastAsia="宋体"/>
                <w:b w:val="0"/>
                <w:color w:val="auto"/>
                <w:sz w:val="24"/>
                <w:highlight w:val="none"/>
              </w:rPr>
              <w:t>日历日</w:t>
            </w:r>
          </w:p>
        </w:tc>
      </w:tr>
      <w:tr w14:paraId="6A6E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06151E0C">
            <w:pPr>
              <w:pStyle w:val="47"/>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1</w:t>
            </w:r>
          </w:p>
        </w:tc>
        <w:tc>
          <w:tcPr>
            <w:tcW w:w="1198" w:type="pct"/>
            <w:vAlign w:val="center"/>
          </w:tcPr>
          <w:p w14:paraId="08B26033">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152" w:type="pct"/>
            <w:vAlign w:val="center"/>
          </w:tcPr>
          <w:p w14:paraId="4A6D2AF1">
            <w:pPr>
              <w:pStyle w:val="46"/>
              <w:widowControl w:val="0"/>
              <w:spacing w:before="0" w:beforeAutospacing="0" w:after="0" w:afterAutospacing="0" w:line="360" w:lineRule="auto"/>
              <w:jc w:val="both"/>
              <w:rPr>
                <w:rFonts w:hint="default" w:ascii="宋体" w:hAnsi="宋体" w:eastAsia="宋体"/>
                <w:b w:val="0"/>
                <w:color w:val="auto"/>
                <w:sz w:val="24"/>
                <w:highlight w:val="none"/>
                <w:u w:val="single"/>
                <w:lang w:val="en-US" w:eastAsia="zh-CN"/>
              </w:rPr>
            </w:pPr>
            <w:r>
              <w:rPr>
                <w:rFonts w:hint="eastAsia" w:ascii="宋体" w:hAnsi="宋体" w:eastAsia="宋体"/>
                <w:b w:val="0"/>
                <w:color w:val="auto"/>
                <w:sz w:val="24"/>
                <w:highlight w:val="none"/>
                <w:u w:val="none"/>
              </w:rPr>
              <w:t>投标截止时间后</w:t>
            </w:r>
            <w:r>
              <w:rPr>
                <w:rFonts w:hint="eastAsia" w:ascii="宋体" w:hAnsi="宋体" w:eastAsia="宋体"/>
                <w:b w:val="0"/>
                <w:color w:val="auto"/>
                <w:sz w:val="24"/>
                <w:highlight w:val="none"/>
                <w:u w:val="single"/>
                <w:lang w:val="en-US" w:eastAsia="zh-CN"/>
              </w:rPr>
              <w:t xml:space="preserve"> 60 </w:t>
            </w:r>
            <w:r>
              <w:rPr>
                <w:rFonts w:hint="eastAsia" w:ascii="宋体" w:hAnsi="宋体" w:eastAsia="宋体"/>
                <w:b w:val="0"/>
                <w:color w:val="auto"/>
                <w:sz w:val="24"/>
                <w:highlight w:val="none"/>
                <w:u w:val="none"/>
              </w:rPr>
              <w:t>分钟内</w:t>
            </w:r>
          </w:p>
        </w:tc>
      </w:tr>
      <w:tr w14:paraId="7E81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49F04D94">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4</w:t>
            </w:r>
            <w:r>
              <w:rPr>
                <w:rFonts w:hint="eastAsia" w:ascii="宋体" w:hAnsi="宋体" w:eastAsia="宋体"/>
                <w:bCs/>
                <w:color w:val="auto"/>
                <w:kern w:val="2"/>
                <w:highlight w:val="none"/>
              </w:rPr>
              <w:t>.1</w:t>
            </w:r>
          </w:p>
        </w:tc>
        <w:tc>
          <w:tcPr>
            <w:tcW w:w="1198" w:type="pct"/>
            <w:vAlign w:val="center"/>
          </w:tcPr>
          <w:p w14:paraId="463E3CC4">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152" w:type="pct"/>
            <w:vAlign w:val="center"/>
          </w:tcPr>
          <w:p w14:paraId="3CEE2173">
            <w:pPr>
              <w:pStyle w:val="46"/>
              <w:widowControl w:val="0"/>
              <w:spacing w:before="0" w:beforeAutospacing="0" w:after="0" w:afterAutospacing="0" w:line="360" w:lineRule="auto"/>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highlight w:val="none"/>
              </w:rPr>
              <w:t>采购人审查</w:t>
            </w:r>
          </w:p>
          <w:p w14:paraId="5264330E">
            <w:pPr>
              <w:pStyle w:val="46"/>
              <w:widowControl w:val="0"/>
              <w:spacing w:before="0" w:beforeAutospacing="0" w:after="0" w:afterAutospacing="0" w:line="360" w:lineRule="auto"/>
              <w:jc w:val="both"/>
              <w:rPr>
                <w:rFonts w:ascii="宋体" w:hAnsi="宋体" w:eastAsia="宋体"/>
                <w:b w:val="0"/>
                <w:color w:val="auto"/>
                <w:sz w:val="24"/>
                <w:highlight w:val="none"/>
                <w:u w:val="single"/>
              </w:rPr>
            </w:pPr>
            <w:r>
              <w:rPr>
                <w:rFonts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7EE5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37971741">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.2</w:t>
            </w:r>
          </w:p>
        </w:tc>
        <w:tc>
          <w:tcPr>
            <w:tcW w:w="1198" w:type="pct"/>
            <w:vAlign w:val="center"/>
          </w:tcPr>
          <w:p w14:paraId="17C2ACEF">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152" w:type="pct"/>
            <w:vAlign w:val="center"/>
          </w:tcPr>
          <w:p w14:paraId="73FE4C16">
            <w:pPr>
              <w:pStyle w:val="46"/>
              <w:widowControl w:val="0"/>
              <w:spacing w:before="0" w:beforeAutospacing="0" w:after="0" w:afterAutospacing="0" w:line="360" w:lineRule="auto"/>
              <w:jc w:val="both"/>
              <w:rPr>
                <w:rFonts w:ascii="宋体" w:hAnsi="宋体" w:eastAsia="宋体"/>
                <w:b w:val="0"/>
                <w:color w:val="auto"/>
                <w:sz w:val="24"/>
                <w:highlight w:val="none"/>
                <w:u w:val="none"/>
              </w:rPr>
            </w:pPr>
            <w:r>
              <w:rPr>
                <w:rFonts w:ascii="宋体" w:hAnsi="宋体" w:eastAsia="宋体"/>
                <w:b w:val="0"/>
                <w:bCs w:val="0"/>
                <w:color w:val="auto"/>
                <w:sz w:val="24"/>
                <w:szCs w:val="24"/>
                <w:highlight w:val="none"/>
                <w:u w:val="none"/>
              </w:rPr>
              <w:t>□</w:t>
            </w:r>
            <w:r>
              <w:rPr>
                <w:rFonts w:hint="eastAsia" w:ascii="宋体" w:hAnsi="宋体" w:eastAsia="宋体"/>
                <w:b w:val="0"/>
                <w:color w:val="auto"/>
                <w:sz w:val="24"/>
                <w:highlight w:val="none"/>
                <w:u w:val="none"/>
              </w:rPr>
              <w:t>最低评标价法</w:t>
            </w:r>
          </w:p>
          <w:p w14:paraId="15FCA02D">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u w:val="none"/>
                <w:lang w:eastAsia="zh-CN"/>
              </w:rPr>
              <w:t>☑</w:t>
            </w:r>
            <w:r>
              <w:rPr>
                <w:rFonts w:hint="eastAsia" w:ascii="宋体" w:hAnsi="宋体" w:eastAsia="宋体"/>
                <w:b w:val="0"/>
                <w:color w:val="auto"/>
                <w:sz w:val="24"/>
                <w:highlight w:val="none"/>
                <w:u w:val="none"/>
              </w:rPr>
              <w:t>综合评分法</w:t>
            </w:r>
          </w:p>
        </w:tc>
      </w:tr>
      <w:tr w14:paraId="14D0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7EAD2D8D">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.3</w:t>
            </w:r>
          </w:p>
        </w:tc>
        <w:tc>
          <w:tcPr>
            <w:tcW w:w="1198" w:type="pct"/>
            <w:vAlign w:val="center"/>
          </w:tcPr>
          <w:p w14:paraId="040E864B">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报价扣除</w:t>
            </w:r>
          </w:p>
          <w:p w14:paraId="40D99D7E">
            <w:pPr>
              <w:pStyle w:val="46"/>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i/>
                <w:color w:val="auto"/>
                <w:sz w:val="24"/>
                <w:highlight w:val="none"/>
              </w:rPr>
              <w:t>（非专门面向中小企业采购项目适用）</w:t>
            </w:r>
          </w:p>
        </w:tc>
        <w:tc>
          <w:tcPr>
            <w:tcW w:w="3152" w:type="pct"/>
            <w:vAlign w:val="center"/>
          </w:tcPr>
          <w:p w14:paraId="49F7F7F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p>
          <w:p w14:paraId="7DF71A36">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4BFE9BB9">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1CB39D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p>
          <w:p w14:paraId="77C7E3DD">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 xml:space="preserve">        </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3873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65A0DEBB">
            <w:pPr>
              <w:pStyle w:val="47"/>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snapToGrid/>
              <w:spacing w:line="36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17.4</w:t>
            </w:r>
          </w:p>
        </w:tc>
        <w:tc>
          <w:tcPr>
            <w:tcW w:w="1198" w:type="pct"/>
            <w:vAlign w:val="center"/>
          </w:tcPr>
          <w:p w14:paraId="43040E1F">
            <w:pPr>
              <w:spacing w:line="360" w:lineRule="auto"/>
              <w:rPr>
                <w:rFonts w:hint="eastAsia" w:ascii="宋体" w:hAnsi="宋体" w:eastAsia="宋体"/>
                <w:b w:val="0"/>
                <w:i/>
                <w:color w:val="auto"/>
                <w:sz w:val="24"/>
                <w:highlight w:val="none"/>
              </w:rPr>
            </w:pPr>
            <w:r>
              <w:rPr>
                <w:rFonts w:hint="eastAsia" w:ascii="宋体" w:hAnsi="宋体" w:eastAsia="宋体"/>
                <w:b w:val="0"/>
                <w:i w:val="0"/>
                <w:iCs w:val="0"/>
                <w:color w:val="auto"/>
                <w:sz w:val="24"/>
                <w:highlight w:val="none"/>
                <w:lang w:val="en-US" w:eastAsia="zh-CN"/>
              </w:rPr>
              <w:t>本国产品价格扣除</w:t>
            </w:r>
            <w:r>
              <w:rPr>
                <w:rFonts w:hint="eastAsia" w:ascii="宋体" w:hAnsi="宋体" w:eastAsia="宋体" w:cs="Times New Roman"/>
                <w:i/>
                <w:iCs/>
                <w:color w:val="auto"/>
                <w:sz w:val="24"/>
                <w:highlight w:val="none"/>
                <w:lang w:val="en-US" w:eastAsia="zh-CN"/>
              </w:rPr>
              <w:t>（适用于</w:t>
            </w:r>
            <w:r>
              <w:rPr>
                <w:rFonts w:hint="eastAsia" w:ascii="宋体" w:hAnsi="宋体" w:eastAsia="宋体" w:cs="宋体"/>
                <w:b w:val="0"/>
                <w:bCs w:val="0"/>
                <w:i/>
                <w:iCs/>
                <w:caps w:val="0"/>
                <w:color w:val="auto"/>
                <w:spacing w:val="0"/>
                <w:sz w:val="24"/>
                <w:szCs w:val="24"/>
                <w:highlight w:val="none"/>
                <w:u w:val="none"/>
                <w:shd w:val="clear" w:color="auto" w:fill="FFFFFF"/>
                <w:vertAlign w:val="baseline"/>
              </w:rPr>
              <w:t>既有本国产品又有非本国产品参与竞争的</w:t>
            </w:r>
            <w:r>
              <w:rPr>
                <w:rFonts w:hint="eastAsia" w:ascii="宋体" w:hAnsi="宋体" w:eastAsia="宋体" w:cs="宋体"/>
                <w:b w:val="0"/>
                <w:bCs w:val="0"/>
                <w:i/>
                <w:iCs/>
                <w:caps w:val="0"/>
                <w:color w:val="auto"/>
                <w:spacing w:val="0"/>
                <w:sz w:val="24"/>
                <w:szCs w:val="24"/>
                <w:highlight w:val="none"/>
                <w:u w:val="none"/>
                <w:shd w:val="clear" w:color="auto" w:fill="FFFFFF"/>
                <w:vertAlign w:val="baseline"/>
                <w:lang w:val="en-US" w:eastAsia="zh-CN"/>
              </w:rPr>
              <w:t>货物项目</w:t>
            </w:r>
            <w:r>
              <w:rPr>
                <w:rFonts w:hint="eastAsia" w:ascii="宋体" w:hAnsi="宋体" w:eastAsia="宋体" w:cs="Times New Roman"/>
                <w:i/>
                <w:iCs/>
                <w:color w:val="auto"/>
                <w:sz w:val="24"/>
                <w:highlight w:val="none"/>
                <w:lang w:val="en-US" w:eastAsia="zh-CN"/>
              </w:rPr>
              <w:t>）</w:t>
            </w:r>
          </w:p>
        </w:tc>
        <w:tc>
          <w:tcPr>
            <w:tcW w:w="3152" w:type="pct"/>
            <w:vAlign w:val="center"/>
          </w:tcPr>
          <w:p w14:paraId="4116513F">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i w:val="0"/>
                <w:iCs w:val="0"/>
                <w:color w:val="auto"/>
                <w:sz w:val="24"/>
                <w:highlight w:val="none"/>
                <w:lang w:val="en-US" w:eastAsia="zh-CN"/>
              </w:rPr>
            </w:pPr>
            <w:r>
              <w:rPr>
                <w:rFonts w:hint="eastAsia" w:ascii="宋体" w:hAnsi="宋体" w:eastAsia="宋体"/>
                <w:b w:val="0"/>
                <w:i w:val="0"/>
                <w:iCs w:val="0"/>
                <w:color w:val="auto"/>
                <w:sz w:val="24"/>
                <w:highlight w:val="none"/>
                <w:lang w:val="en-US" w:eastAsia="zh-CN"/>
              </w:rPr>
              <w:t>（1）项目或者采购包中采购内容为单一产品的，既有本国产品又有非本国产品参与竞争的，对本国产品给予价格扣除</w:t>
            </w:r>
            <w:r>
              <w:rPr>
                <w:rFonts w:hint="eastAsia" w:ascii="宋体" w:hAnsi="宋体" w:eastAsia="宋体"/>
                <w:b w:val="0"/>
                <w:i w:val="0"/>
                <w:iCs w:val="0"/>
                <w:color w:val="auto"/>
                <w:sz w:val="24"/>
                <w:highlight w:val="none"/>
                <w:u w:val="single"/>
                <w:lang w:val="en-US" w:eastAsia="zh-CN"/>
              </w:rPr>
              <w:t>20%</w:t>
            </w:r>
            <w:r>
              <w:rPr>
                <w:rFonts w:hint="eastAsia" w:ascii="宋体" w:hAnsi="宋体" w:eastAsia="宋体"/>
                <w:b w:val="0"/>
                <w:i w:val="0"/>
                <w:iCs w:val="0"/>
                <w:color w:val="auto"/>
                <w:sz w:val="24"/>
                <w:highlight w:val="none"/>
                <w:lang w:val="en-US" w:eastAsia="zh-CN"/>
              </w:rPr>
              <w:t>。</w:t>
            </w:r>
          </w:p>
          <w:p w14:paraId="3A1D3E17">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color w:val="auto"/>
                <w:sz w:val="24"/>
                <w:highlight w:val="none"/>
              </w:rPr>
            </w:pPr>
            <w:r>
              <w:rPr>
                <w:rFonts w:hint="eastAsia" w:ascii="宋体" w:hAnsi="宋体" w:eastAsia="宋体"/>
                <w:b w:val="0"/>
                <w:i w:val="0"/>
                <w:iCs w:val="0"/>
                <w:color w:val="auto"/>
                <w:sz w:val="24"/>
                <w:highlight w:val="none"/>
                <w:lang w:val="en-US" w:eastAsia="zh-CN"/>
              </w:rPr>
              <w:t>（2）项目或者采购包中含有多种产品的，符合本国产品标准的产品成本之和占该投标人提供的全部产品成本之和的比例≥80%，所有产品价格扣除</w:t>
            </w:r>
            <w:r>
              <w:rPr>
                <w:rFonts w:hint="eastAsia" w:ascii="宋体" w:hAnsi="宋体" w:eastAsia="宋体"/>
                <w:b w:val="0"/>
                <w:i w:val="0"/>
                <w:iCs w:val="0"/>
                <w:color w:val="auto"/>
                <w:sz w:val="24"/>
                <w:highlight w:val="none"/>
                <w:u w:val="single"/>
                <w:lang w:val="en-US" w:eastAsia="zh-CN"/>
              </w:rPr>
              <w:t>20%</w:t>
            </w:r>
            <w:r>
              <w:rPr>
                <w:rFonts w:hint="eastAsia" w:ascii="宋体" w:hAnsi="宋体" w:eastAsia="宋体"/>
                <w:b w:val="0"/>
                <w:i w:val="0"/>
                <w:iCs w:val="0"/>
                <w:color w:val="auto"/>
                <w:sz w:val="24"/>
                <w:highlight w:val="none"/>
                <w:u w:val="none"/>
                <w:lang w:val="en-US" w:eastAsia="zh-CN"/>
              </w:rPr>
              <w:t>。</w:t>
            </w:r>
          </w:p>
        </w:tc>
      </w:tr>
      <w:tr w14:paraId="6904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6FDC3CDA">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198" w:type="pct"/>
            <w:vAlign w:val="center"/>
          </w:tcPr>
          <w:p w14:paraId="773F070E">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ascii="宋体" w:hAnsi="宋体" w:eastAsia="宋体"/>
                <w:b w:val="0"/>
                <w:color w:val="auto"/>
                <w:sz w:val="24"/>
                <w:highlight w:val="none"/>
              </w:rPr>
              <w:t>数量</w:t>
            </w:r>
          </w:p>
        </w:tc>
        <w:tc>
          <w:tcPr>
            <w:tcW w:w="3152" w:type="pct"/>
            <w:vAlign w:val="center"/>
          </w:tcPr>
          <w:p w14:paraId="0EBFAEAE">
            <w:pPr>
              <w:pStyle w:val="46"/>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b w:val="0"/>
                <w:color w:val="auto"/>
                <w:sz w:val="24"/>
                <w:highlight w:val="none"/>
                <w:u w:val="single"/>
              </w:rPr>
              <w:t>评</w:t>
            </w:r>
            <w:r>
              <w:rPr>
                <w:rFonts w:hint="eastAsia" w:ascii="宋体" w:hAnsi="宋体" w:eastAsia="宋体"/>
                <w:b w:val="0"/>
                <w:color w:val="auto"/>
                <w:sz w:val="24"/>
                <w:highlight w:val="none"/>
                <w:u w:val="none"/>
              </w:rPr>
              <w:t>标委员会推荐3名中标候选人</w:t>
            </w:r>
          </w:p>
        </w:tc>
      </w:tr>
      <w:tr w14:paraId="15C6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07D0AA00">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198" w:type="pct"/>
            <w:vAlign w:val="center"/>
          </w:tcPr>
          <w:p w14:paraId="092CBF6A">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152" w:type="pct"/>
            <w:vAlign w:val="center"/>
          </w:tcPr>
          <w:p w14:paraId="38E9C1D2">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采购人委托评标委员会确定</w:t>
            </w:r>
          </w:p>
          <w:p w14:paraId="30213FBB">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Theme="minorEastAsia" w:hAnsiTheme="minorEastAsia" w:eastAsiaTheme="minorEastAsia"/>
                <w:b w:val="0"/>
                <w:bCs w:val="0"/>
                <w:color w:val="auto"/>
                <w:kern w:val="2"/>
                <w:sz w:val="24"/>
                <w:szCs w:val="24"/>
                <w:highlight w:val="none"/>
              </w:rPr>
              <w:t>□采购人确定</w:t>
            </w:r>
          </w:p>
        </w:tc>
      </w:tr>
      <w:tr w14:paraId="7EB7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38DFAA5C">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ascii="宋体" w:hAnsi="宋体" w:eastAsia="宋体"/>
                <w:bCs/>
                <w:color w:val="auto"/>
                <w:kern w:val="2"/>
                <w:highlight w:val="none"/>
              </w:rPr>
              <w:t>2</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.3</w:t>
            </w:r>
          </w:p>
        </w:tc>
        <w:tc>
          <w:tcPr>
            <w:tcW w:w="1198" w:type="pct"/>
            <w:vAlign w:val="center"/>
          </w:tcPr>
          <w:p w14:paraId="46F19D14">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随中标结果公告同时</w:t>
            </w:r>
            <w:r>
              <w:rPr>
                <w:rFonts w:hint="eastAsia" w:ascii="宋体" w:hAnsi="宋体" w:eastAsia="宋体"/>
                <w:b w:val="0"/>
                <w:color w:val="auto"/>
                <w:sz w:val="24"/>
                <w:highlight w:val="none"/>
                <w:lang w:val="en-US" w:eastAsia="zh-CN"/>
              </w:rPr>
              <w:t>公告</w:t>
            </w:r>
            <w:r>
              <w:rPr>
                <w:rFonts w:hint="eastAsia" w:ascii="宋体" w:hAnsi="宋体" w:eastAsia="宋体"/>
                <w:b w:val="0"/>
                <w:color w:val="auto"/>
                <w:sz w:val="24"/>
                <w:highlight w:val="none"/>
              </w:rPr>
              <w:t>的内容</w:t>
            </w:r>
          </w:p>
        </w:tc>
        <w:tc>
          <w:tcPr>
            <w:tcW w:w="3152" w:type="pct"/>
            <w:vAlign w:val="center"/>
          </w:tcPr>
          <w:p w14:paraId="37D9DD44">
            <w:pPr>
              <w:pStyle w:val="46"/>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p>
          <w:p w14:paraId="26994130">
            <w:pPr>
              <w:pStyle w:val="46"/>
              <w:widowControl w:val="0"/>
              <w:spacing w:before="0" w:beforeAutospacing="0" w:after="0" w:afterAutospacing="0" w:line="360" w:lineRule="auto"/>
              <w:jc w:val="both"/>
              <w:rPr>
                <w:rFonts w:hint="eastAsia" w:ascii="宋体" w:hAnsi="宋体" w:eastAsia="宋体"/>
                <w:b w:val="0"/>
                <w:color w:val="auto"/>
                <w:sz w:val="24"/>
                <w:highlight w:val="none"/>
                <w:u w:val="none"/>
                <w:lang w:eastAsia="zh-CN"/>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0CBEEFE4">
            <w:pPr>
              <w:pStyle w:val="46"/>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p w14:paraId="5B9CA24C">
            <w:pPr>
              <w:pStyle w:val="46"/>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4</w:t>
            </w:r>
            <w:r>
              <w:rPr>
                <w:rFonts w:hint="eastAsia" w:ascii="宋体" w:hAnsi="宋体" w:eastAsia="宋体"/>
                <w:b w:val="0"/>
                <w:color w:val="auto"/>
                <w:sz w:val="24"/>
                <w:highlight w:val="none"/>
                <w:u w:val="none"/>
                <w:lang w:eastAsia="zh-CN"/>
              </w:rPr>
              <w:t>）</w:t>
            </w:r>
            <w:r>
              <w:rPr>
                <w:rFonts w:hint="eastAsia" w:ascii="宋体" w:hAnsi="宋体" w:eastAsia="宋体" w:cs="@仿宋_GB2312"/>
                <w:b w:val="0"/>
                <w:bCs w:val="0"/>
                <w:color w:val="auto"/>
                <w:sz w:val="24"/>
                <w:szCs w:val="20"/>
                <w:highlight w:val="none"/>
                <w:u w:val="none"/>
              </w:rPr>
              <w:t>符合本国产品标准的声明函</w:t>
            </w:r>
            <w:r>
              <w:rPr>
                <w:rFonts w:hint="eastAsia" w:ascii="宋体" w:hAnsi="宋体" w:eastAsia="宋体" w:cs="@仿宋_GB2312"/>
                <w:b w:val="0"/>
                <w:bCs w:val="0"/>
                <w:color w:val="auto"/>
                <w:sz w:val="24"/>
                <w:szCs w:val="20"/>
                <w:highlight w:val="none"/>
                <w:u w:val="none"/>
                <w:lang w:eastAsia="zh-CN"/>
              </w:rPr>
              <w:t>；</w:t>
            </w:r>
            <w:r>
              <w:rPr>
                <w:rFonts w:hint="eastAsia" w:ascii="宋体" w:hAnsi="宋体" w:eastAsia="宋体" w:cs="@仿宋_GB2312"/>
                <w:b w:val="0"/>
                <w:bCs w:val="0"/>
                <w:i/>
                <w:iCs/>
                <w:color w:val="auto"/>
                <w:sz w:val="24"/>
                <w:szCs w:val="20"/>
                <w:highlight w:val="none"/>
                <w:u w:val="none"/>
                <w:lang w:eastAsia="zh-CN"/>
              </w:rPr>
              <w:t>（</w:t>
            </w:r>
            <w:r>
              <w:rPr>
                <w:rFonts w:hint="eastAsia" w:ascii="宋体" w:hAnsi="宋体" w:eastAsia="宋体" w:cs="@仿宋_GB2312"/>
                <w:b w:val="0"/>
                <w:bCs w:val="0"/>
                <w:i/>
                <w:iCs/>
                <w:color w:val="auto"/>
                <w:sz w:val="24"/>
                <w:szCs w:val="20"/>
                <w:highlight w:val="none"/>
                <w:u w:val="none"/>
                <w:lang w:val="en-US" w:eastAsia="zh-CN"/>
              </w:rPr>
              <w:t>如有</w:t>
            </w:r>
            <w:r>
              <w:rPr>
                <w:rFonts w:hint="eastAsia" w:ascii="宋体" w:hAnsi="宋体" w:eastAsia="宋体" w:cs="@仿宋_GB2312"/>
                <w:b w:val="0"/>
                <w:bCs w:val="0"/>
                <w:i/>
                <w:iCs/>
                <w:color w:val="auto"/>
                <w:sz w:val="24"/>
                <w:szCs w:val="20"/>
                <w:highlight w:val="none"/>
                <w:u w:val="none"/>
                <w:lang w:eastAsia="zh-CN"/>
              </w:rPr>
              <w:t>）</w:t>
            </w:r>
          </w:p>
        </w:tc>
      </w:tr>
      <w:tr w14:paraId="6842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786145F8">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4</w:t>
            </w:r>
            <w:r>
              <w:rPr>
                <w:rFonts w:ascii="宋体" w:hAnsi="宋体" w:eastAsia="宋体"/>
                <w:bCs/>
                <w:color w:val="auto"/>
                <w:kern w:val="2"/>
                <w:highlight w:val="none"/>
              </w:rPr>
              <w:t>.1</w:t>
            </w:r>
          </w:p>
        </w:tc>
        <w:tc>
          <w:tcPr>
            <w:tcW w:w="1198" w:type="pct"/>
            <w:vAlign w:val="center"/>
          </w:tcPr>
          <w:p w14:paraId="0D561CE5">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152" w:type="pct"/>
            <w:vAlign w:val="center"/>
          </w:tcPr>
          <w:p w14:paraId="25109713">
            <w:pPr>
              <w:pStyle w:val="46"/>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2B37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6CDEAC5A">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25</w:t>
            </w:r>
            <w:r>
              <w:rPr>
                <w:rFonts w:ascii="宋体" w:hAnsi="宋体" w:eastAsia="宋体"/>
                <w:bCs/>
                <w:color w:val="auto"/>
                <w:kern w:val="2"/>
                <w:highlight w:val="none"/>
              </w:rPr>
              <w:t>.1</w:t>
            </w:r>
          </w:p>
        </w:tc>
        <w:tc>
          <w:tcPr>
            <w:tcW w:w="1198" w:type="pct"/>
            <w:vAlign w:val="center"/>
          </w:tcPr>
          <w:p w14:paraId="2F9290B4">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152" w:type="pct"/>
            <w:vAlign w:val="center"/>
          </w:tcPr>
          <w:p w14:paraId="730E4A0A">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Theme="minorEastAsia" w:hAnsiTheme="minorEastAsia" w:eastAsiaTheme="minorEastAsia"/>
                <w:color w:val="auto"/>
                <w:kern w:val="0"/>
                <w:sz w:val="24"/>
                <w:szCs w:val="24"/>
                <w:highlight w:val="none"/>
              </w:rPr>
              <w:t>系统查看</w:t>
            </w:r>
          </w:p>
          <w:p w14:paraId="6AF33513">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heme="minorEastAsia" w:hAnsiTheme="minorEastAsia" w:eastAsiaTheme="minorEastAsia"/>
                <w:b w:val="0"/>
                <w:bCs w:val="0"/>
                <w:color w:val="auto"/>
                <w:kern w:val="2"/>
                <w:sz w:val="24"/>
                <w:szCs w:val="24"/>
                <w:highlight w:val="none"/>
                <w:lang w:val="en-US" w:eastAsia="zh-CN"/>
              </w:rPr>
            </w:pPr>
            <w:r>
              <w:rPr>
                <w:rFonts w:hint="eastAsia" w:asciiTheme="minorEastAsia" w:hAnsiTheme="minorEastAsia" w:eastAsiaTheme="minorEastAsia"/>
                <w:b w:val="0"/>
                <w:bCs w:val="0"/>
                <w:color w:val="auto"/>
                <w:kern w:val="2"/>
                <w:sz w:val="24"/>
                <w:szCs w:val="24"/>
                <w:highlight w:val="none"/>
              </w:rPr>
              <w:t>□评标现场告知</w:t>
            </w:r>
          </w:p>
        </w:tc>
      </w:tr>
      <w:tr w14:paraId="6DB0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8" w:type="pct"/>
            <w:vAlign w:val="center"/>
          </w:tcPr>
          <w:p w14:paraId="19C14542">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26</w:t>
            </w:r>
            <w:r>
              <w:rPr>
                <w:rFonts w:ascii="宋体" w:hAnsi="宋体" w:eastAsia="宋体"/>
                <w:bCs/>
                <w:color w:val="auto"/>
                <w:kern w:val="2"/>
                <w:highlight w:val="none"/>
              </w:rPr>
              <w:t>.1</w:t>
            </w:r>
          </w:p>
        </w:tc>
        <w:tc>
          <w:tcPr>
            <w:tcW w:w="1198" w:type="pct"/>
            <w:vAlign w:val="center"/>
          </w:tcPr>
          <w:p w14:paraId="538F30E8">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152" w:type="pct"/>
          </w:tcPr>
          <w:p w14:paraId="79E077BD">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53668024">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免收</w:t>
            </w:r>
          </w:p>
          <w:p w14:paraId="298399C4">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合同价的</w:t>
            </w:r>
            <w:r>
              <w:rPr>
                <w:rFonts w:hint="eastAsia" w:ascii="宋体" w:hAnsi="宋体" w:eastAsia="宋体"/>
                <w:bCs/>
                <w:color w:val="auto"/>
                <w:kern w:val="0"/>
                <w:sz w:val="24"/>
                <w:szCs w:val="28"/>
                <w:highlight w:val="none"/>
                <w:u w:val="single"/>
                <w:lang w:val="en-US" w:eastAsia="zh-CN"/>
              </w:rPr>
              <w:t>2.5</w:t>
            </w:r>
            <w:r>
              <w:rPr>
                <w:rFonts w:ascii="宋体" w:hAnsi="宋体" w:eastAsia="宋体"/>
                <w:bCs/>
                <w:color w:val="auto"/>
                <w:kern w:val="0"/>
                <w:sz w:val="24"/>
                <w:szCs w:val="28"/>
                <w:highlight w:val="none"/>
              </w:rPr>
              <w:t>%</w:t>
            </w:r>
          </w:p>
          <w:p w14:paraId="524DA75A">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2DC07DA3">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708DCB9F">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保</w:t>
            </w:r>
            <w:r>
              <w:rPr>
                <w:rFonts w:ascii="宋体" w:hAnsi="宋体" w:eastAsia="宋体"/>
                <w:bCs/>
                <w:color w:val="auto"/>
                <w:kern w:val="0"/>
                <w:sz w:val="24"/>
                <w:szCs w:val="28"/>
                <w:highlight w:val="none"/>
              </w:rPr>
              <w:t>函</w:t>
            </w:r>
          </w:p>
          <w:p w14:paraId="25768F0A">
            <w:pPr>
              <w:numPr>
                <w:ilvl w:val="0"/>
                <w:numId w:val="0"/>
              </w:numPr>
              <w:spacing w:line="360" w:lineRule="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lang w:val="en-US" w:eastAsia="zh-CN"/>
              </w:rPr>
              <w:t>另行通知</w:t>
            </w:r>
            <w:r>
              <w:rPr>
                <w:rFonts w:hint="eastAsia" w:ascii="宋体" w:hAnsi="宋体" w:eastAsia="宋体"/>
                <w:bCs/>
                <w:color w:val="auto"/>
                <w:kern w:val="0"/>
                <w:sz w:val="24"/>
                <w:szCs w:val="28"/>
                <w:highlight w:val="none"/>
              </w:rPr>
              <w:t xml:space="preserve">              </w:t>
            </w:r>
          </w:p>
          <w:p w14:paraId="18F4B3C2">
            <w:pPr>
              <w:spacing w:line="360" w:lineRule="auto"/>
              <w:rPr>
                <w:rFonts w:hint="default" w:ascii="宋体" w:hAnsi="宋体" w:eastAsia="宋体"/>
                <w:bCs/>
                <w:color w:val="auto"/>
                <w:kern w:val="0"/>
                <w:sz w:val="24"/>
                <w:szCs w:val="28"/>
                <w:highlight w:val="none"/>
                <w:lang w:val="en-US" w:eastAsia="zh-CN"/>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lang w:val="en-US" w:eastAsia="zh-CN"/>
              </w:rPr>
              <w:t>另行通知</w:t>
            </w:r>
          </w:p>
          <w:p w14:paraId="2B4D2BBF">
            <w:pPr>
              <w:spacing w:line="360" w:lineRule="auto"/>
              <w:rPr>
                <w:rFonts w:ascii="宋体" w:hAnsi="宋体" w:eastAsia="宋体"/>
                <w:color w:val="auto"/>
                <w:sz w:val="24"/>
                <w:highlight w:val="non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highlight w:val="none"/>
              </w:rPr>
              <w:t>退还时间：</w:t>
            </w:r>
            <w:r>
              <w:rPr>
                <w:rFonts w:hint="eastAsia" w:ascii="宋体" w:hAnsi="宋体" w:eastAsia="宋体"/>
                <w:color w:val="auto"/>
                <w:sz w:val="24"/>
                <w:highlight w:val="none"/>
                <w:u w:val="single"/>
              </w:rPr>
              <w:t>验收合格，一次性退还</w:t>
            </w:r>
          </w:p>
          <w:p w14:paraId="16CC2B20">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779BD631">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48A4DD12">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7B52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648" w:type="pct"/>
            <w:vAlign w:val="center"/>
          </w:tcPr>
          <w:p w14:paraId="5310C651">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27</w:t>
            </w:r>
            <w:r>
              <w:rPr>
                <w:rFonts w:ascii="宋体" w:hAnsi="宋体" w:eastAsia="宋体"/>
                <w:bCs/>
                <w:color w:val="auto"/>
                <w:kern w:val="2"/>
                <w:highlight w:val="none"/>
              </w:rPr>
              <w:t>.1</w:t>
            </w:r>
          </w:p>
        </w:tc>
        <w:tc>
          <w:tcPr>
            <w:tcW w:w="1198" w:type="pct"/>
            <w:vAlign w:val="center"/>
          </w:tcPr>
          <w:p w14:paraId="73A688AA">
            <w:pPr>
              <w:pStyle w:val="46"/>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val="en-US" w:eastAsia="zh-CN"/>
              </w:rPr>
              <w:t>签订合同和合同公告时间</w:t>
            </w:r>
          </w:p>
        </w:tc>
        <w:tc>
          <w:tcPr>
            <w:tcW w:w="3152" w:type="pct"/>
          </w:tcPr>
          <w:p w14:paraId="77DD89D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（1）采购人与中标人应当自发出中标通知书之日起7个工作日内签订合同，采购合同签订之日起2个工作日内完成政府采购合同公开。</w:t>
            </w:r>
          </w:p>
          <w:p w14:paraId="2207590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b/>
                <w:bCs/>
                <w:color w:val="auto"/>
                <w:kern w:val="0"/>
                <w:sz w:val="24"/>
                <w:szCs w:val="24"/>
                <w:highlight w:val="none"/>
              </w:rPr>
            </w:pPr>
            <w:r>
              <w:rPr>
                <w:rFonts w:hint="eastAsia" w:ascii="宋体" w:hAnsi="宋体" w:eastAsia="宋体" w:cs="宋体"/>
                <w:b w:val="0"/>
                <w:bCs w:val="0"/>
                <w:color w:val="auto"/>
                <w:sz w:val="24"/>
                <w:szCs w:val="24"/>
                <w:highlight w:val="none"/>
                <w:lang w:val="en-US" w:eastAsia="zh-CN"/>
              </w:rPr>
              <w:t>（2）采购人与中标人</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02DA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63702315">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28</w:t>
            </w:r>
            <w:r>
              <w:rPr>
                <w:rFonts w:ascii="宋体" w:hAnsi="宋体" w:eastAsia="宋体"/>
                <w:bCs/>
                <w:color w:val="auto"/>
                <w:kern w:val="2"/>
                <w:highlight w:val="none"/>
              </w:rPr>
              <w:t>.1</w:t>
            </w:r>
          </w:p>
        </w:tc>
        <w:tc>
          <w:tcPr>
            <w:tcW w:w="1198" w:type="pct"/>
            <w:vAlign w:val="center"/>
          </w:tcPr>
          <w:p w14:paraId="25139819">
            <w:pPr>
              <w:pStyle w:val="46"/>
              <w:widowControl w:val="0"/>
              <w:spacing w:before="0" w:beforeAutospacing="0" w:after="0" w:afterAutospacing="0" w:line="360" w:lineRule="auto"/>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val="en-US" w:eastAsia="zh-CN"/>
              </w:rPr>
              <w:t>代理费用</w:t>
            </w:r>
          </w:p>
        </w:tc>
        <w:tc>
          <w:tcPr>
            <w:tcW w:w="3152" w:type="pct"/>
            <w:vAlign w:val="center"/>
          </w:tcPr>
          <w:p w14:paraId="21BFABAF">
            <w:pPr>
              <w:keepNext w:val="0"/>
              <w:keepLines w:val="0"/>
              <w:pageBreakBefore w:val="0"/>
              <w:widowControl w:val="0"/>
              <w:kinsoku/>
              <w:wordWrap/>
              <w:overflowPunct/>
              <w:topLinePunct w:val="0"/>
              <w:autoSpaceDE/>
              <w:autoSpaceDN/>
              <w:bidi w:val="0"/>
              <w:adjustRightInd/>
              <w:snapToGrid/>
              <w:spacing w:before="39" w:line="360" w:lineRule="auto"/>
              <w:textAlignment w:val="auto"/>
              <w:rPr>
                <w:rFonts w:ascii="宋体" w:hAnsi="宋体" w:eastAsia="宋体" w:cs="宋体"/>
                <w:color w:val="auto"/>
                <w:sz w:val="24"/>
                <w:szCs w:val="24"/>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1</w:t>
            </w:r>
            <w:r>
              <w:rPr>
                <w:rFonts w:hint="eastAsia" w:ascii="宋体" w:hAnsi="宋体" w:eastAsia="宋体"/>
                <w:bCs/>
                <w:color w:val="auto"/>
                <w:kern w:val="0"/>
                <w:sz w:val="24"/>
                <w:szCs w:val="28"/>
                <w:highlight w:val="none"/>
                <w:lang w:eastAsia="zh-CN"/>
              </w:rPr>
              <w:t>）</w:t>
            </w:r>
            <w:r>
              <w:rPr>
                <w:rFonts w:hint="default" w:ascii="宋体" w:hAnsi="宋体" w:eastAsia="宋体"/>
                <w:bCs/>
                <w:color w:val="auto"/>
                <w:kern w:val="0"/>
                <w:sz w:val="24"/>
                <w:szCs w:val="28"/>
                <w:highlight w:val="none"/>
              </w:rPr>
              <w:t>收费对象</w:t>
            </w:r>
            <w:r>
              <w:rPr>
                <w:rFonts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lang w:val="en-US" w:eastAsia="zh-CN"/>
              </w:rPr>
              <w:t xml:space="preserve">   </w:t>
            </w:r>
            <w:r>
              <w:rPr>
                <w:rFonts w:hint="eastAsia" w:ascii="宋体" w:hAnsi="宋体" w:eastAsia="宋体"/>
                <w:bCs/>
                <w:color w:val="auto"/>
                <w:kern w:val="0"/>
                <w:sz w:val="24"/>
                <w:szCs w:val="28"/>
                <w:highlight w:val="none"/>
              </w:rPr>
              <w:sym w:font="Wingdings" w:char="00A8"/>
            </w:r>
            <w:r>
              <w:rPr>
                <w:rFonts w:ascii="宋体" w:hAnsi="宋体" w:eastAsia="宋体" w:cs="宋体"/>
                <w:color w:val="auto"/>
                <w:spacing w:val="14"/>
                <w:sz w:val="24"/>
                <w:szCs w:val="24"/>
                <w:highlight w:val="none"/>
              </w:rPr>
              <w:t>中标人</w:t>
            </w:r>
          </w:p>
          <w:p w14:paraId="514B8239">
            <w:pPr>
              <w:keepNext w:val="0"/>
              <w:keepLines w:val="0"/>
              <w:pageBreakBefore w:val="0"/>
              <w:widowControl w:val="0"/>
              <w:kinsoku/>
              <w:wordWrap/>
              <w:overflowPunct/>
              <w:topLinePunct w:val="0"/>
              <w:autoSpaceDE/>
              <w:autoSpaceDN/>
              <w:bidi w:val="0"/>
              <w:adjustRightInd/>
              <w:snapToGrid/>
              <w:spacing w:before="24" w:line="360" w:lineRule="auto"/>
              <w:textAlignment w:val="auto"/>
              <w:rPr>
                <w:rFonts w:hint="eastAsia" w:ascii="宋体" w:hAnsi="宋体" w:eastAsia="宋体"/>
                <w:bCs/>
                <w:color w:val="auto"/>
                <w:kern w:val="0"/>
                <w:sz w:val="24"/>
                <w:szCs w:val="28"/>
                <w:highlight w:val="none"/>
                <w:u w:val="single"/>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本项目不向采购人及中标人收取代理费用</w:t>
            </w:r>
          </w:p>
          <w:p w14:paraId="5C7DEB35">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none"/>
              </w:rPr>
            </w:pPr>
            <w:r>
              <w:rPr>
                <w:rFonts w:hint="eastAsia" w:ascii="宋体" w:hAnsi="宋体" w:eastAsia="宋体"/>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eastAsia" w:ascii="宋体" w:hAnsi="宋体" w:eastAsia="宋体" w:cs="宋体"/>
                <w:b w:val="0"/>
                <w:bCs w:val="0"/>
                <w:color w:val="auto"/>
                <w:kern w:val="2"/>
                <w:sz w:val="24"/>
                <w:szCs w:val="24"/>
                <w:highlight w:val="none"/>
                <w:u w:val="single" w:color="auto"/>
                <w:lang w:val="en-US" w:eastAsia="zh-CN" w:bidi="ar-SA"/>
              </w:rPr>
              <w:t>《滁州市公共资源交易代理机构及从业人员管理暂行办法》滁公管〔2022〕5号</w:t>
            </w:r>
            <w:r>
              <w:rPr>
                <w:rFonts w:hint="default" w:ascii="宋体" w:hAnsi="宋体" w:eastAsia="宋体" w:cs="@仿宋_GB2312"/>
                <w:b w:val="0"/>
                <w:bCs/>
                <w:color w:val="auto"/>
                <w:kern w:val="0"/>
                <w:sz w:val="24"/>
                <w:szCs w:val="28"/>
                <w:highlight w:val="none"/>
                <w:u w:val="single"/>
                <w:lang w:val="en-US" w:eastAsia="zh-CN" w:bidi="ar-SA"/>
              </w:rPr>
              <w:t>（约</w:t>
            </w:r>
            <w:r>
              <w:rPr>
                <w:rFonts w:hint="eastAsia" w:ascii="宋体" w:hAnsi="宋体" w:eastAsia="宋体" w:cs="@仿宋_GB2312"/>
                <w:b w:val="0"/>
                <w:bCs/>
                <w:color w:val="auto"/>
                <w:kern w:val="0"/>
                <w:sz w:val="24"/>
                <w:szCs w:val="28"/>
                <w:highlight w:val="none"/>
                <w:u w:val="single"/>
                <w:lang w:val="en-US" w:eastAsia="zh-CN" w:bidi="ar-SA"/>
              </w:rPr>
              <w:t>9508</w:t>
            </w:r>
            <w:r>
              <w:rPr>
                <w:rFonts w:hint="default" w:ascii="宋体" w:hAnsi="宋体" w:eastAsia="宋体" w:cs="@仿宋_GB2312"/>
                <w:b w:val="0"/>
                <w:bCs/>
                <w:color w:val="auto"/>
                <w:kern w:val="0"/>
                <w:sz w:val="24"/>
                <w:szCs w:val="28"/>
                <w:highlight w:val="none"/>
                <w:u w:val="single"/>
                <w:lang w:val="en-US" w:eastAsia="zh-CN" w:bidi="ar-SA"/>
              </w:rPr>
              <w:t>元）</w:t>
            </w:r>
          </w:p>
        </w:tc>
      </w:tr>
      <w:tr w14:paraId="7FFE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7D953DC7">
            <w:pPr>
              <w:pStyle w:val="47"/>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3</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3</w:t>
            </w:r>
          </w:p>
        </w:tc>
        <w:tc>
          <w:tcPr>
            <w:tcW w:w="1198" w:type="pct"/>
            <w:vAlign w:val="center"/>
          </w:tcPr>
          <w:p w14:paraId="70B6C6EC">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152" w:type="pct"/>
            <w:vAlign w:val="center"/>
          </w:tcPr>
          <w:p w14:paraId="1BBB2A26">
            <w:pPr>
              <w:pStyle w:val="46"/>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递交方式：</w:t>
            </w:r>
            <w:r>
              <w:rPr>
                <w:rFonts w:hint="eastAsia" w:ascii="宋体" w:hAnsi="宋体" w:eastAsia="宋体"/>
                <w:b w:val="0"/>
                <w:color w:val="auto"/>
                <w:sz w:val="24"/>
                <w:highlight w:val="none"/>
                <w:u w:val="single"/>
              </w:rPr>
              <w:t>供应商</w:t>
            </w:r>
            <w:r>
              <w:rPr>
                <w:rFonts w:hint="eastAsia" w:ascii="宋体" w:hAnsi="宋体" w:eastAsia="宋体"/>
                <w:b w:val="0"/>
                <w:color w:val="auto"/>
                <w:sz w:val="24"/>
                <w:highlight w:val="none"/>
                <w:u w:val="single"/>
                <w:lang w:val="en-US" w:eastAsia="zh-CN"/>
              </w:rPr>
              <w:t>可</w:t>
            </w:r>
            <w:r>
              <w:rPr>
                <w:rFonts w:hint="eastAsia" w:ascii="宋体" w:hAnsi="宋体" w:eastAsia="宋体"/>
                <w:b w:val="0"/>
                <w:color w:val="auto"/>
                <w:sz w:val="24"/>
                <w:highlight w:val="none"/>
                <w:u w:val="single"/>
              </w:rPr>
              <w:t>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444DF615">
            <w:pPr>
              <w:pStyle w:val="46"/>
              <w:widowControl w:val="0"/>
              <w:spacing w:before="0" w:beforeAutospacing="0" w:after="0" w:afterAutospacing="0" w:line="360" w:lineRule="auto"/>
              <w:jc w:val="both"/>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b w:val="0"/>
                <w:color w:val="auto"/>
                <w:sz w:val="24"/>
                <w:highlight w:val="none"/>
              </w:rPr>
              <w:t>接收部门：</w:t>
            </w:r>
            <w:r>
              <w:rPr>
                <w:rFonts w:hint="eastAsia" w:ascii="宋体" w:hAnsi="宋体" w:eastAsia="宋体" w:cs="宋体"/>
                <w:b w:val="0"/>
                <w:bCs w:val="0"/>
                <w:color w:val="auto"/>
                <w:sz w:val="24"/>
                <w:szCs w:val="24"/>
                <w:highlight w:val="none"/>
                <w:u w:val="single"/>
                <w:lang w:val="en-US" w:eastAsia="zh-CN"/>
              </w:rPr>
              <w:t>滁州市第二中学、滁州市政府采购中心</w:t>
            </w:r>
          </w:p>
          <w:p w14:paraId="76253060">
            <w:pPr>
              <w:pStyle w:val="46"/>
              <w:widowControl w:val="0"/>
              <w:spacing w:before="0" w:beforeAutospacing="0" w:after="0" w:afterAutospacing="0" w:line="360" w:lineRule="auto"/>
              <w:jc w:val="both"/>
              <w:rPr>
                <w:rFonts w:ascii="宋体" w:hAnsi="宋体" w:eastAsia="宋体"/>
                <w:b w:val="0"/>
                <w:bCs w:val="0"/>
                <w:color w:val="auto"/>
                <w:sz w:val="24"/>
                <w:szCs w:val="18"/>
                <w:highlight w:val="none"/>
              </w:rPr>
            </w:pPr>
            <w:r>
              <w:rPr>
                <w:rFonts w:ascii="宋体" w:hAnsi="宋体" w:eastAsia="宋体"/>
                <w:b w:val="0"/>
                <w:color w:val="auto"/>
                <w:sz w:val="24"/>
                <w:highlight w:val="none"/>
              </w:rPr>
              <w:t>联系电话：</w:t>
            </w:r>
            <w:r>
              <w:rPr>
                <w:rFonts w:hint="eastAsia" w:ascii="宋体" w:hAnsi="宋体" w:eastAsia="宋体" w:cs="宋体"/>
                <w:b w:val="0"/>
                <w:bCs/>
                <w:color w:val="auto"/>
                <w:kern w:val="0"/>
                <w:sz w:val="24"/>
                <w:szCs w:val="24"/>
                <w:highlight w:val="none"/>
                <w:u w:val="single"/>
                <w:lang w:val="en-US" w:eastAsia="zh-CN"/>
              </w:rPr>
              <w:t>18160876012、0550-3519519</w:t>
            </w:r>
          </w:p>
          <w:p w14:paraId="5E4295C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cs="宋体"/>
                <w:b w:val="0"/>
                <w:bCs/>
                <w:color w:val="auto"/>
                <w:kern w:val="0"/>
                <w:sz w:val="24"/>
                <w:szCs w:val="24"/>
                <w:highlight w:val="none"/>
                <w:u w:val="single"/>
                <w:lang w:eastAsia="zh-CN"/>
              </w:rPr>
              <w:t>滁州市明光东路431号、滁州市龙蟠大道109号房产大厦</w:t>
            </w:r>
            <w:r>
              <w:rPr>
                <w:rFonts w:hint="eastAsia" w:ascii="宋体" w:hAnsi="宋体" w:eastAsia="宋体" w:cs="宋体"/>
                <w:b w:val="0"/>
                <w:bCs/>
                <w:color w:val="auto"/>
                <w:kern w:val="0"/>
                <w:sz w:val="24"/>
                <w:szCs w:val="24"/>
                <w:highlight w:val="none"/>
                <w:u w:val="single"/>
                <w:lang w:val="en-US" w:eastAsia="zh-CN"/>
              </w:rPr>
              <w:t>2</w:t>
            </w:r>
            <w:r>
              <w:rPr>
                <w:rFonts w:hint="eastAsia" w:ascii="宋体" w:hAnsi="宋体" w:eastAsia="宋体" w:cs="宋体"/>
                <w:b w:val="0"/>
                <w:bCs/>
                <w:color w:val="auto"/>
                <w:kern w:val="0"/>
                <w:sz w:val="24"/>
                <w:szCs w:val="24"/>
                <w:highlight w:val="none"/>
                <w:u w:val="single"/>
                <w:lang w:eastAsia="zh-CN"/>
              </w:rPr>
              <w:t>楼</w:t>
            </w:r>
          </w:p>
        </w:tc>
      </w:tr>
      <w:tr w14:paraId="78A7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8" w:type="pct"/>
            <w:vAlign w:val="center"/>
          </w:tcPr>
          <w:p w14:paraId="680831F3">
            <w:pPr>
              <w:pStyle w:val="47"/>
              <w:pBdr>
                <w:bottom w:val="none" w:color="auto" w:sz="0" w:space="0"/>
              </w:pBdr>
              <w:tabs>
                <w:tab w:val="clear" w:pos="4153"/>
                <w:tab w:val="clear" w:pos="8306"/>
              </w:tabs>
              <w:adjustRightInd/>
              <w:spacing w:line="240" w:lineRule="auto"/>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32</w:t>
            </w:r>
          </w:p>
        </w:tc>
        <w:tc>
          <w:tcPr>
            <w:tcW w:w="1198" w:type="pct"/>
            <w:vAlign w:val="center"/>
          </w:tcPr>
          <w:p w14:paraId="4AF3ABA3">
            <w:pPr>
              <w:pStyle w:val="46"/>
              <w:widowControl w:val="0"/>
              <w:spacing w:before="0" w:beforeAutospacing="0" w:after="0" w:afterAutospacing="0" w:line="360" w:lineRule="auto"/>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其他内容</w:t>
            </w:r>
          </w:p>
        </w:tc>
        <w:tc>
          <w:tcPr>
            <w:tcW w:w="3152" w:type="pct"/>
            <w:vAlign w:val="center"/>
          </w:tcPr>
          <w:p w14:paraId="2E6E5E11">
            <w:pPr>
              <w:pStyle w:val="46"/>
              <w:widowControl w:val="0"/>
              <w:numPr>
                <w:ilvl w:val="0"/>
                <w:numId w:val="0"/>
              </w:numPr>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2D3FA51A">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构成本招标文件的各个组成文件应互为解释，互为说明；</w:t>
            </w:r>
          </w:p>
          <w:p w14:paraId="2A296D49">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72083E61">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515C2645">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、投标文件格式的先后顺序解释；</w:t>
            </w:r>
          </w:p>
          <w:p w14:paraId="2801A5FF">
            <w:pPr>
              <w:pStyle w:val="46"/>
              <w:widowControl w:val="0"/>
              <w:numPr>
                <w:ilvl w:val="0"/>
                <w:numId w:val="0"/>
              </w:numPr>
              <w:spacing w:before="0" w:beforeAutospacing="0" w:after="0" w:afterAutospacing="0" w:line="360" w:lineRule="auto"/>
              <w:jc w:val="both"/>
              <w:rPr>
                <w:rFonts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w:t>
            </w:r>
            <w:r>
              <w:rPr>
                <w:rFonts w:cs="@仿宋_GB2312" w:asciiTheme="minorEastAsia" w:hAnsiTheme="minorEastAsia" w:eastAsiaTheme="minorEastAsia"/>
                <w:b w:val="0"/>
                <w:bCs/>
                <w:color w:val="auto"/>
                <w:kern w:val="2"/>
                <w:sz w:val="24"/>
                <w:szCs w:val="24"/>
                <w:highlight w:val="none"/>
                <w:lang w:val="en-US" w:eastAsia="zh-CN" w:bidi="ar-SA"/>
              </w:rPr>
              <w:t>按本款前述规定仍不能形成结论的，由</w:t>
            </w:r>
            <w:r>
              <w:rPr>
                <w:rFonts w:hint="eastAsia" w:cs="@仿宋_GB2312" w:asciiTheme="minorEastAsia" w:hAnsiTheme="minorEastAsia" w:eastAsiaTheme="minorEastAsia"/>
                <w:b w:val="0"/>
                <w:bCs/>
                <w:color w:val="auto"/>
                <w:kern w:val="2"/>
                <w:sz w:val="24"/>
                <w:szCs w:val="24"/>
                <w:highlight w:val="none"/>
                <w:lang w:val="en-US" w:eastAsia="zh-CN" w:bidi="ar-SA"/>
              </w:rPr>
              <w:t>采购</w:t>
            </w:r>
            <w:r>
              <w:rPr>
                <w:rFonts w:cs="@仿宋_GB2312" w:asciiTheme="minorEastAsia" w:hAnsiTheme="minorEastAsia" w:eastAsiaTheme="minorEastAsia"/>
                <w:b w:val="0"/>
                <w:bCs/>
                <w:color w:val="auto"/>
                <w:kern w:val="2"/>
                <w:sz w:val="24"/>
                <w:szCs w:val="24"/>
                <w:highlight w:val="none"/>
                <w:lang w:val="en-US" w:eastAsia="zh-CN" w:bidi="ar-SA"/>
              </w:rPr>
              <w:t>人负责解释。</w:t>
            </w:r>
          </w:p>
          <w:p w14:paraId="448F20ED">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25AAD363">
            <w:pPr>
              <w:pStyle w:val="46"/>
              <w:widowControl w:val="0"/>
              <w:numPr>
                <w:ilvl w:val="0"/>
                <w:numId w:val="0"/>
              </w:numPr>
              <w:spacing w:before="0" w:beforeAutospacing="0" w:after="0" w:afterAutospacing="0" w:line="360" w:lineRule="auto"/>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63C13A5B">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4、部分可提供线下政采贷的金融机构</w:t>
            </w:r>
          </w:p>
          <w:p w14:paraId="65D6B909">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市本级</w:t>
            </w:r>
          </w:p>
          <w:p w14:paraId="663FCCFD">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金融机构名称：兴业银行滁州分行</w:t>
            </w:r>
          </w:p>
          <w:p w14:paraId="6D490014">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安徽省滁州市琅琊区丰乐大道1090号</w:t>
            </w:r>
          </w:p>
          <w:p w14:paraId="4FE5686F">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default" w:cs="@仿宋_GB2312" w:asciiTheme="minorEastAsia" w:hAnsiTheme="minorEastAsia" w:eastAsiaTheme="minorEastAsia"/>
                <w:b w:val="0"/>
                <w:bCs/>
                <w:color w:val="auto"/>
                <w:kern w:val="2"/>
                <w:sz w:val="24"/>
                <w:szCs w:val="24"/>
                <w:highlight w:val="none"/>
                <w:lang w:val="en-US" w:eastAsia="zh-CN" w:bidi="ar-SA"/>
              </w:rPr>
              <w:t>伏庚：17755080811</w:t>
            </w:r>
          </w:p>
          <w:p w14:paraId="01E5E2F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5</w:t>
            </w:r>
            <w:r>
              <w:rPr>
                <w:rFonts w:hint="eastAsia" w:ascii="宋体" w:hAnsi="宋体" w:eastAsia="宋体" w:cs="宋体"/>
                <w:b w:val="0"/>
                <w:color w:val="auto"/>
                <w:kern w:val="2"/>
                <w:sz w:val="24"/>
                <w:szCs w:val="24"/>
                <w:highlight w:val="none"/>
              </w:rPr>
              <w:t>、特别提示：</w:t>
            </w:r>
          </w:p>
          <w:p w14:paraId="565D1237">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（1）投标人应填写投标信息并下载招标文件，否则无法上传投标文件。</w:t>
            </w:r>
          </w:p>
          <w:p w14:paraId="2A9478AD">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注：投标人如为联合体的，牵头人必须完善投标人信息，并在上传投标文件环节添加联合体投标信息。</w:t>
            </w:r>
          </w:p>
          <w:p w14:paraId="54D480DF">
            <w:pPr>
              <w:pStyle w:val="46"/>
              <w:keepNext w:val="0"/>
              <w:keepLines w:val="0"/>
              <w:pageBreakBefore w:val="0"/>
              <w:widowControl w:val="0"/>
              <w:kinsoku/>
              <w:wordWrap w:val="0"/>
              <w:overflowPunct/>
              <w:topLinePunct w:val="0"/>
              <w:autoSpaceDE/>
              <w:autoSpaceDN/>
              <w:bidi w:val="0"/>
              <w:adjustRightInd/>
              <w:snapToGrid/>
              <w:spacing w:before="0" w:beforeAutospacing="0" w:after="0" w:afterAutospacing="0" w:line="440" w:lineRule="exact"/>
              <w:jc w:val="both"/>
              <w:textAlignment w:val="auto"/>
              <w:rPr>
                <w:rFonts w:hint="eastAsia" w:ascii="宋体" w:hAnsi="宋体" w:eastAsia="宋体" w:cs="宋体"/>
                <w:b w:val="0"/>
                <w:color w:val="auto"/>
                <w:kern w:val="2"/>
                <w:sz w:val="24"/>
                <w:szCs w:val="24"/>
                <w:highlight w:val="none"/>
                <w:lang w:eastAsia="zh-CN"/>
              </w:rPr>
            </w:pPr>
            <w:r>
              <w:rPr>
                <w:rFonts w:hint="eastAsia" w:ascii="宋体" w:hAnsi="宋体" w:eastAsia="宋体" w:cs="宋体"/>
                <w:b w:val="0"/>
                <w:color w:val="auto"/>
                <w:kern w:val="2"/>
                <w:sz w:val="24"/>
                <w:szCs w:val="24"/>
                <w:highlight w:val="none"/>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r>
              <w:rPr>
                <w:rFonts w:hint="eastAsia" w:ascii="宋体" w:hAnsi="宋体" w:eastAsia="宋体" w:cs="宋体"/>
                <w:b w:val="0"/>
                <w:color w:val="auto"/>
                <w:kern w:val="2"/>
                <w:sz w:val="24"/>
                <w:szCs w:val="24"/>
                <w:highlight w:val="none"/>
                <w:lang w:eastAsia="zh-CN"/>
              </w:rPr>
              <w:t>。</w:t>
            </w:r>
          </w:p>
          <w:p w14:paraId="1FBA81D1">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（3）如果过程中出现招标文件更改，应以最后发布的招标答疑澄清文件中的模板制作本项目最新投标文件。</w:t>
            </w:r>
          </w:p>
          <w:p w14:paraId="3601E7E2">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 xml:space="preserve">（4）投标人应当用本单位CA数字证书制作投标文件，制作成功后进行投标文件上传。 </w:t>
            </w:r>
          </w:p>
          <w:p w14:paraId="068D74FF">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76AE21C1">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（6）请投标人注意加密投标文件CA数字证书的有效期，不在有效期的CA数字证书无法解密投标文件。</w:t>
            </w:r>
          </w:p>
          <w:p w14:paraId="6C0D2CB2">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（7）投标人投标MAC地址或投标人联系人或联系电话相同的，由评标委员会否决其投标，并报告监管部门作不良行为处理和进一步调查。</w:t>
            </w:r>
          </w:p>
          <w:p w14:paraId="74C631BB">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（8）投标人单方面出现其他投标人材料的，由评标委员会否决其投标。</w:t>
            </w:r>
          </w:p>
          <w:p w14:paraId="371E3E0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2590192C">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5A54456D">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6</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评标过程中的澄清、说明或补正：</w:t>
            </w:r>
          </w:p>
          <w:p w14:paraId="45B5B919">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（1）评标委员会通过网上招投标系统将需要澄清、说明或补正的内容以询标函的形式发送给投标人，投标人应安排专人登录网上招投标系统并保持在线状态，以便及时接收评标委员会可能发出的询标函。</w:t>
            </w:r>
          </w:p>
          <w:p w14:paraId="216342A2">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57119214">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7</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同义词语：</w:t>
            </w:r>
          </w:p>
          <w:p w14:paraId="5B463980">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招标文件第六章  投标文件格式、附件1“关于联合惩戒失信行为 加强信用查询管理的通知”等章节中 “招标人”、“供应商”，等同于“采购人”、“投标人”。</w:t>
            </w:r>
          </w:p>
          <w:p w14:paraId="3AC577FF">
            <w:pPr>
              <w:pStyle w:val="46"/>
              <w:widowControl w:val="0"/>
              <w:numPr>
                <w:ilvl w:val="0"/>
                <w:numId w:val="0"/>
              </w:numPr>
              <w:spacing w:before="0" w:beforeAutospacing="0" w:after="0" w:afterAutospacing="0" w:line="360" w:lineRule="auto"/>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rPr>
              <w:t>8</w:t>
            </w:r>
            <w:r>
              <w:rPr>
                <w:rFonts w:hint="eastAsia" w:ascii="宋体" w:hAnsi="宋体" w:eastAsia="宋体" w:cs="宋体"/>
                <w:b w:val="0"/>
                <w:color w:val="auto"/>
                <w:kern w:val="2"/>
                <w:sz w:val="24"/>
                <w:szCs w:val="24"/>
                <w:highlight w:val="none"/>
                <w:lang w:eastAsia="zh-CN"/>
              </w:rPr>
              <w:t>、</w:t>
            </w:r>
            <w:r>
              <w:rPr>
                <w:rFonts w:hint="eastAsia" w:ascii="宋体" w:hAnsi="宋体" w:eastAsia="宋体" w:cs="宋体"/>
                <w:b w:val="0"/>
                <w:color w:val="auto"/>
                <w:kern w:val="2"/>
                <w:sz w:val="24"/>
                <w:szCs w:val="24"/>
                <w:highlight w:val="none"/>
              </w:rPr>
              <w:t>落实政府采购支持节能产品、环境标志产品政策。</w:t>
            </w:r>
          </w:p>
        </w:tc>
      </w:tr>
    </w:tbl>
    <w:p w14:paraId="6431A4B3">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5" w:name="_Toc24882"/>
      <w:bookmarkStart w:id="6" w:name="_Toc14880"/>
      <w:r>
        <w:rPr>
          <w:rFonts w:hint="eastAsia" w:asciiTheme="minorEastAsia" w:hAnsiTheme="minorEastAsia" w:eastAsiaTheme="minorEastAsia"/>
          <w:b/>
          <w:color w:val="auto"/>
          <w:sz w:val="24"/>
          <w:szCs w:val="24"/>
          <w:highlight w:val="none"/>
        </w:rPr>
        <w:t>二、</w:t>
      </w:r>
      <w:r>
        <w:rPr>
          <w:rFonts w:asciiTheme="minorEastAsia" w:hAnsiTheme="minorEastAsia" w:eastAsiaTheme="minorEastAsia"/>
          <w:b/>
          <w:color w:val="auto"/>
          <w:sz w:val="24"/>
          <w:szCs w:val="24"/>
          <w:highlight w:val="none"/>
        </w:rPr>
        <w:t>投标人须知</w:t>
      </w:r>
      <w:r>
        <w:rPr>
          <w:rFonts w:hint="eastAsia" w:asciiTheme="minorEastAsia" w:hAnsiTheme="minorEastAsia" w:eastAsiaTheme="minorEastAsia"/>
          <w:b/>
          <w:color w:val="auto"/>
          <w:sz w:val="24"/>
          <w:szCs w:val="24"/>
          <w:highlight w:val="none"/>
        </w:rPr>
        <w:t>正文</w:t>
      </w:r>
      <w:bookmarkEnd w:id="5"/>
      <w:bookmarkEnd w:id="6"/>
    </w:p>
    <w:p w14:paraId="668B370B">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1.采购人、采购代理机构及投标人</w:t>
      </w:r>
    </w:p>
    <w:p w14:paraId="242FBFF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176A4CA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1C59FE1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3D60C2A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420B64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117ADA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2A8E3D1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527672E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462FCD7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194BC378">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42BAB54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744A192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0497C7D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74AC4E3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1E53B49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4117412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46B35E0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19E5C0FC">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2.资金落实情况</w:t>
      </w:r>
    </w:p>
    <w:p w14:paraId="171D60C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6297239E">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3.投标费用</w:t>
      </w:r>
    </w:p>
    <w:p w14:paraId="2F4C7AAE">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02CB6557">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4.适用法律</w:t>
      </w:r>
    </w:p>
    <w:p w14:paraId="02A415CB">
      <w:pPr>
        <w:spacing w:line="360" w:lineRule="auto"/>
        <w:ind w:firstLine="435"/>
        <w:rPr>
          <w:rFonts w:hint="eastAsia" w:asciiTheme="minorEastAsia" w:hAnsiTheme="minorEastAsia" w:eastAsiaTheme="minorEastAsia"/>
          <w:b/>
          <w:color w:val="auto"/>
          <w:sz w:val="24"/>
          <w:highlight w:val="none"/>
          <w:lang w:val="en-US" w:eastAsia="zh-CN"/>
        </w:rPr>
      </w:pPr>
      <w:r>
        <w:rPr>
          <w:rFonts w:hint="eastAsia" w:ascii="宋体" w:hAnsi="宋体" w:eastAsia="宋体"/>
          <w:color w:val="auto"/>
          <w:sz w:val="24"/>
          <w:highlight w:val="none"/>
        </w:rPr>
        <w:t>本项目采购人、采购代理机构、投标人、评标委员会的相关行为均受《中华人民共和国政府采购法》、《中华人民共和国政府采购法实施条例》</w:t>
      </w:r>
      <w:r>
        <w:rPr>
          <w:rFonts w:hint="eastAsia" w:ascii="宋体" w:hAnsi="宋体" w:eastAsia="宋体"/>
          <w:color w:val="auto"/>
          <w:sz w:val="24"/>
          <w:highlight w:val="none"/>
          <w:lang w:val="en-US" w:eastAsia="zh-CN"/>
        </w:rPr>
        <w:t>及</w:t>
      </w:r>
      <w:r>
        <w:rPr>
          <w:rFonts w:hint="eastAsia" w:ascii="宋体" w:hAnsi="宋体" w:eastAsia="宋体"/>
          <w:color w:val="auto"/>
          <w:sz w:val="24"/>
          <w:highlight w:val="none"/>
        </w:rPr>
        <w:t>本项目本级和上级财政部门、政府采购监督管理部门的政府采购有关规定的约束，其权利受到上述法律法规的保护。</w:t>
      </w:r>
    </w:p>
    <w:p w14:paraId="441050DA">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5.招标文件构成</w:t>
      </w:r>
    </w:p>
    <w:p w14:paraId="6558FB7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59083EC0">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4A47DF31">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49A91E2F">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0FF1D7A8">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54446C9C">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0CCB890F">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543021DA">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055626F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3FCD7B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原则上采购人、采购代理机构不要求投标人提供样品。仅凭书面方式不能准确描述采购需求，或者需要对样品进行主观判断以确认是否满足采购需求等特殊情况除外。</w:t>
      </w:r>
    </w:p>
    <w:p w14:paraId="12DF3E12">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如需提供样品，对样品相关要求见</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，对样品的评审方法及评审标准见招标文件第</w:t>
      </w:r>
      <w:r>
        <w:rPr>
          <w:rFonts w:hint="eastAsia" w:asciiTheme="minorEastAsia" w:hAnsiTheme="minorEastAsia" w:eastAsiaTheme="minorEastAsia"/>
          <w:color w:val="auto"/>
          <w:sz w:val="24"/>
          <w:highlight w:val="none"/>
        </w:rPr>
        <w:t>四</w:t>
      </w:r>
      <w:r>
        <w:rPr>
          <w:rFonts w:asciiTheme="minorEastAsia" w:hAnsiTheme="minorEastAsia" w:eastAsiaTheme="minorEastAsia"/>
          <w:color w:val="auto"/>
          <w:sz w:val="24"/>
          <w:highlight w:val="none"/>
        </w:rPr>
        <w:t>章。</w:t>
      </w:r>
    </w:p>
    <w:p w14:paraId="615063E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投标人应认真阅读招标文件所有的事项、格式、条款和技术规范等。</w:t>
      </w:r>
    </w:p>
    <w:p w14:paraId="02D1D58D">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6.招标文件的澄清与修改</w:t>
      </w:r>
    </w:p>
    <w:p w14:paraId="25A987D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投标人如对招标文件内容有疑问，必须在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79AC70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w:t>
      </w:r>
      <w:r>
        <w:rPr>
          <w:rFonts w:hint="eastAsia" w:asciiTheme="minorEastAsia" w:hAnsiTheme="minorEastAsia" w:eastAsiaTheme="minorEastAsia"/>
          <w:color w:val="auto"/>
          <w:sz w:val="24"/>
          <w:highlight w:val="none"/>
        </w:rPr>
        <w:t>投标人提出的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27C771F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FC06321">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028A2520">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7.投标范围及投标文件中标准和计量单位的使用</w:t>
      </w:r>
    </w:p>
    <w:p w14:paraId="58F7AB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69609F5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1D2C9250">
      <w:pPr>
        <w:spacing w:line="360" w:lineRule="auto"/>
        <w:ind w:firstLine="435"/>
        <w:rPr>
          <w:rFonts w:asciiTheme="minorEastAsia" w:hAnsiTheme="minorEastAsia" w:eastAsiaTheme="minorEastAsia"/>
          <w:color w:val="auto"/>
          <w:sz w:val="24"/>
          <w:highlight w:val="none"/>
        </w:rPr>
      </w:pPr>
      <w:bookmarkStart w:id="7"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投标人所投货物及伴随的服务和工程均应符合国家强制性标准。</w:t>
      </w:r>
    </w:p>
    <w:bookmarkEnd w:id="7"/>
    <w:p w14:paraId="569A837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7D208F0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0F3B6DF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57AD6A6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33ABD605">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8" w:name="_Hlk11703583"/>
      <w:r>
        <w:rPr>
          <w:rFonts w:hint="eastAsia" w:asciiTheme="minorEastAsia" w:hAnsiTheme="minorEastAsia" w:eastAsiaTheme="minorEastAsia"/>
          <w:color w:val="auto"/>
          <w:sz w:val="24"/>
          <w:highlight w:val="none"/>
          <w:lang w:val="en-US" w:eastAsia="zh-CN"/>
        </w:rPr>
        <w:t>等。</w:t>
      </w:r>
    </w:p>
    <w:bookmarkEnd w:id="8"/>
    <w:p w14:paraId="2796484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7D1F4E0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762E0D4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.1投标人的报价应当包括满足本次招标全部采购需求</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除招标文件另有规定外，</w:t>
      </w:r>
      <w:r>
        <w:rPr>
          <w:rFonts w:hint="eastAsia" w:asciiTheme="minorEastAsia" w:hAnsiTheme="minorEastAsia" w:eastAsiaTheme="minorEastAsia"/>
          <w:color w:val="auto"/>
          <w:sz w:val="24"/>
          <w:highlight w:val="none"/>
        </w:rPr>
        <w:t>所有投标均应以人民币报价。投标人的投标报价应遵守《中华人民共和国价格法》。</w:t>
      </w:r>
    </w:p>
    <w:p w14:paraId="71D5DBC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574224E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46062A1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1898E52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32D04A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.1本项目不收取投标保证金。</w:t>
      </w:r>
    </w:p>
    <w:p w14:paraId="34731D5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0130DC8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4F586C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7573CD0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1B0FCDA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6A4B6FD9">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.1投标人应当在</w:t>
      </w:r>
      <w:r>
        <w:rPr>
          <w:rFonts w:hint="eastAsia" w:asciiTheme="minorEastAsia" w:hAnsiTheme="minorEastAsia" w:eastAsiaTheme="minorEastAsia"/>
          <w:color w:val="auto"/>
          <w:sz w:val="24"/>
          <w:highlight w:val="none"/>
          <w:lang w:val="en-US" w:eastAsia="zh-CN"/>
        </w:rPr>
        <w:t>招标公告</w:t>
      </w:r>
      <w:r>
        <w:rPr>
          <w:rFonts w:hint="eastAsia" w:asciiTheme="minorEastAsia" w:hAnsiTheme="minorEastAsia" w:eastAsiaTheme="minorEastAsia"/>
          <w:color w:val="auto"/>
          <w:sz w:val="24"/>
          <w:highlight w:val="none"/>
        </w:rPr>
        <w:t>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4CD7BE4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27A1AC3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547E1A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val="en-US" w:eastAsia="zh-CN"/>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7B75EB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17ADBE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采购人或采购代理机构将对开标过程进行记录，由参加开标的各投标人代表和相关工作人员签字确认，并存档备查。</w:t>
      </w:r>
    </w:p>
    <w:p w14:paraId="0063C05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投标人未派代表参加开标的，视同投标人认可开标结果。</w:t>
      </w:r>
    </w:p>
    <w:p w14:paraId="1CF202A0">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投标人代表对开标过程和开标记录有疑义，以及认为采购人、采购代理机构相关工作人员有需要回避的情形的，应当场提出询问或者回避申请。</w:t>
      </w:r>
    </w:p>
    <w:p w14:paraId="03CC385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7D0B942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6F4EBAF5">
      <w:pPr>
        <w:spacing w:line="360" w:lineRule="auto"/>
        <w:ind w:firstLine="435"/>
        <w:rPr>
          <w:rFonts w:hint="eastAsia" w:ascii="宋体" w:hAnsi="宋体" w:eastAsia="宋体" w:cs="宋体"/>
          <w:color w:val="auto"/>
          <w:sz w:val="24"/>
          <w:szCs w:val="24"/>
          <w:highlight w:val="none"/>
        </w:rPr>
      </w:pPr>
      <w:bookmarkStart w:id="9"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6566DEF0">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06CBAC1D">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9"/>
    <w:p w14:paraId="7A20BC7A">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4D1E9E7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1B584A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47A9D7A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.2如一个分包内只有一种产品，不同投标人所投产品为同一品牌的，按如下方式处理：</w:t>
      </w:r>
    </w:p>
    <w:p w14:paraId="2E53AA1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.2.1如本项目使用最低评标价法，提供相同品牌产品的不同投标人以其中通过资格审查、符合性审查</w:t>
      </w:r>
      <w:r>
        <w:rPr>
          <w:rFonts w:hint="eastAsia" w:ascii="宋体" w:hAnsi="宋体" w:eastAsia="宋体"/>
          <w:color w:val="auto"/>
          <w:sz w:val="24"/>
          <w:highlight w:val="none"/>
          <w:lang w:eastAsia="zh-CN"/>
        </w:rPr>
        <w:t>、</w:t>
      </w:r>
      <w:r>
        <w:rPr>
          <w:rFonts w:hint="eastAsia" w:ascii="宋体" w:hAnsi="宋体" w:eastAsia="宋体" w:cs="Times New Roman"/>
          <w:color w:val="auto"/>
          <w:sz w:val="24"/>
          <w:highlight w:val="none"/>
          <w:lang w:val="en-US" w:eastAsia="zh-CN"/>
        </w:rPr>
        <w:t>异常低价投标审查</w:t>
      </w:r>
      <w:r>
        <w:rPr>
          <w:rFonts w:ascii="宋体" w:hAnsi="宋体" w:eastAsia="宋体"/>
          <w:color w:val="auto"/>
          <w:sz w:val="24"/>
          <w:highlight w:val="none"/>
        </w:rPr>
        <w:t>且报价最低的参加评标；报价相同的，由采购人或者采购人委托评标委员会按照招标文件中评标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规定的方式确定一个参加评标的投标人；未规定的采取随机抽取方式确定，其他投标将被认定为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066AB25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.2.2如本项目使用综合评分法，提供相同品牌产品且通过资格审查、符合性审查</w:t>
      </w:r>
      <w:r>
        <w:rPr>
          <w:rFonts w:hint="eastAsia" w:ascii="宋体" w:hAnsi="宋体" w:eastAsia="宋体"/>
          <w:color w:val="auto"/>
          <w:sz w:val="24"/>
          <w:highlight w:val="none"/>
          <w:lang w:eastAsia="zh-CN"/>
        </w:rPr>
        <w:t>、</w:t>
      </w:r>
      <w:r>
        <w:rPr>
          <w:rFonts w:hint="eastAsia" w:ascii="宋体" w:hAnsi="宋体" w:eastAsia="宋体" w:cs="Times New Roman"/>
          <w:color w:val="auto"/>
          <w:sz w:val="24"/>
          <w:highlight w:val="none"/>
          <w:lang w:val="en-US" w:eastAsia="zh-CN"/>
        </w:rPr>
        <w:t>异常低价投标审查</w:t>
      </w:r>
      <w:r>
        <w:rPr>
          <w:rFonts w:ascii="宋体" w:hAnsi="宋体" w:eastAsia="宋体"/>
          <w:color w:val="auto"/>
          <w:sz w:val="24"/>
          <w:highlight w:val="none"/>
        </w:rPr>
        <w:t>的不同投标人，按一家投标人计算，评审后得分最高的同品牌投标人获得中标人推荐资格；评审得分相同的，由采购人或者采购人委托评标委员会按照招标文件中评标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规定的方式确定一个投标人获得中标人推荐资格；未规定的采取随机抽取方式确定，其他同品牌投标人不作为中标候选人。</w:t>
      </w:r>
    </w:p>
    <w:p w14:paraId="2EFF0B1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.3如一个分包内包含多种产品的，采购人或采购代理机构将在</w:t>
      </w:r>
      <w:r>
        <w:rPr>
          <w:rFonts w:hint="eastAsia" w:asciiTheme="minorEastAsia" w:hAnsiTheme="minorEastAsia" w:eastAsiaTheme="minorEastAsia"/>
          <w:color w:val="auto"/>
          <w:sz w:val="24"/>
          <w:highlight w:val="none"/>
          <w:u w:val="none"/>
          <w:lang w:val="en-US" w:eastAsia="zh-CN"/>
        </w:rPr>
        <w:t>采购需求</w:t>
      </w:r>
      <w:r>
        <w:rPr>
          <w:rFonts w:asciiTheme="minorEastAsia" w:hAnsiTheme="minorEastAsia" w:eastAsiaTheme="minorEastAsia"/>
          <w:color w:val="auto"/>
          <w:sz w:val="24"/>
          <w:highlight w:val="none"/>
          <w:u w:val="none"/>
        </w:rPr>
        <w:t>中</w:t>
      </w:r>
      <w:r>
        <w:rPr>
          <w:rFonts w:asciiTheme="minorEastAsia" w:hAnsiTheme="minorEastAsia" w:eastAsiaTheme="minorEastAsia"/>
          <w:color w:val="auto"/>
          <w:sz w:val="24"/>
          <w:highlight w:val="none"/>
        </w:rPr>
        <w:t>载明核心产品，多家投标人提供的核心产品品牌相同的，按第</w:t>
      </w: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款</w:t>
      </w:r>
      <w:r>
        <w:rPr>
          <w:rFonts w:asciiTheme="minorEastAsia" w:hAnsiTheme="minorEastAsia" w:eastAsiaTheme="minorEastAsia"/>
          <w:color w:val="auto"/>
          <w:sz w:val="24"/>
          <w:highlight w:val="none"/>
        </w:rPr>
        <w:t>规定处理。</w:t>
      </w:r>
    </w:p>
    <w:p w14:paraId="3AC40EB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w:t>
      </w:r>
      <w:r>
        <w:rPr>
          <w:rFonts w:hint="eastAsia" w:ascii="宋体" w:hAnsi="宋体" w:eastAsia="宋体"/>
          <w:color w:val="auto"/>
          <w:sz w:val="24"/>
          <w:highlight w:val="none"/>
        </w:rPr>
        <w:t>投标文件的澄清</w:t>
      </w:r>
    </w:p>
    <w:p w14:paraId="7CD5800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w:t>
      </w:r>
      <w:r>
        <w:rPr>
          <w:rFonts w:hint="eastAsia" w:ascii="宋体" w:hAnsi="宋体" w:eastAsia="宋体"/>
          <w:color w:val="auto"/>
          <w:sz w:val="24"/>
          <w:highlight w:val="none"/>
          <w:lang w:val="en-US" w:eastAsia="zh-CN"/>
        </w:rPr>
        <w:t>等</w:t>
      </w:r>
      <w:r>
        <w:rPr>
          <w:rFonts w:ascii="宋体" w:hAnsi="宋体" w:eastAsia="宋体"/>
          <w:color w:val="auto"/>
          <w:sz w:val="24"/>
          <w:highlight w:val="none"/>
        </w:rPr>
        <w:t>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0961D7C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p>
    <w:p w14:paraId="40A06FE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15.</w:t>
      </w:r>
      <w:r>
        <w:rPr>
          <w:rFonts w:asciiTheme="minorEastAsia" w:hAnsiTheme="minorEastAsia" w:eastAsiaTheme="minorEastAsia"/>
          <w:color w:val="auto"/>
          <w:sz w:val="24"/>
          <w:highlight w:val="none"/>
        </w:rPr>
        <w:t>4.2</w:t>
      </w:r>
      <w:r>
        <w:rPr>
          <w:rFonts w:hint="eastAsia" w:asciiTheme="minorEastAsia" w:hAnsiTheme="minorEastAsia" w:eastAsiaTheme="minorEastAsia"/>
          <w:color w:val="auto"/>
          <w:sz w:val="24"/>
          <w:highlight w:val="none"/>
        </w:rPr>
        <w:t>投标人的澄清、说明或补正将作为投标文件的一部分。</w:t>
      </w:r>
    </w:p>
    <w:p w14:paraId="11859A8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4.3评标委员会对投标人提交的澄清、说明或补正有疑问的，可以要求投标人进一步澄清、说明或补正，直至满足评标委员会的要求。</w:t>
      </w:r>
    </w:p>
    <w:p w14:paraId="3B79E89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5投标文件报价出现前后不一致的，按照下列规定修正：</w:t>
      </w:r>
    </w:p>
    <w:p w14:paraId="7AC4F985">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500075ED">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70A45A0E">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2BEEC7B3">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74F85533">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4条的规定经投标人确认后产生约束力，投标人不确认的，其投标将被认定为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777D22E0">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42C6CD3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16.</w:t>
      </w:r>
      <w:r>
        <w:rPr>
          <w:rFonts w:hint="eastAsia" w:asciiTheme="minorEastAsia" w:hAnsiTheme="minorEastAsia" w:eastAsiaTheme="minorEastAsia"/>
          <w:b/>
          <w:color w:val="auto"/>
          <w:sz w:val="24"/>
          <w:highlight w:val="none"/>
        </w:rPr>
        <w:t>投标无效</w:t>
      </w:r>
    </w:p>
    <w:p w14:paraId="161C460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6BF2229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4AC17E5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1079149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1586964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46F1DA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48FA6C1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28D4E77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63D80205">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75F5E2D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17.</w:t>
      </w:r>
      <w:r>
        <w:rPr>
          <w:rFonts w:hint="eastAsia" w:asciiTheme="minorEastAsia" w:hAnsiTheme="minorEastAsia" w:eastAsiaTheme="minorEastAsia"/>
          <w:b/>
          <w:color w:val="auto"/>
          <w:sz w:val="24"/>
          <w:highlight w:val="none"/>
        </w:rPr>
        <w:t>比较与评价</w:t>
      </w:r>
    </w:p>
    <w:p w14:paraId="7D41E40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1经符合性审查合格</w:t>
      </w:r>
      <w:r>
        <w:rPr>
          <w:rFonts w:hint="eastAsia" w:ascii="宋体" w:hAnsi="宋体" w:eastAsia="宋体" w:cs="Times New Roman"/>
          <w:color w:val="auto"/>
          <w:sz w:val="24"/>
          <w:highlight w:val="none"/>
          <w:lang w:val="en-US" w:eastAsia="zh-CN"/>
        </w:rPr>
        <w:t>并通过异常低价投标审查</w:t>
      </w:r>
      <w:r>
        <w:rPr>
          <w:rFonts w:hint="eastAsia" w:asciiTheme="minorEastAsia" w:hAnsiTheme="minorEastAsia" w:eastAsiaTheme="minorEastAsia"/>
          <w:color w:val="auto"/>
          <w:sz w:val="24"/>
          <w:highlight w:val="none"/>
        </w:rPr>
        <w:t>的投标文件，评标委员会将根据招标文件确定的评标方法和标准，对其投标文件作进一步的比较与评价。</w:t>
      </w:r>
    </w:p>
    <w:p w14:paraId="25A3CA5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3E28CAE7">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7A67630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7644AA9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6B923B4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1A6CAF47">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2F4EBB2A">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17.4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政府采购活动中既有本国产品又有非本国产品参与竞争的，依法对本国产品给予价格评审优惠，对本国产品的报价给予20%的价格扣除，用扣除后的价格参与评审。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4842AD6F">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评标委员会应当对投标人所出具的《关于符合本国产品标准的声明函》（以下简称《声明函》）的完整性、准确性进行审查，评审中发现《声明函》内容含义不明确、同类事项与投标文件表述不一致或者有明显文字错误等情况的，应当以书面形式要求投标人作出必要的澄清、说明或者补正。经澄清、说明或者补正的《声明函》仍然不符合规定要求的，投标人提供的相关产品视为不符合本国产品标准。</w:t>
      </w:r>
    </w:p>
    <w:p w14:paraId="259D140B">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注：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6C7CBAE">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17.5同时符合17.3和17.4的价格评审优惠时，评标价为投标报价分别扣除促进中小企业发展政策的价格评审优惠和本国产品支持政策的价格评审优惠后的价格。</w:t>
      </w:r>
    </w:p>
    <w:p w14:paraId="6B04861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300032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.1出现下列情形之一，将导致项目废标：</w:t>
      </w:r>
    </w:p>
    <w:p w14:paraId="68C6DAE5">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2467CC2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7D5C060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10E041C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28EB21A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w:t>
      </w:r>
      <w:r>
        <w:rPr>
          <w:rFonts w:hint="eastAsia" w:ascii="宋体" w:hAnsi="宋体" w:eastAsia="宋体" w:cs="Times New Roman"/>
          <w:color w:val="auto"/>
          <w:sz w:val="24"/>
          <w:highlight w:val="none"/>
        </w:rPr>
        <w:t>或异常低价投标审查</w:t>
      </w:r>
      <w:r>
        <w:rPr>
          <w:rFonts w:hint="eastAsia" w:asciiTheme="minorEastAsia" w:hAnsiTheme="minorEastAsia" w:eastAsiaTheme="minorEastAsia"/>
          <w:color w:val="auto"/>
          <w:sz w:val="24"/>
          <w:highlight w:val="none"/>
        </w:rPr>
        <w:t>的投标人不足</w:t>
      </w:r>
      <w:r>
        <w:rPr>
          <w:rFonts w:asciiTheme="minorEastAsia" w:hAnsiTheme="minorEastAsia" w:eastAsiaTheme="minorEastAsia"/>
          <w:color w:val="auto"/>
          <w:sz w:val="24"/>
          <w:highlight w:val="none"/>
        </w:rPr>
        <w:t>3家的，除采购任务取消情形外，按照以下方式处理：</w:t>
      </w:r>
    </w:p>
    <w:p w14:paraId="4485257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6A49F78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auto"/>
          <w:kern w:val="2"/>
          <w:sz w:val="24"/>
          <w:szCs w:val="24"/>
          <w:highlight w:val="none"/>
          <w:u w:val="none"/>
          <w:lang w:val="en-US" w:eastAsia="zh-CN" w:bidi="ar-SA"/>
        </w:rPr>
        <w:t>政府采购监督管理部门</w:t>
      </w:r>
      <w:r>
        <w:rPr>
          <w:rFonts w:hint="eastAsia" w:asciiTheme="minorEastAsia" w:hAnsiTheme="minorEastAsia" w:eastAsiaTheme="minorEastAsia"/>
          <w:color w:val="auto"/>
          <w:sz w:val="24"/>
          <w:highlight w:val="none"/>
        </w:rPr>
        <w:t>批准。</w:t>
      </w:r>
    </w:p>
    <w:p w14:paraId="25A4C4B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7D16F4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09C8316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455AC99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66BA1BE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.1评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02AB491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6D0045F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2）采用综合评分法的，评标结果按评审后得分由高到低顺序排列。得分相同的，按投标报价由低到高顺序排列。得分与投标报价均相同的</w:t>
      </w:r>
      <w:r>
        <w:rPr>
          <w:rFonts w:hint="eastAsia" w:asciiTheme="minorEastAsia" w:hAnsiTheme="minorEastAsia" w:eastAsiaTheme="minorEastAsia"/>
          <w:color w:val="auto"/>
          <w:sz w:val="24"/>
          <w:highlight w:val="none"/>
        </w:rPr>
        <w:t>，则所投产品为节能产品、环境标志产品、不发达地区或少数民族地区产品者优先；若</w:t>
      </w:r>
      <w:r>
        <w:rPr>
          <w:rFonts w:asciiTheme="minorEastAsia" w:hAnsiTheme="minorEastAsia" w:eastAsiaTheme="minorEastAsia"/>
          <w:color w:val="auto"/>
          <w:sz w:val="24"/>
          <w:highlight w:val="none"/>
        </w:rPr>
        <w:t>得分与投标报价均相同</w:t>
      </w:r>
      <w:r>
        <w:rPr>
          <w:rFonts w:hint="eastAsia" w:asciiTheme="minorEastAsia" w:hAnsiTheme="minorEastAsia" w:eastAsiaTheme="minorEastAsia"/>
          <w:color w:val="auto"/>
          <w:sz w:val="24"/>
          <w:highlight w:val="none"/>
        </w:rPr>
        <w:t>且所投产品同为节能产品、环境标志产品、不发达地区或少数民族地区产品的，则采取评标委员会随机抽取的方式确定中标候选顺序。</w:t>
      </w:r>
    </w:p>
    <w:p w14:paraId="458195C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10CEB1F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483DBDB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1C255B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0AD5AB3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5D5B23D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72CD76E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446F69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E253DAF">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自中标人确定之日起2个工作日内，采购代理机构将在安徽省政府采购网（www.ccgp-anhui.gov.cn）上发布中标结果公告。</w:t>
      </w:r>
    </w:p>
    <w:p w14:paraId="5DB84F1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规格型号、数量、单价、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7B1004D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49AB74CD">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p>
    <w:p w14:paraId="030B5C09">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68615AA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212C7E3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468E6B5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15D50BC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1C31348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4D8BF90C">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217A959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7EC9216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3DDD0C8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4C2233D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003355E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2A53AA1F">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655EA7B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4FA184DC">
      <w:pPr>
        <w:spacing w:line="360" w:lineRule="auto"/>
        <w:ind w:firstLine="437"/>
        <w:outlineLvl w:val="2"/>
        <w:rPr>
          <w:rFonts w:asciiTheme="minorEastAsia" w:hAnsiTheme="minorEastAsia" w:eastAsiaTheme="minorEastAsia"/>
          <w:b/>
          <w:color w:val="auto"/>
          <w:sz w:val="24"/>
          <w:highlight w:val="none"/>
        </w:rPr>
      </w:pPr>
      <w:bookmarkStart w:id="10" w:name="_Toc518923100"/>
      <w:bookmarkStart w:id="11" w:name="_Toc2583661"/>
      <w:r>
        <w:rPr>
          <w:rFonts w:hint="eastAsia" w:asciiTheme="minorEastAsia" w:hAnsiTheme="minorEastAsia" w:eastAsiaTheme="minorEastAsia"/>
          <w:b/>
          <w:color w:val="auto"/>
          <w:sz w:val="24"/>
          <w:highlight w:val="none"/>
          <w:lang w:eastAsia="zh-CN"/>
        </w:rPr>
        <w:t>29.</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10"/>
      <w:bookmarkEnd w:id="11"/>
    </w:p>
    <w:p w14:paraId="6D8CB0F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01A5B55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0A4EF0E7">
      <w:pPr>
        <w:spacing w:line="360" w:lineRule="auto"/>
        <w:ind w:firstLine="437"/>
        <w:outlineLvl w:val="2"/>
        <w:rPr>
          <w:rFonts w:asciiTheme="minorEastAsia" w:hAnsiTheme="minorEastAsia" w:eastAsiaTheme="minorEastAsia"/>
          <w:b/>
          <w:color w:val="auto"/>
          <w:sz w:val="24"/>
          <w:highlight w:val="none"/>
        </w:rPr>
      </w:pPr>
      <w:bookmarkStart w:id="12" w:name="_Toc2583662"/>
      <w:bookmarkStart w:id="13" w:name="_Toc518923101"/>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0</w:t>
      </w:r>
      <w:r>
        <w:rPr>
          <w:rFonts w:hint="eastAsia" w:asciiTheme="minorEastAsia" w:hAnsiTheme="minorEastAsia" w:eastAsiaTheme="minorEastAsia"/>
          <w:b/>
          <w:color w:val="auto"/>
          <w:sz w:val="24"/>
          <w:highlight w:val="none"/>
        </w:rPr>
        <w:t>.人员回避</w:t>
      </w:r>
      <w:bookmarkEnd w:id="12"/>
      <w:bookmarkEnd w:id="13"/>
    </w:p>
    <w:p w14:paraId="334DF23C">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1EECE72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3125661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78D06F4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4C88D3EB">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366B3D43">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7D840B3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需要补充的其他内容</w:t>
      </w:r>
    </w:p>
    <w:p w14:paraId="7232816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458CF41B">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2A9083E3">
      <w:pPr>
        <w:spacing w:line="360" w:lineRule="auto"/>
        <w:jc w:val="center"/>
        <w:outlineLvl w:val="0"/>
        <w:rPr>
          <w:rFonts w:hint="eastAsia" w:asciiTheme="minorEastAsia" w:hAnsiTheme="minorEastAsia" w:eastAsiaTheme="minorEastAsia"/>
          <w:b/>
          <w:color w:val="auto"/>
          <w:sz w:val="28"/>
          <w:highlight w:val="none"/>
          <w:lang w:eastAsia="zh-CN"/>
        </w:rPr>
      </w:pPr>
      <w:bookmarkStart w:id="14" w:name="_Toc10891"/>
      <w:r>
        <w:rPr>
          <w:rFonts w:hint="eastAsia" w:asciiTheme="minorEastAsia" w:hAnsiTheme="minorEastAsia" w:eastAsiaTheme="minorEastAsia"/>
          <w:b/>
          <w:color w:val="auto"/>
          <w:sz w:val="28"/>
          <w:highlight w:val="none"/>
        </w:rPr>
        <w:t>第三章  采购需求</w:t>
      </w:r>
      <w:bookmarkEnd w:id="14"/>
    </w:p>
    <w:p w14:paraId="155607F9">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4DAF85DA">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1.</w:t>
      </w:r>
      <w:r>
        <w:rPr>
          <w:rFonts w:ascii="宋体" w:hAnsi="宋体" w:eastAsia="宋体"/>
          <w:color w:val="auto"/>
          <w:sz w:val="24"/>
          <w:szCs w:val="18"/>
          <w:highlight w:val="none"/>
        </w:rPr>
        <w:t>根据《</w:t>
      </w:r>
      <w:r>
        <w:rPr>
          <w:rFonts w:hint="eastAsia" w:ascii="宋体" w:hAnsi="宋体" w:eastAsia="宋体"/>
          <w:color w:val="auto"/>
          <w:sz w:val="24"/>
          <w:szCs w:val="18"/>
          <w:highlight w:val="none"/>
        </w:rPr>
        <w:t>政府采购进口产品管理办法</w:t>
      </w:r>
      <w:r>
        <w:rPr>
          <w:rFonts w:ascii="宋体" w:hAnsi="宋体" w:eastAsia="宋体"/>
          <w:color w:val="auto"/>
          <w:sz w:val="24"/>
          <w:szCs w:val="18"/>
          <w:highlight w:val="none"/>
        </w:rPr>
        <w:t>》及政府采购管理部门的相关规定，下列采购需求中</w:t>
      </w:r>
      <w:r>
        <w:rPr>
          <w:rFonts w:hint="eastAsia" w:ascii="宋体" w:hAnsi="宋体" w:eastAsia="宋体"/>
          <w:color w:val="auto"/>
          <w:sz w:val="24"/>
          <w:szCs w:val="18"/>
          <w:highlight w:val="none"/>
        </w:rPr>
        <w:t>标注进口产品的货物均</w:t>
      </w:r>
      <w:r>
        <w:rPr>
          <w:rFonts w:ascii="宋体" w:hAnsi="宋体" w:eastAsia="宋体"/>
          <w:color w:val="auto"/>
          <w:sz w:val="24"/>
          <w:szCs w:val="18"/>
          <w:highlight w:val="none"/>
        </w:rPr>
        <w:t>已履行相关论证手续，经核准采购进口</w:t>
      </w:r>
      <w:r>
        <w:rPr>
          <w:rFonts w:hint="eastAsia" w:ascii="宋体" w:hAnsi="宋体" w:eastAsia="宋体"/>
          <w:color w:val="auto"/>
          <w:sz w:val="24"/>
          <w:szCs w:val="18"/>
          <w:highlight w:val="none"/>
        </w:rPr>
        <w:t>产品</w:t>
      </w:r>
      <w:r>
        <w:rPr>
          <w:rFonts w:ascii="宋体" w:hAnsi="宋体" w:eastAsia="宋体"/>
          <w:color w:val="auto"/>
          <w:sz w:val="24"/>
          <w:szCs w:val="18"/>
          <w:highlight w:val="none"/>
        </w:rPr>
        <w:t>，但不限制满足招标文件要求的国内产品参与竞争</w:t>
      </w:r>
      <w:r>
        <w:rPr>
          <w:rFonts w:hint="eastAsia" w:ascii="宋体" w:hAnsi="宋体" w:eastAsia="宋体"/>
          <w:color w:val="auto"/>
          <w:sz w:val="24"/>
          <w:szCs w:val="18"/>
          <w:highlight w:val="none"/>
        </w:rPr>
        <w:t>。未标注进口产品的货物均</w:t>
      </w:r>
      <w:r>
        <w:rPr>
          <w:rFonts w:ascii="宋体" w:hAnsi="宋体" w:eastAsia="宋体"/>
          <w:color w:val="auto"/>
          <w:sz w:val="24"/>
          <w:szCs w:val="18"/>
          <w:highlight w:val="none"/>
        </w:rPr>
        <w:t>为拒绝采购进口产品</w:t>
      </w:r>
      <w:r>
        <w:rPr>
          <w:rFonts w:hint="eastAsia" w:ascii="宋体" w:hAnsi="宋体" w:eastAsia="宋体"/>
          <w:color w:val="auto"/>
          <w:sz w:val="24"/>
          <w:szCs w:val="18"/>
          <w:highlight w:val="none"/>
        </w:rPr>
        <w:t>。</w:t>
      </w:r>
    </w:p>
    <w:p w14:paraId="6CAF7AC6">
      <w:pPr>
        <w:spacing w:line="360" w:lineRule="auto"/>
        <w:ind w:firstLine="435"/>
        <w:rPr>
          <w:rFonts w:hint="eastAsia" w:ascii="宋体" w:hAnsi="宋体" w:eastAsia="宋体"/>
          <w:color w:val="auto"/>
          <w:sz w:val="24"/>
          <w:szCs w:val="18"/>
          <w:highlight w:val="none"/>
        </w:rPr>
      </w:pPr>
      <w:r>
        <w:rPr>
          <w:rFonts w:hint="eastAsia" w:ascii="宋体" w:hAnsi="宋体" w:eastAsia="宋体"/>
          <w:color w:val="auto"/>
          <w:sz w:val="24"/>
          <w:szCs w:val="18"/>
          <w:highlight w:val="none"/>
        </w:rPr>
        <w:t>2</w:t>
      </w:r>
      <w:r>
        <w:rPr>
          <w:rFonts w:hint="eastAsia" w:ascii="宋体" w:hAnsi="宋体" w:eastAsia="宋体"/>
          <w:color w:val="auto"/>
          <w:sz w:val="24"/>
          <w:szCs w:val="18"/>
          <w:highlight w:val="none"/>
          <w:lang w:eastAsia="zh-CN"/>
        </w:rPr>
        <w:t>.</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18"/>
          <w:highlight w:val="none"/>
        </w:rPr>
        <w:t>：</w:t>
      </w:r>
    </w:p>
    <w:p w14:paraId="266272B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（1）如属于《节能产品政府采购品目清单》中政府强制采购的节能产品，则在投标文件中提供</w:t>
      </w:r>
      <w:r>
        <w:rPr>
          <w:rFonts w:hint="eastAsia" w:ascii="宋体" w:hAnsi="宋体" w:eastAsia="宋体" w:cs="宋体"/>
          <w:color w:val="auto"/>
          <w:sz w:val="24"/>
          <w:szCs w:val="24"/>
          <w:highlight w:val="none"/>
          <w:lang w:val="en-US" w:eastAsia="zh-CN"/>
        </w:rPr>
        <w:t>所投</w:t>
      </w:r>
      <w:r>
        <w:rPr>
          <w:rFonts w:hint="eastAsia" w:ascii="宋体" w:hAnsi="宋体" w:eastAsia="宋体" w:cs="宋体"/>
          <w:color w:val="auto"/>
          <w:sz w:val="24"/>
          <w:szCs w:val="24"/>
          <w:highlight w:val="none"/>
        </w:rPr>
        <w:t>产品须具有市场监管总局公布的《参与实施政府采购节能产品认证机构目录》中的认证机构出具的、处于有效期内的节能产品认证证书。</w:t>
      </w:r>
    </w:p>
    <w:p w14:paraId="412FB852">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3CEDBEE3">
      <w:pPr>
        <w:spacing w:line="360" w:lineRule="auto"/>
        <w:ind w:firstLine="435"/>
        <w:rPr>
          <w:rFonts w:hint="eastAsia" w:eastAsia="宋体"/>
          <w:color w:val="auto"/>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olor w:val="auto"/>
          <w:sz w:val="24"/>
          <w:szCs w:val="18"/>
          <w:highlight w:val="none"/>
        </w:rPr>
        <w:t>如采购人允许采用分包方式履行合同的，应当明确可以分包履行的相关内容</w:t>
      </w:r>
      <w:r>
        <w:rPr>
          <w:rFonts w:hint="eastAsia" w:ascii="宋体" w:hAnsi="宋体" w:eastAsia="宋体"/>
          <w:color w:val="auto"/>
          <w:sz w:val="24"/>
          <w:szCs w:val="18"/>
          <w:highlight w:val="none"/>
          <w:lang w:eastAsia="zh-CN"/>
        </w:rPr>
        <w:t>：</w:t>
      </w:r>
      <w:r>
        <w:rPr>
          <w:rFonts w:hint="eastAsia" w:ascii="宋体" w:hAnsi="宋体" w:eastAsia="宋体" w:cs="宋体"/>
          <w:b/>
          <w:bCs/>
          <w:color w:val="auto"/>
          <w:sz w:val="24"/>
          <w:szCs w:val="24"/>
          <w:highlight w:val="none"/>
          <w:lang w:val="en-US" w:eastAsia="zh-CN"/>
        </w:rPr>
        <w:t>本项目不允许分包</w:t>
      </w:r>
      <w:r>
        <w:rPr>
          <w:rFonts w:hint="eastAsia" w:ascii="宋体" w:hAnsi="宋体" w:eastAsia="宋体" w:cs="宋体"/>
          <w:color w:val="auto"/>
          <w:sz w:val="24"/>
          <w:szCs w:val="24"/>
          <w:highlight w:val="none"/>
          <w:lang w:val="en-US" w:eastAsia="zh-CN"/>
        </w:rPr>
        <w:t>。</w:t>
      </w:r>
    </w:p>
    <w:p w14:paraId="7DA6367F">
      <w:pPr>
        <w:spacing w:line="360" w:lineRule="auto"/>
        <w:ind w:firstLine="437"/>
        <w:outlineLvl w:val="1"/>
        <w:rPr>
          <w:rFonts w:ascii="宋体" w:hAnsi="宋体" w:eastAsia="宋体"/>
          <w:b/>
          <w:color w:val="auto"/>
          <w:sz w:val="24"/>
          <w:szCs w:val="18"/>
          <w:highlight w:val="none"/>
        </w:rPr>
      </w:pPr>
      <w:bookmarkStart w:id="15" w:name="_Toc32151"/>
      <w:bookmarkStart w:id="16" w:name="_Toc2554"/>
      <w:r>
        <w:rPr>
          <w:rFonts w:hint="eastAsia" w:ascii="宋体" w:hAnsi="宋体" w:eastAsia="宋体"/>
          <w:b/>
          <w:color w:val="auto"/>
          <w:sz w:val="24"/>
          <w:szCs w:val="18"/>
          <w:highlight w:val="none"/>
        </w:rPr>
        <w:t>一、采购需求前附表</w:t>
      </w:r>
      <w:bookmarkEnd w:id="15"/>
      <w:bookmarkEnd w:id="16"/>
    </w:p>
    <w:tbl>
      <w:tblPr>
        <w:tblStyle w:val="28"/>
        <w:tblW w:w="55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026"/>
        <w:gridCol w:w="6592"/>
      </w:tblGrid>
      <w:tr w14:paraId="4B74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5" w:type="pct"/>
            <w:vAlign w:val="center"/>
          </w:tcPr>
          <w:p w14:paraId="29A4C650">
            <w:pPr>
              <w:pStyle w:val="47"/>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080" w:type="pct"/>
            <w:vAlign w:val="center"/>
          </w:tcPr>
          <w:p w14:paraId="0141ECE0">
            <w:pPr>
              <w:pStyle w:val="46"/>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514" w:type="pct"/>
            <w:vAlign w:val="center"/>
          </w:tcPr>
          <w:p w14:paraId="11F55382">
            <w:pPr>
              <w:pStyle w:val="46"/>
              <w:widowControl w:val="0"/>
              <w:spacing w:before="0" w:beforeAutospacing="0" w:after="0" w:afterAutospacing="0" w:line="360" w:lineRule="auto"/>
              <w:rPr>
                <w:rFonts w:ascii="宋体" w:hAnsi="宋体" w:eastAsia="宋体"/>
                <w:bCs w:val="0"/>
                <w:color w:val="auto"/>
                <w:sz w:val="24"/>
                <w:highlight w:val="none"/>
                <w:u w:val="none"/>
              </w:rPr>
            </w:pPr>
            <w:r>
              <w:rPr>
                <w:rFonts w:hint="eastAsia" w:ascii="宋体" w:hAnsi="宋体" w:eastAsia="宋体"/>
                <w:bCs w:val="0"/>
                <w:color w:val="auto"/>
                <w:sz w:val="24"/>
                <w:highlight w:val="none"/>
                <w:u w:val="none"/>
              </w:rPr>
              <w:t>内容、说明与要求</w:t>
            </w:r>
          </w:p>
        </w:tc>
      </w:tr>
      <w:tr w14:paraId="079B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5" w:type="pct"/>
            <w:vAlign w:val="center"/>
          </w:tcPr>
          <w:p w14:paraId="74B25C8E">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080" w:type="pct"/>
            <w:vAlign w:val="center"/>
          </w:tcPr>
          <w:p w14:paraId="069DAAB5">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514" w:type="pct"/>
            <w:vAlign w:val="center"/>
          </w:tcPr>
          <w:p w14:paraId="0327E493">
            <w:pPr>
              <w:pStyle w:val="46"/>
              <w:widowControl w:val="0"/>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rPr>
              <w:t>合同签订且具备实施条件后，支付合同价的40%预付款（预付款支付前，中标人须提供同等金额的见索即付保函），全部供货安装调试完毕并由采购人验收合格后，</w:t>
            </w:r>
            <w:r>
              <w:rPr>
                <w:rFonts w:hint="eastAsia" w:ascii="宋体" w:hAnsi="宋体" w:eastAsia="宋体"/>
                <w:b w:val="0"/>
                <w:color w:val="auto"/>
                <w:sz w:val="24"/>
                <w:highlight w:val="none"/>
                <w:lang w:val="en-US" w:eastAsia="zh-CN"/>
              </w:rPr>
              <w:t>采购人请款额度须在政府资金调度会批准且发票送达后完成支付。</w:t>
            </w:r>
          </w:p>
        </w:tc>
      </w:tr>
      <w:tr w14:paraId="205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5" w:type="pct"/>
            <w:vAlign w:val="center"/>
          </w:tcPr>
          <w:p w14:paraId="4D75047D">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080" w:type="pct"/>
            <w:vAlign w:val="center"/>
          </w:tcPr>
          <w:p w14:paraId="0AEBE4CE">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514" w:type="pct"/>
            <w:vAlign w:val="center"/>
          </w:tcPr>
          <w:p w14:paraId="21512BD8">
            <w:pPr>
              <w:pStyle w:val="46"/>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eastAsia="zh-CN"/>
              </w:rPr>
              <w:t>滁州市第二中学</w:t>
            </w:r>
            <w:r>
              <w:rPr>
                <w:rFonts w:hint="eastAsia" w:ascii="宋体" w:hAnsi="宋体" w:eastAsia="宋体"/>
                <w:b w:val="0"/>
                <w:color w:val="auto"/>
                <w:sz w:val="24"/>
                <w:highlight w:val="none"/>
              </w:rPr>
              <w:t>内，采购人指定地点。</w:t>
            </w:r>
          </w:p>
        </w:tc>
      </w:tr>
      <w:tr w14:paraId="7EC0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5" w:type="pct"/>
            <w:vAlign w:val="center"/>
          </w:tcPr>
          <w:p w14:paraId="7F6284B1">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080" w:type="pct"/>
            <w:vAlign w:val="center"/>
          </w:tcPr>
          <w:p w14:paraId="058151A1">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514" w:type="pct"/>
            <w:vAlign w:val="center"/>
          </w:tcPr>
          <w:p w14:paraId="53E10BA9">
            <w:pPr>
              <w:pStyle w:val="46"/>
              <w:widowControl w:val="0"/>
              <w:spacing w:before="0" w:beforeAutospacing="0" w:after="0" w:afterAutospacing="0" w:line="360" w:lineRule="auto"/>
              <w:jc w:val="both"/>
              <w:rPr>
                <w:rFonts w:ascii="宋体" w:hAnsi="宋体" w:eastAsia="宋体"/>
                <w:b w:val="0"/>
                <w:bCs w:val="0"/>
                <w:color w:val="auto"/>
                <w:sz w:val="24"/>
                <w:highlight w:val="none"/>
                <w:u w:val="none"/>
              </w:rPr>
            </w:pPr>
            <w:r>
              <w:rPr>
                <w:rFonts w:hint="eastAsia" w:asciiTheme="minorEastAsia" w:hAnsiTheme="minorEastAsia" w:eastAsiaTheme="minorEastAsia"/>
                <w:b w:val="0"/>
                <w:bCs w:val="0"/>
                <w:color w:val="auto"/>
                <w:sz w:val="24"/>
                <w:highlight w:val="none"/>
                <w:u w:val="none"/>
              </w:rPr>
              <w:t>自合同签订生效后，接到采购人通知之日起</w:t>
            </w:r>
            <w:r>
              <w:rPr>
                <w:rFonts w:hint="eastAsia" w:asciiTheme="minorEastAsia" w:hAnsiTheme="minorEastAsia" w:eastAsiaTheme="minorEastAsia"/>
                <w:b w:val="0"/>
                <w:bCs w:val="0"/>
                <w:color w:val="auto"/>
                <w:sz w:val="24"/>
                <w:highlight w:val="none"/>
                <w:u w:val="none"/>
                <w:lang w:val="en-US" w:eastAsia="zh-CN"/>
              </w:rPr>
              <w:t>40</w:t>
            </w:r>
            <w:r>
              <w:rPr>
                <w:rFonts w:hint="eastAsia" w:asciiTheme="minorEastAsia" w:hAnsiTheme="minorEastAsia" w:eastAsiaTheme="minorEastAsia"/>
                <w:b w:val="0"/>
                <w:bCs w:val="0"/>
                <w:color w:val="auto"/>
                <w:sz w:val="24"/>
                <w:highlight w:val="none"/>
                <w:u w:val="none"/>
              </w:rPr>
              <w:t>个日历天内完成货物的供货、安装、调试工作，并验收合格交付使用</w:t>
            </w:r>
            <w:r>
              <w:rPr>
                <w:rFonts w:hint="eastAsia" w:ascii="宋体" w:hAnsi="宋体" w:eastAsia="宋体" w:cs="宋体"/>
                <w:b w:val="0"/>
                <w:bCs w:val="0"/>
                <w:color w:val="auto"/>
                <w:kern w:val="2"/>
                <w:sz w:val="24"/>
                <w:szCs w:val="24"/>
                <w:highlight w:val="none"/>
                <w:u w:val="none"/>
                <w:lang w:val="en-US" w:eastAsia="zh-CN" w:bidi="ar"/>
              </w:rPr>
              <w:t>。</w:t>
            </w:r>
          </w:p>
        </w:tc>
      </w:tr>
      <w:tr w14:paraId="52C4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5" w:type="pct"/>
            <w:vAlign w:val="center"/>
          </w:tcPr>
          <w:p w14:paraId="0B7123DC">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080" w:type="pct"/>
            <w:vAlign w:val="center"/>
          </w:tcPr>
          <w:p w14:paraId="54AF5F5C">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514" w:type="pct"/>
            <w:vAlign w:val="center"/>
          </w:tcPr>
          <w:p w14:paraId="09071ED0">
            <w:pPr>
              <w:pStyle w:val="46"/>
              <w:widowControl w:val="0"/>
              <w:spacing w:before="0" w:beforeAutospacing="0" w:after="0" w:afterAutospacing="0" w:line="360" w:lineRule="auto"/>
              <w:jc w:val="both"/>
              <w:rPr>
                <w:rFonts w:ascii="宋体" w:hAnsi="宋体" w:eastAsia="宋体"/>
                <w:b w:val="0"/>
                <w:bCs w:val="0"/>
                <w:color w:val="auto"/>
                <w:sz w:val="24"/>
                <w:highlight w:val="none"/>
                <w:u w:val="none"/>
              </w:rPr>
            </w:pPr>
            <w:r>
              <w:rPr>
                <w:rFonts w:hint="eastAsia" w:asciiTheme="minorEastAsia" w:hAnsiTheme="minorEastAsia" w:eastAsiaTheme="minorEastAsia"/>
                <w:b w:val="0"/>
                <w:bCs w:val="0"/>
                <w:color w:val="auto"/>
                <w:sz w:val="24"/>
                <w:highlight w:val="none"/>
                <w:u w:val="none"/>
              </w:rPr>
              <w:t>验收合格之日起不少于</w:t>
            </w:r>
            <w:r>
              <w:rPr>
                <w:rFonts w:hint="eastAsia" w:asciiTheme="minorEastAsia" w:hAnsiTheme="minorEastAsia" w:eastAsiaTheme="minorEastAsia"/>
                <w:b w:val="0"/>
                <w:bCs w:val="0"/>
                <w:color w:val="auto"/>
                <w:sz w:val="24"/>
                <w:highlight w:val="none"/>
                <w:u w:val="none"/>
                <w:lang w:val="en-US" w:eastAsia="zh-CN"/>
              </w:rPr>
              <w:t>3</w:t>
            </w:r>
            <w:r>
              <w:rPr>
                <w:rFonts w:hint="eastAsia" w:asciiTheme="minorEastAsia" w:hAnsiTheme="minorEastAsia" w:eastAsiaTheme="minorEastAsia"/>
                <w:b w:val="0"/>
                <w:bCs w:val="0"/>
                <w:color w:val="auto"/>
                <w:sz w:val="24"/>
                <w:highlight w:val="none"/>
                <w:u w:val="none"/>
              </w:rPr>
              <w:t>年的免费质保</w:t>
            </w:r>
            <w:r>
              <w:rPr>
                <w:rFonts w:hint="eastAsia" w:asciiTheme="minorEastAsia" w:hAnsiTheme="minorEastAsia" w:eastAsiaTheme="minorEastAsia"/>
                <w:b w:val="0"/>
                <w:bCs w:val="0"/>
                <w:color w:val="auto"/>
                <w:sz w:val="24"/>
                <w:highlight w:val="none"/>
                <w:u w:val="none"/>
                <w:lang w:val="en-US" w:eastAsia="zh-CN"/>
              </w:rPr>
              <w:t>服务（自验收合格之日起）</w:t>
            </w:r>
            <w:r>
              <w:rPr>
                <w:rFonts w:hint="eastAsia" w:asciiTheme="minorEastAsia" w:hAnsiTheme="minorEastAsia" w:eastAsiaTheme="minorEastAsia"/>
                <w:b w:val="0"/>
                <w:bCs w:val="0"/>
                <w:color w:val="auto"/>
                <w:sz w:val="24"/>
                <w:highlight w:val="none"/>
                <w:u w:val="none"/>
                <w:lang w:eastAsia="zh-CN"/>
              </w:rPr>
              <w:t>，</w:t>
            </w:r>
            <w:r>
              <w:rPr>
                <w:rFonts w:hint="eastAsia" w:asciiTheme="minorEastAsia" w:hAnsiTheme="minorEastAsia" w:eastAsiaTheme="minorEastAsia"/>
                <w:b w:val="0"/>
                <w:bCs w:val="0"/>
                <w:color w:val="auto"/>
                <w:sz w:val="24"/>
                <w:highlight w:val="none"/>
                <w:u w:val="none"/>
                <w:lang w:val="en-US" w:eastAsia="zh-CN"/>
              </w:rPr>
              <w:t>具体期限以中标人投标承诺为准。</w:t>
            </w:r>
          </w:p>
        </w:tc>
      </w:tr>
    </w:tbl>
    <w:p w14:paraId="40D1AA1F">
      <w:pPr>
        <w:spacing w:line="360" w:lineRule="auto"/>
        <w:ind w:firstLine="437"/>
        <w:outlineLvl w:val="1"/>
        <w:rPr>
          <w:rFonts w:hint="eastAsia" w:ascii="宋体" w:hAnsi="宋体" w:eastAsia="宋体"/>
          <w:b/>
          <w:bCs/>
          <w:color w:val="auto"/>
          <w:sz w:val="24"/>
          <w:szCs w:val="18"/>
          <w:highlight w:val="none"/>
        </w:rPr>
      </w:pPr>
      <w:bookmarkStart w:id="17" w:name="_Toc5944"/>
      <w:bookmarkStart w:id="18" w:name="_Toc7671"/>
    </w:p>
    <w:p w14:paraId="46078EAD">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rPr>
        <w:t>二、</w:t>
      </w:r>
      <w:r>
        <w:rPr>
          <w:rFonts w:hint="eastAsia" w:ascii="宋体" w:hAnsi="宋体" w:eastAsia="宋体"/>
          <w:b/>
          <w:color w:val="auto"/>
          <w:sz w:val="24"/>
          <w:szCs w:val="18"/>
          <w:highlight w:val="none"/>
        </w:rPr>
        <w:t>货物</w:t>
      </w:r>
      <w:r>
        <w:rPr>
          <w:rFonts w:hint="eastAsia" w:ascii="宋体" w:hAnsi="宋体" w:eastAsia="宋体"/>
          <w:b/>
          <w:bCs/>
          <w:color w:val="auto"/>
          <w:sz w:val="24"/>
          <w:szCs w:val="18"/>
          <w:highlight w:val="none"/>
        </w:rPr>
        <w:t>需求</w:t>
      </w:r>
      <w:bookmarkEnd w:id="17"/>
      <w:bookmarkEnd w:id="18"/>
    </w:p>
    <w:tbl>
      <w:tblPr>
        <w:tblStyle w:val="28"/>
        <w:tblW w:w="63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56"/>
        <w:gridCol w:w="4593"/>
        <w:gridCol w:w="1245"/>
        <w:gridCol w:w="735"/>
        <w:gridCol w:w="1095"/>
        <w:gridCol w:w="1360"/>
      </w:tblGrid>
      <w:tr w14:paraId="5AAD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622B5C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33" w:type="pct"/>
            <w:vAlign w:val="center"/>
          </w:tcPr>
          <w:p w14:paraId="143446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货物名称</w:t>
            </w:r>
          </w:p>
        </w:tc>
        <w:tc>
          <w:tcPr>
            <w:tcW w:w="2119" w:type="pct"/>
            <w:vAlign w:val="center"/>
          </w:tcPr>
          <w:p w14:paraId="209BAEE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技术参数及要求</w:t>
            </w:r>
          </w:p>
        </w:tc>
        <w:tc>
          <w:tcPr>
            <w:tcW w:w="574" w:type="pct"/>
            <w:vAlign w:val="center"/>
          </w:tcPr>
          <w:p w14:paraId="2FED6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p w14:paraId="43B3FF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339" w:type="pct"/>
            <w:vAlign w:val="center"/>
          </w:tcPr>
          <w:p w14:paraId="25C4172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所属</w:t>
            </w:r>
          </w:p>
          <w:p w14:paraId="76FFC7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行业</w:t>
            </w:r>
          </w:p>
        </w:tc>
        <w:tc>
          <w:tcPr>
            <w:tcW w:w="505" w:type="pct"/>
            <w:vAlign w:val="center"/>
          </w:tcPr>
          <w:p w14:paraId="23848E4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是否为核心产品</w:t>
            </w:r>
          </w:p>
        </w:tc>
        <w:tc>
          <w:tcPr>
            <w:tcW w:w="627" w:type="pct"/>
            <w:vAlign w:val="center"/>
          </w:tcPr>
          <w:p w14:paraId="46C7B0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参考图样</w:t>
            </w:r>
          </w:p>
        </w:tc>
      </w:tr>
      <w:tr w14:paraId="4E22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1" w:type="pct"/>
            <w:vAlign w:val="center"/>
          </w:tcPr>
          <w:p w14:paraId="3454D5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33" w:type="pct"/>
            <w:vAlign w:val="center"/>
          </w:tcPr>
          <w:p w14:paraId="04518A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公寓床</w:t>
            </w:r>
          </w:p>
        </w:tc>
        <w:tc>
          <w:tcPr>
            <w:tcW w:w="2119" w:type="pct"/>
            <w:vAlign w:val="center"/>
          </w:tcPr>
          <w:p w14:paraId="3879B34A">
            <w:pPr>
              <w:pStyle w:val="76"/>
              <w:numPr>
                <w:ilvl w:val="0"/>
                <w:numId w:val="2"/>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两联三人铺爬梯公寓床（一边上下铺一边上铺下三人桌）</w:t>
            </w:r>
          </w:p>
          <w:p w14:paraId="6D0AC775">
            <w:pPr>
              <w:pStyle w:val="76"/>
              <w:numPr>
                <w:ilvl w:val="0"/>
                <w:numId w:val="0"/>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规格：≥4000mm*900mm*2100mm（投标文件中需提供满足上述参数中相对应的数值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p>
          <w:p w14:paraId="6FDA6B96">
            <w:pPr>
              <w:pStyle w:val="76"/>
              <w:numPr>
                <w:ilvl w:val="0"/>
                <w:numId w:val="0"/>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床边立柱：P型无缝钢管，立柱端面呈P型，由7个面组成；外形尺寸长度75mm（±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mm），宽度60mm（±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mm），钢板厚度≥1.2mm，P型外倒圆半径≥10mm，P型内倒圆半径≥5mm；外观要求：涂层应无漏喷、锈蚀和脱色、掉色现象，涂层应光滑均匀，色泽</w:t>
            </w: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致，应无流挂、疙瘩、皱皮、飞漆等缺陷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投标文件中需</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第三方检测机构出具的检测报告</w:t>
            </w:r>
            <w:r>
              <w:rPr>
                <w:rFonts w:hint="eastAsia"/>
                <w:color w:val="auto"/>
                <w:highlight w:val="none"/>
                <w:lang w:eastAsia="zh-CN"/>
              </w:rPr>
              <w:t>）</w:t>
            </w:r>
            <w:r>
              <w:rPr>
                <w:rFonts w:hint="eastAsia" w:ascii="宋体" w:hAnsi="宋体" w:eastAsia="宋体" w:cs="宋体"/>
                <w:color w:val="auto"/>
                <w:sz w:val="21"/>
                <w:szCs w:val="21"/>
                <w:highlight w:val="none"/>
              </w:rPr>
              <w:t>；</w:t>
            </w:r>
          </w:p>
          <w:p w14:paraId="4F0DCC46">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床中立柱：规格75mm×72mm（±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mm）无缝钢管，钢管厚度≥1.2mm，钢管由8个面两个弧组成呈凸字形；表面经环氧聚酯塑粉静电喷塑处理，结构稳固、安全美观；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p>
          <w:p w14:paraId="2B317C60">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床横梁：采用外形规格42mm×80mm（±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壁厚≥1.2mm型材管件，管件两侧长边弧形结构，弧形R角160mm，弧形一侧带有7条装饰加固条，加固条深2mm；横梁管件下沿两边R10mm圆角处理，横梁与挂件需四周满焊（投标文件中需提供实物测量照片，以佐证实物满足上述参数中相对应的数值）；</w:t>
            </w:r>
          </w:p>
          <w:p w14:paraId="7D59DF11">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连接方式：立柱与床横梁采用卡式连接件，采用不低于2mm厚优质钢板经冲压一次成型，规格宽42mm×高127mm（±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mm），挂件卡扣不外露，其中两个挂口隐藏于床横梁内，一个只露挂封隐藏式设计；连接扣点采用不小于3个位置纵向垂直连接，每个扣点与立柱接触面不小于2面角度程120度，与横梁连接处四周满焊；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p>
          <w:p w14:paraId="13C37D93">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甲苯、二甲苯、TVOC未检出；甲醛释放量≤0.05mg/m³</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val="en-US" w:eastAsia="zh-CN"/>
              </w:rPr>
              <w:t>由第三方检测机构出具的钢管检测报告予以证明</w:t>
            </w:r>
            <w:r>
              <w:rPr>
                <w:rFonts w:hint="eastAsia" w:ascii="宋体" w:hAnsi="宋体" w:eastAsia="宋体" w:cs="宋体"/>
                <w:color w:val="auto"/>
                <w:sz w:val="21"/>
                <w:szCs w:val="21"/>
                <w:highlight w:val="none"/>
              </w:rPr>
              <w:t>）；</w:t>
            </w:r>
          </w:p>
          <w:p w14:paraId="34EAB9E6">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床头护栏：采用整体注塑成型，上部设计有符合人体工程学的舒适全塑靠板；整体规格为772（±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）×447（±</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）×30/45mm（±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），靠背规格510mm（±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）×132mm（±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）×46mm（±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），靠背顶部有一体注塑式储物盒，储物盒尺寸长241mm（±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），宽35mm（±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）深72mm（±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），底部有漏尘漏水孔，可放置手机，笔等小物件；</w:t>
            </w:r>
            <w:r>
              <w:rPr>
                <w:rFonts w:hint="eastAsia" w:ascii="宋体" w:hAnsi="宋体" w:eastAsia="宋体" w:cs="宋体"/>
                <w:color w:val="auto"/>
                <w:sz w:val="21"/>
                <w:szCs w:val="21"/>
                <w:highlight w:val="none"/>
                <w:lang w:val="en-US" w:eastAsia="zh-CN"/>
              </w:rPr>
              <w:t>立柱档头基材选用优质E1级或以上等级刨花板或中纤板；厚度≥18mm；表面采用高耐磨三聚氰胺饰面浸渍纸全覆盖</w:t>
            </w:r>
            <w:r>
              <w:rPr>
                <w:rFonts w:hint="eastAsia" w:ascii="宋体" w:hAnsi="宋体" w:eastAsia="宋体" w:cs="宋体"/>
                <w:color w:val="auto"/>
                <w:sz w:val="21"/>
                <w:szCs w:val="21"/>
                <w:highlight w:val="none"/>
              </w:rPr>
              <w:t>，四周整体一次PP塑料注塑嵌边成型，确保档头强度与刚性且四周无任何接缝及刃口，床档头与床短横梁采用插入管件式固定，牢固稳定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（投标文件中需提供满足上述参数中相对应的数值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p>
          <w:p w14:paraId="76D22A50">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上铺床前护栏：长1400mm（±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）×高350mm（±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）×厚30mm（±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），材质</w:t>
            </w:r>
            <w:r>
              <w:rPr>
                <w:rFonts w:hint="eastAsia" w:ascii="宋体" w:hAnsi="宋体" w:eastAsia="宋体" w:cs="宋体"/>
                <w:color w:val="auto"/>
                <w:sz w:val="21"/>
                <w:szCs w:val="21"/>
                <w:highlight w:val="none"/>
                <w:lang w:val="en-US" w:eastAsia="zh-CN"/>
              </w:rPr>
              <w:t>基材选用E1级或以上等级刨花板或中纤板，厚度</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rPr>
              <w:t>25mm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表面采用高耐磨三聚氰胺饰面浸渍纸全覆盖</w:t>
            </w:r>
            <w:r>
              <w:rPr>
                <w:rFonts w:hint="eastAsia" w:ascii="宋体" w:hAnsi="宋体" w:eastAsia="宋体" w:cs="宋体"/>
                <w:color w:val="auto"/>
                <w:sz w:val="21"/>
                <w:szCs w:val="21"/>
                <w:highlight w:val="none"/>
              </w:rPr>
              <w:t>，韧性好不易断裂、容易清洁、防潮、不褪色；运用气辅式工艺整体注塑一次成型；护栏两端把手设计，可承受体重200斤内引体向上无任何损坏，护栏正面有两个一次性注塑成型圆形装饰孔，圆形装饰孔直径86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），两孔间中心距570mm（±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），禁止使用子母扣后装式，防止后期脱落；固定方式为两侧插入20mm（±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）×40mm（±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）椭圆钢管，中间三点加固；并且护栏带有永久性警示线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（投标文件中需提供满足上述参数中相对应的数值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p>
          <w:p w14:paraId="1FC84639">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床板：床板厚度不低于15mm杉木，表面刨光，无毛刺，底部4根加固横梁；</w:t>
            </w:r>
          </w:p>
          <w:p w14:paraId="7A67D6BE">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甲醛释放量(气候箱法)E1级≤0.124mg/m³；阻燃性能等级—阻燃1级；家具涂层可迁移元素、总挥发性有机化合物TVOC、苯、甲苯、二甲苯均未检出（投标文件中提供</w:t>
            </w:r>
            <w:r>
              <w:rPr>
                <w:rFonts w:hint="eastAsia" w:ascii="宋体" w:hAnsi="宋体" w:eastAsia="宋体" w:cs="宋体"/>
                <w:color w:val="auto"/>
                <w:sz w:val="21"/>
                <w:szCs w:val="21"/>
                <w:highlight w:val="none"/>
                <w:lang w:val="en-US" w:eastAsia="zh-CN"/>
              </w:rPr>
              <w:t>由第三方检测机构出具的杉木检测报告予以证明</w:t>
            </w:r>
            <w:r>
              <w:rPr>
                <w:rFonts w:hint="eastAsia" w:ascii="宋体" w:hAnsi="宋体" w:eastAsia="宋体" w:cs="宋体"/>
                <w:color w:val="auto"/>
                <w:sz w:val="21"/>
                <w:szCs w:val="21"/>
                <w:highlight w:val="none"/>
              </w:rPr>
              <w:t>）；</w:t>
            </w:r>
          </w:p>
          <w:p w14:paraId="56960ED5">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床支撑：采用5根规格为25mm×28mm（±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mm），壁厚1.2mm型材管件设计，为有效防护碰头横撑管件下沿两边R8mm圆角，两端开有3mm×25mm凹槽卡住横梁内侧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50FC2B62">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床板横撑加固消音件：规格35mm×29mm×10mm（±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mm），采用PP塑料注塑一次成型，安装后易扣难取，使床支撑和床横梁之间连接更加稳固，并且消除了因外力作用产生的钢架噪音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5F69A059">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两床间爬梯：宽度不低于430mm，固定后爬梯立柱与床立柱垂直深度不低于290mm，角度不低于7度，确保爬梯上下倾斜角度，方便上下，爬梯立柱直径不低于38mm，踏步宽度不低于140mm，内部有钢件加固，踏步上有防滑纹和夜光警示标志，爬梯上沿带有与爬梯一体成型抓手，抓手高不小360mm，抓手深度不低于100mm，耐用及踩踏不掉色，整个爬梯采用PP塑料注塑包裹钢制一体成型，禁止拼接组装，边角圆润处理（投标文件中需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p>
          <w:p w14:paraId="76CB1BF0">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蚊帐杆：采用16mm×1.0mm圆管，在蚊帐杆上端扩管并安装塑料件，通过塑料件有效与立柱连接，实现伸缩隐藏功能，使用时抽出，不用时可旋降隐藏，且蚊帐杆不会掉落于立柱内；</w:t>
            </w:r>
          </w:p>
          <w:p w14:paraId="7F3DCD56">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床下配有钢制鞋架：采用20*20*1.0mm方管设计；</w:t>
            </w:r>
          </w:p>
          <w:p w14:paraId="253EA0D7">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甲醛释放量≤0.05mg/m³，苯、甲苯、二甲苯、总挥发性有机化合物（TVOC）均未检出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val="en-US" w:eastAsia="zh-CN"/>
              </w:rPr>
              <w:t>由第三方检测机构出具的公寓床检测报告予以证明）</w:t>
            </w:r>
            <w:r>
              <w:rPr>
                <w:rFonts w:hint="eastAsia" w:ascii="宋体" w:hAnsi="宋体" w:eastAsia="宋体" w:cs="宋体"/>
                <w:color w:val="auto"/>
                <w:sz w:val="21"/>
                <w:szCs w:val="21"/>
                <w:highlight w:val="none"/>
              </w:rPr>
              <w:t>；</w:t>
            </w:r>
          </w:p>
          <w:p w14:paraId="1983B37D">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书桌带书架；整体规格约：≥1930×600×1720mm；尺寸可根据床大小调整；</w:t>
            </w:r>
          </w:p>
          <w:p w14:paraId="76E5094D">
            <w:pPr>
              <w:pStyle w:val="76"/>
              <w:numPr>
                <w:ilvl w:val="0"/>
                <w:numId w:val="0"/>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桌面板基材</w:t>
            </w:r>
            <w:r>
              <w:rPr>
                <w:rFonts w:hint="eastAsia" w:ascii="宋体" w:hAnsi="宋体" w:eastAsia="宋体" w:cs="宋体"/>
                <w:color w:val="auto"/>
                <w:sz w:val="21"/>
                <w:szCs w:val="21"/>
                <w:highlight w:val="none"/>
                <w:lang w:val="en-US" w:eastAsia="zh-CN"/>
              </w:rPr>
              <w:t>桌面板基材选用优质E1级或以上等级刨花板；表面采用高耐磨三聚氰胺饰面浸渍纸全覆盖；桌面整体厚度≥25mm；边缘及细节处采用高精度激光切割工艺加工，切口平整光滑、无毛刺，尺寸误差小，贴合度高</w:t>
            </w:r>
            <w:r>
              <w:rPr>
                <w:rFonts w:hint="eastAsia" w:ascii="宋体" w:hAnsi="宋体" w:eastAsia="宋体" w:cs="宋体"/>
                <w:color w:val="auto"/>
                <w:sz w:val="21"/>
                <w:szCs w:val="21"/>
                <w:highlight w:val="none"/>
              </w:rPr>
              <w:t>；</w:t>
            </w:r>
          </w:p>
          <w:p w14:paraId="2FAEA5B6">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苯、甲苯、二甲苯、TVOC、可迁移元素均未检出，甲醛释放量≤0.05mg/m³；外观质量符合要求（投标文件中提供</w:t>
            </w:r>
            <w:r>
              <w:rPr>
                <w:rFonts w:hint="eastAsia" w:ascii="宋体" w:hAnsi="宋体" w:eastAsia="宋体" w:cs="宋体"/>
                <w:color w:val="auto"/>
                <w:sz w:val="21"/>
                <w:szCs w:val="21"/>
                <w:highlight w:val="none"/>
                <w:lang w:val="en-US" w:eastAsia="zh-CN"/>
              </w:rPr>
              <w:t>由第三方检测机构出具的桌面板检测报告予以证明</w:t>
            </w:r>
            <w:r>
              <w:rPr>
                <w:rFonts w:hint="eastAsia" w:ascii="宋体" w:hAnsi="宋体" w:eastAsia="宋体" w:cs="宋体"/>
                <w:color w:val="auto"/>
                <w:sz w:val="21"/>
                <w:szCs w:val="21"/>
                <w:highlight w:val="none"/>
              </w:rPr>
              <w:t>）；</w:t>
            </w:r>
          </w:p>
          <w:p w14:paraId="0F71075D">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桌面上方为竖三格横三格书架，书架采用E1级</w:t>
            </w:r>
            <w:r>
              <w:rPr>
                <w:rFonts w:hint="eastAsia" w:ascii="宋体" w:hAnsi="宋体" w:eastAsia="宋体" w:cs="宋体"/>
                <w:color w:val="auto"/>
                <w:sz w:val="21"/>
                <w:szCs w:val="21"/>
                <w:highlight w:val="none"/>
                <w:lang w:val="en-US" w:eastAsia="zh-CN"/>
              </w:rPr>
              <w:t>或以上等级，厚度</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rPr>
              <w:t>18mm环保板材；后方为整个封板；</w:t>
            </w:r>
          </w:p>
          <w:p w14:paraId="407236F5">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桌下方设有3个储物抽屉，配导轨，导轨运行顺畅度高，推拉无卡顿；</w:t>
            </w:r>
          </w:p>
          <w:p w14:paraId="40109104">
            <w:pPr>
              <w:pStyle w:val="76"/>
              <w:spacing w:beforeLines="0" w:afterLines="0" w:line="240" w:lineRule="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5.桌腿和横梁主材采用≥40mm*40mm*1.0mm矩形管。</w:t>
            </w:r>
          </w:p>
        </w:tc>
        <w:tc>
          <w:tcPr>
            <w:tcW w:w="574" w:type="pct"/>
            <w:vAlign w:val="center"/>
          </w:tcPr>
          <w:p w14:paraId="592E0240">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218组</w:t>
            </w:r>
          </w:p>
        </w:tc>
        <w:tc>
          <w:tcPr>
            <w:tcW w:w="339" w:type="pct"/>
            <w:vAlign w:val="center"/>
          </w:tcPr>
          <w:p w14:paraId="1E77BB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工业</w:t>
            </w:r>
          </w:p>
        </w:tc>
        <w:tc>
          <w:tcPr>
            <w:tcW w:w="505" w:type="pct"/>
            <w:vAlign w:val="center"/>
          </w:tcPr>
          <w:p w14:paraId="0FC809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是</w:t>
            </w:r>
          </w:p>
        </w:tc>
        <w:tc>
          <w:tcPr>
            <w:tcW w:w="627" w:type="pct"/>
            <w:vAlign w:val="center"/>
          </w:tcPr>
          <w:p w14:paraId="213929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drawing>
                <wp:inline distT="0" distB="0" distL="114300" distR="114300">
                  <wp:extent cx="781050" cy="944880"/>
                  <wp:effectExtent l="0" t="0" r="0" b="7620"/>
                  <wp:docPr id="2" name="图片 2" descr="2299f81a5ef2624925dfee43d4fb4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99f81a5ef2624925dfee43d4fb44ab"/>
                          <pic:cNvPicPr>
                            <a:picLocks noChangeAspect="1"/>
                          </pic:cNvPicPr>
                        </pic:nvPicPr>
                        <pic:blipFill>
                          <a:blip r:embed="rId7"/>
                          <a:stretch>
                            <a:fillRect/>
                          </a:stretch>
                        </pic:blipFill>
                        <pic:spPr>
                          <a:xfrm>
                            <a:off x="0" y="0"/>
                            <a:ext cx="781050" cy="944880"/>
                          </a:xfrm>
                          <a:prstGeom prst="rect">
                            <a:avLst/>
                          </a:prstGeom>
                        </pic:spPr>
                      </pic:pic>
                    </a:graphicData>
                  </a:graphic>
                </wp:inline>
              </w:drawing>
            </w:r>
          </w:p>
        </w:tc>
      </w:tr>
      <w:tr w14:paraId="5DD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23171A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33" w:type="pct"/>
            <w:vAlign w:val="center"/>
          </w:tcPr>
          <w:p w14:paraId="326352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学习椅</w:t>
            </w:r>
          </w:p>
        </w:tc>
        <w:tc>
          <w:tcPr>
            <w:tcW w:w="2119" w:type="pct"/>
            <w:vAlign w:val="center"/>
          </w:tcPr>
          <w:p w14:paraId="0CEF9E71">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采用全新PP+玻纤（聚丙烯）总胶背由四部分组成（椅坐、椅背板、装饰盖板（ABS材质）、滑动模块组）；</w:t>
            </w:r>
          </w:p>
          <w:p w14:paraId="7BE2A319">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椅子整体尺寸：总高783mm-840mm（±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mm）、总宽535mm（±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mm）、总深510mm（±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mm）、坐高430mm（±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w:t>
            </w:r>
          </w:p>
          <w:p w14:paraId="13F574EF">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椅坐：坐宽452mm（±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）、坐深440mm（±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）；后背支撑整体呈A型，呈现中心内凹周围上凸贴合人体久坐不疲劳；椅背板：背板宽405mm（±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）、高285mm（±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），靠背最上方使用巧妙的衣领设计，直线长300mm（±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中心位置最宽35mm向两边延小，不开孔不影响靠背完整性，达到单手手提的功能；可通过滑动模块组合调节靠背高度达到不同人群使用最佳靠背舒适度，三个档位调整不一样的靠背高度，调整范围不小于50mm，顶腰效果明显，符合人体工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（投标文件中需提供满足上述参数中相对应的数值</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实物测量照片）；</w:t>
            </w:r>
          </w:p>
          <w:p w14:paraId="21C961DE">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装饰盖板：盖板厚度</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rPr>
              <w:t>2.8mm，上宽100mm（±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）、下宽150mm（±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）、长146mm（±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）；调节按钮内嵌于装饰盖板，按钮长55mm（±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）、上宽28mm（±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）下宽36mm（±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p>
          <w:p w14:paraId="6D45601A">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滑动模块组合：由四颗防脱落内六角螺丝，安装固定于椅坐后背支撑杆稳定结实耐用，可进行三挡调节挡位，达到不同人群使用；</w:t>
            </w:r>
          </w:p>
          <w:p w14:paraId="32C383DC">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脚垫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全新PE制作，耐磨稳定，附着力强，无异响（脚垫长：≥26mm厚：≥10mm宽：≥18mm.）抗磨损性强，可以堆叠；</w:t>
            </w:r>
          </w:p>
          <w:p w14:paraId="741E6B6C">
            <w:pPr>
              <w:pStyle w:val="76"/>
              <w:spacing w:beforeLines="0" w:afterLines="0" w:line="240" w:lineRule="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塑料材料理化性能（耐老化性≥500h，冲击强度的保持率≥60%，外观颜色变色评级≥3级）；塑料件邵氏D硬度≥HD63；力学性能：椅、凳类强度和耐久性（座面、椅背耐久性试验；座面、椅背冲击试验）符合要求，椅、凳类稳定性（椅子向前倾翻试验、椅子向后倾翻试验）无倾翻（投标文件中提供</w:t>
            </w:r>
            <w:r>
              <w:rPr>
                <w:rFonts w:hint="eastAsia" w:ascii="宋体" w:hAnsi="宋体" w:eastAsia="宋体" w:cs="宋体"/>
                <w:color w:val="auto"/>
                <w:sz w:val="21"/>
                <w:szCs w:val="21"/>
                <w:highlight w:val="none"/>
                <w:lang w:val="en-US" w:eastAsia="zh-CN"/>
              </w:rPr>
              <w:t>由第三方检测机构出具的学习椅检测报告予以证明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p>
        </w:tc>
        <w:tc>
          <w:tcPr>
            <w:tcW w:w="574" w:type="pct"/>
            <w:vAlign w:val="center"/>
          </w:tcPr>
          <w:p w14:paraId="797643E4">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654把</w:t>
            </w:r>
          </w:p>
        </w:tc>
        <w:tc>
          <w:tcPr>
            <w:tcW w:w="339" w:type="pct"/>
            <w:vAlign w:val="center"/>
          </w:tcPr>
          <w:p w14:paraId="2CC7B3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工业</w:t>
            </w:r>
          </w:p>
        </w:tc>
        <w:tc>
          <w:tcPr>
            <w:tcW w:w="505" w:type="pct"/>
            <w:vAlign w:val="center"/>
          </w:tcPr>
          <w:p w14:paraId="44E7C1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否</w:t>
            </w:r>
          </w:p>
        </w:tc>
        <w:tc>
          <w:tcPr>
            <w:tcW w:w="627" w:type="pct"/>
            <w:vAlign w:val="center"/>
          </w:tcPr>
          <w:p w14:paraId="67E8B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drawing>
                <wp:inline distT="0" distB="0" distL="114300" distR="114300">
                  <wp:extent cx="722630" cy="722630"/>
                  <wp:effectExtent l="0" t="0" r="1270" b="1270"/>
                  <wp:docPr id="3" name="图片 3" descr="67501471460876a691c2f63d5f70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7501471460876a691c2f63d5f703206"/>
                          <pic:cNvPicPr>
                            <a:picLocks noChangeAspect="1"/>
                          </pic:cNvPicPr>
                        </pic:nvPicPr>
                        <pic:blipFill>
                          <a:blip r:embed="rId8"/>
                          <a:stretch>
                            <a:fillRect/>
                          </a:stretch>
                        </pic:blipFill>
                        <pic:spPr>
                          <a:xfrm>
                            <a:off x="0" y="0"/>
                            <a:ext cx="722630" cy="722630"/>
                          </a:xfrm>
                          <a:prstGeom prst="rect">
                            <a:avLst/>
                          </a:prstGeom>
                        </pic:spPr>
                      </pic:pic>
                    </a:graphicData>
                  </a:graphic>
                </wp:inline>
              </w:drawing>
            </w:r>
          </w:p>
        </w:tc>
      </w:tr>
      <w:tr w14:paraId="0C46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01" w:type="pct"/>
            <w:vAlign w:val="center"/>
          </w:tcPr>
          <w:p w14:paraId="06055A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33" w:type="pct"/>
            <w:vAlign w:val="center"/>
          </w:tcPr>
          <w:p w14:paraId="290528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六门储物柜</w:t>
            </w:r>
          </w:p>
        </w:tc>
        <w:tc>
          <w:tcPr>
            <w:tcW w:w="2119" w:type="pct"/>
            <w:vAlign w:val="center"/>
          </w:tcPr>
          <w:p w14:paraId="2AE02BDE">
            <w:pPr>
              <w:pStyle w:val="76"/>
              <w:numPr>
                <w:ilvl w:val="0"/>
                <w:numId w:val="0"/>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储物柜尺寸：≥1030mm×600mm×1920mm（投标文件中需提供实物测量照片，以佐证实物满足上述参数中相对应的数值）；</w:t>
            </w:r>
          </w:p>
          <w:p w14:paraId="1002A99F">
            <w:pPr>
              <w:pStyle w:val="76"/>
              <w:numPr>
                <w:ilvl w:val="0"/>
                <w:numId w:val="0"/>
              </w:numPr>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材质：采用冷轧钢板材料喷塑处理，厚度≥0.7mm，钢板部分经剪切、模具冲压、折弯成型、组焊接、喷涂、组装而成，表面经酸洗、磷化、钝化等后全封闭静电喷塑，热固性粉末涂料静电喷涂处理；</w:t>
            </w:r>
          </w:p>
          <w:p w14:paraId="600E6544">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对开门设计，合计3层；柜门选用注塑一体成型设计，尺寸590mm（±</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）×475mm（±</w:t>
            </w:r>
            <w:r>
              <w:rPr>
                <w:rFonts w:hint="eastAsia" w:ascii="宋体" w:hAnsi="宋体" w:eastAsia="宋体" w:cs="宋体"/>
                <w:color w:val="auto"/>
                <w:sz w:val="21"/>
                <w:szCs w:val="21"/>
                <w:highlight w:val="none"/>
                <w:lang w:val="en-US" w:eastAsia="zh-CN"/>
              </w:rPr>
              <w:t>5</w:t>
            </w:r>
            <w:bookmarkStart w:id="130" w:name="_GoBack"/>
            <w:bookmarkEnd w:id="130"/>
            <w:r>
              <w:rPr>
                <w:rFonts w:hint="eastAsia" w:ascii="宋体" w:hAnsi="宋体" w:eastAsia="宋体" w:cs="宋体"/>
                <w:color w:val="auto"/>
                <w:sz w:val="21"/>
                <w:szCs w:val="21"/>
                <w:highlight w:val="none"/>
              </w:rPr>
              <w:t>），背面方格状加固筋，可安装挂锁；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w:t>
            </w:r>
            <w:r>
              <w:rPr>
                <w:rFonts w:hint="eastAsia" w:ascii="宋体" w:hAnsi="宋体" w:eastAsia="宋体" w:cs="宋体"/>
                <w:color w:val="auto"/>
                <w:sz w:val="21"/>
                <w:szCs w:val="21"/>
                <w:highlight w:val="none"/>
                <w:lang w:eastAsia="zh-CN"/>
              </w:rPr>
              <w:t>效果图</w:t>
            </w:r>
            <w:r>
              <w:rPr>
                <w:rFonts w:hint="eastAsia" w:ascii="宋体" w:hAnsi="宋体" w:eastAsia="宋体" w:cs="宋体"/>
                <w:color w:val="auto"/>
                <w:sz w:val="21"/>
                <w:szCs w:val="21"/>
                <w:highlight w:val="none"/>
              </w:rPr>
              <w:t>和设计图，设计图标注尺寸。</w:t>
            </w:r>
            <w:r>
              <w:rPr>
                <w:rFonts w:hint="eastAsia" w:ascii="宋体" w:hAnsi="宋体" w:eastAsia="宋体" w:cs="宋体"/>
                <w:color w:val="auto"/>
                <w:sz w:val="21"/>
                <w:szCs w:val="21"/>
                <w:highlight w:val="none"/>
                <w:lang w:eastAsia="zh-CN"/>
              </w:rPr>
              <w:t>）</w:t>
            </w:r>
          </w:p>
          <w:p w14:paraId="7CE0D09A">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表面处理：所有板件均进行清洗、除油、防锈、磷化等处理；</w:t>
            </w:r>
          </w:p>
          <w:p w14:paraId="2880E495">
            <w:pPr>
              <w:pStyle w:val="76"/>
              <w:spacing w:beforeLines="0" w:afterLines="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外观质量：各组合件表面光滑、平整、没有尖角、凸起；色泽一致，无流挂起粒、皱皮、露底剥落现象；漆面均匀光亮，无划伤；</w:t>
            </w:r>
          </w:p>
          <w:p w14:paraId="1AF574D8">
            <w:pPr>
              <w:pStyle w:val="76"/>
              <w:spacing w:beforeLines="0" w:afterLines="0" w:line="240" w:lineRule="auto"/>
              <w:rPr>
                <w:rFonts w:hint="eastAsia" w:ascii="宋体" w:hAnsi="宋体" w:eastAsia="@仿宋_GB2312" w:cs="宋体"/>
                <w:bCs/>
                <w:color w:val="auto"/>
                <w:sz w:val="21"/>
                <w:szCs w:val="21"/>
                <w:highlight w:val="none"/>
                <w:lang w:eastAsia="zh-CN"/>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耐酸性≥240h无异常；耐湿热性无生锈、无起泡、无变色、无开裂；产品表面理化性能：金属喷漆(塑)涂层，铅笔硬度H，应无塑性变形和或内聚破坏；家具中可迁移有害元素限量要求未检出（投标文件中提供</w:t>
            </w:r>
            <w:r>
              <w:rPr>
                <w:rFonts w:hint="eastAsia" w:ascii="宋体" w:hAnsi="宋体" w:eastAsia="宋体" w:cs="宋体"/>
                <w:color w:val="auto"/>
                <w:sz w:val="21"/>
                <w:szCs w:val="21"/>
                <w:highlight w:val="none"/>
                <w:lang w:val="en-US" w:eastAsia="zh-CN"/>
              </w:rPr>
              <w:t>由第三方检测机构出具的储物柜检测报告予以证明</w:t>
            </w:r>
            <w:r>
              <w:rPr>
                <w:rFonts w:hint="eastAsia" w:ascii="宋体" w:hAnsi="宋体" w:eastAsia="宋体" w:cs="宋体"/>
                <w:color w:val="auto"/>
                <w:sz w:val="21"/>
                <w:szCs w:val="21"/>
                <w:highlight w:val="none"/>
              </w:rPr>
              <w:t>）</w:t>
            </w:r>
            <w:r>
              <w:rPr>
                <w:rFonts w:hint="eastAsia"/>
                <w:color w:val="auto"/>
                <w:highlight w:val="none"/>
                <w:lang w:eastAsia="zh-CN"/>
              </w:rPr>
              <w:t>。</w:t>
            </w:r>
          </w:p>
        </w:tc>
        <w:tc>
          <w:tcPr>
            <w:tcW w:w="574" w:type="pct"/>
            <w:vAlign w:val="center"/>
          </w:tcPr>
          <w:p w14:paraId="5E37A6F7">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109套</w:t>
            </w:r>
          </w:p>
        </w:tc>
        <w:tc>
          <w:tcPr>
            <w:tcW w:w="339" w:type="pct"/>
            <w:vAlign w:val="center"/>
          </w:tcPr>
          <w:p w14:paraId="61563C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工业</w:t>
            </w:r>
          </w:p>
        </w:tc>
        <w:tc>
          <w:tcPr>
            <w:tcW w:w="505" w:type="pct"/>
            <w:vAlign w:val="center"/>
          </w:tcPr>
          <w:p w14:paraId="5A7CF0C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否</w:t>
            </w:r>
          </w:p>
        </w:tc>
        <w:tc>
          <w:tcPr>
            <w:tcW w:w="627" w:type="pct"/>
            <w:vAlign w:val="center"/>
          </w:tcPr>
          <w:p w14:paraId="4ED61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rPr>
            </w:pPr>
            <w:r>
              <w:rPr>
                <w:color w:val="auto"/>
                <w:highlight w:val="none"/>
              </w:rPr>
              <w:drawing>
                <wp:inline distT="0" distB="0" distL="114300" distR="114300">
                  <wp:extent cx="726440" cy="1043305"/>
                  <wp:effectExtent l="0" t="0" r="1651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726440" cy="1043305"/>
                          </a:xfrm>
                          <a:prstGeom prst="rect">
                            <a:avLst/>
                          </a:prstGeom>
                          <a:noFill/>
                          <a:ln>
                            <a:noFill/>
                          </a:ln>
                        </pic:spPr>
                      </pic:pic>
                    </a:graphicData>
                  </a:graphic>
                </wp:inline>
              </w:drawing>
            </w:r>
          </w:p>
        </w:tc>
      </w:tr>
    </w:tbl>
    <w:p w14:paraId="0FEB54EC">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b/>
          <w:bCs w:val="0"/>
          <w:color w:val="auto"/>
          <w:sz w:val="21"/>
          <w:szCs w:val="21"/>
          <w:highlight w:val="none"/>
          <w:lang w:eastAsia="zh-CN"/>
        </w:rPr>
      </w:pPr>
      <w:bookmarkStart w:id="19" w:name="_Toc4843"/>
      <w:bookmarkStart w:id="20" w:name="_Toc7421"/>
      <w:r>
        <w:rPr>
          <w:rFonts w:hint="eastAsia" w:ascii="宋体" w:hAnsi="宋体" w:eastAsia="宋体"/>
          <w:b/>
          <w:bCs w:val="0"/>
          <w:color w:val="auto"/>
          <w:sz w:val="21"/>
          <w:szCs w:val="21"/>
          <w:highlight w:val="none"/>
        </w:rPr>
        <w:t>注：</w:t>
      </w:r>
      <w:r>
        <w:rPr>
          <w:rFonts w:hint="eastAsia" w:ascii="宋体" w:hAnsi="宋体" w:eastAsia="宋体"/>
          <w:b/>
          <w:bCs w:val="0"/>
          <w:color w:val="auto"/>
          <w:sz w:val="21"/>
          <w:szCs w:val="21"/>
          <w:highlight w:val="none"/>
          <w:lang w:val="en-US" w:eastAsia="zh-CN"/>
        </w:rPr>
        <w:t>1.</w:t>
      </w:r>
      <w:r>
        <w:rPr>
          <w:rFonts w:hint="eastAsia" w:ascii="宋体" w:hAnsi="宋体" w:eastAsia="宋体"/>
          <w:b/>
          <w:bCs w:val="0"/>
          <w:color w:val="auto"/>
          <w:sz w:val="21"/>
          <w:szCs w:val="21"/>
          <w:highlight w:val="none"/>
        </w:rPr>
        <w:t>带★项参数及技术标准，不得有负偏差，否则视为不响应招标文件技术要求，按无效标处理</w:t>
      </w:r>
      <w:r>
        <w:rPr>
          <w:rFonts w:hint="eastAsia" w:ascii="宋体" w:hAnsi="宋体" w:eastAsia="宋体"/>
          <w:b/>
          <w:bCs w:val="0"/>
          <w:color w:val="auto"/>
          <w:sz w:val="21"/>
          <w:szCs w:val="21"/>
          <w:highlight w:val="none"/>
          <w:lang w:eastAsia="zh-CN"/>
        </w:rPr>
        <w:t>。</w:t>
      </w:r>
    </w:p>
    <w:p w14:paraId="19140930">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b/>
          <w:bCs w:val="0"/>
          <w:color w:val="auto"/>
          <w:sz w:val="21"/>
          <w:szCs w:val="21"/>
          <w:highlight w:val="none"/>
        </w:rPr>
      </w:pPr>
      <w:r>
        <w:rPr>
          <w:rFonts w:hint="eastAsia" w:ascii="宋体" w:hAnsi="宋体" w:eastAsia="宋体"/>
          <w:b/>
          <w:bCs w:val="0"/>
          <w:color w:val="auto"/>
          <w:sz w:val="21"/>
          <w:szCs w:val="21"/>
          <w:highlight w:val="none"/>
          <w:lang w:val="en-US" w:eastAsia="zh-CN"/>
        </w:rPr>
        <w:t>2.</w:t>
      </w:r>
      <w:r>
        <w:rPr>
          <w:rFonts w:hint="eastAsia" w:ascii="宋体" w:hAnsi="宋体" w:eastAsia="宋体"/>
          <w:b/>
          <w:bCs w:val="0"/>
          <w:color w:val="auto"/>
          <w:sz w:val="21"/>
          <w:szCs w:val="21"/>
          <w:highlight w:val="none"/>
        </w:rPr>
        <w:t>投标人自行勘察本项目实施现场，核对现场可能影响货物后期安装的全部因素，确保所投货物满足现场实际安装要求；因未勘察现场而引起的一切责任由投标人自行承担。</w:t>
      </w:r>
    </w:p>
    <w:p w14:paraId="4174811A">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b/>
          <w:bCs w:val="0"/>
          <w:color w:val="auto"/>
          <w:sz w:val="21"/>
          <w:szCs w:val="21"/>
          <w:highlight w:val="none"/>
        </w:rPr>
      </w:pPr>
      <w:r>
        <w:rPr>
          <w:rFonts w:hint="eastAsia" w:ascii="宋体" w:hAnsi="宋体" w:eastAsia="宋体"/>
          <w:b/>
          <w:bCs w:val="0"/>
          <w:color w:val="auto"/>
          <w:sz w:val="21"/>
          <w:szCs w:val="21"/>
          <w:highlight w:val="none"/>
          <w:lang w:val="en-US" w:eastAsia="zh-CN"/>
        </w:rPr>
        <w:t>3</w:t>
      </w:r>
      <w:r>
        <w:rPr>
          <w:rFonts w:hint="eastAsia" w:ascii="宋体" w:hAnsi="宋体" w:eastAsia="宋体"/>
          <w:b/>
          <w:bCs w:val="0"/>
          <w:color w:val="auto"/>
          <w:sz w:val="21"/>
          <w:szCs w:val="21"/>
          <w:highlight w:val="none"/>
        </w:rPr>
        <w:t>.清单中非定制货物、设备尺寸允许有细微偏差，但如果在后期安装过程中出现不符合现场实际安装情况，中标人则需无条件更换货物、设备。</w:t>
      </w:r>
    </w:p>
    <w:p w14:paraId="01E2D8C7">
      <w:pPr>
        <w:keepNext w:val="0"/>
        <w:keepLines w:val="0"/>
        <w:pageBreakBefore w:val="0"/>
        <w:widowControl w:val="0"/>
        <w:kinsoku/>
        <w:wordWrap/>
        <w:overflowPunct/>
        <w:topLinePunct w:val="0"/>
        <w:autoSpaceDE/>
        <w:autoSpaceDN/>
        <w:bidi w:val="0"/>
        <w:adjustRightInd/>
        <w:snapToGrid/>
        <w:spacing w:line="520" w:lineRule="exact"/>
        <w:ind w:firstLine="437"/>
        <w:jc w:val="left"/>
        <w:textAlignment w:val="auto"/>
        <w:rPr>
          <w:rFonts w:hint="eastAsia" w:ascii="宋体" w:hAnsi="宋体" w:eastAsia="宋体"/>
          <w:b/>
          <w:bCs w:val="0"/>
          <w:color w:val="auto"/>
          <w:sz w:val="21"/>
          <w:szCs w:val="21"/>
          <w:highlight w:val="none"/>
          <w:lang w:val="en-US" w:eastAsia="zh-CN"/>
        </w:rPr>
      </w:pPr>
      <w:r>
        <w:rPr>
          <w:rFonts w:hint="eastAsia" w:ascii="宋体" w:hAnsi="宋体" w:eastAsia="宋体"/>
          <w:b/>
          <w:bCs w:val="0"/>
          <w:color w:val="auto"/>
          <w:sz w:val="21"/>
          <w:szCs w:val="21"/>
          <w:highlight w:val="none"/>
          <w:lang w:val="en-US" w:eastAsia="zh-CN"/>
        </w:rPr>
        <w:t>4.</w:t>
      </w:r>
      <w:r>
        <w:rPr>
          <w:rFonts w:hint="eastAsia" w:ascii="宋体" w:hAnsi="宋体" w:eastAsia="宋体"/>
          <w:b/>
          <w:bCs w:val="0"/>
          <w:color w:val="auto"/>
          <w:sz w:val="21"/>
          <w:szCs w:val="21"/>
          <w:highlight w:val="none"/>
        </w:rPr>
        <w:t>产品验收前必须保证合格；按</w:t>
      </w:r>
      <w:r>
        <w:rPr>
          <w:rFonts w:hint="eastAsia" w:ascii="宋体" w:hAnsi="宋体" w:eastAsia="宋体"/>
          <w:b/>
          <w:bCs w:val="0"/>
          <w:color w:val="auto"/>
          <w:sz w:val="21"/>
          <w:szCs w:val="21"/>
          <w:highlight w:val="none"/>
          <w:lang w:val="en-US" w:eastAsia="zh-CN"/>
        </w:rPr>
        <w:t>采购人</w:t>
      </w:r>
      <w:r>
        <w:rPr>
          <w:rFonts w:hint="eastAsia" w:ascii="宋体" w:hAnsi="宋体" w:eastAsia="宋体"/>
          <w:b/>
          <w:bCs w:val="0"/>
          <w:color w:val="auto"/>
          <w:sz w:val="21"/>
          <w:szCs w:val="21"/>
          <w:highlight w:val="none"/>
        </w:rPr>
        <w:t>要求送检，</w:t>
      </w:r>
      <w:r>
        <w:rPr>
          <w:rFonts w:hint="eastAsia" w:ascii="宋体" w:hAnsi="宋体" w:eastAsia="宋体"/>
          <w:b/>
          <w:bCs w:val="0"/>
          <w:color w:val="auto"/>
          <w:sz w:val="21"/>
          <w:szCs w:val="21"/>
          <w:highlight w:val="none"/>
          <w:lang w:val="en-US" w:eastAsia="zh-CN"/>
        </w:rPr>
        <w:t>采购人</w:t>
      </w:r>
      <w:r>
        <w:rPr>
          <w:rFonts w:hint="eastAsia" w:ascii="宋体" w:hAnsi="宋体" w:eastAsia="宋体"/>
          <w:b/>
          <w:bCs w:val="0"/>
          <w:color w:val="auto"/>
          <w:sz w:val="21"/>
          <w:szCs w:val="21"/>
          <w:highlight w:val="none"/>
        </w:rPr>
        <w:t>有权委托第三方进行产品质量、规格要求等检测，检测不合格的</w:t>
      </w:r>
      <w:r>
        <w:rPr>
          <w:rFonts w:hint="eastAsia" w:ascii="宋体" w:hAnsi="宋体" w:eastAsia="宋体"/>
          <w:b/>
          <w:bCs w:val="0"/>
          <w:color w:val="auto"/>
          <w:sz w:val="21"/>
          <w:szCs w:val="21"/>
          <w:highlight w:val="none"/>
          <w:lang w:val="en-US" w:eastAsia="zh-CN"/>
        </w:rPr>
        <w:t>由中标人</w:t>
      </w:r>
      <w:r>
        <w:rPr>
          <w:rFonts w:hint="eastAsia" w:ascii="宋体" w:hAnsi="宋体" w:eastAsia="宋体"/>
          <w:b/>
          <w:bCs w:val="0"/>
          <w:color w:val="auto"/>
          <w:sz w:val="21"/>
          <w:szCs w:val="21"/>
          <w:highlight w:val="none"/>
        </w:rPr>
        <w:t>更换所有产品并承担违约责任及损失</w:t>
      </w:r>
      <w:r>
        <w:rPr>
          <w:rFonts w:hint="eastAsia" w:ascii="宋体" w:hAnsi="宋体" w:eastAsia="宋体"/>
          <w:b/>
          <w:bCs w:val="0"/>
          <w:color w:val="auto"/>
          <w:sz w:val="21"/>
          <w:szCs w:val="21"/>
          <w:highlight w:val="none"/>
          <w:lang w:eastAsia="zh-CN"/>
        </w:rPr>
        <w:t>。</w:t>
      </w:r>
    </w:p>
    <w:p w14:paraId="1825D480">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lang w:val="en-US" w:eastAsia="zh-CN"/>
        </w:rPr>
        <w:t>三</w:t>
      </w:r>
      <w:r>
        <w:rPr>
          <w:rFonts w:hint="eastAsia" w:ascii="宋体" w:hAnsi="宋体" w:eastAsia="宋体"/>
          <w:b/>
          <w:bCs/>
          <w:color w:val="auto"/>
          <w:sz w:val="24"/>
          <w:szCs w:val="18"/>
          <w:highlight w:val="none"/>
        </w:rPr>
        <w:t>、报价要求</w:t>
      </w:r>
      <w:bookmarkEnd w:id="19"/>
      <w:bookmarkEnd w:id="20"/>
    </w:p>
    <w:p w14:paraId="6E2D6DA0">
      <w:pPr>
        <w:spacing w:line="360" w:lineRule="auto"/>
        <w:ind w:firstLine="437"/>
        <w:rPr>
          <w:rFonts w:ascii="宋体" w:hAnsi="宋体" w:eastAsia="宋体"/>
          <w:bCs/>
          <w:color w:val="auto"/>
          <w:sz w:val="24"/>
          <w:szCs w:val="18"/>
          <w:highlight w:val="none"/>
        </w:rPr>
      </w:pPr>
      <w:r>
        <w:rPr>
          <w:rFonts w:hint="eastAsia" w:ascii="宋体" w:hAnsi="宋体" w:eastAsia="宋体"/>
          <w:bCs/>
          <w:color w:val="auto"/>
          <w:sz w:val="24"/>
          <w:szCs w:val="18"/>
          <w:highlight w:val="none"/>
        </w:rPr>
        <w:t>本项目总价包干，投标报价包括货物从设计、生产、运输安装、交货、环境检测、工完场清、验收合格等至售后服务、税金</w:t>
      </w:r>
      <w:r>
        <w:rPr>
          <w:rFonts w:hint="eastAsia" w:ascii="宋体" w:hAnsi="宋体" w:eastAsia="宋体"/>
          <w:bCs/>
          <w:color w:val="auto"/>
          <w:sz w:val="24"/>
          <w:szCs w:val="18"/>
          <w:highlight w:val="none"/>
          <w:lang w:eastAsia="zh-CN"/>
        </w:rPr>
        <w:t>、</w:t>
      </w:r>
      <w:r>
        <w:rPr>
          <w:rFonts w:hint="eastAsia" w:ascii="宋体" w:hAnsi="宋体" w:eastAsia="宋体" w:cs="宋体"/>
          <w:color w:val="auto"/>
          <w:kern w:val="2"/>
          <w:sz w:val="24"/>
          <w:szCs w:val="24"/>
          <w:highlight w:val="none"/>
          <w:lang w:val="en-US" w:eastAsia="zh-CN" w:bidi="ar"/>
        </w:rPr>
        <w:t>学生公寓内部现存床铺及家具的拆除、搬运</w:t>
      </w:r>
      <w:r>
        <w:rPr>
          <w:rFonts w:hint="eastAsia" w:ascii="宋体" w:hAnsi="宋体" w:eastAsia="宋体"/>
          <w:bCs/>
          <w:color w:val="auto"/>
          <w:sz w:val="24"/>
          <w:szCs w:val="18"/>
          <w:highlight w:val="none"/>
        </w:rPr>
        <w:t>等的一切费用。采购人后期不予追加任何费用。</w:t>
      </w:r>
    </w:p>
    <w:p w14:paraId="57C9D20E">
      <w:pPr>
        <w:spacing w:line="360" w:lineRule="auto"/>
        <w:ind w:firstLine="437"/>
        <w:outlineLvl w:val="1"/>
        <w:rPr>
          <w:rFonts w:ascii="宋体" w:hAnsi="宋体" w:eastAsia="宋体"/>
          <w:b/>
          <w:bCs/>
          <w:color w:val="auto"/>
          <w:sz w:val="24"/>
          <w:szCs w:val="18"/>
          <w:highlight w:val="none"/>
        </w:rPr>
      </w:pPr>
      <w:bookmarkStart w:id="21" w:name="_Toc15293"/>
      <w:bookmarkStart w:id="22" w:name="_Toc14698"/>
      <w:r>
        <w:rPr>
          <w:rFonts w:hint="eastAsia" w:ascii="宋体" w:hAnsi="宋体" w:eastAsia="宋体"/>
          <w:b/>
          <w:bCs/>
          <w:color w:val="auto"/>
          <w:sz w:val="24"/>
          <w:szCs w:val="18"/>
          <w:highlight w:val="none"/>
          <w:lang w:val="en-US" w:eastAsia="zh-CN"/>
        </w:rPr>
        <w:t>四</w:t>
      </w:r>
      <w:r>
        <w:rPr>
          <w:rFonts w:hint="eastAsia" w:ascii="宋体" w:hAnsi="宋体" w:eastAsia="宋体"/>
          <w:b/>
          <w:bCs/>
          <w:color w:val="auto"/>
          <w:sz w:val="24"/>
          <w:szCs w:val="18"/>
          <w:highlight w:val="none"/>
        </w:rPr>
        <w:t>、其他要求</w:t>
      </w:r>
      <w:bookmarkEnd w:id="21"/>
      <w:bookmarkEnd w:id="22"/>
    </w:p>
    <w:p w14:paraId="6423036B">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1.货物的生产、安装、维修、检验、验收等按照以下原则执行：有国家标准的执行国家标准；无国家标准的执行行业标准；无行业标准的执行地方标准；无地方标准的执行企业标准。</w:t>
      </w:r>
    </w:p>
    <w:p w14:paraId="0F7D7B51">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2.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6482058D">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3.供货时所有货物（包括零部件）须为全新的、未使用过的原装正品，并完全符合国家质量标准，提供厂家出具的合格证书、有国家强制性认证要求的产品须提供相应证书，货物的技术参数及配置情况必须由投标人提供国家相关检测机构出具的检验报告、生产厂家公开发布的印刷资料等技术资料予以支持。没有技术资料支持的技术参数及配置不能视为响应。 (厂家出具的合格证书供货时提供)</w:t>
      </w:r>
    </w:p>
    <w:p w14:paraId="35F072F4">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4.中标人合同签订后须实地勘察测量，确定精准尺寸，防止安装空间实际尺寸与图纸不符或有误差而导致货物无法安装等情况。若因中标人未勘察或勘察不清造成无法安装带来的一切损失由中标人自行承担。</w:t>
      </w:r>
    </w:p>
    <w:p w14:paraId="64495246">
      <w:pPr>
        <w:spacing w:line="360" w:lineRule="auto"/>
        <w:ind w:firstLine="437"/>
        <w:rPr>
          <w:rFonts w:hint="default"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5.中标人负责将</w:t>
      </w:r>
      <w:r>
        <w:rPr>
          <w:rFonts w:hint="default" w:ascii="宋体" w:hAnsi="宋体" w:eastAsia="宋体"/>
          <w:bCs/>
          <w:color w:val="auto"/>
          <w:sz w:val="24"/>
          <w:szCs w:val="18"/>
          <w:highlight w:val="none"/>
          <w:lang w:val="en-US" w:eastAsia="zh-CN"/>
        </w:rPr>
        <w:t>学生公寓内部</w:t>
      </w:r>
      <w:r>
        <w:rPr>
          <w:rFonts w:hint="eastAsia" w:ascii="宋体" w:hAnsi="宋体" w:eastAsia="宋体"/>
          <w:bCs/>
          <w:color w:val="auto"/>
          <w:sz w:val="24"/>
          <w:szCs w:val="18"/>
          <w:highlight w:val="none"/>
          <w:lang w:val="en-US" w:eastAsia="zh-CN"/>
        </w:rPr>
        <w:t>现有</w:t>
      </w:r>
      <w:r>
        <w:rPr>
          <w:rFonts w:hint="default" w:ascii="宋体" w:hAnsi="宋体" w:eastAsia="宋体"/>
          <w:bCs/>
          <w:color w:val="auto"/>
          <w:sz w:val="24"/>
          <w:szCs w:val="18"/>
          <w:highlight w:val="none"/>
          <w:lang w:val="en-US" w:eastAsia="zh-CN"/>
        </w:rPr>
        <w:t>床铺及家具拆除并搬运至</w:t>
      </w:r>
      <w:r>
        <w:rPr>
          <w:rFonts w:hint="eastAsia" w:ascii="宋体" w:hAnsi="宋体" w:eastAsia="宋体"/>
          <w:bCs/>
          <w:color w:val="auto"/>
          <w:sz w:val="24"/>
          <w:szCs w:val="18"/>
          <w:highlight w:val="none"/>
          <w:lang w:val="en-US" w:eastAsia="zh-CN"/>
        </w:rPr>
        <w:t>采购人</w:t>
      </w:r>
      <w:r>
        <w:rPr>
          <w:rFonts w:hint="default" w:ascii="宋体" w:hAnsi="宋体" w:eastAsia="宋体"/>
          <w:bCs/>
          <w:color w:val="auto"/>
          <w:sz w:val="24"/>
          <w:szCs w:val="18"/>
          <w:highlight w:val="none"/>
          <w:lang w:val="en-US" w:eastAsia="zh-CN"/>
        </w:rPr>
        <w:t>指定地点存放</w:t>
      </w:r>
      <w:r>
        <w:rPr>
          <w:rFonts w:hint="eastAsia" w:ascii="宋体" w:hAnsi="宋体" w:eastAsia="宋体"/>
          <w:bCs/>
          <w:color w:val="auto"/>
          <w:sz w:val="24"/>
          <w:szCs w:val="18"/>
          <w:highlight w:val="none"/>
          <w:lang w:val="en-US" w:eastAsia="zh-CN"/>
        </w:rPr>
        <w:t>。相关费用均包含在中标价中，采购人不再另行支付费用。</w:t>
      </w:r>
    </w:p>
    <w:p w14:paraId="0D115B49">
      <w:pPr>
        <w:spacing w:line="360" w:lineRule="auto"/>
        <w:ind w:firstLine="437"/>
        <w:rPr>
          <w:rFonts w:hint="default"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6.采购人仅对按要求张贴资产条形码的合格产品进行验收。</w:t>
      </w:r>
    </w:p>
    <w:p w14:paraId="4787BD2D">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7.免费质保期为验收合格之日起不少于3年。具体期限以中标人投标承诺为准。在免费质保服务期限内，中标人应在合同货物出现故障和缺陷时，接到采购人通知后2小时内予以答复，如采购人有要求或必要时，中标人应在接到采购人通知后24小时内，进行维修。因中标人自身产品和安装质量原因而出现的质量问题由中标人负责包修、包换或包退，并承担修理、调换或退货的实际费用；属于人为损坏的由采购人负责。</w:t>
      </w:r>
    </w:p>
    <w:p w14:paraId="50F545E8">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8.免费质保期内，中标人每年须至少提供2次的上门巡检服务，巡检过程中须根据宿舍设备使用情况，免费更换常用配件，如抽屉滑轨、备用柜门板、铰链、镙丝、蚊帐杆、蚊帐杆塑料插件等产品备件及常用维修工具。无正当理由，中标人不得拒绝上门巡检服务及备品备件更换。</w:t>
      </w:r>
    </w:p>
    <w:p w14:paraId="67ABBF6D">
      <w:pPr>
        <w:spacing w:line="360" w:lineRule="auto"/>
        <w:ind w:firstLine="437"/>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9.中标人不履行免费质保期约定的，采购人有权依法依规追究中标人法律责任，由此产生的责任与后果均由中标人承担。</w:t>
      </w:r>
      <w:r>
        <w:rPr>
          <w:rFonts w:hint="eastAsia" w:ascii="宋体" w:hAnsi="宋体" w:eastAsia="宋体"/>
          <w:bCs/>
          <w:color w:val="auto"/>
          <w:sz w:val="24"/>
          <w:szCs w:val="18"/>
          <w:highlight w:val="none"/>
          <w:lang w:val="en-US" w:eastAsia="zh-CN"/>
        </w:rPr>
        <w:br w:type="page"/>
      </w:r>
    </w:p>
    <w:p w14:paraId="15699A42">
      <w:pPr>
        <w:pStyle w:val="12"/>
        <w:rPr>
          <w:rFonts w:hint="eastAsia"/>
          <w:color w:val="auto"/>
          <w:highlight w:val="none"/>
          <w:lang w:val="en-US" w:eastAsia="zh-CN"/>
        </w:rPr>
      </w:pPr>
    </w:p>
    <w:p w14:paraId="6B965827">
      <w:pPr>
        <w:spacing w:line="360" w:lineRule="auto"/>
        <w:jc w:val="center"/>
        <w:outlineLvl w:val="0"/>
        <w:rPr>
          <w:rFonts w:asciiTheme="minorEastAsia" w:hAnsiTheme="minorEastAsia" w:eastAsiaTheme="minorEastAsia"/>
          <w:b/>
          <w:color w:val="auto"/>
          <w:sz w:val="28"/>
          <w:highlight w:val="none"/>
        </w:rPr>
      </w:pPr>
      <w:bookmarkStart w:id="23" w:name="_Toc16417"/>
      <w:r>
        <w:rPr>
          <w:rFonts w:hint="eastAsia" w:asciiTheme="minorEastAsia" w:hAnsiTheme="minorEastAsia" w:eastAsiaTheme="minorEastAsia"/>
          <w:b/>
          <w:color w:val="auto"/>
          <w:sz w:val="28"/>
          <w:highlight w:val="none"/>
        </w:rPr>
        <w:t>第四章  评标方法和标准（综合评分法）</w:t>
      </w:r>
      <w:bookmarkEnd w:id="23"/>
    </w:p>
    <w:p w14:paraId="40F2FCC7">
      <w:pPr>
        <w:spacing w:line="360" w:lineRule="auto"/>
        <w:ind w:firstLine="437"/>
        <w:outlineLvl w:val="1"/>
        <w:rPr>
          <w:rFonts w:asciiTheme="minorEastAsia" w:hAnsiTheme="minorEastAsia" w:eastAsiaTheme="minorEastAsia"/>
          <w:b/>
          <w:color w:val="auto"/>
          <w:sz w:val="24"/>
          <w:highlight w:val="none"/>
        </w:rPr>
      </w:pPr>
      <w:bookmarkStart w:id="24" w:name="_Toc11823"/>
      <w:bookmarkStart w:id="25" w:name="_Toc1246"/>
      <w:r>
        <w:rPr>
          <w:rFonts w:hint="eastAsia" w:asciiTheme="minorEastAsia" w:hAnsiTheme="minorEastAsia" w:eastAsiaTheme="minorEastAsia"/>
          <w:b/>
          <w:color w:val="auto"/>
          <w:sz w:val="24"/>
          <w:highlight w:val="none"/>
        </w:rPr>
        <w:t>一、总则</w:t>
      </w:r>
      <w:bookmarkEnd w:id="24"/>
      <w:bookmarkEnd w:id="25"/>
    </w:p>
    <w:p w14:paraId="452C0C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19003A87">
      <w:pPr>
        <w:spacing w:line="360" w:lineRule="auto"/>
        <w:ind w:firstLine="437"/>
        <w:outlineLvl w:val="1"/>
        <w:rPr>
          <w:rFonts w:asciiTheme="minorEastAsia" w:hAnsiTheme="minorEastAsia" w:eastAsiaTheme="minorEastAsia"/>
          <w:b/>
          <w:color w:val="auto"/>
          <w:sz w:val="24"/>
          <w:highlight w:val="none"/>
        </w:rPr>
      </w:pPr>
      <w:bookmarkStart w:id="26" w:name="_Toc31871"/>
      <w:bookmarkStart w:id="27" w:name="_Toc13117"/>
      <w:r>
        <w:rPr>
          <w:rFonts w:hint="eastAsia" w:asciiTheme="minorEastAsia" w:hAnsiTheme="minorEastAsia" w:eastAsiaTheme="minorEastAsia"/>
          <w:b/>
          <w:color w:val="auto"/>
          <w:sz w:val="24"/>
          <w:highlight w:val="none"/>
        </w:rPr>
        <w:t>二、评标方法</w:t>
      </w:r>
      <w:bookmarkEnd w:id="26"/>
      <w:bookmarkEnd w:id="27"/>
    </w:p>
    <w:p w14:paraId="15FA0B6B">
      <w:pPr>
        <w:spacing w:line="360" w:lineRule="auto"/>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8"/>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648"/>
        <w:gridCol w:w="4558"/>
        <w:gridCol w:w="2218"/>
      </w:tblGrid>
      <w:tr w14:paraId="14E8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7AA36EA0">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b/>
                <w:color w:val="auto"/>
                <w:sz w:val="24"/>
                <w:szCs w:val="22"/>
                <w:highlight w:val="none"/>
              </w:rPr>
              <w:t>资格审查表</w:t>
            </w:r>
          </w:p>
        </w:tc>
      </w:tr>
      <w:tr w14:paraId="32D0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4F9E7D62">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907" w:type="pct"/>
            <w:tcBorders>
              <w:bottom w:val="single" w:color="auto" w:sz="4" w:space="0"/>
            </w:tcBorders>
            <w:vAlign w:val="center"/>
          </w:tcPr>
          <w:p w14:paraId="243C5417">
            <w:pPr>
              <w:pStyle w:val="47"/>
              <w:pBdr>
                <w:bottom w:val="none" w:color="auto" w:sz="0" w:space="0"/>
              </w:pBdr>
              <w:tabs>
                <w:tab w:val="clear" w:pos="4153"/>
                <w:tab w:val="clear" w:pos="8306"/>
              </w:tabs>
              <w:snapToGrid w:val="0"/>
              <w:spacing w:line="360" w:lineRule="auto"/>
              <w:ind w:right="-10"/>
              <w:textAlignment w:val="auto"/>
              <w:rPr>
                <w:rFonts w:hint="default" w:ascii="宋体" w:hAnsi="宋体" w:eastAsia="宋体"/>
                <w:color w:val="auto"/>
                <w:kern w:val="2"/>
                <w:szCs w:val="24"/>
                <w:highlight w:val="none"/>
                <w:lang w:val="en-US"/>
              </w:rPr>
            </w:pPr>
            <w:r>
              <w:rPr>
                <w:rFonts w:hint="eastAsia" w:ascii="宋体" w:hAnsi="宋体" w:eastAsia="宋体"/>
                <w:color w:val="auto"/>
                <w:kern w:val="2"/>
                <w:szCs w:val="24"/>
                <w:highlight w:val="none"/>
                <w:lang w:val="en-US" w:eastAsia="zh-CN"/>
              </w:rPr>
              <w:t>审查因素</w:t>
            </w:r>
          </w:p>
        </w:tc>
        <w:tc>
          <w:tcPr>
            <w:tcW w:w="2509" w:type="pct"/>
            <w:tcBorders>
              <w:bottom w:val="single" w:color="auto" w:sz="4" w:space="0"/>
            </w:tcBorders>
            <w:vAlign w:val="center"/>
          </w:tcPr>
          <w:p w14:paraId="371EE5C9">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审查内容</w:t>
            </w:r>
          </w:p>
        </w:tc>
        <w:tc>
          <w:tcPr>
            <w:tcW w:w="1219" w:type="pct"/>
            <w:tcBorders>
              <w:bottom w:val="single" w:color="auto" w:sz="4" w:space="0"/>
            </w:tcBorders>
            <w:vAlign w:val="center"/>
          </w:tcPr>
          <w:p w14:paraId="1D0C6F01">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24AB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63" w:type="pct"/>
            <w:tcBorders>
              <w:bottom w:val="single" w:color="auto" w:sz="4" w:space="0"/>
            </w:tcBorders>
            <w:vAlign w:val="center"/>
          </w:tcPr>
          <w:p w14:paraId="407D4A0A">
            <w:pPr>
              <w:adjustRightInd w:val="0"/>
              <w:snapToGrid w:val="0"/>
              <w:spacing w:line="360" w:lineRule="auto"/>
              <w:ind w:right="-10" w:rightChars="0"/>
              <w:jc w:val="center"/>
              <w:rPr>
                <w:rFonts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rPr>
              <w:t>1</w:t>
            </w:r>
          </w:p>
        </w:tc>
        <w:tc>
          <w:tcPr>
            <w:tcW w:w="907" w:type="pct"/>
            <w:tcBorders>
              <w:bottom w:val="single" w:color="auto" w:sz="4" w:space="0"/>
            </w:tcBorders>
            <w:vAlign w:val="center"/>
          </w:tcPr>
          <w:p w14:paraId="1DADF2CF">
            <w:pPr>
              <w:spacing w:after="50" w:line="360" w:lineRule="auto"/>
              <w:ind w:right="-10" w:rightChars="0"/>
              <w:jc w:val="center"/>
              <w:rPr>
                <w:rFonts w:ascii="宋体" w:hAnsi="宋体" w:eastAsia="宋体" w:cs="@仿宋_GB2312"/>
                <w:color w:val="auto"/>
                <w:kern w:val="2"/>
                <w:sz w:val="24"/>
                <w:szCs w:val="28"/>
                <w:highlight w:val="none"/>
                <w:lang w:val="en-US" w:eastAsia="zh-CN" w:bidi="ar-SA"/>
              </w:rPr>
            </w:pPr>
            <w:r>
              <w:rPr>
                <w:rFonts w:ascii="宋体" w:hAnsi="宋体" w:eastAsia="宋体" w:cs="宋体"/>
                <w:color w:val="auto"/>
                <w:spacing w:val="9"/>
                <w:sz w:val="24"/>
                <w:szCs w:val="24"/>
                <w:highlight w:val="none"/>
              </w:rPr>
              <w:t>营业执照等证明</w:t>
            </w:r>
            <w:r>
              <w:rPr>
                <w:rFonts w:ascii="宋体" w:hAnsi="宋体" w:eastAsia="宋体" w:cs="宋体"/>
                <w:color w:val="auto"/>
                <w:spacing w:val="-3"/>
                <w:sz w:val="24"/>
                <w:szCs w:val="24"/>
                <w:highlight w:val="none"/>
              </w:rPr>
              <w:t>文件</w:t>
            </w:r>
          </w:p>
        </w:tc>
        <w:tc>
          <w:tcPr>
            <w:tcW w:w="2509" w:type="pct"/>
            <w:tcBorders>
              <w:bottom w:val="single" w:color="auto" w:sz="4" w:space="0"/>
            </w:tcBorders>
            <w:vAlign w:val="center"/>
          </w:tcPr>
          <w:p w14:paraId="3CF99E2E">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供有效的营业执照；</w:t>
            </w:r>
          </w:p>
          <w:p w14:paraId="41B3EFE9">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供有效的事业单位法人证书；</w:t>
            </w:r>
          </w:p>
          <w:p w14:paraId="7B18B1FA">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lang w:val="en-US" w:eastAsia="zh-CN"/>
              </w:rPr>
              <w:t>或</w:t>
            </w:r>
            <w:r>
              <w:rPr>
                <w:rFonts w:ascii="宋体" w:hAnsi="宋体" w:eastAsia="宋体" w:cs="宋体"/>
                <w:color w:val="auto"/>
                <w:sz w:val="24"/>
                <w:szCs w:val="24"/>
                <w:highlight w:val="none"/>
              </w:rPr>
              <w:t>登记证书等证明文件；</w:t>
            </w:r>
          </w:p>
          <w:p w14:paraId="4A19916B">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供有效的个体工商户营业执照；</w:t>
            </w:r>
          </w:p>
          <w:p w14:paraId="337598C8">
            <w:pPr>
              <w:spacing w:after="50" w:line="360" w:lineRule="auto"/>
              <w:ind w:right="-10" w:rightChars="0"/>
              <w:jc w:val="left"/>
              <w:rPr>
                <w:rFonts w:ascii="宋体" w:hAnsi="宋体" w:eastAsia="宋体" w:cs="@仿宋_GB2312"/>
                <w:color w:val="auto"/>
                <w:kern w:val="2"/>
                <w:sz w:val="24"/>
                <w:szCs w:val="28"/>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供有效的自然人身份证明。</w:t>
            </w:r>
          </w:p>
        </w:tc>
        <w:tc>
          <w:tcPr>
            <w:tcW w:w="1219" w:type="pct"/>
            <w:vAlign w:val="center"/>
          </w:tcPr>
          <w:p w14:paraId="1BE0D141">
            <w:pPr>
              <w:spacing w:line="360" w:lineRule="auto"/>
              <w:jc w:val="left"/>
              <w:rPr>
                <w:rFonts w:ascii="宋体" w:hAnsi="宋体" w:eastAsia="宋体" w:cs="@仿宋_GB2312"/>
                <w:color w:val="auto"/>
                <w:kern w:val="2"/>
                <w:sz w:val="24"/>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6D6B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63" w:type="pct"/>
            <w:tcBorders>
              <w:bottom w:val="single" w:color="auto" w:sz="4" w:space="0"/>
            </w:tcBorders>
            <w:vAlign w:val="center"/>
          </w:tcPr>
          <w:p w14:paraId="127E6386">
            <w:pPr>
              <w:adjustRightInd w:val="0"/>
              <w:snapToGrid w:val="0"/>
              <w:spacing w:line="360" w:lineRule="auto"/>
              <w:ind w:right="-10" w:rightChars="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w:t>
            </w:r>
          </w:p>
        </w:tc>
        <w:tc>
          <w:tcPr>
            <w:tcW w:w="907" w:type="pct"/>
            <w:tcBorders>
              <w:bottom w:val="single" w:color="auto" w:sz="4" w:space="0"/>
            </w:tcBorders>
            <w:vAlign w:val="center"/>
          </w:tcPr>
          <w:p w14:paraId="012AEF30">
            <w:pPr>
              <w:spacing w:after="50" w:line="360" w:lineRule="auto"/>
              <w:ind w:right="-10" w:rightChars="0"/>
              <w:jc w:val="center"/>
              <w:rPr>
                <w:rFonts w:hint="default" w:ascii="宋体" w:hAnsi="宋体" w:eastAsia="宋体"/>
                <w:color w:val="auto"/>
                <w:sz w:val="24"/>
                <w:szCs w:val="28"/>
                <w:highlight w:val="none"/>
                <w:lang w:val="en-US"/>
              </w:rPr>
            </w:pPr>
            <w:r>
              <w:rPr>
                <w:rFonts w:hint="eastAsia" w:ascii="宋体" w:hAnsi="宋体" w:eastAsia="宋体"/>
                <w:color w:val="auto"/>
                <w:sz w:val="24"/>
                <w:szCs w:val="18"/>
                <w:highlight w:val="none"/>
                <w:lang w:val="en-US" w:eastAsia="zh-CN"/>
              </w:rPr>
              <w:t>投标人资格声明书</w:t>
            </w:r>
          </w:p>
        </w:tc>
        <w:tc>
          <w:tcPr>
            <w:tcW w:w="2509" w:type="pct"/>
            <w:tcBorders>
              <w:bottom w:val="single" w:color="auto" w:sz="4" w:space="0"/>
            </w:tcBorders>
            <w:vAlign w:val="center"/>
          </w:tcPr>
          <w:p w14:paraId="34D12226">
            <w:pPr>
              <w:spacing w:after="50" w:line="360" w:lineRule="auto"/>
              <w:ind w:right="-10" w:rightChars="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lang w:eastAsia="zh-CN"/>
              </w:rPr>
              <w:t>。</w:t>
            </w:r>
          </w:p>
        </w:tc>
        <w:tc>
          <w:tcPr>
            <w:tcW w:w="1219" w:type="pct"/>
            <w:vAlign w:val="center"/>
          </w:tcPr>
          <w:p w14:paraId="441BE2C2">
            <w:pPr>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29ED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082548D4">
            <w:pPr>
              <w:adjustRightInd w:val="0"/>
              <w:snapToGrid w:val="0"/>
              <w:spacing w:line="360" w:lineRule="auto"/>
              <w:ind w:right="-1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w:t>
            </w:r>
          </w:p>
        </w:tc>
        <w:tc>
          <w:tcPr>
            <w:tcW w:w="907" w:type="pct"/>
            <w:tcBorders>
              <w:bottom w:val="single" w:color="auto" w:sz="4" w:space="0"/>
            </w:tcBorders>
            <w:vAlign w:val="center"/>
          </w:tcPr>
          <w:p w14:paraId="02737486">
            <w:pPr>
              <w:spacing w:after="50" w:line="360" w:lineRule="auto"/>
              <w:ind w:right="-10"/>
              <w:jc w:val="center"/>
              <w:rPr>
                <w:rFonts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509" w:type="pct"/>
            <w:tcBorders>
              <w:bottom w:val="single" w:color="auto" w:sz="4" w:space="0"/>
            </w:tcBorders>
            <w:vAlign w:val="center"/>
          </w:tcPr>
          <w:p w14:paraId="47D16C40">
            <w:pPr>
              <w:spacing w:after="50" w:line="360" w:lineRule="auto"/>
              <w:ind w:right="-10" w:rightChars="0"/>
              <w:jc w:val="left"/>
              <w:rPr>
                <w:color w:val="auto"/>
                <w:highlight w:val="none"/>
              </w:rPr>
            </w:pPr>
            <w:r>
              <w:rPr>
                <w:rFonts w:hint="eastAsia" w:ascii="宋体" w:hAnsi="宋体" w:eastAsia="宋体" w:cs="宋体"/>
                <w:color w:val="auto"/>
                <w:sz w:val="24"/>
                <w:szCs w:val="24"/>
                <w:highlight w:val="none"/>
                <w:lang w:val="zh-CN" w:eastAsia="zh-CN"/>
              </w:rPr>
              <w:t>投标人不得存在投标人须知正文第1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lang w:val="en-US" w:eastAsia="zh-CN"/>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219" w:type="pct"/>
            <w:tcBorders>
              <w:bottom w:val="single" w:color="auto" w:sz="4" w:space="0"/>
            </w:tcBorders>
            <w:vAlign w:val="center"/>
          </w:tcPr>
          <w:p w14:paraId="315A4780">
            <w:pPr>
              <w:spacing w:line="360" w:lineRule="auto"/>
              <w:jc w:val="left"/>
              <w:rPr>
                <w:rFonts w:ascii="@仿宋_GB2312" w:hAnsi="@仿宋_GB2312" w:eastAsia="@仿宋_GB2312" w:cs="@仿宋_GB2312"/>
                <w:color w:val="auto"/>
                <w:kern w:val="2"/>
                <w:sz w:val="21"/>
                <w:highlight w:val="none"/>
                <w:lang w:val="en-US" w:eastAsia="zh-CN" w:bidi="ar-SA"/>
              </w:rPr>
            </w:pPr>
            <w:r>
              <w:rPr>
                <w:rFonts w:hint="eastAsia" w:ascii="宋体" w:hAnsi="宋体" w:eastAsia="宋体" w:cs="宋体"/>
                <w:color w:val="auto"/>
                <w:sz w:val="24"/>
                <w:szCs w:val="24"/>
                <w:highlight w:val="none"/>
              </w:rPr>
              <w:t>无须投标人</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供，由采购人或采购代理机构查询。</w:t>
            </w:r>
          </w:p>
        </w:tc>
      </w:tr>
      <w:tr w14:paraId="12BD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64C9CFF6">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4</w:t>
            </w:r>
          </w:p>
        </w:tc>
        <w:tc>
          <w:tcPr>
            <w:tcW w:w="907" w:type="pct"/>
            <w:tcBorders>
              <w:bottom w:val="single" w:color="auto" w:sz="4" w:space="0"/>
            </w:tcBorders>
            <w:vAlign w:val="center"/>
          </w:tcPr>
          <w:p w14:paraId="04372416">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中小企业证明文件</w:t>
            </w:r>
          </w:p>
        </w:tc>
        <w:tc>
          <w:tcPr>
            <w:tcW w:w="2509" w:type="pct"/>
            <w:tcBorders>
              <w:bottom w:val="single" w:color="auto" w:sz="4" w:space="0"/>
            </w:tcBorders>
            <w:vAlign w:val="top"/>
          </w:tcPr>
          <w:p w14:paraId="380767E8">
            <w:pPr>
              <w:spacing w:after="50" w:line="360" w:lineRule="auto"/>
              <w:ind w:right="-10"/>
              <w:jc w:val="left"/>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8"/>
                <w:highlight w:val="none"/>
              </w:rPr>
              <w:t>符合</w:t>
            </w:r>
            <w:r>
              <w:rPr>
                <w:rFonts w:hint="eastAsia" w:ascii="宋体" w:hAnsi="宋体" w:eastAsia="宋体"/>
                <w:color w:val="auto"/>
                <w:sz w:val="24"/>
                <w:szCs w:val="28"/>
                <w:highlight w:val="none"/>
                <w:lang w:val="en-US" w:eastAsia="zh-CN"/>
              </w:rPr>
              <w:t>申请人的</w:t>
            </w:r>
            <w:r>
              <w:rPr>
                <w:rFonts w:hint="eastAsia" w:ascii="宋体" w:hAnsi="宋体" w:eastAsia="宋体"/>
                <w:color w:val="auto"/>
                <w:sz w:val="24"/>
                <w:szCs w:val="28"/>
                <w:highlight w:val="none"/>
              </w:rPr>
              <w:t>资格</w:t>
            </w:r>
            <w:r>
              <w:rPr>
                <w:rFonts w:hint="eastAsia" w:ascii="宋体" w:hAnsi="宋体" w:eastAsia="宋体"/>
                <w:color w:val="auto"/>
                <w:sz w:val="24"/>
                <w:szCs w:val="28"/>
                <w:highlight w:val="none"/>
                <w:lang w:val="en-US" w:eastAsia="zh-CN"/>
              </w:rPr>
              <w:t>要求</w:t>
            </w:r>
            <w:r>
              <w:rPr>
                <w:rFonts w:hint="eastAsia" w:ascii="宋体" w:hAnsi="宋体" w:eastAsia="宋体"/>
                <w:color w:val="auto"/>
                <w:sz w:val="24"/>
                <w:szCs w:val="28"/>
                <w:highlight w:val="none"/>
              </w:rPr>
              <w:t>中落实政府采购政策需满足的资格要求</w:t>
            </w:r>
            <w:r>
              <w:rPr>
                <w:rFonts w:hint="eastAsia" w:ascii="宋体" w:hAnsi="宋体" w:eastAsia="宋体"/>
                <w:color w:val="auto"/>
                <w:sz w:val="24"/>
                <w:szCs w:val="28"/>
                <w:highlight w:val="none"/>
                <w:lang w:eastAsia="zh-CN"/>
              </w:rPr>
              <w:t>：</w:t>
            </w:r>
          </w:p>
          <w:p w14:paraId="1AC0F244">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投标人</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 生产建设兵团）出具的属于监狱企业的证明文件。</w:t>
            </w:r>
          </w:p>
          <w:p w14:paraId="170F6C0B">
            <w:pPr>
              <w:spacing w:after="50" w:line="360" w:lineRule="auto"/>
              <w:ind w:right="-1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219" w:type="pct"/>
            <w:tcBorders>
              <w:bottom w:val="single" w:color="auto" w:sz="4" w:space="0"/>
            </w:tcBorders>
            <w:vAlign w:val="center"/>
          </w:tcPr>
          <w:p w14:paraId="6B589E9E">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5F47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664A078A">
            <w:pPr>
              <w:adjustRightInd w:val="0"/>
              <w:snapToGrid w:val="0"/>
              <w:spacing w:line="360" w:lineRule="auto"/>
              <w:ind w:right="-10" w:rightChars="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w:t>
            </w:r>
          </w:p>
        </w:tc>
        <w:tc>
          <w:tcPr>
            <w:tcW w:w="907" w:type="pct"/>
            <w:tcBorders>
              <w:bottom w:val="single" w:color="auto" w:sz="4" w:space="0"/>
            </w:tcBorders>
            <w:vAlign w:val="center"/>
          </w:tcPr>
          <w:p w14:paraId="7C7ECFC8">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color w:val="auto"/>
                <w:spacing w:val="10"/>
                <w:sz w:val="24"/>
                <w:szCs w:val="24"/>
                <w:highlight w:val="none"/>
              </w:rPr>
              <w:t>其它落实政府采</w:t>
            </w:r>
            <w:r>
              <w:rPr>
                <w:rFonts w:ascii="宋体" w:hAnsi="宋体" w:eastAsia="宋体" w:cs="宋体"/>
                <w:color w:val="auto"/>
                <w:spacing w:val="11"/>
                <w:sz w:val="24"/>
                <w:szCs w:val="24"/>
                <w:highlight w:val="none"/>
              </w:rPr>
              <w:t>购政策的资格要</w:t>
            </w:r>
            <w:r>
              <w:rPr>
                <w:rFonts w:ascii="宋体" w:hAnsi="宋体" w:eastAsia="宋体" w:cs="宋体"/>
                <w:color w:val="auto"/>
                <w:sz w:val="24"/>
                <w:szCs w:val="24"/>
                <w:highlight w:val="none"/>
              </w:rPr>
              <w:t>求</w:t>
            </w:r>
          </w:p>
        </w:tc>
        <w:tc>
          <w:tcPr>
            <w:tcW w:w="2509" w:type="pct"/>
            <w:tcBorders>
              <w:bottom w:val="single" w:color="auto" w:sz="4" w:space="0"/>
            </w:tcBorders>
            <w:vAlign w:val="center"/>
          </w:tcPr>
          <w:p w14:paraId="147D1961">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color w:val="auto"/>
                <w:spacing w:val="-2"/>
                <w:sz w:val="24"/>
                <w:szCs w:val="24"/>
                <w:highlight w:val="none"/>
              </w:rPr>
              <w:t>如有，见第一章《投标邀请》</w:t>
            </w:r>
          </w:p>
        </w:tc>
        <w:tc>
          <w:tcPr>
            <w:tcW w:w="1219" w:type="pct"/>
            <w:tcBorders>
              <w:bottom w:val="single" w:color="auto" w:sz="4" w:space="0"/>
            </w:tcBorders>
            <w:vAlign w:val="center"/>
          </w:tcPr>
          <w:p w14:paraId="704B93CD">
            <w:pPr>
              <w:spacing w:after="50" w:line="360" w:lineRule="auto"/>
              <w:ind w:right="-10"/>
              <w:jc w:val="both"/>
              <w:rPr>
                <w:rFonts w:hint="eastAsia" w:ascii="宋体" w:hAnsi="宋体" w:eastAsia="宋体"/>
                <w:color w:val="auto"/>
                <w:sz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7304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16C19114">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6</w:t>
            </w:r>
          </w:p>
        </w:tc>
        <w:tc>
          <w:tcPr>
            <w:tcW w:w="907" w:type="pct"/>
            <w:vAlign w:val="center"/>
          </w:tcPr>
          <w:p w14:paraId="333EDF74">
            <w:pPr>
              <w:spacing w:after="50" w:line="360" w:lineRule="auto"/>
              <w:ind w:right="-10"/>
              <w:jc w:val="both"/>
              <w:rPr>
                <w:rFonts w:ascii="宋体" w:hAnsi="宋体" w:eastAsia="宋体" w:cs="宋体"/>
                <w:color w:val="auto"/>
                <w:spacing w:val="10"/>
                <w:sz w:val="24"/>
                <w:szCs w:val="24"/>
                <w:highlight w:val="none"/>
                <w:lang w:val="en-US" w:eastAsia="zh-CN"/>
              </w:rPr>
            </w:pPr>
            <w:r>
              <w:rPr>
                <w:rFonts w:ascii="宋体" w:hAnsi="宋体" w:eastAsia="宋体" w:cs="宋体"/>
                <w:color w:val="auto"/>
                <w:spacing w:val="10"/>
                <w:sz w:val="24"/>
                <w:szCs w:val="24"/>
                <w:highlight w:val="none"/>
              </w:rPr>
              <w:t>本项目的特定资格要求</w:t>
            </w:r>
          </w:p>
        </w:tc>
        <w:tc>
          <w:tcPr>
            <w:tcW w:w="2509" w:type="pct"/>
            <w:vAlign w:val="center"/>
          </w:tcPr>
          <w:p w14:paraId="2F4CEE26">
            <w:pPr>
              <w:spacing w:after="50" w:line="360" w:lineRule="auto"/>
              <w:ind w:right="-10"/>
              <w:jc w:val="both"/>
              <w:rPr>
                <w:rFonts w:ascii="宋体" w:hAnsi="宋体" w:eastAsia="宋体" w:cs="宋体"/>
                <w:color w:val="auto"/>
                <w:spacing w:val="10"/>
                <w:sz w:val="24"/>
                <w:szCs w:val="24"/>
                <w:highlight w:val="none"/>
              </w:rPr>
            </w:pPr>
            <w:r>
              <w:rPr>
                <w:rFonts w:ascii="宋体" w:hAnsi="宋体" w:eastAsia="宋体" w:cs="宋体"/>
                <w:color w:val="auto"/>
                <w:spacing w:val="10"/>
                <w:sz w:val="24"/>
                <w:szCs w:val="24"/>
                <w:highlight w:val="none"/>
              </w:rPr>
              <w:t>如有，见第一章《投标邀请》</w:t>
            </w:r>
          </w:p>
        </w:tc>
        <w:tc>
          <w:tcPr>
            <w:tcW w:w="1219" w:type="pct"/>
            <w:vAlign w:val="center"/>
          </w:tcPr>
          <w:p w14:paraId="5E7F5A21">
            <w:pPr>
              <w:spacing w:after="50" w:line="360" w:lineRule="auto"/>
              <w:ind w:right="-10"/>
              <w:jc w:val="both"/>
              <w:rPr>
                <w:rFonts w:ascii="宋体" w:hAnsi="宋体" w:eastAsia="宋体" w:cs="宋体"/>
                <w:color w:val="auto"/>
                <w:spacing w:val="10"/>
                <w:sz w:val="24"/>
                <w:szCs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7E14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57A89D35">
            <w:pPr>
              <w:adjustRightInd w:val="0"/>
              <w:snapToGrid w:val="0"/>
              <w:spacing w:line="360" w:lineRule="auto"/>
              <w:ind w:right="-10" w:rightChars="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7</w:t>
            </w:r>
          </w:p>
        </w:tc>
        <w:tc>
          <w:tcPr>
            <w:tcW w:w="907" w:type="pct"/>
            <w:shd w:val="clear" w:color="auto" w:fill="auto"/>
            <w:vAlign w:val="center"/>
          </w:tcPr>
          <w:p w14:paraId="3CCAAD1C">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center"/>
              <w:rPr>
                <w:rFonts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sz w:val="24"/>
                <w:szCs w:val="24"/>
                <w:highlight w:val="none"/>
              </w:rPr>
              <w:t>诚信投标承诺书</w:t>
            </w:r>
          </w:p>
        </w:tc>
        <w:tc>
          <w:tcPr>
            <w:tcW w:w="2509" w:type="pct"/>
            <w:shd w:val="clear" w:color="auto" w:fill="auto"/>
            <w:vAlign w:val="center"/>
          </w:tcPr>
          <w:p w14:paraId="723C1A4D">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both"/>
              <w:rPr>
                <w:rFonts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en-US" w:bidi="ar-SA"/>
              </w:rPr>
              <w:t>格式、填写要求符合招标文件规定并加盖投标人电子签章</w:t>
            </w:r>
          </w:p>
        </w:tc>
        <w:tc>
          <w:tcPr>
            <w:tcW w:w="1219" w:type="pct"/>
            <w:shd w:val="clear" w:color="auto" w:fill="auto"/>
            <w:vAlign w:val="center"/>
          </w:tcPr>
          <w:p w14:paraId="2219E7F7">
            <w:pPr>
              <w:keepNext w:val="0"/>
              <w:keepLines w:val="0"/>
              <w:pageBreakBefore w:val="0"/>
              <w:suppressLineNumbers w:val="0"/>
              <w:kinsoku/>
              <w:wordWrap w:val="0"/>
              <w:overflowPunct/>
              <w:topLinePunct w:val="0"/>
              <w:bidi w:val="0"/>
              <w:spacing w:before="0" w:beforeAutospacing="0" w:after="50" w:afterAutospacing="0" w:line="360" w:lineRule="auto"/>
              <w:ind w:left="0" w:leftChars="0" w:right="-10" w:rightChars="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bl>
    <w:p w14:paraId="55AF4D28">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18177E23">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6DF0830C">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8"/>
        <w:tblW w:w="5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755"/>
        <w:gridCol w:w="4065"/>
        <w:gridCol w:w="3292"/>
      </w:tblGrid>
      <w:tr w14:paraId="1B5D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1A94A6BC">
            <w:pPr>
              <w:adjustRightInd w:val="0"/>
              <w:snapToGrid w:val="0"/>
              <w:spacing w:line="360" w:lineRule="auto"/>
              <w:ind w:right="-10"/>
              <w:jc w:val="center"/>
              <w:rPr>
                <w:rFonts w:ascii="宋体" w:hAnsi="宋体" w:eastAsia="宋体"/>
                <w:b/>
                <w:bCs/>
                <w:color w:val="auto"/>
                <w:sz w:val="24"/>
                <w:highlight w:val="none"/>
              </w:rPr>
            </w:pPr>
            <w:r>
              <w:rPr>
                <w:rFonts w:hint="eastAsia" w:ascii="宋体" w:hAnsi="宋体" w:eastAsia="宋体"/>
                <w:b/>
                <w:bCs/>
                <w:color w:val="auto"/>
                <w:sz w:val="24"/>
                <w:highlight w:val="none"/>
              </w:rPr>
              <w:t>符合性审查表</w:t>
            </w:r>
          </w:p>
        </w:tc>
      </w:tr>
      <w:tr w14:paraId="1A4F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89" w:type="pct"/>
            <w:tcBorders>
              <w:bottom w:val="single" w:color="auto" w:sz="4" w:space="0"/>
            </w:tcBorders>
            <w:vAlign w:val="center"/>
          </w:tcPr>
          <w:p w14:paraId="08946194">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888" w:type="pct"/>
            <w:tcBorders>
              <w:bottom w:val="single" w:color="auto" w:sz="4" w:space="0"/>
            </w:tcBorders>
            <w:vAlign w:val="center"/>
          </w:tcPr>
          <w:p w14:paraId="649F8995">
            <w:pPr>
              <w:pStyle w:val="47"/>
              <w:pBdr>
                <w:bottom w:val="none" w:color="auto" w:sz="0" w:space="0"/>
              </w:pBdr>
              <w:tabs>
                <w:tab w:val="clear" w:pos="4153"/>
                <w:tab w:val="clear" w:pos="8306"/>
              </w:tabs>
              <w:snapToGrid w:val="0"/>
              <w:spacing w:line="360" w:lineRule="auto"/>
              <w:ind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2057" w:type="pct"/>
            <w:tcBorders>
              <w:bottom w:val="single" w:color="auto" w:sz="4" w:space="0"/>
            </w:tcBorders>
            <w:vAlign w:val="center"/>
          </w:tcPr>
          <w:p w14:paraId="1C259D3B">
            <w:pPr>
              <w:adjustRightInd w:val="0"/>
              <w:snapToGrid w:val="0"/>
              <w:spacing w:line="360" w:lineRule="auto"/>
              <w:ind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1664" w:type="pct"/>
            <w:tcBorders>
              <w:bottom w:val="single" w:color="auto" w:sz="4" w:space="0"/>
            </w:tcBorders>
            <w:vAlign w:val="center"/>
          </w:tcPr>
          <w:p w14:paraId="3BA59AED">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067C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6D2E0CDC">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888" w:type="pct"/>
            <w:vAlign w:val="center"/>
          </w:tcPr>
          <w:p w14:paraId="064BD312">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开标一览表</w:t>
            </w:r>
          </w:p>
        </w:tc>
        <w:tc>
          <w:tcPr>
            <w:tcW w:w="2057" w:type="pct"/>
            <w:vAlign w:val="center"/>
          </w:tcPr>
          <w:p w14:paraId="12B6F026">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682645EF">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27FD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7D028780">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888" w:type="pct"/>
            <w:vAlign w:val="center"/>
          </w:tcPr>
          <w:p w14:paraId="70C36BA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2057" w:type="pct"/>
            <w:vAlign w:val="center"/>
          </w:tcPr>
          <w:p w14:paraId="63B95A22">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493832BF">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71B5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493CD69B">
            <w:pPr>
              <w:adjustRightInd w:val="0"/>
              <w:snapToGrid w:val="0"/>
              <w:spacing w:line="360" w:lineRule="auto"/>
              <w:ind w:right="-1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888" w:type="pct"/>
            <w:vAlign w:val="center"/>
          </w:tcPr>
          <w:p w14:paraId="701CC254">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2057" w:type="pct"/>
            <w:vAlign w:val="center"/>
          </w:tcPr>
          <w:p w14:paraId="10DC427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3A9CD998">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法定代表人参加投标的无需此件，提供身份证明即可。详见第六章投标文件格式</w:t>
            </w:r>
            <w:r>
              <w:rPr>
                <w:rFonts w:hint="eastAsia" w:asciiTheme="minorEastAsia" w:hAnsiTheme="minorEastAsia" w:eastAsiaTheme="minorEastAsia"/>
                <w:color w:val="auto"/>
                <w:sz w:val="24"/>
                <w:highlight w:val="none"/>
                <w:lang w:eastAsia="zh-CN"/>
              </w:rPr>
              <w:t>。</w:t>
            </w:r>
          </w:p>
        </w:tc>
      </w:tr>
      <w:tr w14:paraId="54CE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4739EA85">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888" w:type="pct"/>
            <w:vAlign w:val="center"/>
          </w:tcPr>
          <w:p w14:paraId="55239D43">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2057" w:type="pct"/>
            <w:vAlign w:val="center"/>
          </w:tcPr>
          <w:p w14:paraId="0EBDC92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highlight w:val="none"/>
              </w:rPr>
              <w:t>招标文件投标人须知正文第</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条要求</w:t>
            </w:r>
          </w:p>
        </w:tc>
        <w:tc>
          <w:tcPr>
            <w:tcW w:w="1664" w:type="pct"/>
            <w:vAlign w:val="center"/>
          </w:tcPr>
          <w:p w14:paraId="7DC542D6">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51F9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05A6FAAB">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5</w:t>
            </w:r>
          </w:p>
        </w:tc>
        <w:tc>
          <w:tcPr>
            <w:tcW w:w="888" w:type="pct"/>
            <w:vAlign w:val="center"/>
          </w:tcPr>
          <w:p w14:paraId="2A2CB6E3">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2057" w:type="pct"/>
            <w:vAlign w:val="center"/>
          </w:tcPr>
          <w:p w14:paraId="7D11CD40">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符合招标文件采购需求中对付款方式、供货及安装期限、供货及安装地点、免费质保期</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664" w:type="pct"/>
            <w:vAlign w:val="center"/>
          </w:tcPr>
          <w:p w14:paraId="3D81E242">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5757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58C46AFA">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6</w:t>
            </w:r>
          </w:p>
        </w:tc>
        <w:tc>
          <w:tcPr>
            <w:tcW w:w="888" w:type="pct"/>
            <w:vAlign w:val="center"/>
          </w:tcPr>
          <w:p w14:paraId="1789D08F">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技术响应情况</w:t>
            </w:r>
          </w:p>
        </w:tc>
        <w:tc>
          <w:tcPr>
            <w:tcW w:w="2057" w:type="pct"/>
            <w:vAlign w:val="center"/>
          </w:tcPr>
          <w:p w14:paraId="44E5AE3B">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符合招标文件采购需求中货物技术参数</w:t>
            </w:r>
            <w:r>
              <w:rPr>
                <w:rFonts w:hint="eastAsia" w:asciiTheme="minorEastAsia" w:hAnsiTheme="minorEastAsia" w:eastAsiaTheme="minorEastAsia"/>
                <w:color w:val="auto"/>
                <w:sz w:val="24"/>
                <w:szCs w:val="28"/>
                <w:highlight w:val="none"/>
                <w:lang w:val="en-US" w:eastAsia="zh-CN"/>
              </w:rPr>
              <w:t>等实质性要求</w:t>
            </w:r>
          </w:p>
        </w:tc>
        <w:tc>
          <w:tcPr>
            <w:tcW w:w="1664" w:type="pct"/>
            <w:vAlign w:val="center"/>
          </w:tcPr>
          <w:p w14:paraId="15BE4ED7">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753B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63A774CC">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7</w:t>
            </w:r>
          </w:p>
        </w:tc>
        <w:tc>
          <w:tcPr>
            <w:tcW w:w="888" w:type="pct"/>
            <w:vAlign w:val="center"/>
          </w:tcPr>
          <w:p w14:paraId="140A5F50">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2057" w:type="pct"/>
            <w:vAlign w:val="center"/>
          </w:tcPr>
          <w:p w14:paraId="2BC4FFA5">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w:t>
            </w:r>
            <w:r>
              <w:rPr>
                <w:rFonts w:hint="eastAsia" w:asciiTheme="minorEastAsia" w:hAnsiTheme="minorEastAsia" w:eastAsiaTheme="minorEastAsia"/>
                <w:color w:val="auto"/>
                <w:sz w:val="24"/>
                <w:szCs w:val="28"/>
                <w:highlight w:val="none"/>
                <w:lang w:val="en-US" w:eastAsia="zh-CN"/>
              </w:rPr>
              <w:t>实质性要求</w:t>
            </w:r>
          </w:p>
        </w:tc>
        <w:tc>
          <w:tcPr>
            <w:tcW w:w="1664" w:type="pct"/>
            <w:vAlign w:val="center"/>
          </w:tcPr>
          <w:p w14:paraId="29F64EF9">
            <w:pPr>
              <w:adjustRightInd w:val="0"/>
              <w:snapToGrid w:val="0"/>
              <w:spacing w:line="360" w:lineRule="auto"/>
              <w:ind w:right="-10"/>
              <w:jc w:val="center"/>
              <w:rPr>
                <w:rFonts w:asciiTheme="minorEastAsia" w:hAnsiTheme="minorEastAsia" w:eastAsiaTheme="minorEastAsia"/>
                <w:color w:val="auto"/>
                <w:sz w:val="24"/>
                <w:highlight w:val="none"/>
              </w:rPr>
            </w:pPr>
          </w:p>
        </w:tc>
      </w:tr>
    </w:tbl>
    <w:p w14:paraId="57EA51C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67184F48">
      <w:pPr>
        <w:spacing w:line="360" w:lineRule="auto"/>
        <w:ind w:firstLine="435"/>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2.3</w:t>
      </w:r>
      <w:r>
        <w:rPr>
          <w:rFonts w:hint="eastAsia" w:asciiTheme="minorEastAsia" w:hAnsiTheme="minorEastAsia" w:eastAsiaTheme="minorEastAsia"/>
          <w:color w:val="auto"/>
          <w:sz w:val="24"/>
          <w:highlight w:val="none"/>
        </w:rPr>
        <w:t>异常低价</w:t>
      </w:r>
      <w:r>
        <w:rPr>
          <w:rFonts w:hint="eastAsia" w:asciiTheme="minorEastAsia" w:hAnsiTheme="minorEastAsia" w:eastAsiaTheme="minorEastAsia"/>
          <w:color w:val="auto"/>
          <w:sz w:val="24"/>
          <w:highlight w:val="none"/>
          <w:lang w:val="en-US" w:eastAsia="zh-CN"/>
        </w:rPr>
        <w:t>投标</w:t>
      </w:r>
      <w:r>
        <w:rPr>
          <w:rFonts w:hint="eastAsia" w:asciiTheme="minorEastAsia" w:hAnsiTheme="minorEastAsia" w:eastAsiaTheme="minorEastAsia"/>
          <w:color w:val="auto"/>
          <w:sz w:val="24"/>
          <w:highlight w:val="none"/>
        </w:rPr>
        <w:t>审查</w:t>
      </w:r>
    </w:p>
    <w:tbl>
      <w:tblPr>
        <w:tblStyle w:val="28"/>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0"/>
        <w:gridCol w:w="4438"/>
        <w:gridCol w:w="2260"/>
      </w:tblGrid>
      <w:tr w14:paraId="34ED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54" w:type="dxa"/>
            <w:gridSpan w:val="4"/>
            <w:tcBorders>
              <w:bottom w:val="single" w:color="auto" w:sz="4" w:space="0"/>
            </w:tcBorders>
            <w:vAlign w:val="center"/>
          </w:tcPr>
          <w:p w14:paraId="5A52B513">
            <w:pPr>
              <w:adjustRightInd w:val="0"/>
              <w:snapToGrid w:val="0"/>
              <w:spacing w:line="360" w:lineRule="auto"/>
              <w:ind w:right="-10" w:rightChars="0"/>
              <w:jc w:val="center"/>
              <w:rPr>
                <w:rFonts w:ascii="宋体" w:hAnsi="宋体" w:eastAsia="宋体"/>
                <w:color w:val="auto"/>
                <w:sz w:val="24"/>
                <w:highlight w:val="none"/>
              </w:rPr>
            </w:pPr>
            <w:r>
              <w:rPr>
                <w:rFonts w:hint="eastAsia" w:ascii="宋体" w:hAnsi="宋体" w:eastAsia="宋体" w:cs="Times New Roman"/>
                <w:b/>
                <w:bCs/>
                <w:color w:val="auto"/>
                <w:sz w:val="24"/>
                <w:highlight w:val="none"/>
                <w:lang w:val="en-US" w:eastAsia="zh-CN"/>
              </w:rPr>
              <w:t>异常低价投标审查表</w:t>
            </w:r>
          </w:p>
        </w:tc>
      </w:tr>
      <w:tr w14:paraId="0D33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bottom w:val="single" w:color="auto" w:sz="4" w:space="0"/>
            </w:tcBorders>
            <w:vAlign w:val="center"/>
          </w:tcPr>
          <w:p w14:paraId="0D4BAEE5">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序号</w:t>
            </w:r>
          </w:p>
        </w:tc>
        <w:tc>
          <w:tcPr>
            <w:tcW w:w="1450" w:type="dxa"/>
            <w:tcBorders>
              <w:bottom w:val="single" w:color="auto" w:sz="4" w:space="0"/>
            </w:tcBorders>
            <w:vAlign w:val="center"/>
          </w:tcPr>
          <w:p w14:paraId="4AB2951F">
            <w:pPr>
              <w:spacing w:line="360" w:lineRule="auto"/>
              <w:ind w:firstLine="240" w:firstLineChars="100"/>
              <w:jc w:val="center"/>
              <w:rPr>
                <w:rFonts w:ascii="宋体" w:hAnsi="宋体" w:eastAsia="宋体"/>
                <w:color w:val="auto"/>
                <w:kern w:val="2"/>
                <w:szCs w:val="24"/>
                <w:highlight w:val="none"/>
              </w:rPr>
            </w:pPr>
            <w:r>
              <w:rPr>
                <w:rFonts w:hint="eastAsia" w:ascii="宋体" w:hAnsi="宋体" w:eastAsia="宋体" w:cs="Times New Roman"/>
                <w:color w:val="auto"/>
                <w:sz w:val="24"/>
                <w:highlight w:val="none"/>
                <w:lang w:val="en-US" w:eastAsia="zh-CN"/>
              </w:rPr>
              <w:t>评审指标</w:t>
            </w:r>
          </w:p>
        </w:tc>
        <w:tc>
          <w:tcPr>
            <w:tcW w:w="4439" w:type="dxa"/>
            <w:tcBorders>
              <w:bottom w:val="single" w:color="auto" w:sz="4" w:space="0"/>
            </w:tcBorders>
            <w:vAlign w:val="center"/>
          </w:tcPr>
          <w:p w14:paraId="7115AC1C">
            <w:pPr>
              <w:spacing w:line="360" w:lineRule="auto"/>
              <w:ind w:firstLine="240" w:firstLineChars="100"/>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评审标准</w:t>
            </w:r>
          </w:p>
        </w:tc>
        <w:tc>
          <w:tcPr>
            <w:tcW w:w="2260" w:type="dxa"/>
            <w:tcBorders>
              <w:bottom w:val="single" w:color="auto" w:sz="4" w:space="0"/>
            </w:tcBorders>
            <w:vAlign w:val="center"/>
          </w:tcPr>
          <w:p w14:paraId="5813270A">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格式及材料要求</w:t>
            </w:r>
          </w:p>
        </w:tc>
      </w:tr>
      <w:tr w14:paraId="3C25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05" w:type="dxa"/>
            <w:tcBorders>
              <w:bottom w:val="single" w:color="auto" w:sz="4" w:space="0"/>
            </w:tcBorders>
            <w:vAlign w:val="center"/>
          </w:tcPr>
          <w:p w14:paraId="7F09F1D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50" w:type="dxa"/>
            <w:tcBorders>
              <w:bottom w:val="single" w:color="auto" w:sz="4" w:space="0"/>
            </w:tcBorders>
            <w:vAlign w:val="center"/>
          </w:tcPr>
          <w:p w14:paraId="6C1832D2">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highlight w:val="none"/>
                <w:lang w:val="en-US" w:eastAsia="zh-CN"/>
              </w:rPr>
              <w:t>异常低价投标审查</w:t>
            </w:r>
          </w:p>
        </w:tc>
        <w:tc>
          <w:tcPr>
            <w:tcW w:w="4439" w:type="dxa"/>
            <w:tcBorders>
              <w:bottom w:val="single" w:color="auto" w:sz="4" w:space="0"/>
            </w:tcBorders>
            <w:vAlign w:val="center"/>
          </w:tcPr>
          <w:p w14:paraId="5640C2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（1）投标报价＜全部通过符合性审查投标人投标报价平均值×</w:t>
            </w:r>
            <w:r>
              <w:rPr>
                <w:rFonts w:hint="eastAsia" w:ascii="宋体" w:hAnsi="宋体" w:eastAsia="宋体" w:cs="宋体"/>
                <w:b w:val="0"/>
                <w:bCs w:val="0"/>
                <w:i w:val="0"/>
                <w:iCs w:val="0"/>
                <w:color w:val="auto"/>
                <w:sz w:val="24"/>
                <w:szCs w:val="24"/>
                <w:highlight w:val="none"/>
                <w:u w:val="single"/>
                <w:lang w:val="en-US" w:eastAsia="zh-CN"/>
              </w:rPr>
              <w:t>50%</w:t>
            </w:r>
            <w:r>
              <w:rPr>
                <w:rFonts w:hint="eastAsia" w:ascii="宋体" w:hAnsi="宋体" w:eastAsia="宋体" w:cs="宋体"/>
                <w:b w:val="0"/>
                <w:bCs w:val="0"/>
                <w:i w:val="0"/>
                <w:iCs w:val="0"/>
                <w:color w:val="auto"/>
                <w:sz w:val="24"/>
                <w:szCs w:val="24"/>
                <w:highlight w:val="none"/>
                <w:u w:val="none"/>
                <w:lang w:val="en-US" w:eastAsia="zh-CN"/>
              </w:rPr>
              <w:t>；</w:t>
            </w:r>
          </w:p>
          <w:p w14:paraId="1EF5DF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（2）投标报价＜通过符合性审查的次低报价投标人投标报价×</w:t>
            </w:r>
            <w:r>
              <w:rPr>
                <w:rFonts w:hint="eastAsia" w:ascii="宋体" w:hAnsi="宋体" w:eastAsia="宋体" w:cs="宋体"/>
                <w:b w:val="0"/>
                <w:bCs w:val="0"/>
                <w:i w:val="0"/>
                <w:iCs w:val="0"/>
                <w:color w:val="auto"/>
                <w:sz w:val="24"/>
                <w:szCs w:val="24"/>
                <w:highlight w:val="none"/>
                <w:u w:val="single"/>
                <w:lang w:val="en-US" w:eastAsia="zh-CN"/>
              </w:rPr>
              <w:t>50%</w:t>
            </w:r>
            <w:r>
              <w:rPr>
                <w:rFonts w:hint="eastAsia" w:ascii="宋体" w:hAnsi="宋体" w:eastAsia="宋体" w:cs="宋体"/>
                <w:b w:val="0"/>
                <w:bCs w:val="0"/>
                <w:i w:val="0"/>
                <w:iCs w:val="0"/>
                <w:color w:val="auto"/>
                <w:sz w:val="24"/>
                <w:szCs w:val="24"/>
                <w:highlight w:val="none"/>
                <w:u w:val="none"/>
                <w:lang w:val="en-US" w:eastAsia="zh-CN"/>
              </w:rPr>
              <w:t>；</w:t>
            </w:r>
          </w:p>
          <w:p w14:paraId="47E2B8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（3）投标报价＜采购项目最高限价（</w:t>
            </w:r>
            <w:r>
              <w:rPr>
                <w:rFonts w:hint="eastAsia" w:ascii="宋体" w:hAnsi="宋体" w:eastAsia="宋体" w:cs="宋体"/>
                <w:b w:val="0"/>
                <w:bCs w:val="0"/>
                <w:color w:val="auto"/>
                <w:sz w:val="24"/>
                <w:highlight w:val="none"/>
                <w:lang w:val="en-US" w:eastAsia="zh-CN"/>
              </w:rPr>
              <w:t>如采购项目未设定最高限价的，以采购项目预算金额作为最高限价</w:t>
            </w: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b w:val="0"/>
                <w:bCs w:val="0"/>
                <w:i w:val="0"/>
                <w:iCs w:val="0"/>
                <w:color w:val="auto"/>
                <w:sz w:val="24"/>
                <w:szCs w:val="24"/>
                <w:highlight w:val="none"/>
                <w:u w:val="single"/>
                <w:lang w:val="en-US" w:eastAsia="zh-CN"/>
              </w:rPr>
              <w:t>45%</w:t>
            </w:r>
            <w:r>
              <w:rPr>
                <w:rFonts w:hint="eastAsia" w:ascii="宋体" w:hAnsi="宋体" w:eastAsia="宋体" w:cs="宋体"/>
                <w:b w:val="0"/>
                <w:bCs w:val="0"/>
                <w:i w:val="0"/>
                <w:iCs w:val="0"/>
                <w:color w:val="auto"/>
                <w:sz w:val="24"/>
                <w:szCs w:val="24"/>
                <w:highlight w:val="none"/>
                <w:u w:val="none"/>
                <w:lang w:val="en-US" w:eastAsia="zh-CN"/>
              </w:rPr>
              <w:t>；</w:t>
            </w:r>
          </w:p>
          <w:p w14:paraId="0424D77D">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（4）评标委员会基于专业判断，认为投标人报价过低，有可能影响产品质量或者不能诚信履约的其他情形。</w:t>
            </w:r>
          </w:p>
          <w:p w14:paraId="0E47FB0E">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提醒：</w:t>
            </w:r>
          </w:p>
          <w:p w14:paraId="136CA053">
            <w:pPr>
              <w:pStyle w:val="9"/>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上述</w:t>
            </w:r>
            <w:r>
              <w:rPr>
                <w:rFonts w:hint="eastAsia" w:ascii="宋体" w:hAnsi="宋体" w:eastAsia="宋体" w:cs="Arial"/>
                <w:color w:val="auto"/>
                <w:sz w:val="24"/>
                <w:highlight w:val="none"/>
                <w:lang w:val="en-US" w:eastAsia="zh-CN"/>
              </w:rPr>
              <w:t>第（1）项数值计算：涉及总价、单价的</w:t>
            </w:r>
            <w:r>
              <w:rPr>
                <w:rFonts w:hint="eastAsia" w:ascii="宋体" w:hAnsi="宋体" w:eastAsia="宋体"/>
                <w:color w:val="auto"/>
                <w:sz w:val="24"/>
                <w:highlight w:val="none"/>
                <w:lang w:val="en-US" w:eastAsia="zh-CN"/>
              </w:rPr>
              <w:t>精确到“分”并四舍五入，涉及费率的精确到小数点后两位，第三位四舍五入（例：如平均值为123.456元，即为123.46元；如平均值为80.126%，即为80.13%）。</w:t>
            </w:r>
          </w:p>
        </w:tc>
        <w:tc>
          <w:tcPr>
            <w:tcW w:w="2260" w:type="dxa"/>
            <w:vAlign w:val="center"/>
          </w:tcPr>
          <w:p w14:paraId="7E79CD60">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投标人在评审现场合理的时间内对投标价格作出解释，提供项目具体成本测算等与报价合理性相关的书面说明及必要的证明材料，包括但不限于原材料成本、人工成本、制造费用等。</w:t>
            </w:r>
          </w:p>
        </w:tc>
      </w:tr>
    </w:tbl>
    <w:p w14:paraId="6C180251">
      <w:pPr>
        <w:spacing w:line="360" w:lineRule="auto"/>
        <w:rPr>
          <w:rFonts w:hint="eastAsia" w:ascii="宋体" w:hAnsi="宋体" w:eastAsia="宋体" w:cs="Arial"/>
          <w:color w:val="auto"/>
          <w:sz w:val="24"/>
          <w:highlight w:val="none"/>
          <w:lang w:val="en-US" w:eastAsia="zh-CN"/>
        </w:rPr>
      </w:pPr>
      <w:r>
        <w:rPr>
          <w:rFonts w:hint="eastAsia" w:ascii="宋体" w:hAnsi="宋体" w:eastAsia="宋体" w:cs="Times New Roman"/>
          <w:color w:val="auto"/>
          <w:sz w:val="24"/>
          <w:highlight w:val="none"/>
          <w:lang w:val="en-US" w:eastAsia="zh-CN"/>
        </w:rPr>
        <w:t>注：</w:t>
      </w:r>
    </w:p>
    <w:p w14:paraId="084348AB">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根据《</w:t>
      </w:r>
      <w:r>
        <w:rPr>
          <w:rFonts w:hint="eastAsia" w:ascii="宋体" w:hAnsi="宋体" w:eastAsia="宋体"/>
          <w:color w:val="auto"/>
          <w:sz w:val="24"/>
          <w:highlight w:val="none"/>
          <w:lang w:val="en-US" w:eastAsia="zh-CN"/>
        </w:rPr>
        <w:t>关于推进解决政府采购异常低价问题的通知</w:t>
      </w:r>
      <w:r>
        <w:rPr>
          <w:rFonts w:hint="eastAsia" w:ascii="宋体" w:hAnsi="宋体" w:eastAsia="宋体"/>
          <w:color w:val="auto"/>
          <w:sz w:val="24"/>
          <w:highlight w:val="none"/>
        </w:rPr>
        <w:t>》（财库〔</w:t>
      </w:r>
      <w:r>
        <w:rPr>
          <w:rFonts w:ascii="宋体" w:hAnsi="宋体" w:eastAsia="宋体"/>
          <w:color w:val="auto"/>
          <w:sz w:val="24"/>
          <w:highlight w:val="none"/>
        </w:rPr>
        <w:t>202</w:t>
      </w:r>
      <w:r>
        <w:rPr>
          <w:rFonts w:hint="eastAsia" w:ascii="宋体" w:hAnsi="宋体" w:eastAsia="宋体"/>
          <w:color w:val="auto"/>
          <w:sz w:val="24"/>
          <w:highlight w:val="none"/>
          <w:lang w:val="en-US" w:eastAsia="zh-CN"/>
        </w:rPr>
        <w:t>6</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号</w:t>
      </w:r>
      <w:r>
        <w:rPr>
          <w:rFonts w:hint="eastAsia" w:ascii="宋体" w:hAnsi="宋体" w:eastAsia="宋体"/>
          <w:color w:val="auto"/>
          <w:sz w:val="24"/>
          <w:highlight w:val="none"/>
        </w:rPr>
        <w:t>）</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采购人可以结合具体项目实际情况，提高上述</w:t>
      </w:r>
      <w:r>
        <w:rPr>
          <w:rFonts w:hint="eastAsia" w:ascii="宋体" w:hAnsi="宋体" w:eastAsia="宋体" w:cs="Times New Roman"/>
          <w:color w:val="auto"/>
          <w:sz w:val="24"/>
          <w:highlight w:val="none"/>
          <w:lang w:val="en-US" w:eastAsia="zh-CN"/>
        </w:rPr>
        <w:t>评审标准</w:t>
      </w:r>
      <w:r>
        <w:rPr>
          <w:rFonts w:hint="eastAsia" w:ascii="宋体" w:hAnsi="宋体" w:eastAsia="宋体"/>
          <w:color w:val="auto"/>
          <w:sz w:val="24"/>
          <w:highlight w:val="none"/>
          <w:lang w:val="en-US" w:eastAsia="zh-CN"/>
        </w:rPr>
        <w:t>第（1）项至第（3）项中的数值标准，但是最高不得超过65%。</w:t>
      </w:r>
    </w:p>
    <w:p w14:paraId="6BCD984F">
      <w:pPr>
        <w:spacing w:line="360" w:lineRule="auto"/>
        <w:ind w:firstLine="480" w:firstLineChars="200"/>
        <w:rPr>
          <w:rFonts w:hint="eastAsia" w:ascii="宋体" w:hAnsi="宋体" w:eastAsia="宋体" w:cs="Arial"/>
          <w:color w:val="auto"/>
          <w:sz w:val="24"/>
          <w:highlight w:val="none"/>
          <w:lang w:val="en-US" w:eastAsia="zh-CN"/>
        </w:rPr>
      </w:pPr>
      <w:r>
        <w:rPr>
          <w:rFonts w:hint="eastAsia" w:ascii="宋体" w:hAnsi="宋体" w:eastAsia="宋体" w:cs="Arial"/>
          <w:color w:val="auto"/>
          <w:sz w:val="24"/>
          <w:highlight w:val="none"/>
          <w:lang w:val="en-US" w:eastAsia="zh-CN"/>
        </w:rPr>
        <w:t>评标委员会启动异常低价投标审查后，属于评审标准中第（1）项至第（4）项情形的，应当要求相关投标人在评审现场合理的时间内（不少于30分钟）对投标价格作出解释，提供项目具体成本测算等与报价合理性相关的书面说明及必要的证明材料，包括但不限于原材料成本、人工成本、制造费用等。其中，属于第</w:t>
      </w:r>
      <w:r>
        <w:rPr>
          <w:rFonts w:hint="eastAsia" w:ascii="宋体" w:hAnsi="宋体" w:cs="Arial"/>
          <w:color w:val="auto"/>
          <w:sz w:val="24"/>
          <w:highlight w:val="none"/>
          <w:lang w:val="en-US" w:eastAsia="zh-CN"/>
        </w:rPr>
        <w:t>（3）</w:t>
      </w:r>
      <w:r>
        <w:rPr>
          <w:rFonts w:hint="eastAsia" w:ascii="宋体" w:hAnsi="宋体" w:eastAsia="宋体" w:cs="Arial"/>
          <w:color w:val="auto"/>
          <w:sz w:val="24"/>
          <w:highlight w:val="none"/>
          <w:lang w:val="en-US" w:eastAsia="zh-CN"/>
        </w:rPr>
        <w:t>项情形，投标人已随投标文件一并提交相关书面说明及必要的证明材料的，在评审现场可不再重复提交。</w:t>
      </w:r>
    </w:p>
    <w:p w14:paraId="5A7B51F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auto"/>
          <w:sz w:val="24"/>
          <w:highlight w:val="none"/>
          <w:lang w:val="en-US" w:eastAsia="zh-CN"/>
        </w:rPr>
      </w:pPr>
      <w:r>
        <w:rPr>
          <w:rFonts w:hint="eastAsia" w:ascii="宋体" w:hAnsi="宋体" w:eastAsia="宋体" w:cs="Arial"/>
          <w:color w:val="auto"/>
          <w:sz w:val="24"/>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w:t>
      </w:r>
      <w:r>
        <w:rPr>
          <w:rFonts w:hint="eastAsia" w:ascii="宋体" w:hAnsi="宋体" w:eastAsia="宋体" w:cs="Arial"/>
          <w:b/>
          <w:bCs/>
          <w:color w:val="auto"/>
          <w:sz w:val="24"/>
          <w:highlight w:val="none"/>
          <w:lang w:val="en-US" w:eastAsia="zh-CN"/>
        </w:rPr>
        <w:t>无效投标</w:t>
      </w:r>
      <w:r>
        <w:rPr>
          <w:rFonts w:hint="eastAsia" w:ascii="宋体" w:hAnsi="宋体" w:eastAsia="宋体" w:cs="Arial"/>
          <w:color w:val="auto"/>
          <w:sz w:val="24"/>
          <w:highlight w:val="none"/>
          <w:lang w:val="en-US" w:eastAsia="zh-CN"/>
        </w:rPr>
        <w:t>处理。</w:t>
      </w:r>
    </w:p>
    <w:p w14:paraId="6AF277C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auto"/>
          <w:sz w:val="24"/>
          <w:highlight w:val="none"/>
          <w:lang w:val="en-US" w:eastAsia="zh-CN"/>
        </w:rPr>
      </w:pPr>
      <w:r>
        <w:rPr>
          <w:rFonts w:hint="eastAsia" w:ascii="宋体" w:hAnsi="宋体" w:eastAsia="宋体" w:cs="Arial"/>
          <w:color w:val="auto"/>
          <w:sz w:val="24"/>
          <w:highlight w:val="none"/>
          <w:lang w:val="en-US" w:eastAsia="zh-CN"/>
        </w:rPr>
        <w:t>评标委员会</w:t>
      </w:r>
      <w:r>
        <w:rPr>
          <w:rFonts w:hint="eastAsia" w:ascii="宋体" w:hAnsi="宋体" w:eastAsia="宋体"/>
          <w:color w:val="auto"/>
          <w:sz w:val="24"/>
          <w:highlight w:val="none"/>
        </w:rPr>
        <w:t>借助互联网等渠道查询相关信息的，应当严格遵守评审工作纪律，不得实施影响评审公正的行为</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异常低价响应审查的启动原因、审查意见和审查结果应当在评审报告中记录，并随</w:t>
      </w:r>
      <w:r>
        <w:rPr>
          <w:rFonts w:hint="eastAsia" w:ascii="宋体" w:hAnsi="宋体" w:eastAsia="宋体"/>
          <w:color w:val="auto"/>
          <w:sz w:val="24"/>
          <w:highlight w:val="none"/>
          <w:lang w:val="en-US" w:eastAsia="zh-CN"/>
        </w:rPr>
        <w:t>投标人</w:t>
      </w:r>
      <w:r>
        <w:rPr>
          <w:rFonts w:hint="eastAsia" w:ascii="宋体" w:hAnsi="宋体" w:eastAsia="宋体"/>
          <w:color w:val="auto"/>
          <w:sz w:val="24"/>
          <w:highlight w:val="none"/>
        </w:rPr>
        <w:t>提供的相关书面说明及证明材料，以及</w:t>
      </w:r>
      <w:r>
        <w:rPr>
          <w:rFonts w:hint="eastAsia" w:ascii="宋体" w:hAnsi="宋体" w:eastAsia="宋体" w:cs="Arial"/>
          <w:color w:val="auto"/>
          <w:sz w:val="24"/>
          <w:highlight w:val="none"/>
          <w:lang w:val="en-US" w:eastAsia="zh-CN"/>
        </w:rPr>
        <w:t>评标委员会</w:t>
      </w:r>
      <w:r>
        <w:rPr>
          <w:rFonts w:hint="eastAsia" w:ascii="宋体" w:hAnsi="宋体" w:eastAsia="宋体"/>
          <w:color w:val="auto"/>
          <w:sz w:val="24"/>
          <w:highlight w:val="none"/>
        </w:rPr>
        <w:t>有关互联网浏览、查询历史一并归档。</w:t>
      </w:r>
    </w:p>
    <w:p w14:paraId="3E59760B">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详细审查</w:t>
      </w:r>
    </w:p>
    <w:p w14:paraId="70D2673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评标委员会按照下表对投标文件进行详细审查和评分。</w:t>
      </w:r>
    </w:p>
    <w:p w14:paraId="725015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70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30</w:t>
      </w:r>
      <w:r>
        <w:rPr>
          <w:rFonts w:asciiTheme="minorEastAsia" w:hAnsiTheme="minorEastAsia" w:eastAsiaTheme="minorEastAsia"/>
          <w:color w:val="auto"/>
          <w:sz w:val="24"/>
          <w:highlight w:val="none"/>
        </w:rPr>
        <w:t>%。具体评分细则如下：</w:t>
      </w:r>
    </w:p>
    <w:tbl>
      <w:tblPr>
        <w:tblStyle w:val="28"/>
        <w:tblW w:w="5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221"/>
        <w:gridCol w:w="6321"/>
        <w:gridCol w:w="1187"/>
      </w:tblGrid>
      <w:tr w14:paraId="72DB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3" w:type="pct"/>
            <w:tcBorders>
              <w:top w:val="single" w:color="auto" w:sz="4" w:space="0"/>
              <w:left w:val="single" w:color="auto" w:sz="4" w:space="0"/>
              <w:bottom w:val="single" w:color="auto" w:sz="4" w:space="0"/>
              <w:right w:val="single" w:color="auto" w:sz="4" w:space="0"/>
            </w:tcBorders>
            <w:vAlign w:val="center"/>
          </w:tcPr>
          <w:p w14:paraId="6709C4CE">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类别</w:t>
            </w:r>
          </w:p>
        </w:tc>
        <w:tc>
          <w:tcPr>
            <w:tcW w:w="601" w:type="pct"/>
            <w:tcBorders>
              <w:top w:val="single" w:color="auto" w:sz="4" w:space="0"/>
              <w:left w:val="single" w:color="auto" w:sz="4" w:space="0"/>
              <w:bottom w:val="single" w:color="auto" w:sz="4" w:space="0"/>
              <w:right w:val="single" w:color="auto" w:sz="4" w:space="0"/>
            </w:tcBorders>
            <w:vAlign w:val="center"/>
          </w:tcPr>
          <w:p w14:paraId="203EED63">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评分内容</w:t>
            </w:r>
          </w:p>
        </w:tc>
        <w:tc>
          <w:tcPr>
            <w:tcW w:w="3111" w:type="pct"/>
            <w:tcBorders>
              <w:top w:val="single" w:color="auto" w:sz="4" w:space="0"/>
              <w:left w:val="single" w:color="auto" w:sz="4" w:space="0"/>
              <w:bottom w:val="single" w:color="auto" w:sz="4" w:space="0"/>
              <w:right w:val="single" w:color="auto" w:sz="4" w:space="0"/>
            </w:tcBorders>
            <w:vAlign w:val="center"/>
          </w:tcPr>
          <w:p w14:paraId="1175DF2D">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评分标准</w:t>
            </w:r>
          </w:p>
        </w:tc>
        <w:tc>
          <w:tcPr>
            <w:tcW w:w="583" w:type="pct"/>
            <w:tcBorders>
              <w:top w:val="single" w:color="auto" w:sz="4" w:space="0"/>
              <w:left w:val="single" w:color="auto" w:sz="4" w:space="0"/>
              <w:bottom w:val="single" w:color="auto" w:sz="4" w:space="0"/>
              <w:right w:val="single" w:color="auto" w:sz="4" w:space="0"/>
            </w:tcBorders>
            <w:vAlign w:val="center"/>
          </w:tcPr>
          <w:p w14:paraId="746CC11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分值范围</w:t>
            </w:r>
          </w:p>
        </w:tc>
      </w:tr>
      <w:tr w14:paraId="3AA0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restart"/>
            <w:tcBorders>
              <w:top w:val="single" w:color="auto" w:sz="4" w:space="0"/>
              <w:left w:val="single" w:color="auto" w:sz="4" w:space="0"/>
              <w:right w:val="single" w:color="auto" w:sz="4" w:space="0"/>
            </w:tcBorders>
            <w:vAlign w:val="center"/>
          </w:tcPr>
          <w:p w14:paraId="46C1FA19">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技术资信分</w:t>
            </w:r>
          </w:p>
          <w:p w14:paraId="57FF7EC0">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u w:val="single"/>
                <w:lang w:val="en-US" w:eastAsia="zh-CN"/>
              </w:rPr>
              <w:t>70</w:t>
            </w:r>
            <w:r>
              <w:rPr>
                <w:rFonts w:hint="eastAsia" w:ascii="方正仿宋_GB2312" w:hAnsi="方正仿宋_GB2312" w:eastAsia="方正仿宋_GB2312" w:cs="方正仿宋_GB2312"/>
                <w:color w:val="auto"/>
                <w:sz w:val="24"/>
                <w:szCs w:val="24"/>
                <w:highlight w:val="none"/>
              </w:rPr>
              <w:t>分）</w:t>
            </w:r>
          </w:p>
        </w:tc>
        <w:tc>
          <w:tcPr>
            <w:tcW w:w="601" w:type="pct"/>
            <w:tcBorders>
              <w:top w:val="single" w:color="auto" w:sz="4" w:space="0"/>
              <w:left w:val="single" w:color="auto" w:sz="4" w:space="0"/>
              <w:bottom w:val="single" w:color="auto" w:sz="4" w:space="0"/>
              <w:right w:val="single" w:color="auto" w:sz="4" w:space="0"/>
            </w:tcBorders>
            <w:vAlign w:val="center"/>
          </w:tcPr>
          <w:p w14:paraId="5FDFA0CF">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投标人业绩</w:t>
            </w:r>
          </w:p>
        </w:tc>
        <w:tc>
          <w:tcPr>
            <w:tcW w:w="3111" w:type="pct"/>
            <w:tcBorders>
              <w:top w:val="single" w:color="auto" w:sz="4" w:space="0"/>
              <w:left w:val="single" w:color="auto" w:sz="4" w:space="0"/>
              <w:bottom w:val="single" w:color="auto" w:sz="4" w:space="0"/>
              <w:right w:val="single" w:color="auto" w:sz="4" w:space="0"/>
            </w:tcBorders>
            <w:vAlign w:val="center"/>
          </w:tcPr>
          <w:p w14:paraId="1ABF9F5A">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自202</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lang w:val="zh-CN" w:eastAsia="zh-CN"/>
              </w:rPr>
              <w:t>年1月1日</w:t>
            </w:r>
            <w:r>
              <w:rPr>
                <w:rFonts w:hint="eastAsia" w:ascii="方正仿宋_GB2312" w:hAnsi="方正仿宋_GB2312" w:eastAsia="方正仿宋_GB2312" w:cs="方正仿宋_GB2312"/>
                <w:color w:val="auto"/>
                <w:sz w:val="24"/>
                <w:szCs w:val="24"/>
                <w:highlight w:val="none"/>
                <w:lang w:val="en-US" w:eastAsia="zh-CN"/>
              </w:rPr>
              <w:t>至投标截止日</w:t>
            </w:r>
            <w:r>
              <w:rPr>
                <w:rFonts w:hint="eastAsia" w:ascii="方正仿宋_GB2312" w:hAnsi="方正仿宋_GB2312" w:eastAsia="方正仿宋_GB2312" w:cs="方正仿宋_GB2312"/>
                <w:color w:val="auto"/>
                <w:sz w:val="24"/>
                <w:szCs w:val="24"/>
                <w:highlight w:val="none"/>
                <w:lang w:val="zh-CN" w:eastAsia="zh-CN"/>
              </w:rPr>
              <w:t>，投标人</w:t>
            </w:r>
            <w:r>
              <w:rPr>
                <w:rFonts w:hint="eastAsia" w:ascii="方正仿宋_GB2312" w:hAnsi="方正仿宋_GB2312" w:eastAsia="方正仿宋_GB2312" w:cs="方正仿宋_GB2312"/>
                <w:color w:val="auto"/>
                <w:sz w:val="24"/>
                <w:szCs w:val="24"/>
                <w:highlight w:val="none"/>
                <w:lang w:val="en-US" w:eastAsia="zh-CN"/>
              </w:rPr>
              <w:t>具有</w:t>
            </w:r>
            <w:r>
              <w:rPr>
                <w:rFonts w:hint="eastAsia" w:ascii="方正仿宋_GB2312" w:hAnsi="方正仿宋_GB2312" w:eastAsia="方正仿宋_GB2312" w:cs="方正仿宋_GB2312"/>
                <w:color w:val="auto"/>
                <w:sz w:val="24"/>
                <w:szCs w:val="24"/>
                <w:highlight w:val="none"/>
                <w:lang w:val="zh-CN" w:eastAsia="zh-CN"/>
              </w:rPr>
              <w:t>公寓组合家具</w:t>
            </w:r>
            <w:r>
              <w:rPr>
                <w:rFonts w:hint="eastAsia" w:ascii="方正仿宋_GB2312" w:hAnsi="方正仿宋_GB2312" w:eastAsia="方正仿宋_GB2312" w:cs="方正仿宋_GB2312"/>
                <w:color w:val="auto"/>
                <w:sz w:val="24"/>
                <w:szCs w:val="24"/>
                <w:highlight w:val="none"/>
                <w:lang w:val="en-US" w:eastAsia="zh-CN"/>
              </w:rPr>
              <w:t>供货业绩</w:t>
            </w:r>
            <w:r>
              <w:rPr>
                <w:rFonts w:hint="eastAsia" w:ascii="方正仿宋_GB2312" w:hAnsi="方正仿宋_GB2312" w:eastAsia="方正仿宋_GB2312" w:cs="方正仿宋_GB2312"/>
                <w:color w:val="auto"/>
                <w:sz w:val="24"/>
                <w:szCs w:val="24"/>
                <w:highlight w:val="none"/>
                <w:lang w:val="zh-CN" w:eastAsia="zh-CN"/>
              </w:rPr>
              <w:t>（</w:t>
            </w:r>
            <w:r>
              <w:rPr>
                <w:rFonts w:hint="eastAsia" w:ascii="方正仿宋_GB2312" w:hAnsi="方正仿宋_GB2312" w:eastAsia="方正仿宋_GB2312" w:cs="方正仿宋_GB2312"/>
                <w:color w:val="auto"/>
                <w:sz w:val="24"/>
                <w:szCs w:val="24"/>
                <w:highlight w:val="none"/>
                <w:lang w:val="en-US" w:eastAsia="zh-CN"/>
              </w:rPr>
              <w:t>且业绩内容须</w:t>
            </w:r>
            <w:r>
              <w:rPr>
                <w:rFonts w:hint="eastAsia" w:ascii="方正仿宋_GB2312" w:hAnsi="方正仿宋_GB2312" w:eastAsia="方正仿宋_GB2312" w:cs="方正仿宋_GB2312"/>
                <w:color w:val="auto"/>
                <w:sz w:val="24"/>
                <w:szCs w:val="24"/>
                <w:highlight w:val="none"/>
                <w:lang w:val="zh-CN" w:eastAsia="zh-CN"/>
              </w:rPr>
              <w:t>包含公寓床），每提供</w:t>
            </w:r>
            <w:r>
              <w:rPr>
                <w:rFonts w:hint="eastAsia" w:ascii="方正仿宋_GB2312" w:hAnsi="方正仿宋_GB2312" w:eastAsia="方正仿宋_GB2312" w:cs="方正仿宋_GB2312"/>
                <w:color w:val="auto"/>
                <w:sz w:val="24"/>
                <w:szCs w:val="24"/>
                <w:highlight w:val="none"/>
                <w:lang w:val="en-US" w:eastAsia="zh-CN"/>
              </w:rPr>
              <w:t>1个</w:t>
            </w:r>
            <w:r>
              <w:rPr>
                <w:rFonts w:hint="eastAsia" w:ascii="方正仿宋_GB2312" w:hAnsi="方正仿宋_GB2312" w:eastAsia="方正仿宋_GB2312" w:cs="方正仿宋_GB2312"/>
                <w:color w:val="auto"/>
                <w:sz w:val="24"/>
                <w:szCs w:val="24"/>
                <w:highlight w:val="none"/>
                <w:lang w:val="zh-CN" w:eastAsia="zh-CN"/>
              </w:rPr>
              <w:t>业绩得</w:t>
            </w: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lang w:val="zh-CN" w:eastAsia="zh-CN"/>
              </w:rPr>
              <w:t>分，</w:t>
            </w:r>
            <w:r>
              <w:rPr>
                <w:rFonts w:hint="eastAsia" w:ascii="方正仿宋_GB2312" w:hAnsi="方正仿宋_GB2312" w:eastAsia="方正仿宋_GB2312" w:cs="方正仿宋_GB2312"/>
                <w:color w:val="auto"/>
                <w:sz w:val="24"/>
                <w:szCs w:val="24"/>
                <w:highlight w:val="none"/>
                <w:lang w:val="en-US" w:eastAsia="zh-CN"/>
              </w:rPr>
              <w:t>其他的不得分，满分4分。</w:t>
            </w:r>
          </w:p>
          <w:p w14:paraId="538BBEA2">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注：①投标文件中提供业绩合同扫描件，时间以合同签订时间为准；若合同材料中无法体现签订时间、供货内容等关键评审因素的，须另附业主（合同甲方）出具的证明材料，未提供或提供不全的不得分。</w:t>
            </w:r>
          </w:p>
          <w:p w14:paraId="63DDD3FC">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②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583" w:type="pct"/>
            <w:tcBorders>
              <w:top w:val="single" w:color="auto" w:sz="4" w:space="0"/>
              <w:left w:val="single" w:color="auto" w:sz="4" w:space="0"/>
              <w:bottom w:val="single" w:color="auto" w:sz="4" w:space="0"/>
              <w:right w:val="single" w:color="auto" w:sz="4" w:space="0"/>
            </w:tcBorders>
            <w:vAlign w:val="center"/>
          </w:tcPr>
          <w:p w14:paraId="15D6AA5E">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0-4分</w:t>
            </w:r>
          </w:p>
        </w:tc>
      </w:tr>
      <w:tr w14:paraId="646E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tcBorders>
              <w:left w:val="single" w:color="auto" w:sz="4" w:space="0"/>
              <w:right w:val="single" w:color="auto" w:sz="4" w:space="0"/>
            </w:tcBorders>
            <w:vAlign w:val="center"/>
          </w:tcPr>
          <w:p w14:paraId="58B61CDF">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方正仿宋_GB2312" w:hAnsi="方正仿宋_GB2312" w:eastAsia="方正仿宋_GB2312" w:cs="方正仿宋_GB2312"/>
                <w:b/>
                <w:bCs/>
                <w:color w:val="auto"/>
                <w:sz w:val="24"/>
                <w:szCs w:val="24"/>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7FCF9B8D">
            <w:pPr>
              <w:keepNext w:val="0"/>
              <w:keepLines w:val="0"/>
              <w:pageBreakBefore w:val="0"/>
              <w:widowControl w:val="0"/>
              <w:kinsoku/>
              <w:wordWrap/>
              <w:overflowPunct/>
              <w:topLinePunct w:val="0"/>
              <w:autoSpaceDE/>
              <w:autoSpaceDN/>
              <w:bidi w:val="0"/>
              <w:spacing w:line="500" w:lineRule="exact"/>
              <w:jc w:val="center"/>
              <w:textAlignment w:val="auto"/>
              <w:rPr>
                <w:rFonts w:hint="default"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bCs/>
                <w:color w:val="auto"/>
                <w:sz w:val="24"/>
                <w:szCs w:val="24"/>
                <w:highlight w:val="none"/>
                <w:lang w:val="en-US" w:eastAsia="zh-CN"/>
              </w:rPr>
              <w:t>生产能力</w:t>
            </w:r>
          </w:p>
        </w:tc>
        <w:tc>
          <w:tcPr>
            <w:tcW w:w="3111" w:type="pct"/>
            <w:tcBorders>
              <w:top w:val="single" w:color="auto" w:sz="4" w:space="0"/>
              <w:left w:val="single" w:color="auto" w:sz="4" w:space="0"/>
              <w:bottom w:val="single" w:color="auto" w:sz="4" w:space="0"/>
              <w:right w:val="single" w:color="auto" w:sz="4" w:space="0"/>
            </w:tcBorders>
            <w:vAlign w:val="center"/>
          </w:tcPr>
          <w:p w14:paraId="0D9582C0">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投标人或</w:t>
            </w:r>
            <w:r>
              <w:rPr>
                <w:rFonts w:hint="eastAsia" w:ascii="方正仿宋_GB2312" w:hAnsi="方正仿宋_GB2312" w:eastAsia="方正仿宋_GB2312" w:cs="方正仿宋_GB2312"/>
                <w:color w:val="auto"/>
                <w:sz w:val="24"/>
                <w:szCs w:val="24"/>
                <w:highlight w:val="none"/>
                <w:lang w:val="en-US" w:eastAsia="zh-CN"/>
              </w:rPr>
              <w:t>所投</w:t>
            </w:r>
            <w:r>
              <w:rPr>
                <w:rFonts w:hint="eastAsia" w:ascii="方正仿宋_GB2312" w:hAnsi="方正仿宋_GB2312" w:eastAsia="方正仿宋_GB2312" w:cs="方正仿宋_GB2312"/>
                <w:color w:val="auto"/>
                <w:sz w:val="24"/>
                <w:szCs w:val="24"/>
                <w:highlight w:val="none"/>
                <w:lang w:val="zh-CN" w:eastAsia="zh-CN"/>
              </w:rPr>
              <w:t>公寓床制造商具备的生产和加工设备：</w:t>
            </w:r>
          </w:p>
          <w:p w14:paraId="42208B58">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①激光切割机；</w:t>
            </w:r>
          </w:p>
          <w:p w14:paraId="09127433">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②焊接机器人；</w:t>
            </w:r>
          </w:p>
          <w:p w14:paraId="52B6208C">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③流水线侧板排焊机；</w:t>
            </w:r>
          </w:p>
          <w:p w14:paraId="4054E54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④数控门板排焊机；</w:t>
            </w:r>
          </w:p>
          <w:p w14:paraId="5C1AB1CF">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⑤抛丸机；</w:t>
            </w:r>
          </w:p>
          <w:p w14:paraId="2C67062F">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⑥智能柔性折弯中心；</w:t>
            </w:r>
          </w:p>
          <w:p w14:paraId="3447815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⑦重型高速窄版激光封边机；</w:t>
            </w:r>
          </w:p>
          <w:p w14:paraId="18BBC261">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⑧全自动纵横开料锯。</w:t>
            </w:r>
          </w:p>
          <w:p w14:paraId="1909AEA7">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上述设备每</w:t>
            </w:r>
            <w:r>
              <w:rPr>
                <w:rFonts w:hint="eastAsia" w:ascii="方正仿宋_GB2312" w:hAnsi="方正仿宋_GB2312" w:eastAsia="方正仿宋_GB2312" w:cs="方正仿宋_GB2312"/>
                <w:color w:val="auto"/>
                <w:sz w:val="24"/>
                <w:szCs w:val="24"/>
                <w:highlight w:val="none"/>
                <w:lang w:val="en-US" w:eastAsia="zh-CN"/>
              </w:rPr>
              <w:t>提供</w:t>
            </w:r>
            <w:r>
              <w:rPr>
                <w:rFonts w:hint="eastAsia" w:ascii="方正仿宋_GB2312" w:hAnsi="方正仿宋_GB2312" w:eastAsia="方正仿宋_GB2312" w:cs="方正仿宋_GB2312"/>
                <w:color w:val="auto"/>
                <w:sz w:val="24"/>
                <w:szCs w:val="24"/>
                <w:highlight w:val="none"/>
                <w:lang w:val="zh-CN" w:eastAsia="zh-CN"/>
              </w:rPr>
              <w:t>一项得</w:t>
            </w: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lang w:val="zh-CN" w:eastAsia="zh-CN"/>
              </w:rPr>
              <w:t>分，</w:t>
            </w:r>
            <w:r>
              <w:rPr>
                <w:rFonts w:hint="eastAsia" w:ascii="方正仿宋_GB2312" w:hAnsi="方正仿宋_GB2312" w:eastAsia="方正仿宋_GB2312" w:cs="方正仿宋_GB2312"/>
                <w:color w:val="auto"/>
                <w:sz w:val="24"/>
                <w:szCs w:val="24"/>
                <w:highlight w:val="none"/>
                <w:lang w:val="en-US" w:eastAsia="zh-CN"/>
              </w:rPr>
              <w:t>其他的不得分，满分16分。</w:t>
            </w:r>
          </w:p>
          <w:p w14:paraId="610FBEF6">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注：①若为自有设备须同时提供设备现场图片、购买发票扫描件，发票中的购买人名称应与投标人（或所投产品制造商）名称一致。</w:t>
            </w:r>
          </w:p>
          <w:p w14:paraId="04DF9D8F">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②若为租赁设备须同时提供设备现场图片、设备租赁合同以及设备出租方的设备发票扫描件，租赁合同中的租赁人名称应与投标人（或所投产品制造商）名称一致。</w:t>
            </w:r>
          </w:p>
          <w:p w14:paraId="4DD0FE0F">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③不符合要求或未提供的不得分。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3B9C3852">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0-16分</w:t>
            </w:r>
          </w:p>
        </w:tc>
      </w:tr>
      <w:tr w14:paraId="319E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tcBorders>
              <w:left w:val="single" w:color="auto" w:sz="4" w:space="0"/>
              <w:right w:val="single" w:color="auto" w:sz="4" w:space="0"/>
            </w:tcBorders>
            <w:vAlign w:val="center"/>
          </w:tcPr>
          <w:p w14:paraId="2E9B11D1">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方正仿宋_GB2312" w:hAnsi="方正仿宋_GB2312" w:eastAsia="方正仿宋_GB2312" w:cs="方正仿宋_GB2312"/>
                <w:b/>
                <w:bCs/>
                <w:color w:val="auto"/>
                <w:sz w:val="24"/>
                <w:szCs w:val="24"/>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5A21F930">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Cs/>
                <w:color w:val="auto"/>
                <w:sz w:val="24"/>
                <w:szCs w:val="24"/>
                <w:highlight w:val="none"/>
              </w:rPr>
              <w:t>产品技术参数</w:t>
            </w:r>
          </w:p>
        </w:tc>
        <w:tc>
          <w:tcPr>
            <w:tcW w:w="3111" w:type="pct"/>
            <w:tcBorders>
              <w:top w:val="single" w:color="auto" w:sz="4" w:space="0"/>
              <w:left w:val="single" w:color="auto" w:sz="4" w:space="0"/>
              <w:bottom w:val="single" w:color="auto" w:sz="4" w:space="0"/>
              <w:right w:val="single" w:color="auto" w:sz="4" w:space="0"/>
            </w:tcBorders>
            <w:vAlign w:val="center"/>
          </w:tcPr>
          <w:p w14:paraId="58B7B64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rPr>
              <w:t>标注“★”的参数为必须响应参数，不得负偏离，否则投标无效；</w:t>
            </w:r>
          </w:p>
          <w:p w14:paraId="6D9946E8">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2）标注</w:t>
            </w:r>
            <w:r>
              <w:rPr>
                <w:rFonts w:hint="eastAsia" w:ascii="方正仿宋_GB2312" w:hAnsi="方正仿宋_GB2312" w:eastAsia="方正仿宋_GB2312" w:cs="方正仿宋_GB2312"/>
                <w:color w:val="auto"/>
                <w:sz w:val="24"/>
                <w:szCs w:val="24"/>
                <w:highlight w:val="none"/>
              </w:rPr>
              <w:t>“▲”的技术参数，每满足或优于一项得</w:t>
            </w: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分，共</w:t>
            </w:r>
            <w:r>
              <w:rPr>
                <w:rFonts w:hint="eastAsia" w:ascii="方正仿宋_GB2312" w:hAnsi="方正仿宋_GB2312" w:eastAsia="方正仿宋_GB2312" w:cs="方正仿宋_GB2312"/>
                <w:color w:val="auto"/>
                <w:sz w:val="24"/>
                <w:szCs w:val="24"/>
                <w:highlight w:val="none"/>
                <w:lang w:val="en-US" w:eastAsia="zh-CN"/>
              </w:rPr>
              <w:t xml:space="preserve">18 </w:t>
            </w:r>
            <w:r>
              <w:rPr>
                <w:rFonts w:hint="eastAsia" w:ascii="方正仿宋_GB2312" w:hAnsi="方正仿宋_GB2312" w:eastAsia="方正仿宋_GB2312" w:cs="方正仿宋_GB2312"/>
                <w:color w:val="auto"/>
                <w:sz w:val="24"/>
                <w:szCs w:val="24"/>
                <w:highlight w:val="none"/>
              </w:rPr>
              <w:t>项，满分</w:t>
            </w:r>
            <w:r>
              <w:rPr>
                <w:rFonts w:hint="eastAsia" w:ascii="方正仿宋_GB2312" w:hAnsi="方正仿宋_GB2312" w:eastAsia="方正仿宋_GB2312" w:cs="方正仿宋_GB2312"/>
                <w:color w:val="auto"/>
                <w:sz w:val="24"/>
                <w:szCs w:val="24"/>
                <w:highlight w:val="none"/>
                <w:lang w:val="en-US" w:eastAsia="zh-CN"/>
              </w:rPr>
              <w:t xml:space="preserve"> 36 </w:t>
            </w:r>
            <w:r>
              <w:rPr>
                <w:rFonts w:hint="eastAsia" w:ascii="方正仿宋_GB2312" w:hAnsi="方正仿宋_GB2312" w:eastAsia="方正仿宋_GB2312" w:cs="方正仿宋_GB2312"/>
                <w:color w:val="auto"/>
                <w:sz w:val="24"/>
                <w:szCs w:val="24"/>
                <w:highlight w:val="none"/>
              </w:rPr>
              <w:t>分；</w:t>
            </w:r>
          </w:p>
          <w:p w14:paraId="7D67E6D7">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注：①如某项标识中包含多条技术参数或要求，则该项标识所含内容均需满足或优于招标文件要求，否则不予认可。</w:t>
            </w:r>
          </w:p>
          <w:p w14:paraId="39457727">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②</w:t>
            </w:r>
            <w:r>
              <w:rPr>
                <w:rFonts w:hint="eastAsia" w:ascii="方正仿宋_GB2312" w:hAnsi="方正仿宋_GB2312" w:eastAsia="方正仿宋_GB2312" w:cs="方正仿宋_GB2312"/>
                <w:bCs/>
                <w:color w:val="auto"/>
                <w:sz w:val="24"/>
                <w:szCs w:val="24"/>
                <w:highlight w:val="none"/>
              </w:rPr>
              <w:t>以技术响应表、货物</w:t>
            </w:r>
            <w:r>
              <w:rPr>
                <w:rFonts w:hint="eastAsia" w:ascii="方正仿宋_GB2312" w:hAnsi="方正仿宋_GB2312" w:eastAsia="方正仿宋_GB2312" w:cs="方正仿宋_GB2312"/>
                <w:bCs/>
                <w:color w:val="auto"/>
                <w:sz w:val="24"/>
                <w:szCs w:val="24"/>
                <w:highlight w:val="none"/>
                <w:lang w:val="en-US" w:eastAsia="zh-CN"/>
              </w:rPr>
              <w:t>需求</w:t>
            </w:r>
            <w:r>
              <w:rPr>
                <w:rFonts w:hint="eastAsia" w:ascii="方正仿宋_GB2312" w:hAnsi="方正仿宋_GB2312" w:eastAsia="方正仿宋_GB2312" w:cs="方正仿宋_GB2312"/>
                <w:bCs/>
                <w:color w:val="auto"/>
                <w:sz w:val="24"/>
                <w:szCs w:val="24"/>
                <w:highlight w:val="none"/>
              </w:rPr>
              <w:t>中要求提供的证明材料作为评审依据。</w:t>
            </w:r>
          </w:p>
        </w:tc>
        <w:tc>
          <w:tcPr>
            <w:tcW w:w="583" w:type="pct"/>
            <w:tcBorders>
              <w:top w:val="single" w:color="auto" w:sz="4" w:space="0"/>
              <w:left w:val="single" w:color="auto" w:sz="4" w:space="0"/>
              <w:bottom w:val="single" w:color="auto" w:sz="4" w:space="0"/>
              <w:right w:val="single" w:color="auto" w:sz="4" w:space="0"/>
            </w:tcBorders>
            <w:vAlign w:val="center"/>
          </w:tcPr>
          <w:p w14:paraId="5747FF3C">
            <w:pPr>
              <w:keepNext w:val="0"/>
              <w:keepLines w:val="0"/>
              <w:pageBreakBefore w:val="0"/>
              <w:widowControl w:val="0"/>
              <w:numPr>
                <w:ilvl w:val="0"/>
                <w:numId w:val="0"/>
              </w:numPr>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kern w:val="2"/>
                <w:sz w:val="24"/>
                <w:szCs w:val="24"/>
                <w:highlight w:val="none"/>
                <w:lang w:val="en-US" w:eastAsia="zh-CN" w:bidi="ar-SA"/>
              </w:rPr>
              <w:t>0-</w:t>
            </w:r>
            <w:r>
              <w:rPr>
                <w:rFonts w:hint="eastAsia" w:ascii="方正仿宋_GB2312" w:hAnsi="方正仿宋_GB2312" w:eastAsia="方正仿宋_GB2312" w:cs="方正仿宋_GB2312"/>
                <w:b/>
                <w:bCs/>
                <w:color w:val="auto"/>
                <w:sz w:val="24"/>
                <w:szCs w:val="24"/>
                <w:highlight w:val="none"/>
                <w:lang w:val="en-US" w:eastAsia="zh-CN"/>
              </w:rPr>
              <w:t>36分</w:t>
            </w:r>
          </w:p>
        </w:tc>
      </w:tr>
      <w:tr w14:paraId="5521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tcBorders>
              <w:left w:val="single" w:color="auto" w:sz="4" w:space="0"/>
              <w:right w:val="single" w:color="auto" w:sz="4" w:space="0"/>
            </w:tcBorders>
            <w:vAlign w:val="center"/>
          </w:tcPr>
          <w:p w14:paraId="4E7CDD80">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方正仿宋_GB2312" w:hAnsi="方正仿宋_GB2312" w:eastAsia="方正仿宋_GB2312" w:cs="方正仿宋_GB2312"/>
                <w:b/>
                <w:bCs/>
                <w:color w:val="auto"/>
                <w:sz w:val="24"/>
                <w:szCs w:val="24"/>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22EE78E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实施方案</w:t>
            </w:r>
          </w:p>
        </w:tc>
        <w:tc>
          <w:tcPr>
            <w:tcW w:w="3111" w:type="pct"/>
            <w:tcBorders>
              <w:top w:val="single" w:color="auto" w:sz="4" w:space="0"/>
              <w:left w:val="single" w:color="auto" w:sz="4" w:space="0"/>
              <w:bottom w:val="single" w:color="auto" w:sz="4" w:space="0"/>
              <w:right w:val="single" w:color="auto" w:sz="4" w:space="0"/>
            </w:tcBorders>
            <w:vAlign w:val="center"/>
          </w:tcPr>
          <w:p w14:paraId="7876B258">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投标人需提供本项目详细实施方案，实施方案中明确实施步骤、人员配备和实施规范等。评审专家对本项目实施方案的完整性、合理性、可实施性和可扩展性进行综合评审：</w:t>
            </w:r>
          </w:p>
          <w:p w14:paraId="2BE2A665">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1.投标人提供的实施方案完整，实施步骤明确，实施计划合理，符合项目实施规范，人员实力强、投入充足，符合项目实施需求，具有可实施性和可扩展性,实施内容包括后期的测试、验收等，得5分；</w:t>
            </w:r>
          </w:p>
          <w:p w14:paraId="219CE05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投标人提供的实施方案基本完整，实施步骤清晰但未写明实施内容，实施计划基本满足项目进程要求，基本符合项目实施规范，人员实力和投入可满足实施需求，实施内容有综合考虑后期的测试、验收等，得3分；</w:t>
            </w:r>
          </w:p>
          <w:p w14:paraId="3D7C4A61">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投标人提供的实施方案基本完成但出现非针对本项目内容，整体方案空洞，实施步骤未明确具体方案，人员实力一般、投入少，项目实施需求与实际要求结合不紧密,实施内容仅包括简单的后期测试、验收等，得1分；</w:t>
            </w:r>
          </w:p>
          <w:p w14:paraId="2958E4B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2021514B">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0-5分</w:t>
            </w:r>
          </w:p>
        </w:tc>
      </w:tr>
      <w:tr w14:paraId="5969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tcBorders>
              <w:left w:val="single" w:color="auto" w:sz="4" w:space="0"/>
              <w:right w:val="single" w:color="auto" w:sz="4" w:space="0"/>
            </w:tcBorders>
            <w:vAlign w:val="center"/>
          </w:tcPr>
          <w:p w14:paraId="0865ABF0">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方正仿宋_GB2312" w:hAnsi="方正仿宋_GB2312" w:eastAsia="方正仿宋_GB2312" w:cs="方正仿宋_GB2312"/>
                <w:b/>
                <w:bCs/>
                <w:color w:val="auto"/>
                <w:sz w:val="24"/>
                <w:szCs w:val="24"/>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0BDEF2EC">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color w:val="auto"/>
                <w:sz w:val="24"/>
                <w:szCs w:val="24"/>
                <w:highlight w:val="none"/>
              </w:rPr>
              <w:t>售后服务方案</w:t>
            </w:r>
          </w:p>
        </w:tc>
        <w:tc>
          <w:tcPr>
            <w:tcW w:w="3111" w:type="pct"/>
            <w:tcBorders>
              <w:top w:val="single" w:color="auto" w:sz="4" w:space="0"/>
              <w:left w:val="single" w:color="auto" w:sz="4" w:space="0"/>
              <w:bottom w:val="single" w:color="auto" w:sz="4" w:space="0"/>
              <w:right w:val="single" w:color="auto" w:sz="4" w:space="0"/>
            </w:tcBorders>
            <w:vAlign w:val="center"/>
          </w:tcPr>
          <w:p w14:paraId="0B1FDF1F">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方案内容应详实、科学合理，售后服务响应时间，售后服务人员配备充足，能满足项目后期的维保需要。</w:t>
            </w:r>
          </w:p>
          <w:p w14:paraId="3E4A8C5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1.售后服务措施详尽、维修响应时间及时、备件供应保障充足、人员售后配置详细、远程报修服务方案全面、实时维修统计详尽，能保障采购人获得高质量售后服务的，得5分。</w:t>
            </w:r>
          </w:p>
          <w:p w14:paraId="27BD5757">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2.售后服务措施完整、维修响应时间及时、具有备件供应保障措施、配置售后人员、具有远程报修服务的，得3分。 </w:t>
            </w:r>
          </w:p>
          <w:p w14:paraId="16664F43">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3.售后服务措施、维修响应时间、备件供应保障、配置售后人员、远程报修服务措施不全或存在不足的，得1分。 </w:t>
            </w:r>
          </w:p>
          <w:p w14:paraId="2BD20FC6">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6CAB46A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0-5分</w:t>
            </w:r>
          </w:p>
        </w:tc>
      </w:tr>
      <w:tr w14:paraId="69D8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tcBorders>
              <w:left w:val="single" w:color="auto" w:sz="4" w:space="0"/>
              <w:right w:val="single" w:color="auto" w:sz="4" w:space="0"/>
            </w:tcBorders>
            <w:vAlign w:val="center"/>
          </w:tcPr>
          <w:p w14:paraId="2DD04A48">
            <w:pPr>
              <w:keepNext w:val="0"/>
              <w:keepLines w:val="0"/>
              <w:pageBreakBefore w:val="0"/>
              <w:widowControl w:val="0"/>
              <w:kinsoku/>
              <w:wordWrap/>
              <w:overflowPunct/>
              <w:topLinePunct w:val="0"/>
              <w:autoSpaceDE/>
              <w:autoSpaceDN/>
              <w:bidi w:val="0"/>
              <w:spacing w:line="500" w:lineRule="exact"/>
              <w:ind w:firstLine="435"/>
              <w:jc w:val="center"/>
              <w:textAlignment w:val="auto"/>
              <w:rPr>
                <w:rFonts w:hint="eastAsia" w:ascii="方正仿宋_GB2312" w:hAnsi="方正仿宋_GB2312" w:eastAsia="方正仿宋_GB2312" w:cs="方正仿宋_GB2312"/>
                <w:b/>
                <w:bCs/>
                <w:color w:val="auto"/>
                <w:sz w:val="24"/>
                <w:szCs w:val="24"/>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63E62BF6">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color w:val="auto"/>
                <w:sz w:val="24"/>
                <w:szCs w:val="24"/>
                <w:highlight w:val="none"/>
              </w:rPr>
              <w:t>质保期</w:t>
            </w:r>
          </w:p>
        </w:tc>
        <w:tc>
          <w:tcPr>
            <w:tcW w:w="3111" w:type="pct"/>
            <w:tcBorders>
              <w:top w:val="single" w:color="auto" w:sz="4" w:space="0"/>
              <w:left w:val="single" w:color="auto" w:sz="4" w:space="0"/>
              <w:bottom w:val="single" w:color="auto" w:sz="4" w:space="0"/>
              <w:right w:val="single" w:color="auto" w:sz="4" w:space="0"/>
            </w:tcBorders>
            <w:vAlign w:val="center"/>
          </w:tcPr>
          <w:p w14:paraId="37A5C0B8">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投标人所投所有产品质保期比招标文件规定免费质保期每延长1年得2分，最高得</w:t>
            </w: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分（所有产品质保期均做延长方予认可），延长不足一年的部分不得分。</w:t>
            </w:r>
          </w:p>
          <w:p w14:paraId="2E2345CD">
            <w:pPr>
              <w:keepNext w:val="0"/>
              <w:keepLines w:val="0"/>
              <w:pageBreakBefore w:val="0"/>
              <w:widowControl w:val="0"/>
              <w:kinsoku/>
              <w:wordWrap/>
              <w:overflowPunct/>
              <w:topLinePunct w:val="0"/>
              <w:autoSpaceDE/>
              <w:autoSpaceDN/>
              <w:bidi w:val="0"/>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注：以投标人承诺的免费质保期为准。提供承诺函扫描件。</w:t>
            </w:r>
          </w:p>
        </w:tc>
        <w:tc>
          <w:tcPr>
            <w:tcW w:w="583" w:type="pct"/>
            <w:tcBorders>
              <w:top w:val="single" w:color="auto" w:sz="4" w:space="0"/>
              <w:left w:val="single" w:color="auto" w:sz="4" w:space="0"/>
              <w:bottom w:val="single" w:color="auto" w:sz="4" w:space="0"/>
              <w:right w:val="single" w:color="auto" w:sz="4" w:space="0"/>
            </w:tcBorders>
            <w:vAlign w:val="center"/>
          </w:tcPr>
          <w:p w14:paraId="36884C08">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0-4分</w:t>
            </w:r>
          </w:p>
        </w:tc>
      </w:tr>
      <w:tr w14:paraId="2C6F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tcBorders>
              <w:left w:val="single" w:color="auto" w:sz="4" w:space="0"/>
              <w:right w:val="single" w:color="auto" w:sz="4" w:space="0"/>
            </w:tcBorders>
            <w:vAlign w:val="center"/>
          </w:tcPr>
          <w:p w14:paraId="721104F1">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价格分</w:t>
            </w:r>
          </w:p>
          <w:p w14:paraId="440C1EC2">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u w:val="single"/>
                <w:lang w:val="en-US" w:eastAsia="zh-CN"/>
              </w:rPr>
              <w:t>30</w:t>
            </w:r>
            <w:r>
              <w:rPr>
                <w:rFonts w:hint="eastAsia" w:ascii="方正仿宋_GB2312" w:hAnsi="方正仿宋_GB2312" w:eastAsia="方正仿宋_GB2312" w:cs="方正仿宋_GB2312"/>
                <w:color w:val="auto"/>
                <w:sz w:val="24"/>
                <w:szCs w:val="24"/>
                <w:highlight w:val="none"/>
              </w:rPr>
              <w:t>分）</w:t>
            </w:r>
          </w:p>
        </w:tc>
        <w:tc>
          <w:tcPr>
            <w:tcW w:w="4296" w:type="pct"/>
            <w:gridSpan w:val="3"/>
            <w:tcBorders>
              <w:top w:val="single" w:color="auto" w:sz="4" w:space="0"/>
              <w:left w:val="single" w:color="auto" w:sz="4" w:space="0"/>
              <w:bottom w:val="single" w:color="auto" w:sz="4" w:space="0"/>
              <w:right w:val="single" w:color="auto" w:sz="4" w:space="0"/>
            </w:tcBorders>
            <w:vAlign w:val="center"/>
          </w:tcPr>
          <w:p w14:paraId="2B3B09A5">
            <w:pPr>
              <w:keepNext w:val="0"/>
              <w:keepLines w:val="0"/>
              <w:pageBreakBefore w:val="0"/>
              <w:widowControl w:val="0"/>
              <w:kinsoku/>
              <w:wordWrap/>
              <w:overflowPunct/>
              <w:topLinePunct w:val="0"/>
              <w:autoSpaceDE/>
              <w:autoSpaceDN/>
              <w:bidi w:val="0"/>
              <w:spacing w:line="5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价格分统一采用低价优先法，即满足招标文件要求且投标价格最低的投标报价为评标基准价，其价格分为满分</w:t>
            </w:r>
            <w:r>
              <w:rPr>
                <w:rFonts w:hint="eastAsia" w:ascii="方正仿宋_GB2312" w:hAnsi="方正仿宋_GB2312" w:eastAsia="方正仿宋_GB2312" w:cs="方正仿宋_GB2312"/>
                <w:color w:val="auto"/>
                <w:sz w:val="24"/>
                <w:szCs w:val="24"/>
                <w:highlight w:val="none"/>
                <w:u w:val="single"/>
                <w:lang w:val="en-US" w:eastAsia="zh-CN"/>
              </w:rPr>
              <w:t>30</w:t>
            </w:r>
            <w:r>
              <w:rPr>
                <w:rFonts w:hint="eastAsia" w:ascii="方正仿宋_GB2312" w:hAnsi="方正仿宋_GB2312" w:eastAsia="方正仿宋_GB2312" w:cs="方正仿宋_GB2312"/>
                <w:color w:val="auto"/>
                <w:sz w:val="24"/>
                <w:szCs w:val="24"/>
                <w:highlight w:val="none"/>
              </w:rPr>
              <w:t>分。其他投标人的价格分统一按照下列公式计算：</w:t>
            </w:r>
          </w:p>
          <w:p w14:paraId="6CEC17F2">
            <w:pPr>
              <w:keepNext w:val="0"/>
              <w:keepLines w:val="0"/>
              <w:pageBreakBefore w:val="0"/>
              <w:widowControl w:val="0"/>
              <w:kinsoku/>
              <w:wordWrap/>
              <w:overflowPunct/>
              <w:topLinePunct w:val="0"/>
              <w:autoSpaceDE/>
              <w:autoSpaceDN/>
              <w:bidi w:val="0"/>
              <w:spacing w:line="500" w:lineRule="exact"/>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color w:val="auto"/>
                <w:sz w:val="24"/>
                <w:szCs w:val="24"/>
                <w:highlight w:val="none"/>
              </w:rPr>
              <w:t>投标报价得分＝（评标基准价/投标报价）×</w:t>
            </w:r>
            <w:r>
              <w:rPr>
                <w:rFonts w:hint="eastAsia" w:ascii="方正仿宋_GB2312" w:hAnsi="方正仿宋_GB2312" w:eastAsia="方正仿宋_GB2312" w:cs="方正仿宋_GB2312"/>
                <w:color w:val="auto"/>
                <w:sz w:val="24"/>
                <w:szCs w:val="24"/>
                <w:highlight w:val="none"/>
                <w:u w:val="single"/>
                <w:lang w:val="en-US" w:eastAsia="zh-CN"/>
              </w:rPr>
              <w:t>30</w:t>
            </w:r>
            <w:r>
              <w:rPr>
                <w:rFonts w:hint="eastAsia" w:ascii="方正仿宋_GB2312" w:hAnsi="方正仿宋_GB2312" w:eastAsia="方正仿宋_GB2312" w:cs="方正仿宋_GB2312"/>
                <w:color w:val="auto"/>
                <w:sz w:val="24"/>
                <w:szCs w:val="24"/>
                <w:highlight w:val="none"/>
              </w:rPr>
              <w:t>％×100</w:t>
            </w:r>
          </w:p>
        </w:tc>
      </w:tr>
    </w:tbl>
    <w:p w14:paraId="6480B0D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1A753B2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46D7BC4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0CDAFAAB">
      <w:pPr>
        <w:spacing w:line="360" w:lineRule="auto"/>
        <w:ind w:firstLine="435"/>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三、无效投标条款</w:t>
      </w:r>
    </w:p>
    <w:p w14:paraId="7594377B">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投标文件有下列情形之一的,其投标文件拒收:</w:t>
      </w:r>
    </w:p>
    <w:p w14:paraId="4505CEA5">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 未在开标截止时间前通过网上招标投标系统递交有效电子投标文件的，开标系统不予接收，投标将被拒绝。</w:t>
      </w:r>
    </w:p>
    <w:p w14:paraId="401CFC10">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1B29DEA4">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3.2投标人有下列情形之一的,资格审查后其投标作无效投标处理：</w:t>
      </w:r>
    </w:p>
    <w:p w14:paraId="35328921">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(1)投标人为本项目提供招标代理服务的；</w:t>
      </w:r>
    </w:p>
    <w:p w14:paraId="52AAE1CF">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(2)投标人与在本项目代理机构存在相互任职或工作的；</w:t>
      </w:r>
    </w:p>
    <w:p w14:paraId="4775A99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kern w:val="0"/>
          <w:sz w:val="24"/>
          <w:szCs w:val="24"/>
          <w:highlight w:val="none"/>
          <w:lang w:val="en-US" w:eastAsia="zh-CN" w:bidi="ar"/>
        </w:rPr>
        <w:t>与采购人存在利害关系可能影响采购公正性的法人、其他组织或者个人；</w:t>
      </w:r>
    </w:p>
    <w:p w14:paraId="0B1A8A7A">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)招标公告写明专门面向中小企业采购，投标人提供的货物非中小企业制造的；</w:t>
      </w:r>
    </w:p>
    <w:p w14:paraId="0ABD5D3F">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)要求供应商以联合体形式参加采购活动，投标人非联合体或者联合协议中中小企业合同金额未达到应当达到的比例；</w:t>
      </w:r>
    </w:p>
    <w:p w14:paraId="52799888">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eastAsia="zh-CN"/>
        </w:rPr>
        <w:t>)要求获得采购合同的供应商向中小企业分包，投标人未提供分包意向协议或者分包意向协议中中小企业合同金额未达到应当达到的比例；</w:t>
      </w:r>
    </w:p>
    <w:p w14:paraId="301B786B">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)评标专家无法查看并检验电子投标文件中相关资料的；</w:t>
      </w:r>
    </w:p>
    <w:p w14:paraId="39E5E036">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)联合体投标未提交联合体协议的；</w:t>
      </w:r>
    </w:p>
    <w:p w14:paraId="33E09394">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eastAsia="zh-CN"/>
        </w:rPr>
        <w:t>)责令停产停业的；</w:t>
      </w:r>
    </w:p>
    <w:p w14:paraId="694766D7">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lang w:eastAsia="zh-CN"/>
        </w:rPr>
        <w:t>)暂停或者取消参与政府采购项目资格的；</w:t>
      </w:r>
    </w:p>
    <w:p w14:paraId="7B07B6CB">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lang w:eastAsia="zh-CN"/>
        </w:rPr>
        <w:t>)投标人单位负责人为同一人或者存在直接控股、管理关系的不同单位的；</w:t>
      </w:r>
    </w:p>
    <w:p w14:paraId="685C9260">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)投标人基本资格条件和特定资格条件中有一项及以上不符合要求的；</w:t>
      </w:r>
    </w:p>
    <w:p w14:paraId="6F807C14">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lang w:eastAsia="zh-CN"/>
        </w:rPr>
        <w:t>)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755BEC78">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)其它情形，经评标委员会委提出按无效投标处理，并经公共资源交易监督部门核准的；</w:t>
      </w:r>
    </w:p>
    <w:p w14:paraId="6936367D">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)投标人投标MAC地址</w:t>
      </w:r>
      <w:r>
        <w:rPr>
          <w:rFonts w:hint="eastAsia" w:ascii="宋体" w:hAnsi="宋体" w:eastAsia="宋体" w:cs="宋体"/>
          <w:color w:val="auto"/>
          <w:sz w:val="24"/>
          <w:highlight w:val="none"/>
          <w:lang w:val="en-US" w:eastAsia="zh-CN"/>
        </w:rPr>
        <w:t>一致</w:t>
      </w:r>
      <w:r>
        <w:rPr>
          <w:rFonts w:hint="eastAsia" w:ascii="宋体" w:hAnsi="宋体" w:eastAsia="宋体" w:cs="宋体"/>
          <w:color w:val="auto"/>
          <w:sz w:val="24"/>
          <w:highlight w:val="none"/>
          <w:lang w:eastAsia="zh-CN"/>
        </w:rPr>
        <w:t>，由评标委员会否决其投标；</w:t>
      </w:r>
    </w:p>
    <w:p w14:paraId="575B0A83">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eastAsia="zh-CN"/>
        </w:rPr>
        <w:t>)投标人单方面出现其他投标人材料的；</w:t>
      </w:r>
    </w:p>
    <w:p w14:paraId="56E2446A">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投标人联系人或联系电话相同的，</w:t>
      </w:r>
      <w:r>
        <w:rPr>
          <w:rFonts w:hint="eastAsia" w:ascii="宋体" w:hAnsi="宋体" w:eastAsia="宋体" w:cs="宋体"/>
          <w:color w:val="auto"/>
          <w:sz w:val="24"/>
          <w:highlight w:val="none"/>
          <w:lang w:eastAsia="zh-CN"/>
        </w:rPr>
        <w:t>由评标委员会否决其投标</w:t>
      </w:r>
      <w:r>
        <w:rPr>
          <w:rFonts w:hint="eastAsia" w:ascii="宋体" w:hAnsi="宋体" w:eastAsia="宋体" w:cs="宋体"/>
          <w:color w:val="auto"/>
          <w:sz w:val="24"/>
          <w:highlight w:val="none"/>
          <w:lang w:val="en-US" w:eastAsia="zh-CN"/>
        </w:rPr>
        <w:t>，并报告监管部门作不良行为处理和进一步调查；</w:t>
      </w:r>
    </w:p>
    <w:p w14:paraId="2440855C">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)招标公告未写明允许采购进口产品，投标人所投产品为进口产品的；</w:t>
      </w:r>
    </w:p>
    <w:p w14:paraId="247941F0">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eastAsia="zh-CN"/>
        </w:rPr>
        <w:t>)招标文件规定的其它无效投标情形。</w:t>
      </w:r>
    </w:p>
    <w:p w14:paraId="2CB80996">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3.3 投标人有下列情形之一的,符合性审查后其投标按无效投标处理：</w:t>
      </w:r>
    </w:p>
    <w:p w14:paraId="453137BB">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(1)投标文件签字、盖章不全，经评标委员会一致认定对开评标内容有实质性影响并经公共资源交易监督部门核准的；</w:t>
      </w:r>
    </w:p>
    <w:p w14:paraId="3E85C9DA">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(2)未按规定的格式填写导致实质性内容不全以及实质上不响应，或者关键字迹模糊、无法辨认； 经公共资源交易监督部门核准的；</w:t>
      </w:r>
    </w:p>
    <w:p w14:paraId="76891FC1">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(3)同一投标人提交两个以上不同的投标文件或者投标报价，但招标文件规定提交备选方案的除外；</w:t>
      </w:r>
    </w:p>
    <w:p w14:paraId="0962A3A7">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(4)投标文件没有对招标文件的实质性要求和条件作出响应;</w:t>
      </w:r>
    </w:p>
    <w:p w14:paraId="1AAE4741">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(5)投标报价超出规定的投标限价或公布的采购预算的或投标人的投标报价各项单价高于招标文件给定的单价最高限价；</w:t>
      </w:r>
    </w:p>
    <w:p w14:paraId="05107459">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(6)不按评标委员会要求澄清、说明或补正的，或者评标委员会根据招标文件的规定对投标文件的计算错误进行修正后，投标人不接受修正的投标报价的。</w:t>
      </w:r>
    </w:p>
    <w:p w14:paraId="5B98E2E1">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(7)其它情形，经评标委员会委提出按无效投标处理，并经公共资源交易监督部门核准的；</w:t>
      </w:r>
    </w:p>
    <w:p w14:paraId="7FB30D08">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(8)投标文件含有采购人不能接受的附加条件的；</w:t>
      </w:r>
    </w:p>
    <w:p w14:paraId="435356D6">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(9)招标文件规定的其它无效投标情形。</w:t>
      </w:r>
    </w:p>
    <w:p w14:paraId="35C1DB4B">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3.4 投标人有下列情形之一的, 详细评审后其投标按无效投标处理：</w:t>
      </w:r>
    </w:p>
    <w:p w14:paraId="5D8A6494">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(1)投标产品不符合必须强制执行的国家标准的；</w:t>
      </w:r>
    </w:p>
    <w:p w14:paraId="11B41F07">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(2)投标人有串通投标、弄虚作假、行贿等违法行为；</w:t>
      </w:r>
    </w:p>
    <w:p w14:paraId="60DC975C">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(3)投标文件含有违反国家法律、法规的内容，或附有采购人不能接受的条件的；</w:t>
      </w:r>
    </w:p>
    <w:p w14:paraId="0A5536CC">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)拒不确认评标委员会评审修正的投标无效；</w:t>
      </w:r>
    </w:p>
    <w:p w14:paraId="5216B962">
      <w:pPr>
        <w:spacing w:line="360" w:lineRule="auto"/>
        <w:ind w:firstLine="43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)其它情形，经评标委员会委提出按无效投标处理，并经公共资源交易监督部门核准的；</w:t>
      </w:r>
    </w:p>
    <w:p w14:paraId="787AA10F">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eastAsia="zh-CN"/>
        </w:rPr>
        <w:t>)招标文件规定的其它无效投标情形。</w:t>
      </w:r>
      <w:r>
        <w:rPr>
          <w:rFonts w:asciiTheme="minorEastAsia" w:hAnsiTheme="minorEastAsia" w:eastAsiaTheme="minorEastAsia"/>
          <w:color w:val="auto"/>
          <w:sz w:val="24"/>
          <w:highlight w:val="none"/>
        </w:rPr>
        <w:br w:type="page"/>
      </w:r>
    </w:p>
    <w:p w14:paraId="4A47C5B8">
      <w:pPr>
        <w:spacing w:line="360" w:lineRule="auto"/>
        <w:jc w:val="center"/>
        <w:outlineLvl w:val="0"/>
        <w:rPr>
          <w:rFonts w:hint="eastAsia" w:asciiTheme="minorEastAsia" w:hAnsiTheme="minorEastAsia" w:eastAsiaTheme="minorEastAsia"/>
          <w:b/>
          <w:color w:val="auto"/>
          <w:sz w:val="28"/>
          <w:highlight w:val="none"/>
          <w:lang w:eastAsia="zh-CN"/>
        </w:rPr>
      </w:pPr>
      <w:bookmarkStart w:id="28" w:name="_Toc4682"/>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28"/>
    </w:p>
    <w:p w14:paraId="0A040B82">
      <w:pPr>
        <w:pStyle w:val="10"/>
        <w:pageBreakBefore w:val="0"/>
        <w:kinsoku/>
        <w:wordWrap/>
        <w:overflowPunct/>
        <w:topLinePunct w:val="0"/>
        <w:bidi w:val="0"/>
        <w:spacing w:after="0" w:line="360" w:lineRule="auto"/>
        <w:jc w:val="both"/>
        <w:textAlignment w:val="auto"/>
        <w:rPr>
          <w:rFonts w:hint="eastAsia" w:ascii="宋体" w:hAnsi="宋体" w:eastAsia="宋体" w:cs="宋体"/>
          <w:b/>
          <w:bCs/>
          <w:color w:val="auto"/>
          <w:spacing w:val="-20"/>
          <w:kern w:val="44"/>
          <w:sz w:val="24"/>
          <w:szCs w:val="24"/>
          <w:highlight w:val="none"/>
        </w:rPr>
      </w:pPr>
    </w:p>
    <w:p w14:paraId="23F0A728">
      <w:pPr>
        <w:pStyle w:val="10"/>
        <w:pageBreakBefore w:val="0"/>
        <w:kinsoku/>
        <w:wordWrap/>
        <w:overflowPunct/>
        <w:topLinePunct w:val="0"/>
        <w:bidi w:val="0"/>
        <w:spacing w:after="0" w:line="360" w:lineRule="auto"/>
        <w:jc w:val="center"/>
        <w:textAlignment w:val="auto"/>
        <w:rPr>
          <w:rFonts w:hint="eastAsia" w:ascii="宋体" w:hAnsi="宋体" w:eastAsia="宋体" w:cs="宋体"/>
          <w:b/>
          <w:bCs/>
          <w:color w:val="auto"/>
          <w:spacing w:val="-20"/>
          <w:kern w:val="44"/>
          <w:sz w:val="24"/>
          <w:szCs w:val="24"/>
          <w:highlight w:val="none"/>
        </w:rPr>
      </w:pPr>
    </w:p>
    <w:p w14:paraId="3DAA10CD">
      <w:pPr>
        <w:spacing w:line="360" w:lineRule="auto"/>
        <w:jc w:val="center"/>
        <w:outlineLvl w:val="1"/>
        <w:rPr>
          <w:rFonts w:hint="eastAsia" w:ascii="宋体" w:hAnsi="宋体" w:eastAsia="宋体"/>
          <w:b/>
          <w:color w:val="auto"/>
          <w:sz w:val="24"/>
          <w:highlight w:val="none"/>
        </w:rPr>
      </w:pPr>
    </w:p>
    <w:p w14:paraId="538BA661">
      <w:pPr>
        <w:spacing w:line="360" w:lineRule="auto"/>
        <w:jc w:val="center"/>
        <w:outlineLvl w:val="1"/>
        <w:rPr>
          <w:rFonts w:hint="eastAsia" w:ascii="宋体" w:hAnsi="宋体" w:eastAsia="宋体"/>
          <w:b/>
          <w:color w:val="auto"/>
          <w:sz w:val="24"/>
          <w:highlight w:val="none"/>
        </w:rPr>
      </w:pPr>
    </w:p>
    <w:p w14:paraId="63E2269C">
      <w:pPr>
        <w:spacing w:line="360" w:lineRule="auto"/>
        <w:jc w:val="center"/>
        <w:outlineLvl w:val="1"/>
        <w:rPr>
          <w:rFonts w:hint="eastAsia" w:ascii="宋体" w:hAnsi="宋体" w:eastAsia="宋体"/>
          <w:b/>
          <w:color w:val="auto"/>
          <w:sz w:val="24"/>
          <w:highlight w:val="none"/>
        </w:rPr>
      </w:pPr>
    </w:p>
    <w:p w14:paraId="63AE34A2">
      <w:pPr>
        <w:spacing w:line="360" w:lineRule="auto"/>
        <w:jc w:val="center"/>
        <w:outlineLvl w:val="1"/>
        <w:rPr>
          <w:rFonts w:ascii="宋体" w:hAnsi="宋体" w:eastAsia="宋体"/>
          <w:b/>
          <w:color w:val="auto"/>
          <w:sz w:val="24"/>
          <w:highlight w:val="none"/>
        </w:rPr>
      </w:pPr>
    </w:p>
    <w:p w14:paraId="53E1927C">
      <w:pPr>
        <w:spacing w:line="360" w:lineRule="auto"/>
        <w:jc w:val="center"/>
        <w:outlineLvl w:val="1"/>
        <w:rPr>
          <w:rFonts w:ascii="宋体" w:hAnsi="宋体" w:eastAsia="宋体"/>
          <w:b/>
          <w:color w:val="auto"/>
          <w:sz w:val="24"/>
          <w:highlight w:val="none"/>
        </w:rPr>
      </w:pPr>
    </w:p>
    <w:p w14:paraId="17B55A3B">
      <w:pPr>
        <w:spacing w:line="480" w:lineRule="auto"/>
        <w:jc w:val="center"/>
        <w:rPr>
          <w:rFonts w:ascii="宋体" w:hAnsi="宋体" w:eastAsia="宋体" w:cs="Times New Roman"/>
          <w:b/>
          <w:color w:val="auto"/>
          <w:sz w:val="24"/>
          <w:szCs w:val="24"/>
          <w:highlight w:val="none"/>
        </w:rPr>
      </w:pPr>
    </w:p>
    <w:p w14:paraId="10AC6562">
      <w:pPr>
        <w:spacing w:line="480" w:lineRule="auto"/>
        <w:jc w:val="center"/>
        <w:rPr>
          <w:rFonts w:ascii="宋体" w:hAnsi="宋体" w:eastAsia="宋体" w:cs="Times New Roman"/>
          <w:b/>
          <w:color w:val="auto"/>
          <w:sz w:val="24"/>
          <w:szCs w:val="24"/>
          <w:highlight w:val="none"/>
        </w:rPr>
      </w:pPr>
    </w:p>
    <w:p w14:paraId="317950EC">
      <w:pPr>
        <w:spacing w:line="480" w:lineRule="auto"/>
        <w:jc w:val="center"/>
        <w:rPr>
          <w:rFonts w:ascii="宋体" w:hAnsi="宋体" w:eastAsia="宋体" w:cs="Times New Roman"/>
          <w:b/>
          <w:color w:val="auto"/>
          <w:sz w:val="24"/>
          <w:szCs w:val="24"/>
          <w:highlight w:val="none"/>
        </w:rPr>
      </w:pPr>
    </w:p>
    <w:p w14:paraId="7C26B63F">
      <w:pPr>
        <w:spacing w:line="480" w:lineRule="auto"/>
        <w:jc w:val="center"/>
        <w:rPr>
          <w:rFonts w:ascii="宋体" w:hAnsi="宋体" w:eastAsia="宋体" w:cs="Times New Roman"/>
          <w:b/>
          <w:color w:val="auto"/>
          <w:sz w:val="24"/>
          <w:szCs w:val="24"/>
          <w:highlight w:val="none"/>
        </w:rPr>
      </w:pPr>
    </w:p>
    <w:p w14:paraId="6AACE5BC">
      <w:pPr>
        <w:spacing w:line="480" w:lineRule="auto"/>
        <w:jc w:val="center"/>
        <w:rPr>
          <w:rFonts w:ascii="宋体" w:hAnsi="宋体" w:eastAsia="宋体" w:cs="Times New Roman"/>
          <w:b/>
          <w:color w:val="auto"/>
          <w:sz w:val="24"/>
          <w:szCs w:val="24"/>
          <w:highlight w:val="none"/>
        </w:rPr>
      </w:pPr>
    </w:p>
    <w:p w14:paraId="0E127C13">
      <w:pPr>
        <w:spacing w:line="480" w:lineRule="auto"/>
        <w:jc w:val="center"/>
        <w:rPr>
          <w:rFonts w:ascii="宋体" w:hAnsi="宋体" w:eastAsia="宋体" w:cs="Times New Roman"/>
          <w:b/>
          <w:color w:val="auto"/>
          <w:sz w:val="24"/>
          <w:szCs w:val="24"/>
          <w:highlight w:val="none"/>
        </w:rPr>
      </w:pPr>
    </w:p>
    <w:p w14:paraId="1132E96F">
      <w:pPr>
        <w:spacing w:line="480" w:lineRule="auto"/>
        <w:jc w:val="center"/>
        <w:rPr>
          <w:rFonts w:ascii="宋体" w:hAnsi="宋体" w:eastAsia="宋体" w:cs="Times New Roman"/>
          <w:b/>
          <w:color w:val="auto"/>
          <w:sz w:val="24"/>
          <w:szCs w:val="24"/>
          <w:highlight w:val="none"/>
        </w:rPr>
      </w:pPr>
    </w:p>
    <w:p w14:paraId="712CF83B">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lang w:val="en-US" w:eastAsia="zh-CN"/>
        </w:rPr>
        <w:t>滁州市第二中学学生公寓家具采购项目</w:t>
      </w:r>
    </w:p>
    <w:p w14:paraId="35D66C83">
      <w:pPr>
        <w:spacing w:before="120" w:line="480" w:lineRule="auto"/>
        <w:ind w:left="96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项目编号：</w:t>
      </w:r>
      <w:r>
        <w:rPr>
          <w:rFonts w:hint="eastAsia" w:ascii="宋体" w:hAnsi="宋体" w:eastAsia="宋体" w:cs="Times New Roman"/>
          <w:color w:val="auto"/>
          <w:sz w:val="24"/>
          <w:szCs w:val="24"/>
          <w:highlight w:val="none"/>
          <w:u w:val="single"/>
          <w:lang w:val="en-US" w:eastAsia="zh-CN"/>
        </w:rPr>
        <w:t xml:space="preserve">                                  </w:t>
      </w:r>
    </w:p>
    <w:p w14:paraId="1E46D5EC">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甲方（采购人）：</w:t>
      </w:r>
      <w:r>
        <w:rPr>
          <w:rFonts w:hint="eastAsia" w:ascii="宋体" w:hAnsi="宋体" w:eastAsia="宋体" w:cs="Times New Roman"/>
          <w:color w:val="auto"/>
          <w:sz w:val="24"/>
          <w:szCs w:val="24"/>
          <w:highlight w:val="none"/>
          <w:u w:val="single"/>
        </w:rPr>
        <w:t xml:space="preserve">     </w:t>
      </w:r>
      <w:r>
        <w:rPr>
          <w:rFonts w:hint="eastAsia" w:ascii="宋体" w:hAnsi="宋体" w:eastAsia="宋体"/>
          <w:color w:val="auto"/>
          <w:sz w:val="24"/>
          <w:highlight w:val="none"/>
          <w:u w:val="single"/>
          <w:lang w:eastAsia="zh-CN"/>
        </w:rPr>
        <w:t>滁州市第二中学</w:t>
      </w:r>
      <w:r>
        <w:rPr>
          <w:rFonts w:hint="eastAsia" w:ascii="宋体" w:hAnsi="宋体" w:eastAsia="宋体" w:cs="Times New Roman"/>
          <w:color w:val="auto"/>
          <w:sz w:val="24"/>
          <w:szCs w:val="24"/>
          <w:highlight w:val="none"/>
          <w:u w:val="single"/>
        </w:rPr>
        <w:t xml:space="preserve">     </w:t>
      </w:r>
    </w:p>
    <w:p w14:paraId="5126A5DF">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乙方（中标人）：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p>
    <w:p w14:paraId="037FECB5">
      <w:pPr>
        <w:spacing w:before="120" w:line="480" w:lineRule="auto"/>
        <w:ind w:firstLine="960" w:firstLineChars="4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签订地：</w:t>
      </w:r>
      <w:r>
        <w:rPr>
          <w:rFonts w:hint="eastAsia" w:ascii="宋体" w:hAnsi="宋体" w:eastAsia="宋体" w:cs="Times New Roman"/>
          <w:color w:val="auto"/>
          <w:sz w:val="24"/>
          <w:szCs w:val="24"/>
          <w:highlight w:val="none"/>
          <w:u w:val="single"/>
        </w:rPr>
        <w:t xml:space="preserve">                                     </w:t>
      </w:r>
    </w:p>
    <w:p w14:paraId="646E8AAC">
      <w:pPr>
        <w:spacing w:before="120" w:line="480" w:lineRule="auto"/>
        <w:ind w:firstLine="960" w:firstLineChars="4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签订日期：</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55CB0FA3">
      <w:pPr>
        <w:widowControl/>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br w:type="page"/>
      </w:r>
    </w:p>
    <w:p w14:paraId="73E450BC">
      <w:pPr>
        <w:spacing w:line="360" w:lineRule="auto"/>
        <w:jc w:val="center"/>
        <w:outlineLvl w:val="1"/>
        <w:rPr>
          <w:rFonts w:hint="eastAsia" w:ascii="宋体" w:hAnsi="宋体" w:eastAsia="宋体"/>
          <w:b/>
          <w:color w:val="auto"/>
          <w:sz w:val="24"/>
          <w:szCs w:val="24"/>
          <w:highlight w:val="none"/>
        </w:rPr>
      </w:pPr>
      <w:r>
        <w:rPr>
          <w:rFonts w:hint="eastAsia" w:ascii="宋体" w:hAnsi="宋体" w:eastAsia="宋体" w:cs="宋体"/>
          <w:b/>
          <w:color w:val="auto"/>
          <w:sz w:val="24"/>
          <w:szCs w:val="24"/>
          <w:highlight w:val="none"/>
          <w:lang w:bidi="ar"/>
        </w:rPr>
        <w:t>第一节</w:t>
      </w:r>
      <w:r>
        <w:rPr>
          <w:rFonts w:hint="eastAsia" w:ascii="宋体" w:hAnsi="宋体" w:eastAsia="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政府采购合同协议书</w:t>
      </w:r>
    </w:p>
    <w:p w14:paraId="13A0667A">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39680E77">
      <w:pPr>
        <w:adjustRightInd w:val="0"/>
        <w:snapToGrid w:val="0"/>
        <w:spacing w:line="360" w:lineRule="auto"/>
        <w:ind w:left="4800" w:hanging="4800" w:hanging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甲方（全称）：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（采购人、受采购人委托签订合同的单位或采购文件约定的合同甲方）</w:t>
      </w:r>
    </w:p>
    <w:p w14:paraId="0FDA6C79">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乙方1（全称）：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（供应商）</w:t>
      </w:r>
    </w:p>
    <w:p w14:paraId="463858A4">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乙方2（全称）：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（联合体成员供应商或其他合同主体）（如有）</w:t>
      </w:r>
    </w:p>
    <w:p w14:paraId="748409B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乙方3（全称）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（联合体成员供应商或其他合同主体）（如有）</w:t>
      </w:r>
    </w:p>
    <w:p w14:paraId="07D24CE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4EC1B4DF">
      <w:pPr>
        <w:pStyle w:val="22"/>
        <w:adjustRightInd w:val="0"/>
        <w:snapToGrid w:val="0"/>
        <w:spacing w:before="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27D711D">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项目信息</w:t>
      </w:r>
    </w:p>
    <w:p w14:paraId="12EEC1A8">
      <w:pPr>
        <w:numPr>
          <w:ilvl w:val="0"/>
          <w:numId w:val="4"/>
        </w:numPr>
        <w:adjustRightInd w:val="0"/>
        <w:snapToGrid w:val="0"/>
        <w:spacing w:line="360" w:lineRule="auto"/>
        <w:ind w:firstLine="480" w:firstLineChars="200"/>
        <w:rPr>
          <w:rFonts w:hint="eastAsia" w:ascii="宋体" w:hAnsi="宋体" w:eastAsia="宋体" w:cs="宋体"/>
          <w:color w:val="auto"/>
          <w:sz w:val="24"/>
          <w:szCs w:val="24"/>
          <w:highlight w:val="none"/>
          <w:u w:val="single"/>
          <w:lang w:bidi="ar"/>
        </w:rPr>
      </w:pPr>
      <w:r>
        <w:rPr>
          <w:rFonts w:hint="eastAsia" w:ascii="宋体" w:hAnsi="宋体" w:eastAsia="宋体" w:cs="宋体"/>
          <w:color w:val="auto"/>
          <w:sz w:val="24"/>
          <w:szCs w:val="24"/>
          <w:highlight w:val="none"/>
          <w:lang w:bidi="ar"/>
        </w:rPr>
        <w:t>采购项目名称：</w:t>
      </w:r>
      <w:r>
        <w:rPr>
          <w:rFonts w:hint="eastAsia" w:ascii="宋体" w:hAnsi="宋体" w:eastAsia="宋体" w:cs="宋体"/>
          <w:color w:val="auto"/>
          <w:sz w:val="24"/>
          <w:szCs w:val="24"/>
          <w:highlight w:val="none"/>
          <w:u w:val="single"/>
          <w:lang w:eastAsia="zh-CN" w:bidi="ar"/>
        </w:rPr>
        <w:t>滁州市第二中学学生公寓家具采购项目</w:t>
      </w:r>
      <w:r>
        <w:rPr>
          <w:rFonts w:hint="eastAsia" w:ascii="宋体" w:hAnsi="宋体" w:eastAsia="宋体" w:cs="宋体"/>
          <w:color w:val="auto"/>
          <w:sz w:val="24"/>
          <w:szCs w:val="24"/>
          <w:highlight w:val="none"/>
          <w:u w:val="single"/>
          <w:lang w:bidi="ar"/>
        </w:rPr>
        <w:t xml:space="preserve"> </w:t>
      </w:r>
    </w:p>
    <w:p w14:paraId="74BEC77C">
      <w:pPr>
        <w:numPr>
          <w:ilvl w:val="0"/>
          <w:numId w:val="0"/>
        </w:numPr>
        <w:adjustRightInd w:val="0"/>
        <w:snapToGrid w:val="0"/>
        <w:spacing w:line="360" w:lineRule="auto"/>
        <w:ind w:firstLine="1200" w:firstLineChars="5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采购项目编号：</w:t>
      </w:r>
      <w:r>
        <w:rPr>
          <w:rFonts w:hint="eastAsia" w:ascii="宋体" w:hAnsi="宋体" w:eastAsia="宋体" w:cs="宋体"/>
          <w:color w:val="auto"/>
          <w:sz w:val="24"/>
          <w:szCs w:val="24"/>
          <w:highlight w:val="none"/>
          <w:u w:val="single"/>
          <w:lang w:bidi="ar"/>
        </w:rPr>
        <w:t xml:space="preserve">          </w:t>
      </w:r>
    </w:p>
    <w:p w14:paraId="7BCED11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（2）采购计划编号：</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32B4B11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（3）项目内容：</w:t>
      </w:r>
    </w:p>
    <w:p w14:paraId="236C072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采购标的及数量（台/套/个/架/组等）：</w:t>
      </w:r>
      <w:r>
        <w:rPr>
          <w:rFonts w:hint="eastAsia" w:ascii="宋体" w:hAnsi="宋体" w:eastAsia="宋体" w:cs="宋体"/>
          <w:color w:val="auto"/>
          <w:sz w:val="24"/>
          <w:szCs w:val="24"/>
          <w:highlight w:val="none"/>
          <w:u w:val="single"/>
          <w:lang w:bidi="ar"/>
        </w:rPr>
        <w:t xml:space="preserve">   详见采购需求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1DA8C6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品牌：</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规格型号：</w:t>
      </w:r>
      <w:r>
        <w:rPr>
          <w:rFonts w:hint="eastAsia" w:ascii="宋体" w:hAnsi="宋体" w:eastAsia="宋体" w:cs="宋体"/>
          <w:color w:val="auto"/>
          <w:sz w:val="24"/>
          <w:szCs w:val="24"/>
          <w:highlight w:val="none"/>
          <w:u w:val="single"/>
          <w:lang w:bidi="ar"/>
        </w:rPr>
        <w:t xml:space="preserve">    /       </w:t>
      </w:r>
    </w:p>
    <w:p w14:paraId="224DD6D7">
      <w:pPr>
        <w:adjustRightInd w:val="0"/>
        <w:snapToGrid w:val="0"/>
        <w:spacing w:line="360" w:lineRule="auto"/>
        <w:ind w:firstLine="1080" w:firstLineChars="4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采购标的的技术要求、商务要求具体见附件。</w:t>
      </w:r>
    </w:p>
    <w:p w14:paraId="32877FA3">
      <w:pPr>
        <w:adjustRightInd w:val="0"/>
        <w:snapToGrid w:val="0"/>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①涉及信息类产品，请填写该产品关键部件的品牌、型号：</w:t>
      </w:r>
    </w:p>
    <w:p w14:paraId="579F48A6">
      <w:pPr>
        <w:adjustRightInd w:val="0"/>
        <w:snapToGrid w:val="0"/>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bidi="ar"/>
        </w:rPr>
        <w:t xml:space="preserve">     标的名称：</w:t>
      </w:r>
      <w:r>
        <w:rPr>
          <w:rFonts w:hint="eastAsia" w:ascii="宋体" w:hAnsi="宋体" w:eastAsia="宋体" w:cs="宋体"/>
          <w:color w:val="auto"/>
          <w:kern w:val="0"/>
          <w:sz w:val="24"/>
          <w:szCs w:val="24"/>
          <w:highlight w:val="none"/>
          <w:u w:val="single"/>
          <w:lang w:bidi="ar"/>
        </w:rPr>
        <w:t xml:space="preserve">                         </w:t>
      </w:r>
    </w:p>
    <w:p w14:paraId="0492D29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关键部件：</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r>
        <w:rPr>
          <w:rFonts w:hint="eastAsia" w:ascii="宋体" w:hAnsi="宋体" w:eastAsia="宋体" w:cs="宋体"/>
          <w:color w:val="auto"/>
          <w:sz w:val="24"/>
          <w:szCs w:val="24"/>
          <w:highlight w:val="none"/>
          <w:lang w:bidi="ar"/>
        </w:rPr>
        <w:t>品牌：</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型号：</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68A929D0">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w:t>
      </w:r>
      <w:r>
        <w:rPr>
          <w:rFonts w:hint="eastAsia" w:ascii="宋体" w:hAnsi="宋体" w:eastAsia="宋体" w:cs="宋体"/>
          <w:color w:val="auto"/>
          <w:kern w:val="2"/>
          <w:szCs w:val="24"/>
          <w:highlight w:val="none"/>
          <w:lang w:bidi="ar"/>
        </w:rPr>
        <w:t>关键部件</w:t>
      </w:r>
      <w:r>
        <w:rPr>
          <w:rFonts w:hint="eastAsia" w:ascii="宋体" w:hAnsi="宋体" w:eastAsia="宋体" w:cs="宋体"/>
          <w:color w:val="auto"/>
          <w:szCs w:val="24"/>
          <w:highlight w:val="none"/>
          <w:lang w:bidi="ar"/>
        </w:rPr>
        <w:t>：</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品牌：</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型号：</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w:t>
      </w:r>
    </w:p>
    <w:p w14:paraId="540F8826">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关键部件：</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品牌：</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型号：</w:t>
      </w:r>
      <w:r>
        <w:rPr>
          <w:rFonts w:hint="eastAsia" w:ascii="宋体" w:hAnsi="宋体" w:eastAsia="宋体" w:cs="宋体"/>
          <w:color w:val="auto"/>
          <w:szCs w:val="24"/>
          <w:highlight w:val="none"/>
          <w:u w:val="single"/>
          <w:lang w:bidi="ar"/>
        </w:rPr>
        <w:t xml:space="preserve">       </w:t>
      </w:r>
    </w:p>
    <w:p w14:paraId="784C6678">
      <w:pPr>
        <w:pStyle w:val="22"/>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lang w:bidi="ar"/>
        </w:rPr>
      </w:pPr>
      <w:r>
        <w:rPr>
          <w:rFonts w:hint="eastAsia" w:ascii="宋体" w:hAnsi="宋体" w:eastAsia="宋体" w:cs="宋体"/>
          <w:color w:val="auto"/>
          <w:szCs w:val="24"/>
          <w:highlight w:val="none"/>
          <w:lang w:bidi="ar"/>
        </w:rPr>
        <w:t>（注：关键部件是指财政部会同有关部门发布的政府采购需求标准规定的需要通过国家有关部门指定的测评机构开展的安全可靠测评的软硬件，如CPU芯片、操作系统、数据库等。）</w:t>
      </w:r>
    </w:p>
    <w:p w14:paraId="192CE798">
      <w:pPr>
        <w:adjustRightInd w:val="0"/>
        <w:snapToGrid w:val="0"/>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②</w:t>
      </w:r>
      <w:r>
        <w:rPr>
          <w:rFonts w:hint="eastAsia" w:ascii="宋体" w:hAnsi="宋体" w:eastAsia="宋体" w:cs="宋体"/>
          <w:color w:val="auto"/>
          <w:kern w:val="0"/>
          <w:sz w:val="24"/>
          <w:szCs w:val="24"/>
          <w:highlight w:val="none"/>
          <w:lang w:bidi="ar"/>
        </w:rPr>
        <w:t>涉及车辆采购，请填写是否属于新能源汽车：</w:t>
      </w:r>
    </w:p>
    <w:p w14:paraId="6B75F51E">
      <w:pPr>
        <w:pStyle w:val="22"/>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□是，《政府采购品目分类目录》底级品目名称：</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数量：</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金额：</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w:t>
      </w:r>
    </w:p>
    <w:p w14:paraId="07684058">
      <w:pPr>
        <w:pStyle w:val="22"/>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☑否</w:t>
      </w:r>
    </w:p>
    <w:p w14:paraId="155B97E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（4）政府采购组织形式：☑政府集中采购  □部门集中采购  □分散采购</w:t>
      </w:r>
    </w:p>
    <w:p w14:paraId="7F8FD6C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（5）政府采购方式：☑公开招标 □邀请招标 □竞争性谈判 □竞争性磋商</w:t>
      </w:r>
    </w:p>
    <w:p w14:paraId="24E95DA2">
      <w:pPr>
        <w:pStyle w:val="22"/>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bidi="ar"/>
        </w:rPr>
        <w:t xml:space="preserve">                  □询价 □单一来源 □框架协议 □其他：</w:t>
      </w:r>
      <w:r>
        <w:rPr>
          <w:rFonts w:hint="eastAsia" w:ascii="宋体" w:hAnsi="宋体" w:eastAsia="宋体" w:cs="宋体"/>
          <w:color w:val="auto"/>
          <w:szCs w:val="24"/>
          <w:highlight w:val="none"/>
          <w:u w:val="single"/>
          <w:lang w:bidi="ar"/>
        </w:rPr>
        <w:t xml:space="preserve">   /   </w:t>
      </w:r>
    </w:p>
    <w:p w14:paraId="0506D57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sz w:val="24"/>
          <w:szCs w:val="24"/>
          <w:highlight w:val="none"/>
          <w:lang w:bidi="ar"/>
        </w:rPr>
        <w:t>中标（成交）采购标的制造商是否为中小企业：☑是      □否</w:t>
      </w:r>
    </w:p>
    <w:p w14:paraId="3609D2C6">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本合同是否为专门面向中小企业的采购合同（中小企业预留合同）：</w:t>
      </w:r>
      <w:r>
        <w:rPr>
          <w:rFonts w:hint="eastAsia" w:ascii="宋体" w:hAnsi="宋体" w:eastAsia="宋体" w:cs="宋体"/>
          <w:iCs/>
          <w:color w:val="auto"/>
          <w:sz w:val="24"/>
          <w:szCs w:val="24"/>
          <w:highlight w:val="none"/>
          <w:lang w:bidi="ar"/>
        </w:rPr>
        <w:t>☑是    □否</w:t>
      </w:r>
    </w:p>
    <w:p w14:paraId="41B61BAE">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若本项目不专门面向中小企业采购，是否给予小微企业评审优惠：</w:t>
      </w:r>
      <w:r>
        <w:rPr>
          <w:rFonts w:hint="eastAsia" w:ascii="宋体" w:hAnsi="宋体" w:eastAsia="宋体" w:cs="宋体"/>
          <w:iCs/>
          <w:color w:val="auto"/>
          <w:sz w:val="24"/>
          <w:szCs w:val="24"/>
          <w:highlight w:val="none"/>
          <w:lang w:bidi="ar"/>
        </w:rPr>
        <w:t>□是   □否</w:t>
      </w:r>
    </w:p>
    <w:p w14:paraId="44591194">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中标（成交）采购标的制造商是否为残疾人福利性单位：</w:t>
      </w:r>
      <w:r>
        <w:rPr>
          <w:rFonts w:hint="eastAsia" w:ascii="宋体" w:hAnsi="宋体" w:eastAsia="宋体" w:cs="宋体"/>
          <w:iCs/>
          <w:color w:val="auto"/>
          <w:sz w:val="24"/>
          <w:szCs w:val="24"/>
          <w:highlight w:val="none"/>
          <w:lang w:bidi="ar"/>
        </w:rPr>
        <w:t>□是   □否</w:t>
      </w:r>
    </w:p>
    <w:p w14:paraId="60E5205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中标（成交）采购标的制造商是否为监狱企业：</w:t>
      </w:r>
      <w:r>
        <w:rPr>
          <w:rFonts w:hint="eastAsia" w:ascii="宋体" w:hAnsi="宋体" w:eastAsia="宋体" w:cs="宋体"/>
          <w:iCs/>
          <w:color w:val="auto"/>
          <w:sz w:val="24"/>
          <w:szCs w:val="24"/>
          <w:highlight w:val="none"/>
          <w:lang w:bidi="ar"/>
        </w:rPr>
        <w:t>□是      □否</w:t>
      </w:r>
    </w:p>
    <w:p w14:paraId="5432EAF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（7）合同是否分包：</w:t>
      </w:r>
      <w:r>
        <w:rPr>
          <w:rFonts w:hint="eastAsia" w:ascii="宋体" w:hAnsi="宋体" w:eastAsia="宋体" w:cs="宋体"/>
          <w:iCs/>
          <w:color w:val="auto"/>
          <w:sz w:val="24"/>
          <w:szCs w:val="24"/>
          <w:highlight w:val="none"/>
          <w:lang w:bidi="ar"/>
        </w:rPr>
        <w:t>□是       ☑否</w:t>
      </w:r>
    </w:p>
    <w:p w14:paraId="5B5130FF">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分包主要内容：</w:t>
      </w:r>
      <w:r>
        <w:rPr>
          <w:rFonts w:hint="eastAsia" w:ascii="宋体" w:hAnsi="宋体" w:eastAsia="宋体" w:cs="宋体"/>
          <w:color w:val="auto"/>
          <w:sz w:val="24"/>
          <w:szCs w:val="24"/>
          <w:highlight w:val="none"/>
          <w:u w:val="single"/>
          <w:lang w:bidi="ar"/>
        </w:rPr>
        <w:t xml:space="preserve">     /                                      </w:t>
      </w:r>
    </w:p>
    <w:p w14:paraId="4EC7F7D8">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分包供应商/制造商名称（如供应商和制造商不同，请分别填写）：</w:t>
      </w:r>
    </w:p>
    <w:p w14:paraId="70FA5010">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 xml:space="preserve">                /                                         </w:t>
      </w:r>
    </w:p>
    <w:p w14:paraId="664F65F3">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分包供应商/制造商类型（如果供应商和制造商不同，只填写制造商类型）：</w:t>
      </w:r>
    </w:p>
    <w:p w14:paraId="1618BF0D">
      <w:pPr>
        <w:adjustRightInd w:val="0"/>
        <w:snapToGrid w:val="0"/>
        <w:spacing w:line="360" w:lineRule="auto"/>
        <w:ind w:firstLine="960" w:firstLineChars="40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□大型企业  □中型企业  □小微型企业  </w:t>
      </w:r>
    </w:p>
    <w:p w14:paraId="30FC4137">
      <w:pPr>
        <w:adjustRightInd w:val="0"/>
        <w:snapToGrid w:val="0"/>
        <w:spacing w:line="360" w:lineRule="auto"/>
        <w:ind w:firstLine="960" w:firstLineChars="400"/>
        <w:rPr>
          <w:rFonts w:hint="eastAsia" w:ascii="宋体" w:hAnsi="宋体" w:eastAsia="宋体" w:cs="宋体"/>
          <w:color w:val="auto"/>
          <w:sz w:val="24"/>
          <w:szCs w:val="24"/>
          <w:highlight w:val="none"/>
          <w:lang w:bidi="ar"/>
        </w:rPr>
      </w:pPr>
      <w:r>
        <w:rPr>
          <w:rFonts w:hint="eastAsia" w:ascii="宋体" w:hAnsi="宋体" w:eastAsia="宋体" w:cs="宋体"/>
          <w:iCs/>
          <w:color w:val="auto"/>
          <w:sz w:val="24"/>
          <w:szCs w:val="24"/>
          <w:highlight w:val="none"/>
          <w:lang w:bidi="ar"/>
        </w:rPr>
        <w:t>□残疾人福利性单位 □监狱企业 □其他</w:t>
      </w:r>
    </w:p>
    <w:p w14:paraId="67332396">
      <w:pPr>
        <w:adjustRightInd w:val="0"/>
        <w:snapToGrid w:val="0"/>
        <w:spacing w:line="360" w:lineRule="auto"/>
        <w:ind w:firstLine="480" w:firstLineChars="200"/>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（8）中标（成交）供应商是否为外商投资企业：</w:t>
      </w:r>
      <w:r>
        <w:rPr>
          <w:rFonts w:hint="eastAsia" w:ascii="宋体" w:hAnsi="宋体" w:eastAsia="宋体" w:cs="宋体"/>
          <w:iCs/>
          <w:color w:val="auto"/>
          <w:sz w:val="24"/>
          <w:szCs w:val="24"/>
          <w:highlight w:val="none"/>
          <w:lang w:bidi="ar"/>
        </w:rPr>
        <w:t>□是       □否</w:t>
      </w:r>
    </w:p>
    <w:p w14:paraId="061F6F47">
      <w:pPr>
        <w:pStyle w:val="22"/>
        <w:widowControl/>
        <w:tabs>
          <w:tab w:val="left" w:pos="1340"/>
        </w:tabs>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bidi="ar"/>
        </w:rPr>
        <w:t xml:space="preserve">    外商投资企业类型：</w:t>
      </w:r>
      <w:r>
        <w:rPr>
          <w:rFonts w:hint="eastAsia" w:ascii="宋体" w:hAnsi="宋体" w:eastAsia="宋体" w:cs="宋体"/>
          <w:iCs/>
          <w:color w:val="auto"/>
          <w:szCs w:val="24"/>
          <w:highlight w:val="none"/>
          <w:lang w:bidi="ar"/>
        </w:rPr>
        <w:t>□</w:t>
      </w:r>
      <w:r>
        <w:rPr>
          <w:rFonts w:hint="eastAsia" w:ascii="宋体" w:hAnsi="宋体" w:eastAsia="宋体" w:cs="宋体"/>
          <w:color w:val="auto"/>
          <w:szCs w:val="24"/>
          <w:highlight w:val="none"/>
          <w:lang w:bidi="ar"/>
        </w:rPr>
        <w:t xml:space="preserve">全部由外国投资者投资  </w:t>
      </w:r>
      <w:r>
        <w:rPr>
          <w:rFonts w:hint="eastAsia" w:ascii="宋体" w:hAnsi="宋体" w:eastAsia="宋体" w:cs="宋体"/>
          <w:iCs/>
          <w:color w:val="auto"/>
          <w:szCs w:val="24"/>
          <w:highlight w:val="none"/>
          <w:lang w:bidi="ar"/>
        </w:rPr>
        <w:t>□部分由外国投资者投资</w:t>
      </w:r>
    </w:p>
    <w:p w14:paraId="09C406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（9）是否涉及进口产品：</w:t>
      </w:r>
    </w:p>
    <w:p w14:paraId="0319B47B">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□是，《政府采购品目分类目录》底级品目名称：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金额：</w:t>
      </w:r>
      <w:r>
        <w:rPr>
          <w:rFonts w:hint="eastAsia" w:ascii="宋体" w:hAnsi="宋体" w:eastAsia="宋体" w:cs="宋体"/>
          <w:color w:val="auto"/>
          <w:sz w:val="24"/>
          <w:szCs w:val="24"/>
          <w:highlight w:val="none"/>
          <w:u w:val="single"/>
          <w:lang w:bidi="ar"/>
        </w:rPr>
        <w:t xml:space="preserve">  /     </w:t>
      </w:r>
    </w:p>
    <w:p w14:paraId="5C29F57B">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国别：</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品牌：</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规格型号：</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w:t>
      </w:r>
    </w:p>
    <w:p w14:paraId="55A5431D">
      <w:pPr>
        <w:adjustRightInd w:val="0"/>
        <w:snapToGrid w:val="0"/>
        <w:spacing w:line="360" w:lineRule="auto"/>
        <w:ind w:firstLine="960" w:firstLineChars="4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 ☑否</w:t>
      </w:r>
    </w:p>
    <w:p w14:paraId="63580CC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（10）是否涉及节能产品：</w:t>
      </w:r>
    </w:p>
    <w:p w14:paraId="3987266B">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□是，《节能产品政府采购品目清单》的底级品目名称：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iCs/>
          <w:color w:val="auto"/>
          <w:sz w:val="24"/>
          <w:szCs w:val="24"/>
          <w:highlight w:val="none"/>
          <w:lang w:bidi="ar"/>
        </w:rPr>
        <w:t xml:space="preserve">     </w:t>
      </w:r>
    </w:p>
    <w:p w14:paraId="2BFCBF00">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0B7B2FCA">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 xml:space="preserve">         </w:t>
      </w:r>
      <w:r>
        <w:rPr>
          <w:rFonts w:hint="eastAsia" w:ascii="宋体" w:hAnsi="宋体" w:eastAsia="宋体" w:cs="宋体"/>
          <w:color w:val="auto"/>
          <w:sz w:val="24"/>
          <w:szCs w:val="24"/>
          <w:highlight w:val="none"/>
          <w:lang w:bidi="ar"/>
        </w:rPr>
        <w:t>☑否</w:t>
      </w:r>
    </w:p>
    <w:p w14:paraId="022CB4DD">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是否涉及环境标志产品：</w:t>
      </w:r>
    </w:p>
    <w:p w14:paraId="101CC026">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□是，《环境标志产品政府采购品目清单》的底级品目名称：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iCs/>
          <w:color w:val="auto"/>
          <w:sz w:val="24"/>
          <w:szCs w:val="24"/>
          <w:highlight w:val="none"/>
          <w:lang w:bidi="ar"/>
        </w:rPr>
        <w:t xml:space="preserve"> </w:t>
      </w:r>
    </w:p>
    <w:p w14:paraId="7CE64E3F">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7542504E">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 xml:space="preserve">         </w:t>
      </w:r>
      <w:r>
        <w:rPr>
          <w:rFonts w:hint="eastAsia" w:ascii="宋体" w:hAnsi="宋体" w:eastAsia="宋体" w:cs="宋体"/>
          <w:color w:val="auto"/>
          <w:sz w:val="24"/>
          <w:szCs w:val="24"/>
          <w:highlight w:val="none"/>
          <w:lang w:bidi="ar"/>
        </w:rPr>
        <w:t>□否</w:t>
      </w:r>
    </w:p>
    <w:p w14:paraId="3B169834">
      <w:pPr>
        <w:pStyle w:val="22"/>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lang w:bidi="ar"/>
        </w:rPr>
        <w:t xml:space="preserve">          </w:t>
      </w:r>
      <w:r>
        <w:rPr>
          <w:rFonts w:hint="eastAsia" w:ascii="宋体" w:hAnsi="宋体" w:eastAsia="宋体" w:cs="宋体"/>
          <w:color w:val="auto"/>
          <w:kern w:val="2"/>
          <w:szCs w:val="24"/>
          <w:highlight w:val="none"/>
          <w:lang w:bidi="ar"/>
        </w:rPr>
        <w:t xml:space="preserve">是否涉及绿色产品： </w:t>
      </w:r>
    </w:p>
    <w:p w14:paraId="662F9E34">
      <w:pPr>
        <w:pStyle w:val="22"/>
        <w:widowControl/>
        <w:autoSpaceDE w:val="0"/>
        <w:autoSpaceDN w:val="0"/>
        <w:adjustRightInd w:val="0"/>
        <w:spacing w:before="0" w:beforeAutospacing="0" w:after="0" w:afterAutospacing="0" w:line="360" w:lineRule="auto"/>
        <w:ind w:firstLine="420"/>
        <w:rPr>
          <w:rFonts w:hint="eastAsia" w:ascii="宋体" w:hAnsi="宋体" w:eastAsia="宋体" w:cs="宋体"/>
          <w:color w:val="auto"/>
          <w:szCs w:val="24"/>
          <w:highlight w:val="none"/>
          <w:u w:val="single"/>
        </w:rPr>
      </w:pPr>
      <w:r>
        <w:rPr>
          <w:rFonts w:hint="eastAsia" w:ascii="宋体" w:hAnsi="宋体" w:eastAsia="宋体" w:cs="宋体"/>
          <w:color w:val="auto"/>
          <w:kern w:val="2"/>
          <w:szCs w:val="24"/>
          <w:highlight w:val="none"/>
          <w:lang w:bidi="ar"/>
        </w:rPr>
        <w:t xml:space="preserve">     □是，绿色产品政府采购相关政策确定的底级品目名称：</w:t>
      </w:r>
      <w:r>
        <w:rPr>
          <w:rFonts w:hint="eastAsia" w:ascii="宋体" w:hAnsi="宋体" w:eastAsia="宋体" w:cs="宋体"/>
          <w:color w:val="auto"/>
          <w:szCs w:val="24"/>
          <w:highlight w:val="none"/>
          <w:u w:val="single"/>
          <w:lang w:bidi="ar"/>
        </w:rPr>
        <w:t xml:space="preserve">         </w:t>
      </w:r>
    </w:p>
    <w:p w14:paraId="7BF46C01">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62B8BCA7">
      <w:pPr>
        <w:pStyle w:val="22"/>
        <w:widowControl/>
        <w:autoSpaceDE w:val="0"/>
        <w:autoSpaceDN w:val="0"/>
        <w:adjustRightInd w:val="0"/>
        <w:spacing w:before="0" w:beforeAutospacing="0" w:after="0" w:afterAutospacing="0" w:line="360" w:lineRule="auto"/>
        <w:ind w:firstLine="420"/>
        <w:rPr>
          <w:rFonts w:hint="eastAsia" w:ascii="宋体" w:hAnsi="宋体" w:eastAsia="宋体" w:cs="宋体"/>
          <w:color w:val="auto"/>
          <w:kern w:val="2"/>
          <w:szCs w:val="24"/>
          <w:highlight w:val="none"/>
          <w:lang w:bidi="ar"/>
        </w:rPr>
      </w:pPr>
      <w:r>
        <w:rPr>
          <w:rFonts w:hint="eastAsia" w:ascii="宋体" w:hAnsi="宋体" w:eastAsia="宋体" w:cs="宋体"/>
          <w:color w:val="auto"/>
          <w:kern w:val="2"/>
          <w:szCs w:val="24"/>
          <w:highlight w:val="none"/>
          <w:lang w:bidi="ar"/>
        </w:rPr>
        <w:t xml:space="preserve">     □否</w:t>
      </w:r>
    </w:p>
    <w:p w14:paraId="607309C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（11）涉及商品包装和快递包装的，是否参考《商品包装政府采购需求标准（试行）》、《快递包装政府采购需求标准（试行）》明确产品及相关快递服务的具体包装要求：</w:t>
      </w:r>
    </w:p>
    <w:p w14:paraId="4764CD1E">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☑是       □否      □不涉及</w:t>
      </w:r>
    </w:p>
    <w:p w14:paraId="07764A3E">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合同金额</w:t>
      </w:r>
    </w:p>
    <w:p w14:paraId="0A86C93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（1）合同金额小写：</w:t>
      </w:r>
      <w:r>
        <w:rPr>
          <w:rFonts w:hint="eastAsia" w:ascii="宋体" w:hAnsi="宋体" w:eastAsia="宋体" w:cs="宋体"/>
          <w:color w:val="auto"/>
          <w:sz w:val="24"/>
          <w:szCs w:val="24"/>
          <w:highlight w:val="none"/>
          <w:u w:val="single"/>
          <w:lang w:bidi="ar"/>
        </w:rPr>
        <w:t xml:space="preserve">                           </w:t>
      </w:r>
    </w:p>
    <w:p w14:paraId="7AA144D3">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大写：</w:t>
      </w:r>
      <w:r>
        <w:rPr>
          <w:rFonts w:hint="eastAsia" w:ascii="宋体" w:hAnsi="宋体" w:eastAsia="宋体" w:cs="宋体"/>
          <w:color w:val="auto"/>
          <w:sz w:val="24"/>
          <w:szCs w:val="24"/>
          <w:highlight w:val="none"/>
          <w:u w:val="single"/>
          <w:lang w:bidi="ar"/>
        </w:rPr>
        <w:t xml:space="preserve">                           </w:t>
      </w:r>
    </w:p>
    <w:p w14:paraId="512CC38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分包金额（如有）小写：</w:t>
      </w:r>
      <w:r>
        <w:rPr>
          <w:rFonts w:hint="eastAsia" w:ascii="宋体" w:hAnsi="宋体" w:eastAsia="宋体" w:cs="宋体"/>
          <w:color w:val="auto"/>
          <w:sz w:val="24"/>
          <w:szCs w:val="24"/>
          <w:highlight w:val="none"/>
          <w:u w:val="single"/>
          <w:lang w:bidi="ar"/>
        </w:rPr>
        <w:t xml:space="preserve">    /              </w:t>
      </w:r>
    </w:p>
    <w:p w14:paraId="25CCDBEA">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大写：</w:t>
      </w:r>
      <w:r>
        <w:rPr>
          <w:rFonts w:hint="eastAsia" w:ascii="宋体" w:hAnsi="宋体" w:eastAsia="宋体" w:cs="宋体"/>
          <w:color w:val="auto"/>
          <w:sz w:val="24"/>
          <w:szCs w:val="24"/>
          <w:highlight w:val="none"/>
          <w:u w:val="single"/>
          <w:lang w:bidi="ar"/>
        </w:rPr>
        <w:t xml:space="preserve">       /               </w:t>
      </w:r>
    </w:p>
    <w:p w14:paraId="4D0A37EE">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（注：固定单价合同应填写单价和最高限价）</w:t>
      </w:r>
    </w:p>
    <w:p w14:paraId="1F6C7D8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（2）合同定价方式（采用组合定价方式的，可以勾选多项）：</w:t>
      </w:r>
    </w:p>
    <w:p w14:paraId="14BAE2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□固定总价 ☑固定单价 □固定费率 □成本补偿 □绩效激励 □其他</w:t>
      </w:r>
      <w:r>
        <w:rPr>
          <w:rFonts w:hint="eastAsia" w:ascii="宋体" w:hAnsi="宋体" w:eastAsia="宋体" w:cs="宋体"/>
          <w:color w:val="auto"/>
          <w:sz w:val="24"/>
          <w:szCs w:val="24"/>
          <w:highlight w:val="none"/>
          <w:u w:val="single"/>
          <w:lang w:bidi="ar"/>
        </w:rPr>
        <w:t xml:space="preserve">  /    </w:t>
      </w:r>
    </w:p>
    <w:p w14:paraId="34FD118C">
      <w:pPr>
        <w:pStyle w:val="22"/>
        <w:spacing w:before="0" w:beforeAutospacing="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（3）付款方式（按项目实际勾选填写）：</w:t>
      </w:r>
    </w:p>
    <w:p w14:paraId="5E515C81">
      <w:pPr>
        <w:adjustRightInd w:val="0"/>
        <w:snapToGrid w:val="0"/>
        <w:spacing w:line="360" w:lineRule="auto"/>
        <w:ind w:firstLine="720" w:firstLineChars="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□全额付款：</w:t>
      </w:r>
      <w:r>
        <w:rPr>
          <w:rFonts w:hint="eastAsia" w:ascii="宋体" w:hAnsi="宋体" w:eastAsia="宋体" w:cs="宋体"/>
          <w:color w:val="auto"/>
          <w:sz w:val="24"/>
          <w:szCs w:val="24"/>
          <w:highlight w:val="none"/>
          <w:u w:val="single"/>
          <w:lang w:bidi="ar"/>
        </w:rPr>
        <w:t xml:space="preserve">    /                    </w:t>
      </w:r>
    </w:p>
    <w:p w14:paraId="73F2B4DC">
      <w:pPr>
        <w:snapToGrid w:val="0"/>
        <w:spacing w:line="360" w:lineRule="auto"/>
        <w:ind w:firstLine="720" w:firstLineChars="3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bidi="ar"/>
        </w:rPr>
        <w:t>☑分期付款：</w:t>
      </w:r>
      <w:r>
        <w:rPr>
          <w:rFonts w:hint="eastAsia" w:ascii="宋体" w:hAnsi="宋体" w:eastAsia="宋体" w:cs="宋体"/>
          <w:color w:val="auto"/>
          <w:sz w:val="24"/>
          <w:szCs w:val="24"/>
          <w:highlight w:val="none"/>
          <w:u w:val="single"/>
          <w:lang w:eastAsia="zh-CN" w:bidi="ar"/>
        </w:rPr>
        <w:t>合同签订且具备实施条件后，支付合同价的40%预付款（预付款支付前，中标人须提供同等金额的见索即付保函），全部供货安装调试完毕并由采购人验收合格后，采购人请款额度须在政府资金调度会批准且发票送达后完成支付。</w:t>
      </w:r>
    </w:p>
    <w:p w14:paraId="35C62F4C">
      <w:pPr>
        <w:snapToGrid w:val="0"/>
        <w:spacing w:line="360" w:lineRule="auto"/>
        <w:ind w:firstLine="720"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其中涉及预付款的：</w:t>
      </w:r>
      <w:r>
        <w:rPr>
          <w:rFonts w:hint="eastAsia" w:ascii="宋体" w:hAnsi="宋体" w:eastAsia="宋体" w:cs="宋体"/>
          <w:color w:val="auto"/>
          <w:sz w:val="24"/>
          <w:szCs w:val="24"/>
          <w:highlight w:val="none"/>
          <w:u w:val="single"/>
          <w:lang w:bidi="ar"/>
        </w:rPr>
        <w:t xml:space="preserve"> 合同签订且具备实施条件后，支付合同价的40%预付款（预付款支付前，中标人须提供同等金额的见索即付保函）</w:t>
      </w:r>
      <w:r>
        <w:rPr>
          <w:rFonts w:hint="eastAsia" w:ascii="宋体" w:hAnsi="宋体" w:eastAsia="宋体" w:cs="宋体"/>
          <w:color w:val="auto"/>
          <w:sz w:val="24"/>
          <w:szCs w:val="24"/>
          <w:highlight w:val="none"/>
          <w:u w:val="single"/>
          <w:lang w:eastAsia="zh-CN" w:bidi="ar"/>
        </w:rPr>
        <w:t>。</w:t>
      </w:r>
    </w:p>
    <w:p w14:paraId="0C081154">
      <w:pPr>
        <w:adjustRightInd w:val="0"/>
        <w:snapToGrid w:val="0"/>
        <w:spacing w:line="360" w:lineRule="auto"/>
        <w:ind w:firstLine="720" w:firstLineChars="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□成本补偿：</w:t>
      </w:r>
      <w:r>
        <w:rPr>
          <w:rFonts w:hint="eastAsia" w:ascii="宋体" w:hAnsi="宋体" w:eastAsia="宋体" w:cs="宋体"/>
          <w:color w:val="auto"/>
          <w:sz w:val="24"/>
          <w:szCs w:val="24"/>
          <w:highlight w:val="none"/>
          <w:u w:val="single"/>
          <w:lang w:bidi="ar"/>
        </w:rPr>
        <w:t xml:space="preserve">      /    </w:t>
      </w:r>
    </w:p>
    <w:p w14:paraId="4C2B0E91">
      <w:pPr>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□绩效激励：</w:t>
      </w:r>
      <w:r>
        <w:rPr>
          <w:rFonts w:hint="eastAsia" w:ascii="宋体" w:hAnsi="宋体" w:eastAsia="宋体" w:cs="宋体"/>
          <w:color w:val="auto"/>
          <w:sz w:val="24"/>
          <w:szCs w:val="24"/>
          <w:highlight w:val="none"/>
          <w:u w:val="single"/>
          <w:lang w:bidi="ar"/>
        </w:rPr>
        <w:t xml:space="preserve">      /    </w:t>
      </w:r>
    </w:p>
    <w:p w14:paraId="44BB3FF7">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lang w:bidi="ar"/>
        </w:rPr>
        <w:t>合同履行</w:t>
      </w:r>
    </w:p>
    <w:p w14:paraId="7739B8C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（1）起始日期：</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日，完成日期：</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w:t>
      </w:r>
    </w:p>
    <w:p w14:paraId="511D80BE">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（2）履约地点</w:t>
      </w:r>
      <w:r>
        <w:rPr>
          <w:rFonts w:hint="eastAsia" w:ascii="宋体" w:hAnsi="宋体" w:eastAsia="宋体" w:cs="宋体"/>
          <w:bCs/>
          <w:color w:val="auto"/>
          <w:sz w:val="24"/>
          <w:szCs w:val="24"/>
          <w:highlight w:val="none"/>
          <w:lang w:bidi="ar"/>
        </w:rPr>
        <w:t>：</w:t>
      </w:r>
      <w:r>
        <w:rPr>
          <w:rFonts w:hint="eastAsia" w:ascii="宋体" w:hAnsi="宋体" w:eastAsia="宋体" w:cs="宋体"/>
          <w:color w:val="auto"/>
          <w:sz w:val="24"/>
          <w:szCs w:val="24"/>
          <w:highlight w:val="none"/>
          <w:u w:val="single"/>
          <w:lang w:bidi="ar"/>
        </w:rPr>
        <w:t xml:space="preserve">  采购人指定地点          </w:t>
      </w:r>
    </w:p>
    <w:p w14:paraId="0206423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（3）履约担保：</w:t>
      </w:r>
      <w:r>
        <w:rPr>
          <w:rFonts w:hint="eastAsia" w:ascii="宋体" w:hAnsi="宋体" w:eastAsia="宋体" w:cs="宋体"/>
          <w:color w:val="auto"/>
          <w:sz w:val="24"/>
          <w:szCs w:val="24"/>
          <w:highlight w:val="none"/>
          <w:lang w:bidi="ar"/>
        </w:rPr>
        <w:t>是否收取履约保证金：☑是    □否</w:t>
      </w:r>
    </w:p>
    <w:p w14:paraId="7EAFD1AE">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bCs/>
          <w:color w:val="auto"/>
          <w:szCs w:val="24"/>
          <w:highlight w:val="none"/>
          <w:lang w:bidi="ar"/>
        </w:rPr>
        <w:t xml:space="preserve">  </w:t>
      </w:r>
      <w:r>
        <w:rPr>
          <w:rFonts w:hint="eastAsia" w:ascii="宋体" w:hAnsi="宋体" w:eastAsia="宋体" w:cs="宋体"/>
          <w:color w:val="auto"/>
          <w:szCs w:val="24"/>
          <w:highlight w:val="none"/>
          <w:lang w:bidi="ar"/>
        </w:rPr>
        <w:t xml:space="preserve">  收取履约保证金形式：</w:t>
      </w:r>
      <w:r>
        <w:rPr>
          <w:rFonts w:hint="eastAsia" w:ascii="宋体" w:hAnsi="宋体" w:eastAsia="宋体" w:cs="宋体"/>
          <w:bCs/>
          <w:color w:val="auto"/>
          <w:szCs w:val="24"/>
          <w:highlight w:val="none"/>
          <w:u w:val="single"/>
          <w:lang w:bidi="ar"/>
        </w:rPr>
        <w:t xml:space="preserve">                            </w:t>
      </w:r>
    </w:p>
    <w:p w14:paraId="66D5DA92">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收取履约保证金金额：</w:t>
      </w:r>
      <w:r>
        <w:rPr>
          <w:rFonts w:hint="eastAsia" w:ascii="宋体" w:hAnsi="宋体" w:eastAsia="宋体" w:cs="宋体"/>
          <w:bCs/>
          <w:color w:val="auto"/>
          <w:szCs w:val="24"/>
          <w:highlight w:val="none"/>
          <w:u w:val="single"/>
          <w:lang w:bidi="ar"/>
        </w:rPr>
        <w:t xml:space="preserve">                            </w:t>
      </w:r>
    </w:p>
    <w:p w14:paraId="197430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 xml:space="preserve">    履约担保期限：</w:t>
      </w:r>
      <w:r>
        <w:rPr>
          <w:rFonts w:hint="eastAsia" w:ascii="宋体" w:hAnsi="宋体" w:eastAsia="宋体" w:cs="宋体"/>
          <w:bCs/>
          <w:color w:val="auto"/>
          <w:sz w:val="24"/>
          <w:szCs w:val="24"/>
          <w:highlight w:val="none"/>
          <w:u w:val="single"/>
          <w:lang w:bidi="ar"/>
        </w:rPr>
        <w:t xml:space="preserve">                                  </w:t>
      </w:r>
    </w:p>
    <w:p w14:paraId="2A8BFB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（4）分期履行要求：</w:t>
      </w:r>
      <w:r>
        <w:rPr>
          <w:rFonts w:hint="eastAsia" w:ascii="宋体" w:hAnsi="宋体" w:eastAsia="宋体" w:cs="宋体"/>
          <w:bCs/>
          <w:color w:val="auto"/>
          <w:sz w:val="24"/>
          <w:szCs w:val="24"/>
          <w:highlight w:val="none"/>
          <w:u w:val="single"/>
          <w:lang w:bidi="ar"/>
        </w:rPr>
        <w:t xml:space="preserve">   /                                                   </w:t>
      </w:r>
    </w:p>
    <w:p w14:paraId="43536D79">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lang w:bidi="ar"/>
        </w:rPr>
        <w:t>（5）风险处置措施和替代方案：</w:t>
      </w:r>
      <w:r>
        <w:rPr>
          <w:rFonts w:hint="eastAsia" w:ascii="宋体" w:hAnsi="宋体" w:eastAsia="宋体" w:cs="宋体"/>
          <w:color w:val="auto"/>
          <w:sz w:val="24"/>
          <w:szCs w:val="24"/>
          <w:highlight w:val="none"/>
          <w:u w:val="single"/>
          <w:lang w:bidi="ar"/>
        </w:rPr>
        <w:t xml:space="preserve">       /                                                      </w:t>
      </w:r>
    </w:p>
    <w:p w14:paraId="470C6BD5">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合同验收</w:t>
      </w:r>
    </w:p>
    <w:p w14:paraId="75679ADD">
      <w:pPr>
        <w:numPr>
          <w:ilvl w:val="0"/>
          <w:numId w:val="5"/>
        </w:num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验收组织方式：</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自行组织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委托第三方组织</w:t>
      </w:r>
    </w:p>
    <w:p w14:paraId="5E57264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验收主体：</w:t>
      </w:r>
      <w:r>
        <w:rPr>
          <w:rFonts w:hint="eastAsia" w:ascii="宋体" w:hAnsi="宋体" w:eastAsia="宋体" w:cs="宋体"/>
          <w:bCs/>
          <w:color w:val="auto"/>
          <w:sz w:val="24"/>
          <w:szCs w:val="24"/>
          <w:highlight w:val="none"/>
          <w:u w:val="single"/>
          <w:lang w:bidi="ar"/>
        </w:rPr>
        <w:t xml:space="preserve">   采购人        </w:t>
      </w:r>
    </w:p>
    <w:p w14:paraId="76E6A2D5">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是否邀请本项目的其他供应商参加验收：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164338A5">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是否邀请专家参加验收：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5607170B">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是否邀请服务对象参加验收：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1628BD06">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是否邀请第三方检测机构参加验收：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7EF16D4B">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是否进行抽查检测：</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是，抽查比例：</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022509A3">
      <w:pPr>
        <w:adjustRightInd w:val="0"/>
        <w:snapToGrid w:val="0"/>
        <w:spacing w:line="360" w:lineRule="auto"/>
        <w:ind w:firstLine="960" w:firstLineChars="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是否存在破坏性检测：</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是，</w:t>
      </w:r>
      <w:r>
        <w:rPr>
          <w:rFonts w:hint="eastAsia" w:ascii="宋体" w:hAnsi="宋体" w:eastAsia="宋体" w:cs="宋体"/>
          <w:bCs/>
          <w:color w:val="auto"/>
          <w:sz w:val="24"/>
          <w:szCs w:val="24"/>
          <w:highlight w:val="none"/>
          <w:u w:val="single"/>
          <w:lang w:bidi="ar"/>
        </w:rPr>
        <w:t>（应明确对被破坏的检测产品的处理方式）</w:t>
      </w:r>
    </w:p>
    <w:p w14:paraId="5E209A61">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45A9208C">
      <w:pPr>
        <w:adjustRightInd w:val="0"/>
        <w:snapToGrid w:val="0"/>
        <w:spacing w:line="360" w:lineRule="auto"/>
        <w:ind w:firstLine="960" w:firstLineChars="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验收组织的其他事项：</w:t>
      </w:r>
      <w:r>
        <w:rPr>
          <w:rFonts w:hint="eastAsia" w:ascii="宋体" w:hAnsi="宋体" w:eastAsia="宋体" w:cs="宋体"/>
          <w:bCs/>
          <w:color w:val="auto"/>
          <w:sz w:val="24"/>
          <w:szCs w:val="24"/>
          <w:highlight w:val="none"/>
          <w:u w:val="single"/>
          <w:lang w:bidi="ar"/>
        </w:rPr>
        <w:t xml:space="preserve">                </w:t>
      </w:r>
    </w:p>
    <w:p w14:paraId="5BF0BDE6">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（2）履约验收时间：</w:t>
      </w:r>
      <w:r>
        <w:rPr>
          <w:rFonts w:hint="eastAsia" w:ascii="宋体" w:hAnsi="宋体" w:eastAsia="宋体" w:cs="宋体"/>
          <w:bCs/>
          <w:color w:val="auto"/>
          <w:sz w:val="24"/>
          <w:szCs w:val="24"/>
          <w:highlight w:val="none"/>
          <w:u w:val="single"/>
          <w:lang w:bidi="ar"/>
        </w:rPr>
        <w:t xml:space="preserve"> 供应商提出验收申请之日起5日内组织验收 </w:t>
      </w:r>
    </w:p>
    <w:p w14:paraId="512B29C0">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（3）履约验收方式：</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一次性验收         </w:t>
      </w:r>
    </w:p>
    <w:p w14:paraId="35D28021">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分期/分项验收：</w:t>
      </w:r>
      <w:r>
        <w:rPr>
          <w:rFonts w:hint="eastAsia" w:ascii="宋体" w:hAnsi="宋体" w:eastAsia="宋体" w:cs="宋体"/>
          <w:bCs/>
          <w:color w:val="auto"/>
          <w:sz w:val="24"/>
          <w:szCs w:val="24"/>
          <w:highlight w:val="none"/>
          <w:u w:val="single"/>
          <w:lang w:bidi="ar"/>
        </w:rPr>
        <w:t xml:space="preserve"> /  </w:t>
      </w:r>
    </w:p>
    <w:p w14:paraId="465B0C46">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（4）履约验收程序：</w:t>
      </w:r>
      <w:r>
        <w:rPr>
          <w:rFonts w:hint="eastAsia" w:ascii="宋体" w:hAnsi="宋体" w:eastAsia="宋体" w:cs="宋体"/>
          <w:bCs/>
          <w:color w:val="auto"/>
          <w:sz w:val="24"/>
          <w:szCs w:val="24"/>
          <w:highlight w:val="none"/>
          <w:u w:val="single"/>
          <w:lang w:bidi="ar"/>
        </w:rPr>
        <w:t xml:space="preserve">                                         </w:t>
      </w:r>
    </w:p>
    <w:p w14:paraId="7DCB6B38">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（5）履约验收的内容：</w:t>
      </w:r>
      <w:r>
        <w:rPr>
          <w:rFonts w:hint="eastAsia" w:ascii="宋体" w:hAnsi="宋体" w:eastAsia="宋体" w:cs="宋体"/>
          <w:bCs/>
          <w:color w:val="auto"/>
          <w:sz w:val="24"/>
          <w:szCs w:val="24"/>
          <w:highlight w:val="none"/>
          <w:u w:val="single"/>
          <w:lang w:bidi="ar"/>
        </w:rPr>
        <w:t xml:space="preserve"> （应当包括每一项技术和商务要求的履约情况，特别是落实政府采购扶持中小企业，支持绿色发展和乡村振兴等政策情况）                                      </w:t>
      </w:r>
    </w:p>
    <w:p w14:paraId="580588B7">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（6）履约验收标准：</w:t>
      </w:r>
      <w:r>
        <w:rPr>
          <w:rFonts w:hint="eastAsia" w:ascii="宋体" w:hAnsi="宋体" w:eastAsia="宋体" w:cs="宋体"/>
          <w:bCs/>
          <w:color w:val="auto"/>
          <w:sz w:val="24"/>
          <w:szCs w:val="24"/>
          <w:highlight w:val="none"/>
          <w:u w:val="single"/>
          <w:lang w:bidi="ar"/>
        </w:rPr>
        <w:t xml:space="preserve">   符合国家标准                     </w:t>
      </w:r>
    </w:p>
    <w:p w14:paraId="59BA146A">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bCs/>
          <w:color w:val="auto"/>
          <w:szCs w:val="24"/>
          <w:highlight w:val="none"/>
          <w:lang w:bidi="ar"/>
        </w:rPr>
        <w:t>（7）是否以采购活动中供应商提供的样品作为参考：</w:t>
      </w:r>
      <w:r>
        <w:rPr>
          <w:rFonts w:hint="eastAsia" w:ascii="宋体" w:hAnsi="宋体" w:eastAsia="宋体" w:cs="宋体"/>
          <w:color w:val="auto"/>
          <w:szCs w:val="24"/>
          <w:highlight w:val="none"/>
          <w:lang w:bidi="ar"/>
        </w:rPr>
        <w:t>□</w:t>
      </w:r>
      <w:r>
        <w:rPr>
          <w:rFonts w:hint="eastAsia" w:ascii="宋体" w:hAnsi="宋体" w:eastAsia="宋体" w:cs="宋体"/>
          <w:bCs/>
          <w:color w:val="auto"/>
          <w:szCs w:val="24"/>
          <w:highlight w:val="none"/>
          <w:lang w:bidi="ar"/>
        </w:rPr>
        <w:t xml:space="preserve">是  </w:t>
      </w:r>
      <w:r>
        <w:rPr>
          <w:rFonts w:hint="eastAsia" w:ascii="宋体" w:hAnsi="宋体" w:eastAsia="宋体" w:cs="宋体"/>
          <w:color w:val="auto"/>
          <w:szCs w:val="24"/>
          <w:highlight w:val="none"/>
          <w:lang w:bidi="ar"/>
        </w:rPr>
        <w:t>☑</w:t>
      </w:r>
      <w:r>
        <w:rPr>
          <w:rFonts w:hint="eastAsia" w:ascii="宋体" w:hAnsi="宋体" w:eastAsia="宋体" w:cs="宋体"/>
          <w:bCs/>
          <w:color w:val="auto"/>
          <w:szCs w:val="24"/>
          <w:highlight w:val="none"/>
          <w:lang w:bidi="ar"/>
        </w:rPr>
        <w:t>否</w:t>
      </w:r>
    </w:p>
    <w:p w14:paraId="34EE6B36">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（8）履约验收其他事项：</w:t>
      </w:r>
      <w:r>
        <w:rPr>
          <w:rFonts w:hint="eastAsia" w:ascii="宋体" w:hAnsi="宋体" w:eastAsia="宋体" w:cs="宋体"/>
          <w:bCs/>
          <w:color w:val="auto"/>
          <w:sz w:val="24"/>
          <w:szCs w:val="24"/>
          <w:highlight w:val="none"/>
          <w:u w:val="single"/>
          <w:lang w:bidi="ar"/>
        </w:rPr>
        <w:t>1、乙方交付产品时，应提供《产品合格证明》（如有）、《质量检验报告》（如有）、《产品质量保证书》（如有）、《产品准用证》（如有），如果以上证明材料都没有，则需要提供同等证明材料符合招标文件技术要求，否则甲方有权拒绝接收产品。2、</w:t>
      </w:r>
      <w:r>
        <w:rPr>
          <w:rFonts w:ascii="宋体" w:hAnsi="宋体" w:eastAsia="宋体" w:cs="宋体"/>
          <w:bCs/>
          <w:color w:val="auto"/>
          <w:sz w:val="24"/>
          <w:szCs w:val="24"/>
          <w:highlight w:val="none"/>
          <w:u w:val="single"/>
          <w:lang w:bidi="ar"/>
        </w:rPr>
        <w:t>提供虚假检测报告、材料造假</w:t>
      </w:r>
      <w:r>
        <w:rPr>
          <w:rFonts w:hint="eastAsia" w:ascii="宋体" w:hAnsi="宋体" w:eastAsia="宋体" w:cs="宋体"/>
          <w:bCs/>
          <w:color w:val="auto"/>
          <w:sz w:val="24"/>
          <w:szCs w:val="24"/>
          <w:highlight w:val="none"/>
          <w:u w:val="single"/>
          <w:lang w:bidi="ar"/>
        </w:rPr>
        <w:t>的，采购人有权单方面解除合同；3、累计三次交货验收不合格的，采购人有权单方面解除合同；</w:t>
      </w:r>
    </w:p>
    <w:p w14:paraId="74794F49">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组成合同的文件</w:t>
      </w:r>
    </w:p>
    <w:p w14:paraId="6EFE2AD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本协议书与下列文件一起构成合同文件，如下述文件之间有任何抵触、矛盾或歧义，应按以下顺序解释：</w:t>
      </w:r>
    </w:p>
    <w:p w14:paraId="443F639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（1）政府采购合同协议书及其变更、补充协议</w:t>
      </w:r>
    </w:p>
    <w:p w14:paraId="1135D70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（2）政府采购合同专用条款</w:t>
      </w:r>
    </w:p>
    <w:p w14:paraId="18AEE91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（3）政府采购合同通用条款</w:t>
      </w:r>
    </w:p>
    <w:p w14:paraId="2E94D29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（4）中标（成交）通知书</w:t>
      </w:r>
    </w:p>
    <w:p w14:paraId="6BD6567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（5）投标（响应）文件</w:t>
      </w:r>
    </w:p>
    <w:p w14:paraId="5650209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（6）采购文件</w:t>
      </w:r>
    </w:p>
    <w:p w14:paraId="470DCAD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（7）有关技术文件，图纸</w:t>
      </w:r>
    </w:p>
    <w:p w14:paraId="763B0D7E">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lang w:bidi="ar"/>
        </w:rPr>
        <w:t>（8）</w:t>
      </w:r>
      <w:r>
        <w:rPr>
          <w:rFonts w:hint="eastAsia" w:ascii="宋体" w:hAnsi="宋体" w:eastAsia="宋体" w:cs="宋体"/>
          <w:color w:val="auto"/>
          <w:kern w:val="2"/>
          <w:szCs w:val="24"/>
          <w:highlight w:val="none"/>
          <w:lang w:bidi="ar"/>
        </w:rPr>
        <w:t>国家法律、行政法规和规章制度规定或合同约定的作为合同组成部分的其他文件</w:t>
      </w:r>
    </w:p>
    <w:p w14:paraId="52DDF1B5">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合同生效</w:t>
      </w:r>
    </w:p>
    <w:p w14:paraId="35728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本合同自</w:t>
      </w:r>
      <w:r>
        <w:rPr>
          <w:rFonts w:hint="eastAsia" w:ascii="宋体" w:hAnsi="宋体" w:eastAsia="宋体" w:cs="宋体"/>
          <w:color w:val="auto"/>
          <w:sz w:val="24"/>
          <w:szCs w:val="24"/>
          <w:highlight w:val="none"/>
          <w:u w:val="single"/>
          <w:lang w:bidi="ar"/>
        </w:rPr>
        <w:t xml:space="preserve">     双方加盖印章之后          </w:t>
      </w:r>
      <w:r>
        <w:rPr>
          <w:rFonts w:hint="eastAsia" w:ascii="宋体" w:hAnsi="宋体" w:eastAsia="宋体" w:cs="宋体"/>
          <w:color w:val="auto"/>
          <w:sz w:val="24"/>
          <w:szCs w:val="24"/>
          <w:highlight w:val="none"/>
          <w:lang w:bidi="ar"/>
        </w:rPr>
        <w:t>生效。</w:t>
      </w:r>
    </w:p>
    <w:p w14:paraId="3B28D022">
      <w:pPr>
        <w:numPr>
          <w:ilvl w:val="0"/>
          <w:numId w:val="3"/>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合同份数</w:t>
      </w:r>
    </w:p>
    <w:p w14:paraId="77DD26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本合同一式</w:t>
      </w:r>
      <w:r>
        <w:rPr>
          <w:rFonts w:hint="eastAsia" w:ascii="宋体" w:hAnsi="宋体" w:eastAsia="宋体" w:cs="宋体"/>
          <w:color w:val="auto"/>
          <w:sz w:val="24"/>
          <w:szCs w:val="24"/>
          <w:highlight w:val="none"/>
          <w:u w:val="single"/>
          <w:lang w:bidi="ar"/>
        </w:rPr>
        <w:t xml:space="preserve">  六 </w:t>
      </w:r>
      <w:r>
        <w:rPr>
          <w:rFonts w:hint="eastAsia" w:ascii="宋体" w:hAnsi="宋体" w:eastAsia="宋体" w:cs="宋体"/>
          <w:color w:val="auto"/>
          <w:sz w:val="24"/>
          <w:szCs w:val="24"/>
          <w:highlight w:val="none"/>
          <w:lang w:bidi="ar"/>
        </w:rPr>
        <w:t>份，甲方执</w:t>
      </w:r>
      <w:r>
        <w:rPr>
          <w:rFonts w:hint="eastAsia" w:ascii="宋体" w:hAnsi="宋体" w:eastAsia="宋体" w:cs="宋体"/>
          <w:color w:val="auto"/>
          <w:sz w:val="24"/>
          <w:szCs w:val="24"/>
          <w:highlight w:val="none"/>
          <w:u w:val="single"/>
          <w:lang w:bidi="ar"/>
        </w:rPr>
        <w:t xml:space="preserve"> 三 </w:t>
      </w:r>
      <w:r>
        <w:rPr>
          <w:rFonts w:hint="eastAsia" w:ascii="宋体" w:hAnsi="宋体" w:eastAsia="宋体" w:cs="宋体"/>
          <w:color w:val="auto"/>
          <w:sz w:val="24"/>
          <w:szCs w:val="24"/>
          <w:highlight w:val="none"/>
          <w:lang w:bidi="ar"/>
        </w:rPr>
        <w:t>份，乙方执</w:t>
      </w:r>
      <w:r>
        <w:rPr>
          <w:rFonts w:hint="eastAsia" w:ascii="宋体" w:hAnsi="宋体" w:eastAsia="宋体" w:cs="宋体"/>
          <w:color w:val="auto"/>
          <w:sz w:val="24"/>
          <w:szCs w:val="24"/>
          <w:highlight w:val="none"/>
          <w:u w:val="single"/>
          <w:lang w:bidi="ar"/>
        </w:rPr>
        <w:t xml:space="preserve"> 三 </w:t>
      </w:r>
      <w:r>
        <w:rPr>
          <w:rFonts w:hint="eastAsia" w:ascii="宋体" w:hAnsi="宋体" w:eastAsia="宋体" w:cs="宋体"/>
          <w:color w:val="auto"/>
          <w:sz w:val="24"/>
          <w:szCs w:val="24"/>
          <w:highlight w:val="none"/>
          <w:lang w:bidi="ar"/>
        </w:rPr>
        <w:t>份，均具有同等法律效力。</w:t>
      </w:r>
    </w:p>
    <w:p w14:paraId="50DF79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合同订立时间：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w:t>
      </w:r>
    </w:p>
    <w:p w14:paraId="03173A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合同订立地点：</w:t>
      </w:r>
      <w:r>
        <w:rPr>
          <w:rFonts w:hint="eastAsia" w:ascii="宋体" w:hAnsi="宋体" w:eastAsia="宋体" w:cs="宋体"/>
          <w:color w:val="auto"/>
          <w:sz w:val="24"/>
          <w:szCs w:val="24"/>
          <w:highlight w:val="none"/>
          <w:u w:val="single"/>
          <w:lang w:bidi="ar"/>
        </w:rPr>
        <w:t xml:space="preserve">                          </w:t>
      </w:r>
    </w:p>
    <w:p w14:paraId="30885BB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附件：具体标的及其技术要求和商务要求、联合协议、分包意向协议等。</w:t>
      </w:r>
    </w:p>
    <w:p w14:paraId="64814AF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br w:type="page"/>
      </w:r>
    </w:p>
    <w:p w14:paraId="12B2F6AD">
      <w:pPr>
        <w:pStyle w:val="22"/>
        <w:spacing w:before="0" w:beforeAutospacing="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 xml:space="preserve"> </w:t>
      </w:r>
    </w:p>
    <w:tbl>
      <w:tblPr>
        <w:tblStyle w:val="2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7"/>
        <w:gridCol w:w="2118"/>
      </w:tblGrid>
      <w:tr w14:paraId="4E6C74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top w:val="single" w:color="auto" w:sz="4" w:space="0"/>
              <w:left w:val="single" w:color="auto" w:sz="4" w:space="0"/>
              <w:bottom w:val="single" w:color="auto" w:sz="4" w:space="0"/>
              <w:right w:val="single" w:color="auto" w:sz="4" w:space="0"/>
            </w:tcBorders>
            <w:vAlign w:val="center"/>
          </w:tcPr>
          <w:p w14:paraId="33F7337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甲方（采购人、受采购人委托签订合同的单位或采购文件约定的合同甲方）</w:t>
            </w:r>
          </w:p>
        </w:tc>
        <w:tc>
          <w:tcPr>
            <w:tcW w:w="2437" w:type="pct"/>
            <w:gridSpan w:val="2"/>
            <w:tcBorders>
              <w:top w:val="single" w:color="auto" w:sz="4" w:space="0"/>
              <w:left w:val="single" w:color="auto" w:sz="4" w:space="0"/>
              <w:bottom w:val="single" w:color="auto" w:sz="2" w:space="0"/>
              <w:right w:val="single" w:color="auto" w:sz="4" w:space="0"/>
            </w:tcBorders>
            <w:vAlign w:val="center"/>
          </w:tcPr>
          <w:p w14:paraId="08BCFC9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乙方（供应商）</w:t>
            </w:r>
          </w:p>
        </w:tc>
      </w:tr>
      <w:tr w14:paraId="36C521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4" w:space="0"/>
              <w:left w:val="single" w:color="auto" w:sz="4" w:space="0"/>
              <w:bottom w:val="single" w:color="auto" w:sz="4" w:space="0"/>
              <w:right w:val="single" w:color="auto" w:sz="4" w:space="0"/>
            </w:tcBorders>
            <w:vAlign w:val="center"/>
          </w:tcPr>
          <w:p w14:paraId="1C612F7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单位名称（公章或合同章）</w:t>
            </w:r>
          </w:p>
        </w:tc>
        <w:tc>
          <w:tcPr>
            <w:tcW w:w="1436" w:type="pct"/>
            <w:tcBorders>
              <w:top w:val="single" w:color="auto" w:sz="4" w:space="0"/>
              <w:left w:val="single" w:color="auto" w:sz="4" w:space="0"/>
              <w:bottom w:val="single" w:color="auto" w:sz="4" w:space="0"/>
              <w:right w:val="single" w:color="auto" w:sz="4" w:space="0"/>
            </w:tcBorders>
            <w:vAlign w:val="center"/>
          </w:tcPr>
          <w:p w14:paraId="5F7E5EC3">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4" w:space="0"/>
              <w:left w:val="single" w:color="auto" w:sz="4" w:space="0"/>
              <w:bottom w:val="single" w:color="auto" w:sz="2" w:space="0"/>
              <w:right w:val="single" w:color="auto" w:sz="4" w:space="0"/>
            </w:tcBorders>
            <w:vAlign w:val="center"/>
          </w:tcPr>
          <w:p w14:paraId="517E8FE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单位名称（公章或合同章）</w:t>
            </w:r>
          </w:p>
        </w:tc>
        <w:tc>
          <w:tcPr>
            <w:tcW w:w="1259" w:type="pct"/>
            <w:tcBorders>
              <w:top w:val="single" w:color="auto" w:sz="2" w:space="0"/>
              <w:left w:val="single" w:color="auto" w:sz="4" w:space="0"/>
              <w:bottom w:val="single" w:color="auto" w:sz="2" w:space="0"/>
              <w:right w:val="single" w:color="auto" w:sz="4" w:space="0"/>
            </w:tcBorders>
            <w:vAlign w:val="center"/>
          </w:tcPr>
          <w:p w14:paraId="3F682218">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506D32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4" w:space="0"/>
              <w:left w:val="single" w:color="auto" w:sz="4" w:space="0"/>
              <w:bottom w:val="single" w:color="auto" w:sz="4" w:space="0"/>
              <w:right w:val="single" w:color="auto" w:sz="4" w:space="0"/>
            </w:tcBorders>
            <w:vAlign w:val="center"/>
          </w:tcPr>
          <w:p w14:paraId="1A3DE9F7">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法定代表人</w:t>
            </w:r>
          </w:p>
          <w:p w14:paraId="01E4BFC4">
            <w:pPr>
              <w:adjustRightInd w:val="0"/>
              <w:snapToGrid w:val="0"/>
              <w:spacing w:line="360" w:lineRule="auto"/>
              <w:ind w:firstLine="115" w:firstLineChars="4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或其委托代理人（签章）</w:t>
            </w:r>
          </w:p>
        </w:tc>
        <w:tc>
          <w:tcPr>
            <w:tcW w:w="1436" w:type="pct"/>
            <w:vMerge w:val="restart"/>
            <w:tcBorders>
              <w:top w:val="single" w:color="auto" w:sz="4" w:space="0"/>
              <w:left w:val="single" w:color="auto" w:sz="4" w:space="0"/>
              <w:bottom w:val="single" w:color="auto" w:sz="4" w:space="0"/>
              <w:right w:val="single" w:color="auto" w:sz="4" w:space="0"/>
            </w:tcBorders>
            <w:vAlign w:val="center"/>
          </w:tcPr>
          <w:p w14:paraId="1E61A5C6">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4" w:space="0"/>
              <w:right w:val="single" w:color="auto" w:sz="4" w:space="0"/>
            </w:tcBorders>
            <w:vAlign w:val="center"/>
          </w:tcPr>
          <w:p w14:paraId="7AF83B1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法定代表人</w:t>
            </w:r>
          </w:p>
          <w:p w14:paraId="71711BD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或其委托代理人（签章）</w:t>
            </w:r>
          </w:p>
        </w:tc>
        <w:tc>
          <w:tcPr>
            <w:tcW w:w="1259" w:type="pct"/>
            <w:tcBorders>
              <w:top w:val="single" w:color="auto" w:sz="2" w:space="0"/>
              <w:left w:val="single" w:color="auto" w:sz="4" w:space="0"/>
              <w:bottom w:val="single" w:color="auto" w:sz="2" w:space="0"/>
              <w:right w:val="single" w:color="auto" w:sz="4" w:space="0"/>
            </w:tcBorders>
            <w:vAlign w:val="center"/>
          </w:tcPr>
          <w:p w14:paraId="3F95C380">
            <w:pPr>
              <w:adjustRightInd w:val="0"/>
              <w:snapToGrid w:val="0"/>
              <w:spacing w:line="360" w:lineRule="auto"/>
              <w:jc w:val="center"/>
              <w:rPr>
                <w:rFonts w:hint="eastAsia" w:ascii="宋体" w:hAnsi="宋体" w:eastAsia="宋体" w:cs="宋体"/>
                <w:color w:val="auto"/>
                <w:sz w:val="24"/>
                <w:szCs w:val="24"/>
                <w:highlight w:val="none"/>
              </w:rPr>
            </w:pPr>
          </w:p>
        </w:tc>
      </w:tr>
      <w:tr w14:paraId="48BD68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top w:val="single" w:color="auto" w:sz="4" w:space="0"/>
              <w:left w:val="single" w:color="auto" w:sz="4" w:space="0"/>
              <w:bottom w:val="single" w:color="auto" w:sz="4" w:space="0"/>
              <w:right w:val="single" w:color="auto" w:sz="4" w:space="0"/>
            </w:tcBorders>
            <w:vAlign w:val="center"/>
          </w:tcPr>
          <w:p w14:paraId="7394D3B7">
            <w:pPr>
              <w:rPr>
                <w:rFonts w:ascii="Times New Roman" w:hAnsi="Times New Roman" w:cs="Times New Roman"/>
                <w:color w:val="auto"/>
                <w:sz w:val="20"/>
                <w:highlight w:val="none"/>
              </w:rPr>
            </w:pPr>
          </w:p>
        </w:tc>
        <w:tc>
          <w:tcPr>
            <w:tcW w:w="1436" w:type="pct"/>
            <w:vMerge w:val="continue"/>
            <w:tcBorders>
              <w:top w:val="single" w:color="auto" w:sz="4" w:space="0"/>
              <w:left w:val="single" w:color="auto" w:sz="4" w:space="0"/>
              <w:bottom w:val="single" w:color="auto" w:sz="4" w:space="0"/>
              <w:right w:val="single" w:color="auto" w:sz="4" w:space="0"/>
            </w:tcBorders>
            <w:vAlign w:val="center"/>
          </w:tcPr>
          <w:p w14:paraId="3DD5474D">
            <w:pPr>
              <w:rPr>
                <w:rFonts w:ascii="Times New Roman" w:hAnsi="Times New Roman" w:cs="Times New Roman"/>
                <w:color w:val="auto"/>
                <w:sz w:val="20"/>
                <w:highlight w:val="none"/>
              </w:rPr>
            </w:pPr>
          </w:p>
        </w:tc>
        <w:tc>
          <w:tcPr>
            <w:tcW w:w="1177" w:type="pct"/>
            <w:tcBorders>
              <w:top w:val="single" w:color="auto" w:sz="4" w:space="0"/>
              <w:left w:val="single" w:color="auto" w:sz="4" w:space="0"/>
              <w:bottom w:val="single" w:color="auto" w:sz="2" w:space="0"/>
              <w:right w:val="single" w:color="auto" w:sz="4" w:space="0"/>
            </w:tcBorders>
            <w:vAlign w:val="center"/>
          </w:tcPr>
          <w:p w14:paraId="5774BDC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拥有者性别</w:t>
            </w:r>
          </w:p>
        </w:tc>
        <w:tc>
          <w:tcPr>
            <w:tcW w:w="1259" w:type="pct"/>
            <w:tcBorders>
              <w:top w:val="single" w:color="auto" w:sz="2" w:space="0"/>
              <w:left w:val="single" w:color="auto" w:sz="4" w:space="0"/>
              <w:bottom w:val="single" w:color="auto" w:sz="2" w:space="0"/>
              <w:right w:val="single" w:color="auto" w:sz="4" w:space="0"/>
            </w:tcBorders>
            <w:vAlign w:val="center"/>
          </w:tcPr>
          <w:p w14:paraId="4F115ADC">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3AC496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4" w:space="0"/>
              <w:left w:val="single" w:color="auto" w:sz="4" w:space="0"/>
              <w:bottom w:val="single" w:color="auto" w:sz="2" w:space="0"/>
              <w:right w:val="single" w:color="auto" w:sz="4" w:space="0"/>
            </w:tcBorders>
            <w:vAlign w:val="center"/>
          </w:tcPr>
          <w:p w14:paraId="23A2ABE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住  所</w:t>
            </w:r>
          </w:p>
        </w:tc>
        <w:tc>
          <w:tcPr>
            <w:tcW w:w="1436" w:type="pct"/>
            <w:tcBorders>
              <w:top w:val="single" w:color="auto" w:sz="4" w:space="0"/>
              <w:left w:val="single" w:color="auto" w:sz="4" w:space="0"/>
              <w:bottom w:val="single" w:color="auto" w:sz="2" w:space="0"/>
              <w:right w:val="single" w:color="auto" w:sz="4" w:space="0"/>
            </w:tcBorders>
            <w:vAlign w:val="center"/>
          </w:tcPr>
          <w:p w14:paraId="676566FC">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2BC84C3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住  所</w:t>
            </w:r>
          </w:p>
        </w:tc>
        <w:tc>
          <w:tcPr>
            <w:tcW w:w="1259" w:type="pct"/>
            <w:tcBorders>
              <w:top w:val="single" w:color="auto" w:sz="2" w:space="0"/>
              <w:left w:val="single" w:color="auto" w:sz="4" w:space="0"/>
              <w:bottom w:val="single" w:color="auto" w:sz="2" w:space="0"/>
              <w:right w:val="single" w:color="auto" w:sz="4" w:space="0"/>
            </w:tcBorders>
            <w:vAlign w:val="center"/>
          </w:tcPr>
          <w:p w14:paraId="613CFD47">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2FF672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4B86A3D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 系 人</w:t>
            </w:r>
          </w:p>
        </w:tc>
        <w:tc>
          <w:tcPr>
            <w:tcW w:w="1436" w:type="pct"/>
            <w:tcBorders>
              <w:top w:val="single" w:color="auto" w:sz="2" w:space="0"/>
              <w:left w:val="single" w:color="auto" w:sz="4" w:space="0"/>
              <w:bottom w:val="single" w:color="auto" w:sz="2" w:space="0"/>
              <w:right w:val="single" w:color="auto" w:sz="4" w:space="0"/>
            </w:tcBorders>
            <w:vAlign w:val="center"/>
          </w:tcPr>
          <w:p w14:paraId="5FE6DE82">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5FC851F7">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 系 人</w:t>
            </w:r>
          </w:p>
        </w:tc>
        <w:tc>
          <w:tcPr>
            <w:tcW w:w="1259" w:type="pct"/>
            <w:tcBorders>
              <w:top w:val="single" w:color="auto" w:sz="2" w:space="0"/>
              <w:left w:val="single" w:color="auto" w:sz="4" w:space="0"/>
              <w:bottom w:val="single" w:color="auto" w:sz="2" w:space="0"/>
              <w:right w:val="single" w:color="auto" w:sz="4" w:space="0"/>
            </w:tcBorders>
            <w:vAlign w:val="center"/>
          </w:tcPr>
          <w:p w14:paraId="4B28ACEE">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6C9133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6DCA405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联系电话</w:t>
            </w:r>
          </w:p>
        </w:tc>
        <w:tc>
          <w:tcPr>
            <w:tcW w:w="1436" w:type="pct"/>
            <w:tcBorders>
              <w:top w:val="single" w:color="auto" w:sz="2" w:space="0"/>
              <w:left w:val="single" w:color="auto" w:sz="4" w:space="0"/>
              <w:bottom w:val="single" w:color="auto" w:sz="2" w:space="0"/>
              <w:right w:val="single" w:color="auto" w:sz="4" w:space="0"/>
            </w:tcBorders>
            <w:vAlign w:val="center"/>
          </w:tcPr>
          <w:p w14:paraId="1F0EB98D">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2B3A363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联系电话</w:t>
            </w:r>
          </w:p>
        </w:tc>
        <w:tc>
          <w:tcPr>
            <w:tcW w:w="1259" w:type="pct"/>
            <w:tcBorders>
              <w:top w:val="single" w:color="auto" w:sz="2" w:space="0"/>
              <w:left w:val="single" w:color="auto" w:sz="4" w:space="0"/>
              <w:bottom w:val="single" w:color="auto" w:sz="2" w:space="0"/>
              <w:right w:val="single" w:color="auto" w:sz="4" w:space="0"/>
            </w:tcBorders>
            <w:vAlign w:val="center"/>
          </w:tcPr>
          <w:p w14:paraId="2E970F65">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66933C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42981257">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p>
        </w:tc>
        <w:tc>
          <w:tcPr>
            <w:tcW w:w="1436" w:type="pct"/>
            <w:tcBorders>
              <w:top w:val="single" w:color="auto" w:sz="2" w:space="0"/>
              <w:left w:val="single" w:color="auto" w:sz="4" w:space="0"/>
              <w:bottom w:val="single" w:color="auto" w:sz="2" w:space="0"/>
              <w:right w:val="single" w:color="auto" w:sz="4" w:space="0"/>
            </w:tcBorders>
            <w:vAlign w:val="center"/>
          </w:tcPr>
          <w:p w14:paraId="2B4CFE9F">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45CC648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p>
        </w:tc>
        <w:tc>
          <w:tcPr>
            <w:tcW w:w="1259" w:type="pct"/>
            <w:tcBorders>
              <w:top w:val="single" w:color="auto" w:sz="2" w:space="0"/>
              <w:left w:val="single" w:color="auto" w:sz="4" w:space="0"/>
              <w:bottom w:val="single" w:color="auto" w:sz="2" w:space="0"/>
              <w:right w:val="single" w:color="auto" w:sz="4" w:space="0"/>
            </w:tcBorders>
            <w:vAlign w:val="center"/>
          </w:tcPr>
          <w:p w14:paraId="543A0ECF">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229801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223DF167">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邮政编码</w:t>
            </w:r>
          </w:p>
        </w:tc>
        <w:tc>
          <w:tcPr>
            <w:tcW w:w="1436" w:type="pct"/>
            <w:tcBorders>
              <w:top w:val="single" w:color="auto" w:sz="2" w:space="0"/>
              <w:left w:val="single" w:color="auto" w:sz="4" w:space="0"/>
              <w:bottom w:val="single" w:color="auto" w:sz="2" w:space="0"/>
              <w:right w:val="single" w:color="auto" w:sz="4" w:space="0"/>
            </w:tcBorders>
            <w:vAlign w:val="center"/>
          </w:tcPr>
          <w:p w14:paraId="747F77AE">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260CD4A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邮政编码</w:t>
            </w:r>
          </w:p>
        </w:tc>
        <w:tc>
          <w:tcPr>
            <w:tcW w:w="1259" w:type="pct"/>
            <w:tcBorders>
              <w:top w:val="single" w:color="auto" w:sz="2" w:space="0"/>
              <w:left w:val="single" w:color="auto" w:sz="4" w:space="0"/>
              <w:bottom w:val="single" w:color="auto" w:sz="2" w:space="0"/>
              <w:right w:val="single" w:color="auto" w:sz="4" w:space="0"/>
            </w:tcBorders>
            <w:vAlign w:val="center"/>
          </w:tcPr>
          <w:p w14:paraId="7A4A8C09">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5B2B95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62292E3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电子邮箱</w:t>
            </w:r>
          </w:p>
        </w:tc>
        <w:tc>
          <w:tcPr>
            <w:tcW w:w="1436" w:type="pct"/>
            <w:tcBorders>
              <w:top w:val="single" w:color="auto" w:sz="2" w:space="0"/>
              <w:left w:val="single" w:color="auto" w:sz="4" w:space="0"/>
              <w:bottom w:val="single" w:color="auto" w:sz="2" w:space="0"/>
              <w:right w:val="single" w:color="auto" w:sz="4" w:space="0"/>
            </w:tcBorders>
            <w:vAlign w:val="center"/>
          </w:tcPr>
          <w:p w14:paraId="323306DC">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3811CEA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电子邮箱</w:t>
            </w:r>
          </w:p>
        </w:tc>
        <w:tc>
          <w:tcPr>
            <w:tcW w:w="1259" w:type="pct"/>
            <w:tcBorders>
              <w:top w:val="single" w:color="auto" w:sz="2" w:space="0"/>
              <w:left w:val="single" w:color="auto" w:sz="4" w:space="0"/>
              <w:bottom w:val="single" w:color="auto" w:sz="2" w:space="0"/>
              <w:right w:val="single" w:color="auto" w:sz="4" w:space="0"/>
            </w:tcBorders>
            <w:vAlign w:val="center"/>
          </w:tcPr>
          <w:p w14:paraId="1CE46CB3">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0BAA47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13CEEAE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统一社会信用代码</w:t>
            </w:r>
          </w:p>
        </w:tc>
        <w:tc>
          <w:tcPr>
            <w:tcW w:w="1436" w:type="pct"/>
            <w:tcBorders>
              <w:top w:val="single" w:color="auto" w:sz="2" w:space="0"/>
              <w:left w:val="single" w:color="auto" w:sz="4" w:space="0"/>
              <w:bottom w:val="single" w:color="auto" w:sz="2" w:space="0"/>
              <w:right w:val="single" w:color="auto" w:sz="4" w:space="0"/>
            </w:tcBorders>
            <w:vAlign w:val="center"/>
          </w:tcPr>
          <w:p w14:paraId="4753041F">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0773B00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统一社会信用代码</w:t>
            </w:r>
          </w:p>
        </w:tc>
        <w:tc>
          <w:tcPr>
            <w:tcW w:w="1259" w:type="pct"/>
            <w:tcBorders>
              <w:top w:val="single" w:color="auto" w:sz="2" w:space="0"/>
              <w:left w:val="single" w:color="auto" w:sz="4" w:space="0"/>
              <w:bottom w:val="single" w:color="auto" w:sz="2" w:space="0"/>
              <w:right w:val="single" w:color="auto" w:sz="4" w:space="0"/>
            </w:tcBorders>
            <w:vAlign w:val="center"/>
          </w:tcPr>
          <w:p w14:paraId="3E7A70B1">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5033FE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0484205A">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2" w:space="0"/>
              <w:right w:val="single" w:color="auto" w:sz="4" w:space="0"/>
            </w:tcBorders>
            <w:vAlign w:val="center"/>
          </w:tcPr>
          <w:p w14:paraId="23AF059C">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53F04D25">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开户名称</w:t>
            </w:r>
          </w:p>
        </w:tc>
        <w:tc>
          <w:tcPr>
            <w:tcW w:w="1259" w:type="pct"/>
            <w:tcBorders>
              <w:top w:val="single" w:color="auto" w:sz="2" w:space="0"/>
              <w:left w:val="single" w:color="auto" w:sz="4" w:space="0"/>
              <w:bottom w:val="single" w:color="auto" w:sz="2" w:space="0"/>
              <w:right w:val="single" w:color="auto" w:sz="4" w:space="0"/>
            </w:tcBorders>
            <w:vAlign w:val="center"/>
          </w:tcPr>
          <w:p w14:paraId="2331B3ED">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1DE703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20B566BE">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2" w:space="0"/>
              <w:right w:val="single" w:color="auto" w:sz="4" w:space="0"/>
            </w:tcBorders>
            <w:vAlign w:val="center"/>
          </w:tcPr>
          <w:p w14:paraId="1E5396CD">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3AB9D76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开户银行</w:t>
            </w:r>
          </w:p>
        </w:tc>
        <w:tc>
          <w:tcPr>
            <w:tcW w:w="1259" w:type="pct"/>
            <w:tcBorders>
              <w:top w:val="single" w:color="auto" w:sz="2" w:space="0"/>
              <w:left w:val="single" w:color="auto" w:sz="4" w:space="0"/>
              <w:bottom w:val="single" w:color="auto" w:sz="2" w:space="0"/>
              <w:right w:val="single" w:color="auto" w:sz="4" w:space="0"/>
            </w:tcBorders>
            <w:vAlign w:val="center"/>
          </w:tcPr>
          <w:p w14:paraId="653064FD">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5AE1E9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59906E1A">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4" w:space="0"/>
              <w:right w:val="single" w:color="auto" w:sz="4" w:space="0"/>
            </w:tcBorders>
            <w:vAlign w:val="center"/>
          </w:tcPr>
          <w:p w14:paraId="625FFFFD">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4" w:space="0"/>
              <w:right w:val="single" w:color="auto" w:sz="4" w:space="0"/>
            </w:tcBorders>
            <w:vAlign w:val="center"/>
          </w:tcPr>
          <w:p w14:paraId="2A68E04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银行账号</w:t>
            </w:r>
          </w:p>
        </w:tc>
        <w:tc>
          <w:tcPr>
            <w:tcW w:w="1259" w:type="pct"/>
            <w:tcBorders>
              <w:top w:val="single" w:color="auto" w:sz="2" w:space="0"/>
              <w:left w:val="single" w:color="auto" w:sz="4" w:space="0"/>
              <w:bottom w:val="single" w:color="auto" w:sz="2" w:space="0"/>
              <w:right w:val="single" w:color="auto" w:sz="4" w:space="0"/>
            </w:tcBorders>
            <w:vAlign w:val="center"/>
          </w:tcPr>
          <w:p w14:paraId="5EAC3833">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26EAAD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left w:val="single" w:color="auto" w:sz="4" w:space="0"/>
              <w:bottom w:val="single" w:color="auto" w:sz="4" w:space="0"/>
              <w:right w:val="single" w:color="auto" w:sz="4" w:space="0"/>
            </w:tcBorders>
            <w:vAlign w:val="center"/>
          </w:tcPr>
          <w:p w14:paraId="2BFE4D20">
            <w:pPr>
              <w:pStyle w:val="22"/>
              <w:adjustRightInd w:val="0"/>
              <w:snapToGrid w:val="0"/>
              <w:spacing w:before="156" w:beforeLines="50" w:beforeAutospacing="0" w:after="0" w:afterAutospacing="0" w:line="360" w:lineRule="auto"/>
              <w:rPr>
                <w:rFonts w:hint="eastAsia" w:ascii="宋体" w:hAnsi="宋体" w:eastAsia="宋体" w:cs="宋体"/>
                <w:color w:val="auto"/>
                <w:spacing w:val="20"/>
                <w:kern w:val="2"/>
                <w:szCs w:val="24"/>
                <w:highlight w:val="none"/>
              </w:rPr>
            </w:pPr>
            <w:r>
              <w:rPr>
                <w:rFonts w:hint="eastAsia" w:ascii="宋体" w:hAnsi="宋体" w:eastAsia="宋体" w:cs="宋体"/>
                <w:color w:val="auto"/>
                <w:kern w:val="2"/>
                <w:szCs w:val="24"/>
                <w:highlight w:val="none"/>
                <w:lang w:bidi="ar"/>
              </w:rPr>
              <w:t>注：涉及联合体或其他合同主体的信息应按上表格式加列。</w:t>
            </w:r>
          </w:p>
        </w:tc>
      </w:tr>
    </w:tbl>
    <w:p w14:paraId="14D10842">
      <w:pPr>
        <w:spacing w:line="360" w:lineRule="auto"/>
        <w:jc w:val="center"/>
        <w:outlineLvl w:val="1"/>
        <w:rPr>
          <w:rFonts w:hint="eastAsia" w:ascii="宋体" w:hAnsi="宋体" w:eastAsia="宋体" w:cs="宋体"/>
          <w:b/>
          <w:color w:val="auto"/>
          <w:sz w:val="24"/>
          <w:szCs w:val="24"/>
          <w:highlight w:val="none"/>
          <w:lang w:bidi="ar"/>
        </w:rPr>
      </w:pPr>
      <w:r>
        <w:rPr>
          <w:rFonts w:hint="eastAsia"/>
          <w:color w:val="auto"/>
          <w:highlight w:val="none"/>
          <w:u w:val="single"/>
        </w:rPr>
        <w:br w:type="page"/>
      </w:r>
      <w:r>
        <w:rPr>
          <w:rFonts w:hint="eastAsia" w:ascii="宋体" w:hAnsi="宋体" w:eastAsia="宋体" w:cs="宋体"/>
          <w:b/>
          <w:color w:val="auto"/>
          <w:sz w:val="24"/>
          <w:szCs w:val="24"/>
          <w:highlight w:val="none"/>
          <w:lang w:bidi="ar"/>
        </w:rPr>
        <w:t>第二节 政府采购合同通用条款</w:t>
      </w:r>
    </w:p>
    <w:p w14:paraId="73E2CE7A">
      <w:pPr>
        <w:tabs>
          <w:tab w:val="left" w:pos="8820"/>
          <w:tab w:val="left" w:pos="9345"/>
          <w:tab w:val="left" w:pos="9765"/>
        </w:tabs>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bidi="ar"/>
        </w:rPr>
        <w:t xml:space="preserve">1. </w:t>
      </w:r>
      <w:r>
        <w:rPr>
          <w:rFonts w:hint="eastAsia" w:ascii="宋体" w:hAnsi="宋体" w:eastAsia="宋体" w:cs="宋体"/>
          <w:b/>
          <w:bCs/>
          <w:color w:val="auto"/>
          <w:sz w:val="24"/>
          <w:szCs w:val="24"/>
          <w:highlight w:val="none"/>
          <w:lang w:bidi="ar"/>
        </w:rPr>
        <w:t>定义</w:t>
      </w:r>
    </w:p>
    <w:p w14:paraId="7BA1F8A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1.1合同当事人</w:t>
      </w:r>
    </w:p>
    <w:p w14:paraId="0FB2F16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（1）采购人（以下称甲方）是指使用财政性资金，通过政府采购方式向供应商购买货物及其相关服务的国家机关、事业单位、团体组织。</w:t>
      </w:r>
    </w:p>
    <w:p w14:paraId="0A240F5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（2）供应商（以下称乙方）是指参加政府采购活动并且中标（成交），向采购人提供合同约定的货物及其相关服务的法人、非法人组织或者自然人。</w:t>
      </w:r>
    </w:p>
    <w:p w14:paraId="1C40602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（3）其他合同主体是指除采购人和供应商以外，</w:t>
      </w:r>
      <w:r>
        <w:rPr>
          <w:rFonts w:hint="eastAsia" w:ascii="宋体" w:hAnsi="宋体" w:eastAsia="宋体" w:cs="宋体"/>
          <w:bCs/>
          <w:color w:val="auto"/>
          <w:sz w:val="24"/>
          <w:szCs w:val="24"/>
          <w:highlight w:val="none"/>
          <w:lang w:bidi="ar"/>
        </w:rPr>
        <w:t>依法参与合同缔结或履行，享有权利、承担义务的合同当事人</w:t>
      </w:r>
      <w:r>
        <w:rPr>
          <w:rFonts w:hint="eastAsia" w:ascii="宋体" w:hAnsi="宋体" w:eastAsia="宋体" w:cs="宋体"/>
          <w:color w:val="auto"/>
          <w:sz w:val="24"/>
          <w:szCs w:val="24"/>
          <w:highlight w:val="none"/>
          <w:lang w:bidi="ar"/>
        </w:rPr>
        <w:t>。</w:t>
      </w:r>
    </w:p>
    <w:p w14:paraId="76ACBF41">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1.2本合同下列术语应解释为：</w:t>
      </w:r>
    </w:p>
    <w:p w14:paraId="17612B07">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（1）“合同”系指</w:t>
      </w:r>
      <w:r>
        <w:rPr>
          <w:rFonts w:hint="eastAsia" w:ascii="宋体" w:hAnsi="宋体" w:eastAsia="宋体" w:cs="宋体"/>
          <w:bCs/>
          <w:color w:val="auto"/>
          <w:sz w:val="24"/>
          <w:szCs w:val="24"/>
          <w:highlight w:val="none"/>
          <w:lang w:bidi="ar"/>
        </w:rPr>
        <w:t>合同当事人意思表示达成一致的任何协议，包括签署的</w:t>
      </w:r>
      <w:r>
        <w:rPr>
          <w:rFonts w:hint="eastAsia" w:ascii="宋体" w:hAnsi="宋体" w:eastAsia="宋体" w:cs="宋体"/>
          <w:color w:val="auto"/>
          <w:sz w:val="24"/>
          <w:szCs w:val="24"/>
          <w:highlight w:val="none"/>
          <w:lang w:bidi="ar"/>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C65D0BF">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（2）“合同价款”系指根据本合同规定乙方在全面履行合同义务后甲方应支付给乙方的价款。</w:t>
      </w:r>
    </w:p>
    <w:p w14:paraId="3C7DED14">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（3）“货物”系指乙方根据本合同规定须向甲方提供的各种形态和种类的物品，包括原材料、设备、产品（包括软件）及相关的其备品备件、工具、手册及其他技术资料和材料等。</w:t>
      </w:r>
    </w:p>
    <w:p w14:paraId="32CD750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1CC642F8">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（5）“分包”系指中标（成交）供应商按采购文件、投标（响应）文件的规定，根据分包意向协议，将中标（成交）项目中的部分履约内容，分给具有相应资质条件的供应商履行合同的行为。</w:t>
      </w:r>
    </w:p>
    <w:p w14:paraId="30A7029F">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w:t>
      </w:r>
    </w:p>
    <w:p w14:paraId="1A2361C7">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（7）其他术语解释，见【</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w:t>
      </w:r>
    </w:p>
    <w:p w14:paraId="2CADB207">
      <w:pPr>
        <w:numPr>
          <w:ilvl w:val="0"/>
          <w:numId w:val="6"/>
        </w:num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bidi="ar"/>
        </w:rPr>
        <w:t>合同标的及金额</w:t>
      </w:r>
    </w:p>
    <w:p w14:paraId="1F613B1A">
      <w:pPr>
        <w:autoSpaceDE w:val="0"/>
        <w:autoSpaceDN w:val="0"/>
        <w:adjustRightInd w:val="0"/>
        <w:snapToGrid w:val="0"/>
        <w:spacing w:line="360" w:lineRule="auto"/>
        <w:ind w:firstLine="480" w:firstLineChars="200"/>
        <w:jc w:val="left"/>
        <w:rPr>
          <w:rFonts w:hint="eastAsia" w:ascii="宋体" w:hAnsi="宋体" w:eastAsia="宋体" w:cs="宋体"/>
          <w:b/>
          <w:bCs/>
          <w:i/>
          <w:iCs/>
          <w:color w:val="auto"/>
          <w:sz w:val="24"/>
          <w:szCs w:val="24"/>
          <w:highlight w:val="none"/>
        </w:rPr>
      </w:pPr>
      <w:r>
        <w:rPr>
          <w:rFonts w:hint="eastAsia" w:ascii="宋体" w:hAnsi="宋体" w:eastAsia="宋体" w:cs="宋体"/>
          <w:color w:val="auto"/>
          <w:sz w:val="24"/>
          <w:szCs w:val="24"/>
          <w:highlight w:val="none"/>
          <w:lang w:bidi="ar"/>
        </w:rPr>
        <w:t>2.1 合同标的及金额应与中标（成交）结果一致。乙方为履行本合同而发生的所有费用均应包含在合同价款中，甲方不再另行支付其他任何费用。</w:t>
      </w:r>
    </w:p>
    <w:p w14:paraId="213B46C4">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 履行合同的时间、地点和方式</w:t>
      </w:r>
    </w:p>
    <w:p w14:paraId="5970D6B1">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3.1 乙方应当在约定的时间、地点，按照约定方式履行合同。</w:t>
      </w:r>
    </w:p>
    <w:p w14:paraId="1BEB754B">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4. 甲方的权利和义务</w:t>
      </w:r>
    </w:p>
    <w:p w14:paraId="38A75F6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4.1 签署合同后，甲方应确定项目负责人（或项目联系人），负责与本合同有关的事务。甲方有权对乙方的履约行为进行检查，并及时确认乙方提交的事项。甲方应当配合乙方完成相关项目实施工作。</w:t>
      </w:r>
    </w:p>
    <w:p w14:paraId="7EB8959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4.2 甲方有权要求乙方按时提交各阶段有关安排计划，并有权定期核对乙方提供货物数量、规格、质量等内容。甲方有权督促乙方工作并要求乙方更换不符合要求的货物。</w:t>
      </w:r>
    </w:p>
    <w:p w14:paraId="1F3F811A">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4.3 甲方有权要求乙方对缺陷部分予以修复，并按合同约定享有货物保修及其他合同约定的权利。</w:t>
      </w:r>
    </w:p>
    <w:p w14:paraId="2CF7B67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4.4 甲方应当按照合同约定及时对交付的货物进行验收，未在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约定的期限内对乙方履约提出任何异议或者向乙方作出任何说明的，视为验收通过。</w:t>
      </w:r>
    </w:p>
    <w:p w14:paraId="788F8B0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4.5 甲方应当根据合同约定及时向乙方支付合同价款，不得以内部人员变更、履行内部付款流程等为由，拒绝或迟延支付。</w:t>
      </w:r>
    </w:p>
    <w:p w14:paraId="111191F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4.6 国家法律法规规定及</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约定应由甲方承担的其他义务和责任。</w:t>
      </w:r>
    </w:p>
    <w:p w14:paraId="6B02FF13">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5. 乙方的权利和义务</w:t>
      </w:r>
    </w:p>
    <w:p w14:paraId="5946388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5.1 签署合同后，乙方应确定项目负责人（或项目联系人），负责与本合同有关的事务。</w:t>
      </w:r>
    </w:p>
    <w:p w14:paraId="3ABC9C1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AF13A70">
      <w:pPr>
        <w:pStyle w:val="22"/>
        <w:spacing w:before="0" w:after="0" w:afterAutospacing="0" w:line="360" w:lineRule="auto"/>
        <w:ind w:firstLine="422" w:firstLineChars="176"/>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5.3乙方有权根据合同约定向甲方收取合同价款。</w:t>
      </w:r>
    </w:p>
    <w:p w14:paraId="697F4A27">
      <w:pPr>
        <w:pStyle w:val="22"/>
        <w:spacing w:before="0" w:after="0" w:afterAutospacing="0" w:line="360" w:lineRule="auto"/>
        <w:ind w:firstLine="422" w:firstLineChars="176"/>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5.4国家法律法规规定及</w:t>
      </w:r>
      <w:r>
        <w:rPr>
          <w:rFonts w:hint="eastAsia" w:ascii="宋体" w:hAnsi="宋体" w:eastAsia="宋体" w:cs="宋体"/>
          <w:b/>
          <w:bCs/>
          <w:color w:val="auto"/>
          <w:kern w:val="2"/>
          <w:szCs w:val="24"/>
          <w:highlight w:val="none"/>
          <w:lang w:bidi="ar"/>
        </w:rPr>
        <w:t>【政府采购合同专用条款】</w:t>
      </w:r>
      <w:r>
        <w:rPr>
          <w:rFonts w:hint="eastAsia" w:ascii="宋体" w:hAnsi="宋体" w:eastAsia="宋体" w:cs="宋体"/>
          <w:color w:val="auto"/>
          <w:kern w:val="2"/>
          <w:szCs w:val="24"/>
          <w:highlight w:val="none"/>
          <w:lang w:bidi="ar"/>
        </w:rPr>
        <w:t>约定应由乙方承担的其他义务和责任。</w:t>
      </w:r>
    </w:p>
    <w:p w14:paraId="4D0E8FC3">
      <w:pPr>
        <w:numPr>
          <w:ilvl w:val="0"/>
          <w:numId w:val="7"/>
        </w:num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合同履行</w:t>
      </w:r>
    </w:p>
    <w:p w14:paraId="2AB8918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6.1 甲乙双方应当按照</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约定顺序履行合同义务；如果没有先后顺序的，应当同时履行。</w:t>
      </w:r>
    </w:p>
    <w:p w14:paraId="3949C21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6.2 甲乙双方按照合同约定顺序履行合同义务时，应当先履行一方未履行的，后履行一方有权拒绝其履行请求。先履行一方履行不符合约定的，后履行一方有权拒绝其相应的履行请求。</w:t>
      </w:r>
    </w:p>
    <w:p w14:paraId="70FAAA43">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7. 货物包装、运输、保险和交付要求</w:t>
      </w:r>
    </w:p>
    <w:p w14:paraId="108EE71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7.1 本合同</w:t>
      </w:r>
      <w:r>
        <w:rPr>
          <w:rFonts w:hint="eastAsia" w:ascii="宋体" w:hAnsi="宋体" w:eastAsia="宋体" w:cs="宋体"/>
          <w:bCs/>
          <w:color w:val="auto"/>
          <w:sz w:val="24"/>
          <w:szCs w:val="24"/>
          <w:highlight w:val="none"/>
          <w:lang w:bidi="ar"/>
        </w:rPr>
        <w:t>涉及商品包装、快递包装的，</w:t>
      </w:r>
      <w:r>
        <w:rPr>
          <w:rFonts w:hint="eastAsia" w:ascii="宋体" w:hAnsi="宋体" w:eastAsia="宋体" w:cs="宋体"/>
          <w:color w:val="auto"/>
          <w:sz w:val="24"/>
          <w:szCs w:val="24"/>
          <w:highlight w:val="none"/>
          <w:lang w:bidi="ar"/>
        </w:rPr>
        <w:t>除</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另有约定外，</w:t>
      </w:r>
      <w:r>
        <w:rPr>
          <w:rFonts w:hint="eastAsia" w:ascii="宋体" w:hAnsi="宋体" w:eastAsia="宋体" w:cs="宋体"/>
          <w:color w:val="auto"/>
          <w:sz w:val="24"/>
          <w:szCs w:val="24"/>
          <w:highlight w:val="none"/>
          <w:lang w:bidi="ar"/>
        </w:rPr>
        <w:t>包装应适应远距离运输、防潮、防震、防锈和防野蛮装卸等要求，确保货物安全无损地运抵</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约定的</w:t>
      </w:r>
      <w:r>
        <w:rPr>
          <w:rFonts w:hint="eastAsia" w:ascii="宋体" w:hAnsi="宋体" w:eastAsia="宋体" w:cs="宋体"/>
          <w:color w:val="auto"/>
          <w:sz w:val="24"/>
          <w:szCs w:val="24"/>
          <w:highlight w:val="none"/>
          <w:lang w:bidi="ar"/>
        </w:rPr>
        <w:t>指定现场。</w:t>
      </w:r>
    </w:p>
    <w:p w14:paraId="72BC34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7.2 除</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另有约定外，</w:t>
      </w:r>
      <w:r>
        <w:rPr>
          <w:rFonts w:hint="eastAsia" w:ascii="宋体" w:hAnsi="宋体" w:eastAsia="宋体" w:cs="宋体"/>
          <w:color w:val="auto"/>
          <w:sz w:val="24"/>
          <w:szCs w:val="24"/>
          <w:highlight w:val="none"/>
          <w:lang w:bidi="ar"/>
        </w:rPr>
        <w:t>乙方负责办理将货物运抵本合同规定的交货地点，并装卸、交付至甲方的一切运输事项，相关费用应包含在合同价款中。</w:t>
      </w:r>
    </w:p>
    <w:p w14:paraId="32E7C19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7.3 货物保险要求按</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规定执行</w:t>
      </w:r>
      <w:r>
        <w:rPr>
          <w:rFonts w:hint="eastAsia" w:ascii="宋体" w:hAnsi="宋体" w:eastAsia="宋体" w:cs="宋体"/>
          <w:color w:val="auto"/>
          <w:sz w:val="24"/>
          <w:szCs w:val="24"/>
          <w:highlight w:val="none"/>
          <w:lang w:bidi="ar"/>
        </w:rPr>
        <w:t>。</w:t>
      </w:r>
    </w:p>
    <w:p w14:paraId="70A4191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3F4CE4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7.5 乙方在运输到达之前应提前通知甲方，并提示货物运输装卸的注意事项，甲方配合乙方做好货物的接收工作。</w:t>
      </w:r>
    </w:p>
    <w:p w14:paraId="3837845B">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kern w:val="2"/>
          <w:szCs w:val="24"/>
          <w:highlight w:val="none"/>
          <w:lang w:bidi="ar"/>
        </w:rPr>
        <w:t>7.6 如因包装、运输问题导致货物损毁、丢失或者品质下降，甲方有权要求降价、换货、拒收部分或整批货物，由此产生的费用和损失，均由乙方承担。</w:t>
      </w:r>
    </w:p>
    <w:p w14:paraId="39FEDEBD">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8. 质量标准和保证</w:t>
      </w:r>
    </w:p>
    <w:p w14:paraId="1D303D7C">
      <w:pPr>
        <w:pStyle w:val="22"/>
        <w:adjustRightInd w:val="0"/>
        <w:snapToGrid w:val="0"/>
        <w:spacing w:before="0" w:beforeAutospacing="0" w:after="0" w:afterAutospacing="0" w:line="360" w:lineRule="auto"/>
        <w:ind w:firstLine="480" w:firstLineChars="200"/>
        <w:rPr>
          <w:rFonts w:hint="eastAsia" w:ascii="宋体" w:hAnsi="宋体" w:eastAsia="宋体" w:cs="宋体"/>
          <w:b/>
          <w:color w:val="auto"/>
          <w:kern w:val="2"/>
          <w:szCs w:val="24"/>
          <w:highlight w:val="none"/>
        </w:rPr>
      </w:pPr>
      <w:r>
        <w:rPr>
          <w:rFonts w:hint="eastAsia" w:ascii="宋体" w:hAnsi="宋体" w:eastAsia="宋体" w:cs="宋体"/>
          <w:color w:val="auto"/>
          <w:kern w:val="2"/>
          <w:szCs w:val="24"/>
          <w:highlight w:val="none"/>
          <w:lang w:bidi="ar"/>
        </w:rPr>
        <w:t>8.1 质量标准</w:t>
      </w:r>
    </w:p>
    <w:p w14:paraId="0EE04C4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CF71B03">
      <w:pPr>
        <w:pStyle w:val="22"/>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（2）采用中华人民共和国法定计量单位。</w:t>
      </w:r>
    </w:p>
    <w:p w14:paraId="10BF05D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（3）乙方所提供的货物应符合国家有关安全、环保、卫生的规定。</w:t>
      </w:r>
    </w:p>
    <w:p w14:paraId="3901ECC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（4）乙方应向甲方提交所提供货物的技术文件，包括相应的中文技术文件，如：产品目录、图纸、操作手册、使用说明、维护手册或服务指南等。上述文件应包装好随货物一同发运。</w:t>
      </w:r>
    </w:p>
    <w:p w14:paraId="2E9F52B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8.2 保证</w:t>
      </w:r>
    </w:p>
    <w:p w14:paraId="4D0EC16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规定或乙方书面承诺（两者以较长的为准）的质量保证期内，本保证保持有效。</w:t>
      </w:r>
    </w:p>
    <w:p w14:paraId="106D787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（2）在质量保证期内所发现的缺陷，甲方应尽快以书面形式通知乙方。</w:t>
      </w:r>
    </w:p>
    <w:p w14:paraId="5210A7F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（3）乙方收到通知后，应在</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规定的响应时间内以合理的速度免费维修或更换有缺陷的货物或部件。</w:t>
      </w:r>
    </w:p>
    <w:p w14:paraId="6B38D75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（4）在质量保证期内，如果货物的质量或规格与合同不符，或证实货物是有缺陷的，包括潜在的缺陷或使用不符合要求的材料等，甲方可以根据本合同第15.1条规定以书面形式追究乙方的违约责任。</w:t>
      </w:r>
    </w:p>
    <w:p w14:paraId="39E370E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（5）乙方在约定的时间内未能弥补缺陷，甲方可采取必要的补救措施，但其风险和费用将由乙方承担，甲方根据合同约定对乙方行使的其他权利不受影响。</w:t>
      </w:r>
    </w:p>
    <w:p w14:paraId="6433D4BD">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9. 权利瑕疵担保</w:t>
      </w:r>
    </w:p>
    <w:p w14:paraId="6D79D4F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9.1 乙方保证对其出售的货物享有合法的权利。</w:t>
      </w:r>
    </w:p>
    <w:p w14:paraId="07EBC5B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9.2 乙方保证在交付的货物上不存在抵押权等担保物权。</w:t>
      </w:r>
    </w:p>
    <w:p w14:paraId="56CAADE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9.3 如甲方使用上述货物构成对第三人侵权的，则由乙方承担全部责任。</w:t>
      </w:r>
    </w:p>
    <w:p w14:paraId="56262837">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10. 知识产权保护</w:t>
      </w:r>
    </w:p>
    <w:p w14:paraId="7E0DF38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2462338B">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11. 保密义务</w:t>
      </w:r>
    </w:p>
    <w:p w14:paraId="6F49EEF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中约定。</w:t>
      </w:r>
    </w:p>
    <w:p w14:paraId="60C76927">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12. 合同价款支付</w:t>
      </w:r>
    </w:p>
    <w:p w14:paraId="69928B1E">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12.1 合同价款支付按照国库集中支付制度及财政管理相关规定执行。</w:t>
      </w:r>
    </w:p>
    <w:p w14:paraId="571F6B3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】中约定。</w:t>
      </w:r>
    </w:p>
    <w:p w14:paraId="605A54AC">
      <w:pPr>
        <w:pStyle w:val="22"/>
        <w:spacing w:before="0" w:after="0" w:afterAutospacing="0" w:line="360" w:lineRule="auto"/>
        <w:jc w:val="both"/>
        <w:rPr>
          <w:rFonts w:hint="eastAsia" w:ascii="宋体" w:hAnsi="宋体" w:eastAsia="宋体" w:cs="宋体"/>
          <w:b/>
          <w:bCs/>
          <w:color w:val="auto"/>
          <w:kern w:val="2"/>
          <w:szCs w:val="24"/>
          <w:highlight w:val="none"/>
        </w:rPr>
      </w:pPr>
      <w:r>
        <w:rPr>
          <w:rFonts w:hint="eastAsia" w:ascii="宋体" w:hAnsi="宋体" w:eastAsia="宋体" w:cs="宋体"/>
          <w:b/>
          <w:bCs/>
          <w:color w:val="auto"/>
          <w:kern w:val="2"/>
          <w:szCs w:val="24"/>
          <w:highlight w:val="none"/>
          <w:lang w:bidi="ar"/>
        </w:rPr>
        <w:t>13. 履约保证金</w:t>
      </w:r>
    </w:p>
    <w:p w14:paraId="3E103B54">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13.1 乙方应当以支票、汇票、本票或者金融机构、担保机构出具的保函等非现金形式提交。</w:t>
      </w:r>
    </w:p>
    <w:p w14:paraId="5CFBDBB8">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13.2 如果乙方出现</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约定情形的，履约保证金不予退还；如果乙方未能按合同约定全面履行义务，甲方有权从履约保证金中取得补偿或赔偿，且不影响甲方要求乙方承担合同约定的超过履约保证金的违约责任的权利。</w:t>
      </w:r>
    </w:p>
    <w:p w14:paraId="4BE5D724">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13.3 甲方在项目通过验收后按照</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规定的时间内将履约保证金退还乙方；逾期退还的，乙方可要求甲方支付违约金，违约金按照</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规定支付。</w:t>
      </w:r>
    </w:p>
    <w:p w14:paraId="1F579554">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bidi="ar"/>
        </w:rPr>
        <w:t xml:space="preserve">14. </w:t>
      </w:r>
      <w:r>
        <w:rPr>
          <w:rFonts w:hint="eastAsia" w:ascii="宋体" w:hAnsi="宋体" w:eastAsia="宋体" w:cs="宋体"/>
          <w:b/>
          <w:color w:val="auto"/>
          <w:sz w:val="24"/>
          <w:szCs w:val="24"/>
          <w:highlight w:val="none"/>
          <w:lang w:bidi="ar"/>
        </w:rPr>
        <w:t>售后服务</w:t>
      </w:r>
    </w:p>
    <w:p w14:paraId="09FF1E4B">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14.1 除项目不涉及或采购活动中明确约定无须承担外，乙方还应提供下列服务：</w:t>
      </w:r>
    </w:p>
    <w:p w14:paraId="4C225E6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（1）货物的现场移动、安装、调试、启动监督及技术支持；</w:t>
      </w:r>
    </w:p>
    <w:p w14:paraId="6BF76736">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（2）提供货物组装和维修所需的专用工具和辅助材料；</w:t>
      </w:r>
    </w:p>
    <w:p w14:paraId="3FF3DB4E">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约定的期限内对所有的货物实施运行监督、维修，但前提条件是该服务并不能免除乙方在质量保证期内所承担的义务；</w:t>
      </w:r>
    </w:p>
    <w:p w14:paraId="08E2FF8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（4）在制造商所在地或指定现场就货物的安装、启动、运营、维护、废弃处置等对甲方操作人员进行培训；</w:t>
      </w:r>
    </w:p>
    <w:p w14:paraId="77D7F9BA">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（5）依照法律、行政法规的规定或者按照</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约定，货物在有效使用年限届满后应予回收的，乙方负有自行或者委托第三人对货物予以回收的义务；</w:t>
      </w:r>
    </w:p>
    <w:p w14:paraId="7B1E48B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规定由乙方提供的其他服务。</w:t>
      </w:r>
    </w:p>
    <w:p w14:paraId="22AB9901">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14.2 乙方提供的售后服务的费用已包含在合同价款中，甲方不再另行支付。</w:t>
      </w:r>
    </w:p>
    <w:p w14:paraId="105FA1B5">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15. 违约责任</w:t>
      </w:r>
    </w:p>
    <w:p w14:paraId="6A4AACD2">
      <w:pPr>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15.1质量瑕疵的违约责任</w:t>
      </w:r>
    </w:p>
    <w:p w14:paraId="4E4F8C3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乙方提供的产品不符合合同约定的质量标准或存在产品质量缺陷，甲方有权要求乙方根据</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要求</w:t>
      </w:r>
      <w:r>
        <w:rPr>
          <w:rFonts w:hint="eastAsia" w:ascii="宋体" w:hAnsi="宋体" w:eastAsia="宋体" w:cs="宋体"/>
          <w:color w:val="auto"/>
          <w:sz w:val="24"/>
          <w:szCs w:val="24"/>
          <w:highlight w:val="none"/>
          <w:lang w:bidi="ar"/>
        </w:rPr>
        <w:t>及时修理、重作、更换，并承担由此给甲方造成的损失。</w:t>
      </w:r>
    </w:p>
    <w:p w14:paraId="1F2216F1">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15.2 迟延交货的违约责任</w:t>
      </w:r>
    </w:p>
    <w:p w14:paraId="7CF4792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A2BB5EB">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规定执行。如果涉及公共利益，且赔偿金额无法弥补公共利益损失，甲方可要求继续履行或者采取其他补救措施。</w:t>
      </w:r>
    </w:p>
    <w:p w14:paraId="2386D50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15.3 迟延支付的违约责任</w:t>
      </w:r>
    </w:p>
    <w:p w14:paraId="4BB2020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甲方存在迟延支付乙方合同款项的，应当承担</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规定的逾期付款利息。</w:t>
      </w:r>
    </w:p>
    <w:p w14:paraId="56B1F0B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15.4其他违约责任根据项目实际需要按</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规定执行。</w:t>
      </w:r>
    </w:p>
    <w:p w14:paraId="493B2011">
      <w:pPr>
        <w:numPr>
          <w:ilvl w:val="0"/>
          <w:numId w:val="8"/>
        </w:num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合同变更、中止与终止</w:t>
      </w:r>
    </w:p>
    <w:p w14:paraId="694BA11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16.1合同的变更</w:t>
      </w:r>
    </w:p>
    <w:p w14:paraId="46FFB19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政府采购合同履行中，在不改变合同其他条款的前提下，甲方可以在合同价款10%的范围内追加与合同标的相同的货物，并就此与乙方协商一致后签订补充协议。</w:t>
      </w:r>
    </w:p>
    <w:p w14:paraId="5D73C206">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16.2合同的中止</w:t>
      </w:r>
    </w:p>
    <w:p w14:paraId="128039D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（1）合同履行过程中因供应商就采购文件、采购过程或结果提起投诉的，甲方认为有必要的，可以中止合同的履行。</w:t>
      </w:r>
    </w:p>
    <w:p w14:paraId="754AB04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5213D4C">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（3）乙方分立、合并或者变更住所的，应当及时以书面形式告知甲方。乙方没有及时告知甲方，致使合同履行发生困难的，甲方可以中止合同履行并要求乙方承担由此给甲方造成的损失。</w:t>
      </w:r>
    </w:p>
    <w:p w14:paraId="73D79756">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（4）甲方不得以行政区划调整、政府换届、机构或者职能调整以及相关责任人更替为由中止合同。</w:t>
      </w:r>
    </w:p>
    <w:p w14:paraId="324102F2">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16.3合同的终止</w:t>
      </w:r>
    </w:p>
    <w:p w14:paraId="275BEC6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（1）合同因有效期限届满而终止；</w:t>
      </w:r>
    </w:p>
    <w:p w14:paraId="16EE674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（2）乙方未按合同约定履行，构成根本性违约的，甲方有权终止合同，并追究乙方的违约责任。</w:t>
      </w:r>
    </w:p>
    <w:p w14:paraId="0588EBF3">
      <w:pPr>
        <w:pStyle w:val="22"/>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16.4 </w:t>
      </w:r>
      <w:r>
        <w:rPr>
          <w:rFonts w:hint="eastAsia" w:ascii="宋体" w:hAnsi="宋体" w:eastAsia="宋体" w:cs="宋体"/>
          <w:color w:val="auto"/>
          <w:kern w:val="2"/>
          <w:szCs w:val="24"/>
          <w:highlight w:val="none"/>
          <w:lang w:bidi="ar"/>
        </w:rPr>
        <w:t>涉及国家利益、社会公共利益的情形</w:t>
      </w:r>
    </w:p>
    <w:p w14:paraId="3FD2708D">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政府采购合同继续履行将损害国家利益和社会公共利益的，双方当事人应当变更、中止或者终止合同。有过错的一方应当承担赔偿责任，双方都有过错的，各自承担相应的责任。</w:t>
      </w:r>
    </w:p>
    <w:p w14:paraId="61267690">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17. 合同分包</w:t>
      </w:r>
    </w:p>
    <w:p w14:paraId="5F56711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17.1 乙方不得将合同转包给其他供应商。涉及合同分包的，乙方应根据采购文件和投标（响应）文件规定进行合同分包。</w:t>
      </w:r>
    </w:p>
    <w:p w14:paraId="4A4F0013">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17.2 乙方执行政府采购政策向中小企业依法分包的，乙方应当按采购文件和投标（响应）文件签订分包意向协议，分包意向协议属于本合同组成部分。</w:t>
      </w:r>
    </w:p>
    <w:p w14:paraId="3E943E62">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18. 不可抗力</w:t>
      </w:r>
    </w:p>
    <w:p w14:paraId="0A08FAC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18.1 不可抗力是指合同双方不能预见、不能避免且不能克服的客观情况。</w:t>
      </w:r>
    </w:p>
    <w:p w14:paraId="57EA77CB">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18.2 任何一方对由于不可抗力造成的部分或全部不能履行合同不承担违约责任。但迟延履行后发生不可抗力的，不能免除责任。</w:t>
      </w:r>
    </w:p>
    <w:p w14:paraId="5314DA1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4271CF8">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19. 解决争议的方法</w:t>
      </w:r>
    </w:p>
    <w:p w14:paraId="5ECFC8FD">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19.1 因本合同及合同有关事项发生的争议，由甲乙双方友好协商解决。协商不成时，可以向有关组织申请调解。合同一方或双方不愿调解或调解不成的，可以通过仲裁或诉讼的方式解决争议。</w:t>
      </w:r>
    </w:p>
    <w:p w14:paraId="6F1A778B">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19.2 选择仲裁的，应在</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中明确仲裁机构及仲裁地；通过诉讼方式解决的，可以在</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中进一步约定选择与争议有实际联系的地点的人民法院管辖，但管辖法院的约定不得违反级别管辖和专属管辖的规定。</w:t>
      </w:r>
    </w:p>
    <w:p w14:paraId="1D3A812D">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19.3 如甲乙双方有争议的事项不影响合同其他部分的履行，在争议解决期间，合同其他部分应当继续履行。</w:t>
      </w:r>
    </w:p>
    <w:p w14:paraId="7ED776D8">
      <w:pPr>
        <w:autoSpaceDE w:val="0"/>
        <w:autoSpaceDN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bidi="ar"/>
        </w:rPr>
        <w:t>20. 政府采购政策</w:t>
      </w:r>
    </w:p>
    <w:p w14:paraId="7199F70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20.1 本合同应当按照规定执行政府采购政策。</w:t>
      </w:r>
    </w:p>
    <w:p w14:paraId="182BBF7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6C82FE4B">
      <w:pPr>
        <w:pStyle w:val="22"/>
        <w:spacing w:before="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2C45ECF">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21. 法律适用</w:t>
      </w:r>
    </w:p>
    <w:p w14:paraId="3D0B33CC">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21.1 本合同的订立、生效、解释、履行及与本合同有关的争议解决，均适用法律、行政法规。</w:t>
      </w:r>
    </w:p>
    <w:p w14:paraId="1DDD71AE">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21.2 本合同条款与法律、行政法规的强制性规定不一致的，双方当事人应按照法律、行政法规的强制性规定修改本合同的相关条款。</w:t>
      </w:r>
    </w:p>
    <w:p w14:paraId="7C2BE1C4">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22. 通知</w:t>
      </w:r>
    </w:p>
    <w:p w14:paraId="31497612">
      <w:pPr>
        <w:pStyle w:val="22"/>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22.1 本合同任何一方向对方发出的通知、信件、数据电文等，应当发送至本合同第一部分《政府采购合同协议书》所约定的通讯地址、联系人、联系电话或电子邮箱。</w:t>
      </w:r>
    </w:p>
    <w:p w14:paraId="00CE1EE6">
      <w:pPr>
        <w:pStyle w:val="22"/>
        <w:widowControl/>
        <w:autoSpaceDE w:val="0"/>
        <w:autoSpaceDN w:val="0"/>
        <w:adjustRightInd w:val="0"/>
        <w:spacing w:before="0" w:beforeAutospacing="0" w:after="0" w:afterAutospacing="0" w:line="360" w:lineRule="auto"/>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22.2 一方当事人变更名称、住所、联系人、联系电话或电子邮箱等信息的，应当在变更后3日内及时书面通知对方，对方实际收到变更通知前的送达仍为有效送达。</w:t>
      </w:r>
    </w:p>
    <w:p w14:paraId="70198F77">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22.3本合同一方给另一方的通知均应采用书面形式，传真或快递送到本合同中规定的对方的地址和办理签收手续。</w:t>
      </w:r>
    </w:p>
    <w:p w14:paraId="7C0D522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22.4通知以送达之日或通知书中规定的生效之日起生效，两者中以较迟之日为准。</w:t>
      </w:r>
    </w:p>
    <w:p w14:paraId="05CE0F27">
      <w:pPr>
        <w:numPr>
          <w:ilvl w:val="0"/>
          <w:numId w:val="9"/>
        </w:num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合同未尽事项</w:t>
      </w:r>
    </w:p>
    <w:p w14:paraId="0EEDAFDF">
      <w:pPr>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23.1合同未尽事项见</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w:t>
      </w:r>
    </w:p>
    <w:p w14:paraId="539892CC">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 xml:space="preserve">    23.2 合同附件与合同正文具有同等的法律效力。</w:t>
      </w:r>
    </w:p>
    <w:p w14:paraId="684BA43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br w:type="page"/>
      </w:r>
    </w:p>
    <w:p w14:paraId="01CCA6F8">
      <w:pPr>
        <w:pStyle w:val="3"/>
        <w:rPr>
          <w:rFonts w:hint="eastAsia" w:cs="@仿宋_GB2312"/>
          <w:color w:val="auto"/>
          <w:highlight w:val="none"/>
        </w:rPr>
      </w:pPr>
      <w:r>
        <w:rPr>
          <w:rFonts w:hint="eastAsia"/>
          <w:color w:val="auto"/>
          <w:highlight w:val="none"/>
        </w:rPr>
        <w:t>第三节</w:t>
      </w:r>
      <w:r>
        <w:rPr>
          <w:rFonts w:hint="eastAsia" w:cs="@仿宋_GB2312"/>
          <w:color w:val="auto"/>
          <w:highlight w:val="none"/>
        </w:rPr>
        <w:t xml:space="preserve"> </w:t>
      </w:r>
      <w:r>
        <w:rPr>
          <w:rFonts w:hint="eastAsia"/>
          <w:color w:val="auto"/>
          <w:highlight w:val="none"/>
        </w:rPr>
        <w:t>政府采购合同专用条款</w:t>
      </w:r>
    </w:p>
    <w:tbl>
      <w:tblPr>
        <w:tblStyle w:val="28"/>
        <w:tblW w:w="8519" w:type="dxa"/>
        <w:tblInd w:w="108" w:type="dxa"/>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8E0C83B">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Ex>
        <w:trPr>
          <w:trHeight w:val="736" w:hRule="atLeast"/>
        </w:trPr>
        <w:tc>
          <w:tcPr>
            <w:tcW w:w="1607" w:type="dxa"/>
            <w:tcBorders>
              <w:top w:val="double" w:color="auto" w:sz="2" w:space="0"/>
              <w:left w:val="double" w:color="auto" w:sz="2" w:space="0"/>
              <w:bottom w:val="single" w:color="auto" w:sz="6" w:space="0"/>
              <w:right w:val="single" w:color="auto" w:sz="6" w:space="0"/>
            </w:tcBorders>
            <w:vAlign w:val="center"/>
          </w:tcPr>
          <w:p w14:paraId="537D0AA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EB4408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第1.2（6）项</w:t>
            </w:r>
          </w:p>
        </w:tc>
        <w:tc>
          <w:tcPr>
            <w:tcW w:w="1742" w:type="dxa"/>
            <w:tcBorders>
              <w:top w:val="double" w:color="auto" w:sz="2" w:space="0"/>
              <w:left w:val="single" w:color="auto" w:sz="6" w:space="0"/>
              <w:bottom w:val="single" w:color="auto" w:sz="6" w:space="0"/>
              <w:right w:val="single" w:color="auto" w:sz="6" w:space="0"/>
            </w:tcBorders>
            <w:vAlign w:val="center"/>
          </w:tcPr>
          <w:p w14:paraId="0907DC7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联合体具体要求</w:t>
            </w:r>
          </w:p>
        </w:tc>
        <w:tc>
          <w:tcPr>
            <w:tcW w:w="5170" w:type="dxa"/>
            <w:tcBorders>
              <w:top w:val="double" w:color="auto" w:sz="2" w:space="0"/>
              <w:left w:val="single" w:color="auto" w:sz="6" w:space="0"/>
              <w:bottom w:val="single" w:color="auto" w:sz="6" w:space="0"/>
              <w:right w:val="double" w:color="auto" w:sz="2" w:space="0"/>
            </w:tcBorders>
            <w:vAlign w:val="center"/>
          </w:tcPr>
          <w:p w14:paraId="05691F8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不接受联合体投标</w:t>
            </w:r>
          </w:p>
        </w:tc>
      </w:tr>
      <w:tr w14:paraId="593AC35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tcBorders>
              <w:top w:val="single" w:color="auto" w:sz="6" w:space="0"/>
              <w:left w:val="double" w:color="auto" w:sz="2" w:space="0"/>
              <w:bottom w:val="single" w:color="auto" w:sz="6" w:space="0"/>
              <w:right w:val="single" w:color="auto" w:sz="6" w:space="0"/>
            </w:tcBorders>
            <w:vAlign w:val="center"/>
          </w:tcPr>
          <w:p w14:paraId="661AA634">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450876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第1.2（7）项</w:t>
            </w:r>
          </w:p>
        </w:tc>
        <w:tc>
          <w:tcPr>
            <w:tcW w:w="1742" w:type="dxa"/>
            <w:tcBorders>
              <w:top w:val="single" w:color="auto" w:sz="6" w:space="0"/>
              <w:left w:val="single" w:color="auto" w:sz="6" w:space="0"/>
              <w:bottom w:val="single" w:color="auto" w:sz="6" w:space="0"/>
              <w:right w:val="single" w:color="auto" w:sz="6" w:space="0"/>
            </w:tcBorders>
            <w:vAlign w:val="center"/>
          </w:tcPr>
          <w:p w14:paraId="19C7F65A">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其他术语解释</w:t>
            </w:r>
          </w:p>
        </w:tc>
        <w:tc>
          <w:tcPr>
            <w:tcW w:w="5170" w:type="dxa"/>
            <w:tcBorders>
              <w:top w:val="single" w:color="auto" w:sz="6" w:space="0"/>
              <w:left w:val="single" w:color="auto" w:sz="6" w:space="0"/>
              <w:bottom w:val="single" w:color="auto" w:sz="6" w:space="0"/>
              <w:right w:val="double" w:color="auto" w:sz="2" w:space="0"/>
            </w:tcBorders>
            <w:vAlign w:val="center"/>
          </w:tcPr>
          <w:p w14:paraId="315C935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771F375C">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61EA595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01B529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第4.4款</w:t>
            </w:r>
          </w:p>
        </w:tc>
        <w:tc>
          <w:tcPr>
            <w:tcW w:w="1742" w:type="dxa"/>
            <w:tcBorders>
              <w:top w:val="single" w:color="auto" w:sz="6" w:space="0"/>
              <w:left w:val="single" w:color="auto" w:sz="6" w:space="0"/>
              <w:bottom w:val="single" w:color="auto" w:sz="6" w:space="0"/>
              <w:right w:val="single" w:color="auto" w:sz="6" w:space="0"/>
            </w:tcBorders>
            <w:vAlign w:val="center"/>
          </w:tcPr>
          <w:p w14:paraId="190D81E9">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履约验收中甲方提出异议或作出说明的期限</w:t>
            </w:r>
          </w:p>
        </w:tc>
        <w:tc>
          <w:tcPr>
            <w:tcW w:w="5170" w:type="dxa"/>
            <w:tcBorders>
              <w:top w:val="single" w:color="auto" w:sz="6" w:space="0"/>
              <w:left w:val="single" w:color="auto" w:sz="6" w:space="0"/>
              <w:bottom w:val="single" w:color="auto" w:sz="6" w:space="0"/>
              <w:right w:val="double" w:color="auto" w:sz="2" w:space="0"/>
            </w:tcBorders>
            <w:vAlign w:val="center"/>
          </w:tcPr>
          <w:p w14:paraId="4028FF8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5个工作日</w:t>
            </w:r>
          </w:p>
        </w:tc>
      </w:tr>
      <w:tr w14:paraId="3B3D94E6">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6EE5A205">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41881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第4.6款</w:t>
            </w:r>
          </w:p>
        </w:tc>
        <w:tc>
          <w:tcPr>
            <w:tcW w:w="1742" w:type="dxa"/>
            <w:tcBorders>
              <w:top w:val="single" w:color="auto" w:sz="6" w:space="0"/>
              <w:left w:val="single" w:color="auto" w:sz="6" w:space="0"/>
              <w:bottom w:val="single" w:color="auto" w:sz="6" w:space="0"/>
              <w:right w:val="single" w:color="auto" w:sz="6" w:space="0"/>
            </w:tcBorders>
            <w:vAlign w:val="center"/>
          </w:tcPr>
          <w:p w14:paraId="4051C28D">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约定甲方承担的其他义务和责任</w:t>
            </w:r>
          </w:p>
        </w:tc>
        <w:tc>
          <w:tcPr>
            <w:tcW w:w="5170" w:type="dxa"/>
            <w:tcBorders>
              <w:top w:val="single" w:color="auto" w:sz="6" w:space="0"/>
              <w:left w:val="single" w:color="auto" w:sz="6" w:space="0"/>
              <w:bottom w:val="single" w:color="auto" w:sz="6" w:space="0"/>
              <w:right w:val="double" w:color="auto" w:sz="2" w:space="0"/>
            </w:tcBorders>
            <w:vAlign w:val="center"/>
          </w:tcPr>
          <w:p w14:paraId="24DE459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(1)在合同生效后，非因产品质量问题，买方要求退货的，应向卖方偿付合同总价款的5%，作为违约金，违约金不足以补偿损失的，卖方有权要求甲方补足。</w:t>
            </w:r>
          </w:p>
          <w:p w14:paraId="673B4CDA">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(2)买方逾期付款的应按照逾期付款金额的每天万分之四支付逾期付款违约金。</w:t>
            </w:r>
          </w:p>
          <w:p w14:paraId="458F78C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(3)买方违反合同规定，无正当理由拒绝接收卖方交付的符合招标文件要求的合格标的物，应当承担卖方由此造成的损失。</w:t>
            </w:r>
          </w:p>
        </w:tc>
      </w:tr>
      <w:tr w14:paraId="5BCDCC32">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0FE9126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0F0CF10">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第5.4款</w:t>
            </w:r>
          </w:p>
        </w:tc>
        <w:tc>
          <w:tcPr>
            <w:tcW w:w="1742" w:type="dxa"/>
            <w:tcBorders>
              <w:top w:val="single" w:color="auto" w:sz="6" w:space="0"/>
              <w:left w:val="single" w:color="auto" w:sz="6" w:space="0"/>
              <w:bottom w:val="single" w:color="auto" w:sz="6" w:space="0"/>
              <w:right w:val="single" w:color="auto" w:sz="6" w:space="0"/>
            </w:tcBorders>
            <w:vAlign w:val="center"/>
          </w:tcPr>
          <w:p w14:paraId="138742D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约定乙方承担的其他义务和责任</w:t>
            </w:r>
          </w:p>
        </w:tc>
        <w:tc>
          <w:tcPr>
            <w:tcW w:w="5170" w:type="dxa"/>
            <w:tcBorders>
              <w:top w:val="single" w:color="auto" w:sz="6" w:space="0"/>
              <w:left w:val="single" w:color="auto" w:sz="6" w:space="0"/>
              <w:bottom w:val="single" w:color="auto" w:sz="6" w:space="0"/>
              <w:right w:val="double" w:color="auto" w:sz="2" w:space="0"/>
            </w:tcBorders>
            <w:vAlign w:val="center"/>
          </w:tcPr>
          <w:p w14:paraId="619E59C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不能交货（逾期超过五天视为不能交货），或交货不合格从而影响甲方按期正常使用的，应向甲方偿付合同总价款5%的违约金，违约金不足以补偿损失的，甲方有权要求乙方补足。此外，若乙方无正当理由逾期交货超过十五个自然日，甲方有权单方面解除本合同。</w:t>
            </w:r>
          </w:p>
          <w:p w14:paraId="12CADF0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(2)乙方逾期交货的，应在发货前与甲方和政府采购管理部门协商，甲方仍需求的，乙方应立即发货并应按照逾期交货部分货款的每天万分之四支付逾期交货违约金，同时承担甲方因此遭致的损失费用。</w:t>
            </w:r>
          </w:p>
          <w:p w14:paraId="71B28184">
            <w:pPr>
              <w:adjustRightInd w:val="0"/>
              <w:snapToGrid w:val="0"/>
              <w:spacing w:line="360" w:lineRule="auto"/>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乙方在收到甲方提出的产品维保或者伴随服务要求之日起24小时内未提供相应的维保或者伴随服务，乙方应按照合同总价款的每天万分之四支付违约金。乙方如不按时提供相应的维保或者伴随服务，甲方有权自行委托第三方进行维保或者提供相应服务，产生的费用应由乙方承担，如乙方不支付该费用，甲方有权向乙方追偿。</w:t>
            </w:r>
          </w:p>
        </w:tc>
      </w:tr>
      <w:tr w14:paraId="0FBA54E6">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422D56E">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2C25BE8">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第6.1款</w:t>
            </w:r>
          </w:p>
        </w:tc>
        <w:tc>
          <w:tcPr>
            <w:tcW w:w="1742" w:type="dxa"/>
            <w:tcBorders>
              <w:top w:val="single" w:color="auto" w:sz="6" w:space="0"/>
              <w:left w:val="single" w:color="auto" w:sz="6" w:space="0"/>
              <w:bottom w:val="single" w:color="auto" w:sz="6" w:space="0"/>
              <w:right w:val="single" w:color="auto" w:sz="6" w:space="0"/>
            </w:tcBorders>
            <w:vAlign w:val="center"/>
          </w:tcPr>
          <w:p w14:paraId="02CDDF9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履行合同义务的顺序</w:t>
            </w:r>
          </w:p>
        </w:tc>
        <w:tc>
          <w:tcPr>
            <w:tcW w:w="5170" w:type="dxa"/>
            <w:tcBorders>
              <w:top w:val="single" w:color="auto" w:sz="6" w:space="0"/>
              <w:left w:val="single" w:color="auto" w:sz="6" w:space="0"/>
              <w:bottom w:val="single" w:color="auto" w:sz="6" w:space="0"/>
              <w:right w:val="double" w:color="auto" w:sz="2" w:space="0"/>
            </w:tcBorders>
            <w:vAlign w:val="center"/>
          </w:tcPr>
          <w:p w14:paraId="504AD4C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乙方按规定履行合同义务后，甲方再履行合同义务。</w:t>
            </w:r>
          </w:p>
        </w:tc>
      </w:tr>
      <w:tr w14:paraId="571A7EBB">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tcBorders>
              <w:top w:val="single" w:color="auto" w:sz="6" w:space="0"/>
              <w:left w:val="double" w:color="auto" w:sz="2" w:space="0"/>
              <w:bottom w:val="single" w:color="auto" w:sz="6" w:space="0"/>
              <w:right w:val="single" w:color="auto" w:sz="6" w:space="0"/>
            </w:tcBorders>
            <w:vAlign w:val="center"/>
          </w:tcPr>
          <w:p w14:paraId="620EB51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40E051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第7.1款</w:t>
            </w:r>
          </w:p>
        </w:tc>
        <w:tc>
          <w:tcPr>
            <w:tcW w:w="1742" w:type="dxa"/>
            <w:tcBorders>
              <w:top w:val="single" w:color="auto" w:sz="6" w:space="0"/>
              <w:left w:val="single" w:color="auto" w:sz="6" w:space="0"/>
              <w:bottom w:val="single" w:color="auto" w:sz="6" w:space="0"/>
              <w:right w:val="single" w:color="auto" w:sz="6" w:space="0"/>
            </w:tcBorders>
            <w:vAlign w:val="center"/>
          </w:tcPr>
          <w:p w14:paraId="158BC56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包装特殊要求</w:t>
            </w:r>
          </w:p>
        </w:tc>
        <w:tc>
          <w:tcPr>
            <w:tcW w:w="5170" w:type="dxa"/>
            <w:tcBorders>
              <w:top w:val="single" w:color="auto" w:sz="6" w:space="0"/>
              <w:left w:val="single" w:color="auto" w:sz="6" w:space="0"/>
              <w:bottom w:val="single" w:color="auto" w:sz="6" w:space="0"/>
              <w:right w:val="double" w:color="auto" w:sz="2" w:space="0"/>
            </w:tcBorders>
            <w:vAlign w:val="center"/>
          </w:tcPr>
          <w:p w14:paraId="0332838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77EF2577">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tcBorders>
              <w:top w:val="single" w:color="auto" w:sz="6" w:space="0"/>
              <w:left w:val="double" w:color="auto" w:sz="2" w:space="0"/>
              <w:bottom w:val="single" w:color="auto" w:sz="6" w:space="0"/>
              <w:right w:val="single" w:color="auto" w:sz="6" w:space="0"/>
            </w:tcBorders>
            <w:vAlign w:val="center"/>
          </w:tcPr>
          <w:p w14:paraId="6E34CCF4">
            <w:pPr>
              <w:rPr>
                <w:rFonts w:ascii="Times New Roman" w:hAnsi="Times New Roman" w:cs="Times New Roman"/>
                <w:color w:val="auto"/>
                <w:sz w:val="20"/>
                <w:highlight w:val="none"/>
              </w:rPr>
            </w:pPr>
          </w:p>
        </w:tc>
        <w:tc>
          <w:tcPr>
            <w:tcW w:w="1742" w:type="dxa"/>
            <w:tcBorders>
              <w:top w:val="single" w:color="auto" w:sz="6" w:space="0"/>
              <w:left w:val="single" w:color="auto" w:sz="6" w:space="0"/>
              <w:bottom w:val="single" w:color="auto" w:sz="6" w:space="0"/>
              <w:right w:val="single" w:color="auto" w:sz="6" w:space="0"/>
            </w:tcBorders>
            <w:vAlign w:val="center"/>
          </w:tcPr>
          <w:p w14:paraId="1C86F2C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指定现场</w:t>
            </w:r>
          </w:p>
        </w:tc>
        <w:tc>
          <w:tcPr>
            <w:tcW w:w="5170" w:type="dxa"/>
            <w:tcBorders>
              <w:top w:val="single" w:color="auto" w:sz="6" w:space="0"/>
              <w:left w:val="single" w:color="auto" w:sz="6" w:space="0"/>
              <w:bottom w:val="single" w:color="auto" w:sz="6" w:space="0"/>
              <w:right w:val="double" w:color="auto" w:sz="2" w:space="0"/>
            </w:tcBorders>
            <w:vAlign w:val="center"/>
          </w:tcPr>
          <w:p w14:paraId="1BAB7BF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甲方指定地点</w:t>
            </w:r>
          </w:p>
        </w:tc>
      </w:tr>
      <w:tr w14:paraId="5FD84E04">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tcBorders>
              <w:top w:val="single" w:color="auto" w:sz="6" w:space="0"/>
              <w:left w:val="double" w:color="auto" w:sz="2" w:space="0"/>
              <w:bottom w:val="single" w:color="auto" w:sz="6" w:space="0"/>
              <w:right w:val="single" w:color="auto" w:sz="6" w:space="0"/>
            </w:tcBorders>
            <w:vAlign w:val="center"/>
          </w:tcPr>
          <w:p w14:paraId="4677544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2548EB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第7.2款</w:t>
            </w:r>
          </w:p>
        </w:tc>
        <w:tc>
          <w:tcPr>
            <w:tcW w:w="1742" w:type="dxa"/>
            <w:tcBorders>
              <w:top w:val="single" w:color="auto" w:sz="6" w:space="0"/>
              <w:left w:val="single" w:color="auto" w:sz="6" w:space="0"/>
              <w:bottom w:val="single" w:color="auto" w:sz="6" w:space="0"/>
              <w:right w:val="single" w:color="auto" w:sz="6" w:space="0"/>
            </w:tcBorders>
            <w:vAlign w:val="center"/>
          </w:tcPr>
          <w:p w14:paraId="108B9C6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运输特殊要求</w:t>
            </w:r>
          </w:p>
        </w:tc>
        <w:tc>
          <w:tcPr>
            <w:tcW w:w="5170" w:type="dxa"/>
            <w:tcBorders>
              <w:top w:val="single" w:color="auto" w:sz="6" w:space="0"/>
              <w:left w:val="single" w:color="auto" w:sz="6" w:space="0"/>
              <w:bottom w:val="single" w:color="auto" w:sz="6" w:space="0"/>
              <w:right w:val="double" w:color="auto" w:sz="2" w:space="0"/>
            </w:tcBorders>
            <w:vAlign w:val="center"/>
          </w:tcPr>
          <w:p w14:paraId="013FF35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1BF0E935">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tcBorders>
              <w:top w:val="single" w:color="auto" w:sz="6" w:space="0"/>
              <w:left w:val="double" w:color="auto" w:sz="2" w:space="0"/>
              <w:bottom w:val="single" w:color="auto" w:sz="6" w:space="0"/>
              <w:right w:val="single" w:color="auto" w:sz="6" w:space="0"/>
            </w:tcBorders>
            <w:vAlign w:val="center"/>
          </w:tcPr>
          <w:p w14:paraId="62320BC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4EBBE3D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第7.3款</w:t>
            </w:r>
          </w:p>
        </w:tc>
        <w:tc>
          <w:tcPr>
            <w:tcW w:w="1742" w:type="dxa"/>
            <w:tcBorders>
              <w:top w:val="single" w:color="auto" w:sz="6" w:space="0"/>
              <w:left w:val="single" w:color="auto" w:sz="6" w:space="0"/>
              <w:bottom w:val="single" w:color="auto" w:sz="6" w:space="0"/>
              <w:right w:val="single" w:color="auto" w:sz="6" w:space="0"/>
            </w:tcBorders>
            <w:vAlign w:val="center"/>
          </w:tcPr>
          <w:p w14:paraId="11EF304D">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保险要求</w:t>
            </w:r>
          </w:p>
        </w:tc>
        <w:tc>
          <w:tcPr>
            <w:tcW w:w="5170" w:type="dxa"/>
            <w:tcBorders>
              <w:top w:val="single" w:color="auto" w:sz="6" w:space="0"/>
              <w:left w:val="single" w:color="auto" w:sz="6" w:space="0"/>
              <w:bottom w:val="single" w:color="auto" w:sz="6" w:space="0"/>
              <w:right w:val="double" w:color="auto" w:sz="2" w:space="0"/>
            </w:tcBorders>
            <w:vAlign w:val="center"/>
          </w:tcPr>
          <w:p w14:paraId="1A4BD01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按规定购买保险</w:t>
            </w:r>
          </w:p>
        </w:tc>
      </w:tr>
      <w:tr w14:paraId="1D59E750">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4EE94DF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4AEFFF2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第8.2（1）项</w:t>
            </w:r>
          </w:p>
        </w:tc>
        <w:tc>
          <w:tcPr>
            <w:tcW w:w="1742" w:type="dxa"/>
            <w:tcBorders>
              <w:top w:val="single" w:color="auto" w:sz="6" w:space="0"/>
              <w:left w:val="single" w:color="auto" w:sz="6" w:space="0"/>
              <w:bottom w:val="single" w:color="auto" w:sz="6" w:space="0"/>
              <w:right w:val="single" w:color="auto" w:sz="6" w:space="0"/>
            </w:tcBorders>
            <w:vAlign w:val="center"/>
          </w:tcPr>
          <w:p w14:paraId="0753431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质量保证期</w:t>
            </w:r>
          </w:p>
        </w:tc>
        <w:tc>
          <w:tcPr>
            <w:tcW w:w="5170" w:type="dxa"/>
            <w:tcBorders>
              <w:top w:val="single" w:color="auto" w:sz="6" w:space="0"/>
              <w:left w:val="single" w:color="auto" w:sz="6" w:space="0"/>
              <w:bottom w:val="single" w:color="auto" w:sz="6" w:space="0"/>
              <w:right w:val="double" w:color="auto" w:sz="2" w:space="0"/>
            </w:tcBorders>
            <w:vAlign w:val="center"/>
          </w:tcPr>
          <w:p w14:paraId="78227844">
            <w:pPr>
              <w:autoSpaceDE w:val="0"/>
              <w:autoSpaceDN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乙方书面承诺的期限</w:t>
            </w:r>
          </w:p>
        </w:tc>
      </w:tr>
      <w:tr w14:paraId="54830DBB">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F5E8A6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4058350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第8.2（3）项</w:t>
            </w:r>
          </w:p>
        </w:tc>
        <w:tc>
          <w:tcPr>
            <w:tcW w:w="1742" w:type="dxa"/>
            <w:tcBorders>
              <w:top w:val="single" w:color="auto" w:sz="6" w:space="0"/>
              <w:left w:val="single" w:color="auto" w:sz="6" w:space="0"/>
              <w:bottom w:val="single" w:color="auto" w:sz="6" w:space="0"/>
              <w:right w:val="single" w:color="auto" w:sz="6" w:space="0"/>
            </w:tcBorders>
            <w:vAlign w:val="center"/>
          </w:tcPr>
          <w:p w14:paraId="73EE043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货物质量缺陷</w:t>
            </w:r>
          </w:p>
          <w:p w14:paraId="15AC219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响应时间</w:t>
            </w:r>
          </w:p>
        </w:tc>
        <w:tc>
          <w:tcPr>
            <w:tcW w:w="5170" w:type="dxa"/>
            <w:tcBorders>
              <w:top w:val="single" w:color="auto" w:sz="6" w:space="0"/>
              <w:left w:val="single" w:color="auto" w:sz="6" w:space="0"/>
              <w:bottom w:val="single" w:color="auto" w:sz="6" w:space="0"/>
              <w:right w:val="double" w:color="auto" w:sz="2" w:space="0"/>
            </w:tcBorders>
            <w:vAlign w:val="center"/>
          </w:tcPr>
          <w:p w14:paraId="7C4D4F1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如货物出现故障，电话响应无法解决，卖方必须在接报修电话24小时内到现场并解决问题。</w:t>
            </w:r>
          </w:p>
        </w:tc>
      </w:tr>
      <w:tr w14:paraId="080237E7">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8DF73DE">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9B47CFE">
            <w:pPr>
              <w:pStyle w:val="22"/>
              <w:widowControl/>
              <w:autoSpaceDE w:val="0"/>
              <w:autoSpaceDN w:val="0"/>
              <w:adjustRightInd w:val="0"/>
              <w:spacing w:before="0" w:beforeAutospacing="0" w:after="0" w:afterAutospacing="0"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第11.1款</w:t>
            </w:r>
          </w:p>
        </w:tc>
        <w:tc>
          <w:tcPr>
            <w:tcW w:w="1742" w:type="dxa"/>
            <w:tcBorders>
              <w:top w:val="single" w:color="auto" w:sz="6" w:space="0"/>
              <w:left w:val="single" w:color="auto" w:sz="6" w:space="0"/>
              <w:bottom w:val="single" w:color="auto" w:sz="6" w:space="0"/>
              <w:right w:val="single" w:color="auto" w:sz="6" w:space="0"/>
            </w:tcBorders>
            <w:vAlign w:val="center"/>
          </w:tcPr>
          <w:p w14:paraId="6303275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其他应当保密的信息</w:t>
            </w:r>
          </w:p>
        </w:tc>
        <w:tc>
          <w:tcPr>
            <w:tcW w:w="5170" w:type="dxa"/>
            <w:tcBorders>
              <w:top w:val="single" w:color="auto" w:sz="6" w:space="0"/>
              <w:left w:val="single" w:color="auto" w:sz="6" w:space="0"/>
              <w:bottom w:val="single" w:color="auto" w:sz="6" w:space="0"/>
              <w:right w:val="double" w:color="auto" w:sz="2" w:space="0"/>
            </w:tcBorders>
            <w:vAlign w:val="center"/>
          </w:tcPr>
          <w:p w14:paraId="32246D8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56BB2570">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tcBorders>
              <w:top w:val="single" w:color="auto" w:sz="6" w:space="0"/>
              <w:left w:val="double" w:color="auto" w:sz="2" w:space="0"/>
              <w:bottom w:val="single" w:color="auto" w:sz="6" w:space="0"/>
              <w:right w:val="single" w:color="auto" w:sz="6" w:space="0"/>
            </w:tcBorders>
            <w:vAlign w:val="center"/>
          </w:tcPr>
          <w:p w14:paraId="5ED500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030289F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第12.2款</w:t>
            </w:r>
          </w:p>
        </w:tc>
        <w:tc>
          <w:tcPr>
            <w:tcW w:w="1742" w:type="dxa"/>
            <w:tcBorders>
              <w:top w:val="single" w:color="auto" w:sz="6" w:space="0"/>
              <w:left w:val="single" w:color="auto" w:sz="6" w:space="0"/>
              <w:bottom w:val="single" w:color="auto" w:sz="6" w:space="0"/>
              <w:right w:val="single" w:color="auto" w:sz="6" w:space="0"/>
            </w:tcBorders>
            <w:vAlign w:val="center"/>
          </w:tcPr>
          <w:p w14:paraId="3061EC8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合同价款支付时间</w:t>
            </w:r>
          </w:p>
        </w:tc>
        <w:tc>
          <w:tcPr>
            <w:tcW w:w="5170" w:type="dxa"/>
            <w:tcBorders>
              <w:top w:val="single" w:color="auto" w:sz="6" w:space="0"/>
              <w:left w:val="single" w:color="auto" w:sz="6" w:space="0"/>
              <w:bottom w:val="single" w:color="auto" w:sz="6" w:space="0"/>
              <w:right w:val="double" w:color="auto" w:sz="2" w:space="0"/>
            </w:tcBorders>
            <w:vAlign w:val="center"/>
          </w:tcPr>
          <w:p w14:paraId="4E0480B9">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按第一节政府采购合同协议书相关内容执行</w:t>
            </w:r>
          </w:p>
        </w:tc>
      </w:tr>
      <w:tr w14:paraId="0652DD7D">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tcBorders>
              <w:top w:val="single" w:color="auto" w:sz="6" w:space="0"/>
              <w:left w:val="double" w:color="auto" w:sz="2" w:space="0"/>
              <w:bottom w:val="single" w:color="auto" w:sz="6" w:space="0"/>
              <w:right w:val="single" w:color="auto" w:sz="6" w:space="0"/>
            </w:tcBorders>
            <w:vAlign w:val="center"/>
          </w:tcPr>
          <w:p w14:paraId="59BD727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72B89F3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第13.2款</w:t>
            </w:r>
          </w:p>
        </w:tc>
        <w:tc>
          <w:tcPr>
            <w:tcW w:w="1742" w:type="dxa"/>
            <w:tcBorders>
              <w:top w:val="single" w:color="auto" w:sz="6" w:space="0"/>
              <w:left w:val="single" w:color="auto" w:sz="6" w:space="0"/>
              <w:bottom w:val="single" w:color="auto" w:sz="6" w:space="0"/>
              <w:right w:val="single" w:color="auto" w:sz="6" w:space="0"/>
            </w:tcBorders>
            <w:vAlign w:val="center"/>
          </w:tcPr>
          <w:p w14:paraId="69B5CA9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履约保证金不予退还的情形</w:t>
            </w:r>
          </w:p>
        </w:tc>
        <w:tc>
          <w:tcPr>
            <w:tcW w:w="5170" w:type="dxa"/>
            <w:tcBorders>
              <w:top w:val="single" w:color="auto" w:sz="6" w:space="0"/>
              <w:left w:val="single" w:color="auto" w:sz="6" w:space="0"/>
              <w:bottom w:val="single" w:color="auto" w:sz="6" w:space="0"/>
              <w:right w:val="double" w:color="auto" w:sz="2" w:space="0"/>
            </w:tcBorders>
            <w:vAlign w:val="center"/>
          </w:tcPr>
          <w:p w14:paraId="604CE364">
            <w:pPr>
              <w:adjustRightInd w:val="0"/>
              <w:snapToGrid w:val="0"/>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因乙方原因导致合同终止的</w:t>
            </w:r>
          </w:p>
        </w:tc>
      </w:tr>
      <w:tr w14:paraId="4EDCE4D6">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67BDD967">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5AB8B3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第13.3款</w:t>
            </w:r>
          </w:p>
        </w:tc>
        <w:tc>
          <w:tcPr>
            <w:tcW w:w="1742" w:type="dxa"/>
            <w:tcBorders>
              <w:top w:val="single" w:color="auto" w:sz="6" w:space="0"/>
              <w:left w:val="single" w:color="auto" w:sz="6" w:space="0"/>
              <w:bottom w:val="single" w:color="auto" w:sz="6" w:space="0"/>
              <w:right w:val="single" w:color="auto" w:sz="6" w:space="0"/>
            </w:tcBorders>
            <w:vAlign w:val="center"/>
          </w:tcPr>
          <w:p w14:paraId="6C3FD002">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履约保证金退还时间及逾期退还的违约金</w:t>
            </w:r>
          </w:p>
        </w:tc>
        <w:tc>
          <w:tcPr>
            <w:tcW w:w="5170" w:type="dxa"/>
            <w:tcBorders>
              <w:top w:val="single" w:color="auto" w:sz="6" w:space="0"/>
              <w:left w:val="single" w:color="auto" w:sz="6" w:space="0"/>
              <w:bottom w:val="single" w:color="auto" w:sz="6" w:space="0"/>
              <w:right w:val="double" w:color="auto" w:sz="2" w:space="0"/>
            </w:tcBorders>
            <w:vAlign w:val="center"/>
          </w:tcPr>
          <w:p w14:paraId="57EFD15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按招标文件相关内容执行</w:t>
            </w:r>
          </w:p>
        </w:tc>
      </w:tr>
      <w:tr w14:paraId="7F6A9CF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tcBorders>
              <w:top w:val="single" w:color="auto" w:sz="6" w:space="0"/>
              <w:left w:val="double" w:color="auto" w:sz="2" w:space="0"/>
              <w:bottom w:val="single" w:color="auto" w:sz="6" w:space="0"/>
              <w:right w:val="single" w:color="auto" w:sz="6" w:space="0"/>
            </w:tcBorders>
            <w:vAlign w:val="center"/>
          </w:tcPr>
          <w:p w14:paraId="28239D7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8E996C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第14.1（3）项</w:t>
            </w:r>
          </w:p>
        </w:tc>
        <w:tc>
          <w:tcPr>
            <w:tcW w:w="1742" w:type="dxa"/>
            <w:tcBorders>
              <w:top w:val="single" w:color="auto" w:sz="6" w:space="0"/>
              <w:left w:val="single" w:color="auto" w:sz="6" w:space="0"/>
              <w:bottom w:val="single" w:color="auto" w:sz="6" w:space="0"/>
              <w:right w:val="single" w:color="auto" w:sz="6" w:space="0"/>
            </w:tcBorders>
            <w:vAlign w:val="center"/>
          </w:tcPr>
          <w:p w14:paraId="673989A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运行监督、维修期限</w:t>
            </w:r>
          </w:p>
        </w:tc>
        <w:tc>
          <w:tcPr>
            <w:tcW w:w="5170" w:type="dxa"/>
            <w:tcBorders>
              <w:top w:val="single" w:color="auto" w:sz="6" w:space="0"/>
              <w:left w:val="single" w:color="auto" w:sz="6" w:space="0"/>
              <w:bottom w:val="single" w:color="auto" w:sz="6" w:space="0"/>
              <w:right w:val="double" w:color="auto" w:sz="2" w:space="0"/>
            </w:tcBorders>
            <w:vAlign w:val="center"/>
          </w:tcPr>
          <w:p w14:paraId="2D3E908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乙方书面承诺的质保期内</w:t>
            </w:r>
          </w:p>
        </w:tc>
      </w:tr>
      <w:tr w14:paraId="34A42FBE">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tcBorders>
              <w:top w:val="single" w:color="auto" w:sz="6" w:space="0"/>
              <w:left w:val="double" w:color="auto" w:sz="2" w:space="0"/>
              <w:bottom w:val="single" w:color="auto" w:sz="6" w:space="0"/>
              <w:right w:val="single" w:color="auto" w:sz="6" w:space="0"/>
            </w:tcBorders>
            <w:vAlign w:val="center"/>
          </w:tcPr>
          <w:p w14:paraId="5DF5BE0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7E7C211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第14.1（5）项</w:t>
            </w:r>
          </w:p>
        </w:tc>
        <w:tc>
          <w:tcPr>
            <w:tcW w:w="1742" w:type="dxa"/>
            <w:tcBorders>
              <w:top w:val="single" w:color="auto" w:sz="6" w:space="0"/>
              <w:left w:val="single" w:color="auto" w:sz="6" w:space="0"/>
              <w:bottom w:val="single" w:color="auto" w:sz="6" w:space="0"/>
              <w:right w:val="single" w:color="auto" w:sz="6" w:space="0"/>
            </w:tcBorders>
            <w:vAlign w:val="center"/>
          </w:tcPr>
          <w:p w14:paraId="780BB7F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货物回收的约定</w:t>
            </w:r>
          </w:p>
        </w:tc>
        <w:tc>
          <w:tcPr>
            <w:tcW w:w="5170" w:type="dxa"/>
            <w:tcBorders>
              <w:top w:val="single" w:color="auto" w:sz="6" w:space="0"/>
              <w:left w:val="single" w:color="auto" w:sz="6" w:space="0"/>
              <w:bottom w:val="single" w:color="auto" w:sz="6" w:space="0"/>
              <w:right w:val="double" w:color="auto" w:sz="2" w:space="0"/>
            </w:tcBorders>
            <w:vAlign w:val="center"/>
          </w:tcPr>
          <w:p w14:paraId="1EF1AC5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由乙方在规定时间内自行组织回收，相关费用自行承担，甲方不另行支付相关费用。</w:t>
            </w:r>
          </w:p>
        </w:tc>
      </w:tr>
      <w:tr w14:paraId="3E8A901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317F9B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57C3BC5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第14.1（6）项</w:t>
            </w:r>
          </w:p>
        </w:tc>
        <w:tc>
          <w:tcPr>
            <w:tcW w:w="1742" w:type="dxa"/>
            <w:tcBorders>
              <w:top w:val="single" w:color="auto" w:sz="6" w:space="0"/>
              <w:left w:val="single" w:color="auto" w:sz="6" w:space="0"/>
              <w:bottom w:val="single" w:color="auto" w:sz="6" w:space="0"/>
              <w:right w:val="single" w:color="auto" w:sz="6" w:space="0"/>
            </w:tcBorders>
            <w:vAlign w:val="center"/>
          </w:tcPr>
          <w:p w14:paraId="3CF3240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乙方提供的其他服务</w:t>
            </w:r>
          </w:p>
        </w:tc>
        <w:tc>
          <w:tcPr>
            <w:tcW w:w="5170" w:type="dxa"/>
            <w:tcBorders>
              <w:top w:val="single" w:color="auto" w:sz="6" w:space="0"/>
              <w:left w:val="single" w:color="auto" w:sz="6" w:space="0"/>
              <w:bottom w:val="single" w:color="auto" w:sz="6" w:space="0"/>
              <w:right w:val="double" w:color="auto" w:sz="2" w:space="0"/>
            </w:tcBorders>
            <w:vAlign w:val="center"/>
          </w:tcPr>
          <w:p w14:paraId="768EE72C">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按甲方要求须提供的其他相关服务</w:t>
            </w:r>
          </w:p>
        </w:tc>
      </w:tr>
      <w:tr w14:paraId="0AEC6FBC">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7DD65C7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2147F2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第15.1款</w:t>
            </w:r>
          </w:p>
        </w:tc>
        <w:tc>
          <w:tcPr>
            <w:tcW w:w="1742" w:type="dxa"/>
            <w:tcBorders>
              <w:top w:val="single" w:color="auto" w:sz="6" w:space="0"/>
              <w:left w:val="single" w:color="auto" w:sz="6" w:space="0"/>
              <w:bottom w:val="single" w:color="auto" w:sz="6" w:space="0"/>
              <w:right w:val="single" w:color="auto" w:sz="6" w:space="0"/>
            </w:tcBorders>
            <w:vAlign w:val="center"/>
          </w:tcPr>
          <w:p w14:paraId="20DB8C2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修理、重作、更换相关具体规定</w:t>
            </w:r>
          </w:p>
        </w:tc>
        <w:tc>
          <w:tcPr>
            <w:tcW w:w="5170" w:type="dxa"/>
            <w:tcBorders>
              <w:top w:val="single" w:color="auto" w:sz="6" w:space="0"/>
              <w:left w:val="single" w:color="auto" w:sz="6" w:space="0"/>
              <w:bottom w:val="single" w:color="auto" w:sz="6" w:space="0"/>
              <w:right w:val="double" w:color="auto" w:sz="2" w:space="0"/>
            </w:tcBorders>
            <w:vAlign w:val="center"/>
          </w:tcPr>
          <w:p w14:paraId="439C2EF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保修期内两次修理仍不能正常使用的的必须更换新设备</w:t>
            </w:r>
          </w:p>
        </w:tc>
      </w:tr>
      <w:tr w14:paraId="4960FCB5">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21760B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79AA17F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第15.2（2）项</w:t>
            </w:r>
          </w:p>
        </w:tc>
        <w:tc>
          <w:tcPr>
            <w:tcW w:w="1742" w:type="dxa"/>
            <w:tcBorders>
              <w:top w:val="single" w:color="auto" w:sz="6" w:space="0"/>
              <w:left w:val="single" w:color="auto" w:sz="6" w:space="0"/>
              <w:bottom w:val="single" w:color="auto" w:sz="6" w:space="0"/>
              <w:right w:val="single" w:color="auto" w:sz="6" w:space="0"/>
            </w:tcBorders>
            <w:vAlign w:val="center"/>
          </w:tcPr>
          <w:p w14:paraId="38B1B03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迟延交货赔偿费</w:t>
            </w:r>
          </w:p>
        </w:tc>
        <w:tc>
          <w:tcPr>
            <w:tcW w:w="5170" w:type="dxa"/>
            <w:tcBorders>
              <w:top w:val="single" w:color="auto" w:sz="6" w:space="0"/>
              <w:left w:val="single" w:color="auto" w:sz="6" w:space="0"/>
              <w:bottom w:val="single" w:color="auto" w:sz="6" w:space="0"/>
              <w:right w:val="double" w:color="auto" w:sz="2" w:space="0"/>
            </w:tcBorders>
            <w:vAlign w:val="center"/>
          </w:tcPr>
          <w:p w14:paraId="5469CBF4">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(1)乙方不能交货（逾期超过五天视为不能交货），或交货不合格从而影响甲方按期正常使用的，应向甲方偿付合同总价款5%的违约金，违约金不足以补偿损失的，甲方有权要求乙方补足。</w:t>
            </w:r>
          </w:p>
          <w:p w14:paraId="055A7701">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(2)乙方逾期交货的，应在发货前与甲方和政府采购管理部门协商，甲方仍需求的，乙方应立即发货并应按照逾期交货部分货款的每天万分之四支付逾期交货违约金，同时承担甲方因此遭致的损失费用。</w:t>
            </w:r>
          </w:p>
        </w:tc>
      </w:tr>
      <w:tr w14:paraId="401F114D">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EACD0C4">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EEA26F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第15.3款</w:t>
            </w:r>
          </w:p>
        </w:tc>
        <w:tc>
          <w:tcPr>
            <w:tcW w:w="1742" w:type="dxa"/>
            <w:tcBorders>
              <w:top w:val="single" w:color="auto" w:sz="6" w:space="0"/>
              <w:left w:val="single" w:color="auto" w:sz="6" w:space="0"/>
              <w:bottom w:val="single" w:color="auto" w:sz="4" w:space="0"/>
              <w:right w:val="single" w:color="auto" w:sz="6" w:space="0"/>
            </w:tcBorders>
            <w:vAlign w:val="center"/>
          </w:tcPr>
          <w:p w14:paraId="75D138A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逾期付款利息</w:t>
            </w:r>
          </w:p>
        </w:tc>
        <w:tc>
          <w:tcPr>
            <w:tcW w:w="5170" w:type="dxa"/>
            <w:tcBorders>
              <w:top w:val="single" w:color="auto" w:sz="6" w:space="0"/>
              <w:left w:val="single" w:color="auto" w:sz="6" w:space="0"/>
              <w:bottom w:val="single" w:color="auto" w:sz="6" w:space="0"/>
              <w:right w:val="double" w:color="auto" w:sz="2" w:space="0"/>
            </w:tcBorders>
            <w:vAlign w:val="center"/>
          </w:tcPr>
          <w:p w14:paraId="1870B202">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w:t>
            </w:r>
          </w:p>
        </w:tc>
      </w:tr>
      <w:tr w14:paraId="53B2F4FD">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top w:val="single" w:color="auto" w:sz="6" w:space="0"/>
              <w:left w:val="double" w:color="auto" w:sz="2" w:space="0"/>
              <w:bottom w:val="single" w:color="auto" w:sz="2" w:space="0"/>
              <w:right w:val="single" w:color="auto" w:sz="4" w:space="0"/>
            </w:tcBorders>
            <w:vAlign w:val="center"/>
          </w:tcPr>
          <w:p w14:paraId="517907E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01DE7D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第15.4款</w:t>
            </w:r>
          </w:p>
        </w:tc>
        <w:tc>
          <w:tcPr>
            <w:tcW w:w="1742" w:type="dxa"/>
            <w:tcBorders>
              <w:top w:val="single" w:color="auto" w:sz="4" w:space="0"/>
              <w:left w:val="single" w:color="auto" w:sz="4" w:space="0"/>
              <w:bottom w:val="single" w:color="auto" w:sz="2" w:space="0"/>
              <w:right w:val="single" w:color="auto" w:sz="4" w:space="0"/>
            </w:tcBorders>
            <w:vAlign w:val="center"/>
          </w:tcPr>
          <w:p w14:paraId="02B59F9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其他违约责任</w:t>
            </w:r>
          </w:p>
        </w:tc>
        <w:tc>
          <w:tcPr>
            <w:tcW w:w="5170" w:type="dxa"/>
            <w:tcBorders>
              <w:top w:val="single" w:color="auto" w:sz="6" w:space="0"/>
              <w:left w:val="single" w:color="auto" w:sz="4" w:space="0"/>
              <w:bottom w:val="single" w:color="auto" w:sz="2" w:space="0"/>
              <w:right w:val="double" w:color="auto" w:sz="2" w:space="0"/>
            </w:tcBorders>
            <w:vAlign w:val="center"/>
          </w:tcPr>
          <w:p w14:paraId="64AA3714">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合同一方不履行合同义务或者履行合同义务不符合约定的，应当承担继续履行、采取补救措施或者赔偿损失等违约责任。</w:t>
            </w:r>
          </w:p>
        </w:tc>
      </w:tr>
      <w:tr w14:paraId="56FA4AED">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left w:val="double" w:color="auto" w:sz="2" w:space="0"/>
              <w:bottom w:val="single" w:color="auto" w:sz="6" w:space="0"/>
              <w:right w:val="single" w:color="auto" w:sz="4" w:space="0"/>
            </w:tcBorders>
            <w:vAlign w:val="center"/>
          </w:tcPr>
          <w:p w14:paraId="72E87F9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6EA0654">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第19.2款</w:t>
            </w:r>
          </w:p>
        </w:tc>
        <w:tc>
          <w:tcPr>
            <w:tcW w:w="1742" w:type="dxa"/>
            <w:tcBorders>
              <w:top w:val="single" w:color="auto" w:sz="2" w:space="0"/>
              <w:left w:val="single" w:color="auto" w:sz="4" w:space="0"/>
              <w:bottom w:val="single" w:color="auto" w:sz="4" w:space="0"/>
              <w:right w:val="single" w:color="auto" w:sz="4" w:space="0"/>
            </w:tcBorders>
            <w:vAlign w:val="center"/>
          </w:tcPr>
          <w:p w14:paraId="09773C4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解决争议的方法</w:t>
            </w:r>
          </w:p>
        </w:tc>
        <w:tc>
          <w:tcPr>
            <w:tcW w:w="5170" w:type="dxa"/>
            <w:tcBorders>
              <w:top w:val="single" w:color="auto" w:sz="2" w:space="0"/>
              <w:left w:val="single" w:color="auto" w:sz="4" w:space="0"/>
              <w:bottom w:val="single" w:color="auto" w:sz="6" w:space="0"/>
              <w:right w:val="double" w:color="auto" w:sz="2" w:space="0"/>
            </w:tcBorders>
            <w:vAlign w:val="center"/>
          </w:tcPr>
          <w:p w14:paraId="701C69E1">
            <w:pPr>
              <w:autoSpaceDE w:val="0"/>
              <w:autoSpaceDN w:val="0"/>
              <w:adjustRightInd w:val="0"/>
              <w:snapToGrid w:val="0"/>
              <w:spacing w:line="360" w:lineRule="auto"/>
              <w:jc w:val="left"/>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因本合同及合同有关事项发生的争议，按下列第</w:t>
            </w:r>
            <w:r>
              <w:rPr>
                <w:rFonts w:hint="eastAsia" w:ascii="宋体" w:hAnsi="宋体" w:eastAsia="宋体" w:cs="宋体"/>
                <w:iCs/>
                <w:color w:val="auto"/>
                <w:sz w:val="24"/>
                <w:szCs w:val="24"/>
                <w:highlight w:val="none"/>
                <w:u w:val="single"/>
                <w:lang w:bidi="ar"/>
              </w:rPr>
              <w:t xml:space="preserve"> （1） </w:t>
            </w:r>
            <w:r>
              <w:rPr>
                <w:rFonts w:hint="eastAsia" w:ascii="宋体" w:hAnsi="宋体" w:eastAsia="宋体" w:cs="宋体"/>
                <w:iCs/>
                <w:color w:val="auto"/>
                <w:sz w:val="24"/>
                <w:szCs w:val="24"/>
                <w:highlight w:val="none"/>
                <w:lang w:bidi="ar"/>
              </w:rPr>
              <w:t>种方式解决：</w:t>
            </w:r>
          </w:p>
          <w:p w14:paraId="1B249E06">
            <w:pPr>
              <w:autoSpaceDE w:val="0"/>
              <w:autoSpaceDN w:val="0"/>
              <w:adjustRightInd w:val="0"/>
              <w:snapToGrid w:val="0"/>
              <w:spacing w:line="360" w:lineRule="auto"/>
              <w:jc w:val="left"/>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（1）向</w:t>
            </w:r>
            <w:r>
              <w:rPr>
                <w:rFonts w:hint="eastAsia" w:ascii="宋体" w:hAnsi="宋体" w:eastAsia="宋体" w:cs="宋体"/>
                <w:iCs/>
                <w:color w:val="auto"/>
                <w:sz w:val="24"/>
                <w:szCs w:val="24"/>
                <w:highlight w:val="none"/>
                <w:u w:val="single"/>
                <w:lang w:bidi="ar"/>
              </w:rPr>
              <w:t xml:space="preserve"> 滁州 </w:t>
            </w:r>
            <w:r>
              <w:rPr>
                <w:rFonts w:hint="eastAsia" w:ascii="宋体" w:hAnsi="宋体" w:eastAsia="宋体" w:cs="宋体"/>
                <w:iCs/>
                <w:color w:val="auto"/>
                <w:sz w:val="24"/>
                <w:szCs w:val="24"/>
                <w:highlight w:val="none"/>
                <w:lang w:bidi="ar"/>
              </w:rPr>
              <w:t>仲裁委员会申请仲裁，仲裁地点为</w:t>
            </w:r>
            <w:r>
              <w:rPr>
                <w:rFonts w:hint="eastAsia" w:ascii="宋体" w:hAnsi="宋体" w:eastAsia="宋体" w:cs="宋体"/>
                <w:iCs/>
                <w:color w:val="auto"/>
                <w:sz w:val="24"/>
                <w:szCs w:val="24"/>
                <w:highlight w:val="none"/>
                <w:u w:val="single"/>
                <w:lang w:bidi="ar"/>
              </w:rPr>
              <w:t xml:space="preserve">  滁州市 </w:t>
            </w:r>
            <w:r>
              <w:rPr>
                <w:rFonts w:hint="eastAsia" w:ascii="宋体" w:hAnsi="宋体" w:eastAsia="宋体" w:cs="宋体"/>
                <w:iCs/>
                <w:color w:val="auto"/>
                <w:sz w:val="24"/>
                <w:szCs w:val="24"/>
                <w:highlight w:val="none"/>
                <w:lang w:bidi="ar"/>
              </w:rPr>
              <w:t>；</w:t>
            </w:r>
          </w:p>
          <w:p w14:paraId="61AC7494">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iCs/>
                <w:color w:val="auto"/>
                <w:sz w:val="24"/>
                <w:szCs w:val="24"/>
                <w:highlight w:val="none"/>
                <w:lang w:bidi="ar"/>
              </w:rPr>
              <w:t>（2）向</w:t>
            </w:r>
            <w:r>
              <w:rPr>
                <w:rFonts w:hint="eastAsia" w:ascii="宋体" w:hAnsi="宋体" w:eastAsia="宋体" w:cs="宋体"/>
                <w:iCs/>
                <w:color w:val="auto"/>
                <w:sz w:val="24"/>
                <w:szCs w:val="24"/>
                <w:highlight w:val="none"/>
                <w:u w:val="single"/>
                <w:lang w:bidi="ar"/>
              </w:rPr>
              <w:t xml:space="preserve">  项目所在地  </w:t>
            </w:r>
            <w:r>
              <w:rPr>
                <w:rFonts w:hint="eastAsia" w:ascii="宋体" w:hAnsi="宋体" w:eastAsia="宋体" w:cs="宋体"/>
                <w:iCs/>
                <w:color w:val="auto"/>
                <w:sz w:val="24"/>
                <w:szCs w:val="24"/>
                <w:highlight w:val="none"/>
                <w:lang w:bidi="ar"/>
              </w:rPr>
              <w:t>人民法院起诉。</w:t>
            </w:r>
          </w:p>
        </w:tc>
      </w:tr>
      <w:tr w14:paraId="1417651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tcBorders>
              <w:top w:val="single" w:color="auto" w:sz="6" w:space="0"/>
              <w:left w:val="double" w:color="auto" w:sz="2" w:space="0"/>
              <w:bottom w:val="double" w:color="auto" w:sz="2" w:space="0"/>
              <w:right w:val="single" w:color="auto" w:sz="6" w:space="0"/>
            </w:tcBorders>
            <w:vAlign w:val="center"/>
          </w:tcPr>
          <w:p w14:paraId="198EF4A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7F30900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第23.1款</w:t>
            </w:r>
          </w:p>
        </w:tc>
        <w:tc>
          <w:tcPr>
            <w:tcW w:w="1742" w:type="dxa"/>
            <w:tcBorders>
              <w:top w:val="single" w:color="auto" w:sz="4" w:space="0"/>
              <w:left w:val="single" w:color="auto" w:sz="6" w:space="0"/>
              <w:bottom w:val="double" w:color="auto" w:sz="2" w:space="0"/>
              <w:right w:val="single" w:color="auto" w:sz="6" w:space="0"/>
            </w:tcBorders>
            <w:vAlign w:val="center"/>
          </w:tcPr>
          <w:p w14:paraId="101CC73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其他专用条款</w:t>
            </w:r>
          </w:p>
        </w:tc>
        <w:tc>
          <w:tcPr>
            <w:tcW w:w="5170" w:type="dxa"/>
            <w:tcBorders>
              <w:top w:val="single" w:color="auto" w:sz="6" w:space="0"/>
              <w:left w:val="single" w:color="auto" w:sz="6" w:space="0"/>
              <w:bottom w:val="double" w:color="auto" w:sz="2" w:space="0"/>
              <w:right w:val="double" w:color="auto" w:sz="2" w:space="0"/>
            </w:tcBorders>
            <w:vAlign w:val="center"/>
          </w:tcPr>
          <w:p w14:paraId="1595B2FF">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本合同未尽事宜应按《中华人民共和国政府采购法》、《中华人民共和国民法典》、《中华人民共和国产品质量法》之规定解释或签订合同时补充</w:t>
            </w:r>
          </w:p>
        </w:tc>
      </w:tr>
    </w:tbl>
    <w:p w14:paraId="197C2B82">
      <w:pPr>
        <w:pStyle w:val="12"/>
        <w:rPr>
          <w:rFonts w:hint="eastAsia"/>
          <w:color w:val="auto"/>
          <w:highlight w:val="none"/>
        </w:rPr>
      </w:pPr>
    </w:p>
    <w:p w14:paraId="77104C31">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4C62D0A7">
      <w:pPr>
        <w:spacing w:line="360" w:lineRule="auto"/>
        <w:jc w:val="center"/>
        <w:outlineLvl w:val="0"/>
        <w:rPr>
          <w:rFonts w:asciiTheme="minorEastAsia" w:hAnsiTheme="minorEastAsia" w:eastAsiaTheme="minorEastAsia"/>
          <w:b/>
          <w:color w:val="auto"/>
          <w:sz w:val="28"/>
          <w:highlight w:val="none"/>
        </w:rPr>
      </w:pPr>
      <w:bookmarkStart w:id="29" w:name="_Toc22492"/>
      <w:r>
        <w:rPr>
          <w:rFonts w:hint="eastAsia" w:asciiTheme="minorEastAsia" w:hAnsiTheme="minorEastAsia" w:eastAsiaTheme="minorEastAsia"/>
          <w:b/>
          <w:color w:val="auto"/>
          <w:sz w:val="28"/>
          <w:highlight w:val="none"/>
        </w:rPr>
        <w:t>第六章  投标文件格式</w:t>
      </w:r>
      <w:bookmarkEnd w:id="29"/>
    </w:p>
    <w:p w14:paraId="1AF98527">
      <w:pPr>
        <w:spacing w:line="900" w:lineRule="exact"/>
        <w:jc w:val="center"/>
        <w:rPr>
          <w:rFonts w:asciiTheme="minorEastAsia" w:hAnsiTheme="minorEastAsia" w:eastAsiaTheme="minorEastAsia"/>
          <w:b/>
          <w:color w:val="auto"/>
          <w:sz w:val="72"/>
          <w:highlight w:val="none"/>
        </w:rPr>
      </w:pPr>
    </w:p>
    <w:p w14:paraId="10E35E8A">
      <w:pPr>
        <w:spacing w:line="900" w:lineRule="exact"/>
        <w:jc w:val="center"/>
        <w:outlineLvl w:val="1"/>
        <w:rPr>
          <w:rFonts w:asciiTheme="minorEastAsia" w:hAnsiTheme="minorEastAsia" w:eastAsiaTheme="minorEastAsia"/>
          <w:b/>
          <w:color w:val="auto"/>
          <w:sz w:val="72"/>
          <w:highlight w:val="none"/>
        </w:rPr>
      </w:pPr>
      <w:bookmarkStart w:id="30" w:name="_Toc651"/>
      <w:r>
        <w:rPr>
          <w:rFonts w:hint="eastAsia" w:asciiTheme="minorEastAsia" w:hAnsiTheme="minorEastAsia" w:eastAsiaTheme="minorEastAsia"/>
          <w:b/>
          <w:color w:val="auto"/>
          <w:sz w:val="72"/>
          <w:highlight w:val="none"/>
        </w:rPr>
        <w:t>投</w:t>
      </w:r>
      <w:bookmarkEnd w:id="30"/>
    </w:p>
    <w:p w14:paraId="0C75F631">
      <w:pPr>
        <w:spacing w:line="900" w:lineRule="exact"/>
        <w:jc w:val="center"/>
        <w:rPr>
          <w:rFonts w:asciiTheme="minorEastAsia" w:hAnsiTheme="minorEastAsia" w:eastAsiaTheme="minorEastAsia"/>
          <w:b/>
          <w:color w:val="auto"/>
          <w:sz w:val="72"/>
          <w:highlight w:val="none"/>
        </w:rPr>
      </w:pPr>
    </w:p>
    <w:p w14:paraId="7B5CAFAC">
      <w:pPr>
        <w:spacing w:line="900" w:lineRule="exact"/>
        <w:jc w:val="center"/>
        <w:outlineLvl w:val="1"/>
        <w:rPr>
          <w:rFonts w:asciiTheme="minorEastAsia" w:hAnsiTheme="minorEastAsia" w:eastAsiaTheme="minorEastAsia"/>
          <w:b/>
          <w:color w:val="auto"/>
          <w:sz w:val="72"/>
          <w:highlight w:val="none"/>
        </w:rPr>
      </w:pPr>
      <w:bookmarkStart w:id="31" w:name="_Toc6148"/>
      <w:r>
        <w:rPr>
          <w:rFonts w:hint="eastAsia" w:asciiTheme="minorEastAsia" w:hAnsiTheme="minorEastAsia" w:eastAsiaTheme="minorEastAsia"/>
          <w:b/>
          <w:color w:val="auto"/>
          <w:sz w:val="72"/>
          <w:highlight w:val="none"/>
        </w:rPr>
        <w:t>标</w:t>
      </w:r>
      <w:bookmarkEnd w:id="31"/>
    </w:p>
    <w:p w14:paraId="1244BC68">
      <w:pPr>
        <w:spacing w:line="900" w:lineRule="exact"/>
        <w:jc w:val="center"/>
        <w:rPr>
          <w:rFonts w:asciiTheme="minorEastAsia" w:hAnsiTheme="minorEastAsia" w:eastAsiaTheme="minorEastAsia"/>
          <w:b/>
          <w:color w:val="auto"/>
          <w:sz w:val="72"/>
          <w:highlight w:val="none"/>
        </w:rPr>
      </w:pPr>
    </w:p>
    <w:p w14:paraId="0F586624">
      <w:pPr>
        <w:spacing w:line="900" w:lineRule="exact"/>
        <w:jc w:val="center"/>
        <w:outlineLvl w:val="1"/>
        <w:rPr>
          <w:rFonts w:asciiTheme="minorEastAsia" w:hAnsiTheme="minorEastAsia" w:eastAsiaTheme="minorEastAsia"/>
          <w:b/>
          <w:color w:val="auto"/>
          <w:sz w:val="72"/>
          <w:highlight w:val="none"/>
        </w:rPr>
      </w:pPr>
      <w:bookmarkStart w:id="32" w:name="_Toc1338"/>
      <w:r>
        <w:rPr>
          <w:rFonts w:hint="eastAsia" w:asciiTheme="minorEastAsia" w:hAnsiTheme="minorEastAsia" w:eastAsiaTheme="minorEastAsia"/>
          <w:b/>
          <w:color w:val="auto"/>
          <w:sz w:val="72"/>
          <w:highlight w:val="none"/>
        </w:rPr>
        <w:t>文</w:t>
      </w:r>
      <w:bookmarkEnd w:id="32"/>
    </w:p>
    <w:p w14:paraId="01768507">
      <w:pPr>
        <w:spacing w:line="900" w:lineRule="exact"/>
        <w:jc w:val="center"/>
        <w:rPr>
          <w:rFonts w:asciiTheme="minorEastAsia" w:hAnsiTheme="minorEastAsia" w:eastAsiaTheme="minorEastAsia"/>
          <w:b/>
          <w:color w:val="auto"/>
          <w:sz w:val="72"/>
          <w:highlight w:val="none"/>
        </w:rPr>
      </w:pPr>
    </w:p>
    <w:p w14:paraId="3916DF4B">
      <w:pPr>
        <w:jc w:val="center"/>
        <w:outlineLvl w:val="1"/>
        <w:rPr>
          <w:rFonts w:asciiTheme="minorEastAsia" w:hAnsiTheme="minorEastAsia" w:eastAsiaTheme="minorEastAsia"/>
          <w:b/>
          <w:color w:val="auto"/>
          <w:sz w:val="72"/>
          <w:highlight w:val="none"/>
        </w:rPr>
      </w:pPr>
      <w:bookmarkStart w:id="33" w:name="_Toc10796"/>
      <w:r>
        <w:rPr>
          <w:rFonts w:hint="eastAsia" w:asciiTheme="minorEastAsia" w:hAnsiTheme="minorEastAsia" w:eastAsiaTheme="minorEastAsia"/>
          <w:b/>
          <w:color w:val="auto"/>
          <w:sz w:val="72"/>
          <w:highlight w:val="none"/>
        </w:rPr>
        <w:t>件</w:t>
      </w:r>
      <w:bookmarkEnd w:id="33"/>
    </w:p>
    <w:p w14:paraId="4D195CF3">
      <w:pPr>
        <w:spacing w:after="156" w:afterLines="50"/>
        <w:jc w:val="center"/>
        <w:rPr>
          <w:rFonts w:asciiTheme="minorEastAsia" w:hAnsiTheme="minorEastAsia" w:eastAsiaTheme="minorEastAsia"/>
          <w:b/>
          <w:color w:val="auto"/>
          <w:sz w:val="72"/>
          <w:highlight w:val="none"/>
        </w:rPr>
      </w:pPr>
    </w:p>
    <w:p w14:paraId="759B157C">
      <w:pPr>
        <w:spacing w:before="156" w:beforeLines="50" w:after="156" w:afterLines="50"/>
        <w:jc w:val="center"/>
        <w:outlineLvl w:val="9"/>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eastAsiaTheme="minorEastAsia"/>
          <w:b/>
          <w:color w:val="auto"/>
          <w:sz w:val="32"/>
          <w:szCs w:val="32"/>
          <w:highlight w:val="none"/>
          <w:lang w:val="en-US" w:eastAsia="zh-CN"/>
        </w:rPr>
        <w:t xml:space="preserve"> </w:t>
      </w:r>
    </w:p>
    <w:p w14:paraId="399F1B12">
      <w:pPr>
        <w:spacing w:after="156" w:afterLines="50" w:line="500" w:lineRule="exact"/>
        <w:jc w:val="center"/>
        <w:rPr>
          <w:rFonts w:asciiTheme="minorEastAsia" w:hAnsiTheme="minorEastAsia" w:eastAsiaTheme="minorEastAsia"/>
          <w:b/>
          <w:color w:val="auto"/>
          <w:sz w:val="28"/>
          <w:szCs w:val="28"/>
          <w:highlight w:val="none"/>
        </w:rPr>
      </w:pPr>
    </w:p>
    <w:p w14:paraId="511567BD">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13D9FCA9">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0F3ED52E">
      <w:pPr>
        <w:tabs>
          <w:tab w:val="left" w:pos="2410"/>
        </w:tabs>
        <w:autoSpaceDE w:val="0"/>
        <w:autoSpaceDN w:val="0"/>
        <w:adjustRightInd w:val="0"/>
        <w:snapToGrid w:val="0"/>
        <w:spacing w:line="360" w:lineRule="auto"/>
        <w:ind w:firstLine="643" w:firstLineChars="2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 xml:space="preserve">投 </w:t>
      </w:r>
      <w:r>
        <w:rPr>
          <w:rFonts w:hint="eastAsia" w:asciiTheme="minorEastAsia" w:hAnsiTheme="minorEastAsia" w:eastAsiaTheme="minorEastAsia"/>
          <w:b/>
          <w:color w:val="auto"/>
          <w:sz w:val="32"/>
          <w:highlight w:val="none"/>
        </w:rPr>
        <w:t>标</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人：</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4BAABCDF">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34" w:name="_Toc8037"/>
      <w:bookmarkStart w:id="35" w:name="_Toc9994"/>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34"/>
      <w:bookmarkEnd w:id="35"/>
    </w:p>
    <w:p w14:paraId="4A93E4A3">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0C860D04">
      <w:pPr>
        <w:spacing w:line="360" w:lineRule="auto"/>
        <w:jc w:val="center"/>
        <w:outlineLvl w:val="1"/>
        <w:rPr>
          <w:rFonts w:asciiTheme="minorEastAsia" w:hAnsiTheme="minorEastAsia" w:eastAsiaTheme="minorEastAsia"/>
          <w:b/>
          <w:color w:val="auto"/>
          <w:sz w:val="24"/>
          <w:highlight w:val="none"/>
        </w:rPr>
      </w:pPr>
      <w:bookmarkStart w:id="36" w:name="_Toc5555"/>
      <w:bookmarkStart w:id="37" w:name="_Toc28960"/>
      <w:r>
        <w:rPr>
          <w:rFonts w:hint="eastAsia" w:asciiTheme="minorEastAsia" w:hAnsiTheme="minorEastAsia" w:eastAsiaTheme="minorEastAsia"/>
          <w:b/>
          <w:color w:val="auto"/>
          <w:sz w:val="24"/>
          <w:highlight w:val="none"/>
        </w:rPr>
        <w:t>一、开标一览表</w:t>
      </w:r>
      <w:bookmarkEnd w:id="36"/>
      <w:bookmarkEnd w:id="37"/>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218"/>
      </w:tblGrid>
      <w:tr w14:paraId="129C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2" w:type="pct"/>
            <w:tcBorders>
              <w:top w:val="single" w:color="auto" w:sz="4" w:space="0"/>
              <w:bottom w:val="single" w:color="auto" w:sz="4" w:space="0"/>
              <w:right w:val="single" w:color="auto" w:sz="4" w:space="0"/>
            </w:tcBorders>
            <w:vAlign w:val="center"/>
          </w:tcPr>
          <w:p w14:paraId="6C58321A">
            <w:pPr>
              <w:widowControl/>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项目名称</w:t>
            </w:r>
          </w:p>
        </w:tc>
        <w:tc>
          <w:tcPr>
            <w:tcW w:w="3648" w:type="pct"/>
            <w:tcBorders>
              <w:top w:val="single" w:color="auto" w:sz="4" w:space="0"/>
              <w:bottom w:val="single" w:color="auto" w:sz="4" w:space="0"/>
              <w:right w:val="single" w:color="auto" w:sz="4" w:space="0"/>
            </w:tcBorders>
            <w:vAlign w:val="center"/>
          </w:tcPr>
          <w:p w14:paraId="18E8D974">
            <w:pPr>
              <w:spacing w:line="360" w:lineRule="exact"/>
              <w:jc w:val="center"/>
              <w:rPr>
                <w:rFonts w:asciiTheme="minorEastAsia" w:hAnsiTheme="minorEastAsia" w:eastAsiaTheme="minorEastAsia"/>
                <w:bCs/>
                <w:color w:val="auto"/>
                <w:sz w:val="24"/>
                <w:highlight w:val="none"/>
                <w:u w:val="single"/>
              </w:rPr>
            </w:pPr>
          </w:p>
        </w:tc>
      </w:tr>
      <w:tr w14:paraId="5780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6EF58A56">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投标人全称</w:t>
            </w:r>
          </w:p>
        </w:tc>
        <w:tc>
          <w:tcPr>
            <w:tcW w:w="3648" w:type="pct"/>
            <w:tcBorders>
              <w:top w:val="nil"/>
            </w:tcBorders>
            <w:vAlign w:val="center"/>
          </w:tcPr>
          <w:p w14:paraId="79033302">
            <w:pPr>
              <w:spacing w:line="360" w:lineRule="auto"/>
              <w:rPr>
                <w:rFonts w:asciiTheme="minorEastAsia" w:hAnsiTheme="minorEastAsia" w:eastAsiaTheme="minorEastAsia"/>
                <w:color w:val="auto"/>
                <w:sz w:val="24"/>
                <w:highlight w:val="none"/>
              </w:rPr>
            </w:pPr>
          </w:p>
        </w:tc>
      </w:tr>
      <w:tr w14:paraId="4168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789101AC">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投标范围</w:t>
            </w:r>
          </w:p>
        </w:tc>
        <w:tc>
          <w:tcPr>
            <w:tcW w:w="3648" w:type="pct"/>
            <w:tcBorders>
              <w:top w:val="nil"/>
            </w:tcBorders>
            <w:vAlign w:val="center"/>
          </w:tcPr>
          <w:p w14:paraId="17D83307">
            <w:pPr>
              <w:keepNext w:val="0"/>
              <w:keepLines w:val="0"/>
              <w:pageBreakBefore w:val="0"/>
              <w:widowControl/>
              <w:kinsoku/>
              <w:wordWrap/>
              <w:overflowPunct/>
              <w:topLinePunct w:val="0"/>
              <w:autoSpaceDE/>
              <w:autoSpaceDN/>
              <w:bidi w:val="0"/>
              <w:adjustRightInd/>
              <w:spacing w:line="360" w:lineRule="auto"/>
              <w:textAlignment w:val="auto"/>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szCs w:val="28"/>
                <w:highlight w:val="none"/>
              </w:rPr>
              <w:t>全部</w:t>
            </w:r>
            <w:r>
              <w:rPr>
                <w:rFonts w:hint="eastAsia" w:asciiTheme="minorEastAsia" w:hAnsiTheme="minorEastAsia" w:eastAsiaTheme="minorEastAsia"/>
                <w:color w:val="auto"/>
                <w:sz w:val="24"/>
                <w:szCs w:val="28"/>
                <w:highlight w:val="none"/>
                <w:lang w:val="en-US" w:eastAsia="zh-CN"/>
              </w:rPr>
              <w:t xml:space="preserve"> </w:t>
            </w:r>
          </w:p>
        </w:tc>
      </w:tr>
      <w:tr w14:paraId="6B3C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541CFCF2">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tc>
        <w:tc>
          <w:tcPr>
            <w:tcW w:w="3648" w:type="pct"/>
            <w:tcBorders>
              <w:top w:val="nil"/>
            </w:tcBorders>
            <w:vAlign w:val="center"/>
          </w:tcPr>
          <w:p w14:paraId="570A2749">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43F5BFB3">
            <w:pPr>
              <w:keepNext w:val="0"/>
              <w:keepLines w:val="0"/>
              <w:pageBreakBefore w:val="0"/>
              <w:widowControl w:val="0"/>
              <w:kinsoku/>
              <w:wordWrap/>
              <w:overflowPunct/>
              <w:topLinePunct w:val="0"/>
              <w:autoSpaceDE/>
              <w:autoSpaceDN/>
              <w:bidi w:val="0"/>
              <w:adjustRightInd/>
              <w:spacing w:line="360" w:lineRule="auto"/>
              <w:ind w:right="-670"/>
              <w:textAlignment w:val="auto"/>
              <w:rPr>
                <w:rFonts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tc>
      </w:tr>
      <w:tr w14:paraId="51ED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1E5C3718">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其他</w:t>
            </w:r>
          </w:p>
        </w:tc>
        <w:tc>
          <w:tcPr>
            <w:tcW w:w="3648" w:type="pct"/>
            <w:tcBorders>
              <w:top w:val="nil"/>
            </w:tcBorders>
            <w:vAlign w:val="center"/>
          </w:tcPr>
          <w:p w14:paraId="21472E6F">
            <w:pPr>
              <w:spacing w:line="360" w:lineRule="auto"/>
              <w:jc w:val="left"/>
              <w:rPr>
                <w:rFonts w:asciiTheme="minorEastAsia" w:hAnsiTheme="minorEastAsia" w:eastAsiaTheme="minorEastAsia"/>
                <w:color w:val="auto"/>
                <w:sz w:val="24"/>
                <w:szCs w:val="28"/>
                <w:highlight w:val="none"/>
              </w:rPr>
            </w:pPr>
          </w:p>
        </w:tc>
      </w:tr>
    </w:tbl>
    <w:p w14:paraId="731F99C0">
      <w:pPr>
        <w:spacing w:line="360" w:lineRule="auto"/>
        <w:ind w:firstLine="4320" w:firstLineChars="1800"/>
        <w:jc w:val="center"/>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lang w:val="en-US" w:eastAsia="zh-CN"/>
        </w:rPr>
        <w:t>投标人</w:t>
      </w:r>
      <w:r>
        <w:rPr>
          <w:rFonts w:hint="eastAsia" w:asciiTheme="minorEastAsia" w:hAnsiTheme="minorEastAsia" w:eastAsiaTheme="minorEastAsia"/>
          <w:bCs/>
          <w:color w:val="auto"/>
          <w:sz w:val="24"/>
          <w:highlight w:val="none"/>
        </w:rPr>
        <w:t>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38396D4E">
      <w:pPr>
        <w:spacing w:line="360" w:lineRule="auto"/>
        <w:ind w:firstLine="4320" w:firstLineChars="1800"/>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0B3FB09D">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p>
    <w:p w14:paraId="6B4100BF">
      <w:pPr>
        <w:spacing w:line="360" w:lineRule="auto"/>
        <w:ind w:firstLine="360" w:firstLineChars="150"/>
        <w:rPr>
          <w:rFonts w:asciiTheme="minorEastAsia" w:hAnsiTheme="minorEastAsia" w:eastAsiaTheme="minorEastAsia"/>
          <w:color w:val="auto"/>
          <w:sz w:val="24"/>
          <w:highlight w:val="none"/>
        </w:rPr>
      </w:pPr>
    </w:p>
    <w:p w14:paraId="2F3A8CA1">
      <w:pPr>
        <w:spacing w:line="360" w:lineRule="auto"/>
        <w:rPr>
          <w:rFonts w:hint="eastAsia" w:asciiTheme="minorEastAsia" w:hAnsiTheme="minorEastAsia" w:eastAsiaTheme="minorEastAsia"/>
          <w:b/>
          <w:color w:val="auto"/>
          <w:sz w:val="24"/>
          <w:highlight w:val="none"/>
          <w:lang w:eastAsia="zh-CN"/>
        </w:rPr>
      </w:pPr>
      <w:r>
        <w:rPr>
          <w:rFonts w:hint="eastAsia" w:asciiTheme="minorEastAsia" w:hAnsiTheme="minorEastAsia" w:eastAsiaTheme="minorEastAsia"/>
          <w:b/>
          <w:color w:val="auto"/>
          <w:sz w:val="24"/>
          <w:highlight w:val="none"/>
          <w:lang w:eastAsia="zh-CN"/>
        </w:rPr>
        <w:t>注：</w:t>
      </w:r>
    </w:p>
    <w:p w14:paraId="625B4DF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47D10726">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254F98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.表中大写金额与小写金额不一致的，以大写金额为准。</w:t>
      </w:r>
      <w:r>
        <w:rPr>
          <w:rFonts w:asciiTheme="minorEastAsia" w:hAnsiTheme="minorEastAsia" w:eastAsiaTheme="minorEastAsia"/>
          <w:color w:val="auto"/>
          <w:sz w:val="24"/>
          <w:highlight w:val="none"/>
        </w:rPr>
        <w:br w:type="page"/>
      </w:r>
    </w:p>
    <w:p w14:paraId="5FD7422A">
      <w:pPr>
        <w:spacing w:line="360" w:lineRule="auto"/>
        <w:jc w:val="center"/>
        <w:outlineLvl w:val="1"/>
        <w:rPr>
          <w:rFonts w:asciiTheme="minorEastAsia" w:hAnsiTheme="minorEastAsia" w:eastAsiaTheme="minorEastAsia"/>
          <w:b/>
          <w:color w:val="auto"/>
          <w:sz w:val="24"/>
          <w:highlight w:val="none"/>
        </w:rPr>
      </w:pPr>
      <w:bookmarkStart w:id="38" w:name="_Toc18010"/>
      <w:bookmarkStart w:id="39" w:name="_Toc6441"/>
      <w:r>
        <w:rPr>
          <w:rFonts w:hint="eastAsia" w:asciiTheme="minorEastAsia" w:hAnsiTheme="minorEastAsia" w:eastAsiaTheme="minorEastAsia"/>
          <w:b/>
          <w:color w:val="auto"/>
          <w:sz w:val="24"/>
          <w:highlight w:val="none"/>
        </w:rPr>
        <w:t>二、投标函</w:t>
      </w:r>
      <w:bookmarkEnd w:id="38"/>
      <w:bookmarkEnd w:id="39"/>
    </w:p>
    <w:p w14:paraId="2E887A1D">
      <w:pPr>
        <w:pStyle w:val="15"/>
        <w:spacing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18A9292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7FE39B3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40BC759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.我方已详细审核全部招标文件，包括招标文件</w:t>
      </w:r>
      <w:r>
        <w:rPr>
          <w:rFonts w:hint="eastAsia" w:asciiTheme="minorEastAsia" w:hAnsiTheme="minorEastAsia" w:eastAsiaTheme="minorEastAsia"/>
          <w:color w:val="auto"/>
          <w:sz w:val="24"/>
          <w:highlight w:val="none"/>
          <w:lang w:val="en-US" w:eastAsia="zh-CN"/>
        </w:rPr>
        <w:t>附件及更正公告（如有）</w:t>
      </w:r>
      <w:r>
        <w:rPr>
          <w:rFonts w:hint="eastAsia" w:asciiTheme="minorEastAsia" w:hAnsiTheme="minorEastAsia" w:eastAsiaTheme="minorEastAsia"/>
          <w:color w:val="auto"/>
          <w:sz w:val="24"/>
          <w:highlight w:val="none"/>
        </w:rPr>
        <w:t>，我方正式认可并遵守本次招标文件，并对招标文件各项条款、规定及要求均无异议。</w:t>
      </w:r>
    </w:p>
    <w:p w14:paraId="5FEE256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.我方同意从招标文件规定的开标日期起遵循本招标文件，并在招标文件规定的投标有效期之前均具有约束力。</w:t>
      </w:r>
    </w:p>
    <w:p w14:paraId="2C8A0DF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投标文件所提供的一切资料均真实无误、及时、有效，企业运营正常。由于我方提供资料不实而造成的责任和后果由我方承担。我方同意按照贵方提出的要求，提供与投标有关的任何证据、数据或资料。</w:t>
      </w:r>
    </w:p>
    <w:p w14:paraId="37625540">
      <w:pPr>
        <w:spacing w:line="360" w:lineRule="auto"/>
        <w:ind w:firstLine="4800" w:firstLineChars="2000"/>
        <w:rPr>
          <w:rFonts w:ascii="宋体" w:hAnsi="宋体" w:eastAsia="宋体"/>
          <w:color w:val="auto"/>
          <w:sz w:val="24"/>
          <w:highlight w:val="none"/>
        </w:rPr>
      </w:pPr>
    </w:p>
    <w:p w14:paraId="415E7006">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37815C57">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6EC93E05">
      <w:pPr>
        <w:widowControl/>
        <w:jc w:val="left"/>
        <w:rPr>
          <w:rFonts w:ascii="宋体" w:hAnsi="宋体" w:eastAsia="宋体"/>
          <w:color w:val="auto"/>
          <w:sz w:val="24"/>
          <w:highlight w:val="none"/>
          <w:u w:val="single"/>
        </w:rPr>
      </w:pPr>
      <w:r>
        <w:rPr>
          <w:rFonts w:ascii="宋体" w:hAnsi="宋体" w:eastAsia="宋体"/>
          <w:color w:val="auto"/>
          <w:sz w:val="24"/>
          <w:highlight w:val="none"/>
          <w:u w:val="single"/>
        </w:rPr>
        <w:br w:type="page"/>
      </w:r>
    </w:p>
    <w:p w14:paraId="4E4AAB55">
      <w:pPr>
        <w:spacing w:line="360" w:lineRule="auto"/>
        <w:jc w:val="center"/>
        <w:outlineLvl w:val="1"/>
        <w:rPr>
          <w:rFonts w:hint="eastAsia" w:asciiTheme="minorEastAsia" w:hAnsiTheme="minorEastAsia" w:eastAsiaTheme="minorEastAsia"/>
          <w:b/>
          <w:color w:val="auto"/>
          <w:sz w:val="24"/>
          <w:highlight w:val="none"/>
        </w:rPr>
      </w:pPr>
      <w:bookmarkStart w:id="40" w:name="_Toc1328"/>
      <w:r>
        <w:rPr>
          <w:rFonts w:hint="eastAsia" w:asciiTheme="minorEastAsia" w:hAnsiTheme="minorEastAsia" w:eastAsiaTheme="minorEastAsia"/>
          <w:b/>
          <w:color w:val="auto"/>
          <w:sz w:val="24"/>
          <w:highlight w:val="none"/>
          <w:lang w:val="en-US" w:eastAsia="zh-CN"/>
        </w:rPr>
        <w:t>三．投标人资格声明书</w:t>
      </w:r>
      <w:bookmarkEnd w:id="40"/>
      <w:r>
        <w:rPr>
          <w:rFonts w:hint="eastAsia" w:asciiTheme="minorEastAsia" w:hAnsiTheme="minorEastAsia" w:eastAsiaTheme="minorEastAsia"/>
          <w:b/>
          <w:color w:val="auto"/>
          <w:sz w:val="24"/>
          <w:highlight w:val="none"/>
          <w:lang w:val="en-US" w:eastAsia="zh-CN"/>
        </w:rPr>
        <w:t xml:space="preserve"> </w:t>
      </w:r>
    </w:p>
    <w:p w14:paraId="4B339DCB">
      <w:pPr>
        <w:pStyle w:val="15"/>
        <w:spacing w:line="360" w:lineRule="auto"/>
        <w:rPr>
          <w:rFonts w:hint="eastAsia" w:eastAsia="宋体" w:asciiTheme="minorEastAsia" w:hAnsiTheme="minorEastAsia" w:cstheme="minorEastAsia"/>
          <w:color w:val="auto"/>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7F7192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在参与本次项目投标中，我单位承诺：</w:t>
      </w:r>
    </w:p>
    <w:p w14:paraId="232C8D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（一）具有良好的商业信誉和健全的财务会计制度；</w:t>
      </w:r>
    </w:p>
    <w:p w14:paraId="5422C1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（二）具有履行合同所必需的设备和专业技术能力；</w:t>
      </w:r>
    </w:p>
    <w:p w14:paraId="6BDE10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（三）有依法缴纳税收和社会保障资金的良好记录；</w:t>
      </w:r>
    </w:p>
    <w:p w14:paraId="340FFD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03643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3AF47C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AA9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54317BE">
            <w:pPr>
              <w:keepNext w:val="0"/>
              <w:keepLines w:val="0"/>
              <w:pageBreakBefore w:val="0"/>
              <w:widowControl/>
              <w:suppressLineNumbers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序号</w:t>
            </w:r>
          </w:p>
        </w:tc>
        <w:tc>
          <w:tcPr>
            <w:tcW w:w="2841" w:type="dxa"/>
          </w:tcPr>
          <w:p w14:paraId="7E30D52F">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单位名称</w:t>
            </w:r>
          </w:p>
        </w:tc>
        <w:tc>
          <w:tcPr>
            <w:tcW w:w="2841" w:type="dxa"/>
          </w:tcPr>
          <w:p w14:paraId="545471ED">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相互关系</w:t>
            </w:r>
          </w:p>
        </w:tc>
      </w:tr>
      <w:tr w14:paraId="43D4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BC85A9D">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1</w:t>
            </w:r>
          </w:p>
        </w:tc>
        <w:tc>
          <w:tcPr>
            <w:tcW w:w="2841" w:type="dxa"/>
          </w:tcPr>
          <w:p w14:paraId="16B45598">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0F1FAD1A">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r w14:paraId="7B44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97894F6">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2</w:t>
            </w:r>
          </w:p>
        </w:tc>
        <w:tc>
          <w:tcPr>
            <w:tcW w:w="2841" w:type="dxa"/>
          </w:tcPr>
          <w:p w14:paraId="3F1E77B4">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14007743">
            <w:pPr>
              <w:pStyle w:val="10"/>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bl>
    <w:p w14:paraId="3B9BFB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76BDEC47">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C39AADA">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2CB03ECF">
      <w:pPr>
        <w:pStyle w:val="10"/>
        <w:rPr>
          <w:rFonts w:hint="eastAsia" w:asciiTheme="minorEastAsia" w:hAnsiTheme="minorEastAsia" w:eastAsiaTheme="minorEastAsia" w:cstheme="minorEastAsia"/>
          <w:color w:val="auto"/>
          <w:kern w:val="0"/>
          <w:sz w:val="24"/>
          <w:szCs w:val="24"/>
          <w:highlight w:val="none"/>
          <w:lang w:val="en-US" w:eastAsia="zh-CN" w:bidi="ar"/>
        </w:rPr>
      </w:pPr>
    </w:p>
    <w:p w14:paraId="567E3CF0">
      <w:pPr>
        <w:pStyle w:val="10"/>
        <w:rPr>
          <w:rFonts w:hint="eastAsia" w:asciiTheme="minorEastAsia" w:hAnsiTheme="minorEastAsia" w:eastAsiaTheme="minorEastAsia" w:cstheme="minorEastAsia"/>
          <w:color w:val="auto"/>
          <w:kern w:val="0"/>
          <w:sz w:val="24"/>
          <w:szCs w:val="24"/>
          <w:highlight w:val="none"/>
          <w:lang w:val="en-US" w:eastAsia="zh-CN" w:bidi="ar"/>
        </w:rPr>
      </w:pPr>
    </w:p>
    <w:p w14:paraId="02EBCB25">
      <w:pPr>
        <w:pStyle w:val="10"/>
        <w:rPr>
          <w:rFonts w:hint="eastAsia" w:asciiTheme="minorEastAsia" w:hAnsiTheme="minorEastAsia" w:eastAsiaTheme="minorEastAsia" w:cstheme="minorEastAsia"/>
          <w:color w:val="auto"/>
          <w:kern w:val="0"/>
          <w:sz w:val="24"/>
          <w:szCs w:val="24"/>
          <w:highlight w:val="none"/>
          <w:lang w:val="en-US" w:eastAsia="zh-CN" w:bidi="ar"/>
        </w:rPr>
      </w:pPr>
    </w:p>
    <w:p w14:paraId="524EAD46">
      <w:pPr>
        <w:rPr>
          <w:rFonts w:hint="eastAsia" w:asciiTheme="minorEastAsia" w:hAnsiTheme="minorEastAsia" w:eastAsiaTheme="minorEastAsia"/>
          <w:b/>
          <w:color w:val="auto"/>
          <w:sz w:val="24"/>
          <w:highlight w:val="none"/>
        </w:rPr>
      </w:pPr>
      <w:bookmarkStart w:id="41" w:name="_Toc11607"/>
      <w:r>
        <w:rPr>
          <w:rFonts w:hint="eastAsia" w:asciiTheme="minorEastAsia" w:hAnsiTheme="minorEastAsia" w:eastAsiaTheme="minorEastAsia"/>
          <w:b/>
          <w:color w:val="auto"/>
          <w:sz w:val="24"/>
          <w:highlight w:val="none"/>
        </w:rPr>
        <w:br w:type="page"/>
      </w:r>
    </w:p>
    <w:p w14:paraId="2B5D74D2">
      <w:pPr>
        <w:spacing w:line="360" w:lineRule="auto"/>
        <w:jc w:val="center"/>
        <w:outlineLvl w:val="1"/>
        <w:rPr>
          <w:rFonts w:asciiTheme="minorEastAsia" w:hAnsiTheme="minorEastAsia" w:eastAsiaTheme="minorEastAsia"/>
          <w:b/>
          <w:color w:val="auto"/>
          <w:sz w:val="24"/>
          <w:highlight w:val="none"/>
        </w:rPr>
      </w:pPr>
      <w:bookmarkStart w:id="42" w:name="_Toc16960"/>
      <w:r>
        <w:rPr>
          <w:rFonts w:hint="eastAsia" w:asciiTheme="minorEastAsia" w:hAnsiTheme="minorEastAsia" w:eastAsiaTheme="minorEastAsia"/>
          <w:b/>
          <w:color w:val="auto"/>
          <w:sz w:val="24"/>
          <w:highlight w:val="none"/>
        </w:rPr>
        <w:t>四、授权书</w:t>
      </w:r>
      <w:bookmarkEnd w:id="41"/>
      <w:bookmarkEnd w:id="42"/>
    </w:p>
    <w:p w14:paraId="3FF6F608">
      <w:pPr>
        <w:pStyle w:val="14"/>
        <w:snapToGrid w:val="0"/>
        <w:spacing w:line="360" w:lineRule="auto"/>
        <w:ind w:firstLine="480" w:firstLineChars="200"/>
        <w:jc w:val="left"/>
        <w:rPr>
          <w:rFonts w:hAnsi="宋体" w:eastAsia="宋体"/>
          <w:color w:val="auto"/>
          <w:sz w:val="24"/>
          <w:szCs w:val="28"/>
          <w:highlight w:val="none"/>
        </w:rPr>
      </w:pPr>
    </w:p>
    <w:p w14:paraId="191EF042">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eastAsia="宋体"/>
          <w:color w:val="auto"/>
          <w:sz w:val="24"/>
          <w:szCs w:val="28"/>
          <w:highlight w:val="none"/>
        </w:rPr>
        <w:t>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56B305B3">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30EA6781">
      <w:pPr>
        <w:spacing w:line="360" w:lineRule="auto"/>
        <w:ind w:firstLine="435"/>
        <w:rPr>
          <w:rFonts w:hAnsi="宋体" w:eastAsia="宋体"/>
          <w:color w:val="auto"/>
          <w:sz w:val="24"/>
          <w:highlight w:val="none"/>
        </w:rPr>
      </w:pPr>
      <w:r>
        <w:rPr>
          <w:rFonts w:hint="eastAsia" w:hAnsi="宋体" w:eastAsia="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eastAsia="宋体"/>
          <w:color w:val="auto"/>
          <w:sz w:val="24"/>
          <w:highlight w:val="none"/>
        </w:rPr>
        <w:t>身份证明扫描件：</w:t>
      </w:r>
    </w:p>
    <w:p w14:paraId="65DB05BD">
      <w:pPr>
        <w:spacing w:line="360" w:lineRule="auto"/>
        <w:ind w:firstLine="435"/>
        <w:rPr>
          <w:rFonts w:asciiTheme="minorEastAsia" w:hAnsiTheme="minorEastAsia" w:eastAsiaTheme="minorEastAsia"/>
          <w:color w:val="auto"/>
          <w:sz w:val="24"/>
          <w:highlight w:val="none"/>
        </w:rPr>
      </w:pPr>
    </w:p>
    <w:p w14:paraId="2BAE10DD">
      <w:pPr>
        <w:spacing w:line="360" w:lineRule="auto"/>
        <w:ind w:firstLine="435"/>
        <w:rPr>
          <w:rFonts w:asciiTheme="minorEastAsia" w:hAnsiTheme="minorEastAsia" w:eastAsiaTheme="minorEastAsia"/>
          <w:color w:val="auto"/>
          <w:sz w:val="24"/>
          <w:highlight w:val="none"/>
        </w:rPr>
      </w:pPr>
    </w:p>
    <w:p w14:paraId="3246BDAE">
      <w:pPr>
        <w:spacing w:line="360" w:lineRule="auto"/>
        <w:ind w:firstLine="435"/>
        <w:rPr>
          <w:rFonts w:asciiTheme="minorEastAsia" w:hAnsiTheme="minorEastAsia" w:eastAsiaTheme="minorEastAsia"/>
          <w:color w:val="auto"/>
          <w:sz w:val="24"/>
          <w:highlight w:val="none"/>
        </w:rPr>
      </w:pPr>
    </w:p>
    <w:p w14:paraId="3537D490">
      <w:pPr>
        <w:spacing w:line="360" w:lineRule="auto"/>
        <w:ind w:firstLine="435"/>
        <w:rPr>
          <w:rFonts w:hAnsi="宋体" w:eastAsia="宋体"/>
          <w:color w:val="auto"/>
          <w:sz w:val="24"/>
          <w:szCs w:val="28"/>
          <w:highlight w:val="none"/>
          <w:u w:val="single"/>
          <w:lang w:val="zh-CN"/>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286E4C24">
      <w:pPr>
        <w:spacing w:line="360" w:lineRule="auto"/>
        <w:ind w:firstLine="435"/>
        <w:rPr>
          <w:rFonts w:hAnsi="宋体" w:eastAsia="宋体"/>
          <w:color w:val="auto"/>
          <w:sz w:val="24"/>
          <w:szCs w:val="28"/>
          <w:highlight w:val="none"/>
          <w:lang w:val="zh-CN"/>
        </w:rPr>
      </w:pPr>
    </w:p>
    <w:p w14:paraId="3BB5B9D9">
      <w:pPr>
        <w:spacing w:line="360" w:lineRule="auto"/>
        <w:ind w:firstLine="435"/>
        <w:rPr>
          <w:rFonts w:ascii="宋体" w:hAnsi="宋体" w:eastAsia="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eastAsia="宋体"/>
          <w:color w:val="auto"/>
          <w:sz w:val="24"/>
          <w:szCs w:val="28"/>
          <w:highlight w:val="none"/>
        </w:rPr>
        <w:t>声明。</w:t>
      </w:r>
    </w:p>
    <w:p w14:paraId="1922F0FE">
      <w:pPr>
        <w:spacing w:line="360" w:lineRule="auto"/>
        <w:rPr>
          <w:rFonts w:ascii="宋体" w:hAnsi="宋体" w:eastAsia="宋体"/>
          <w:color w:val="auto"/>
          <w:sz w:val="24"/>
          <w:szCs w:val="28"/>
          <w:highlight w:val="none"/>
        </w:rPr>
      </w:pPr>
    </w:p>
    <w:p w14:paraId="34592FE7">
      <w:pPr>
        <w:spacing w:line="360" w:lineRule="auto"/>
        <w:ind w:firstLine="435"/>
        <w:jc w:val="center"/>
        <w:rPr>
          <w:rFonts w:ascii="宋体" w:hAnsi="宋体" w:eastAsia="宋体"/>
          <w:bCs/>
          <w:color w:val="auto"/>
          <w:sz w:val="24"/>
          <w:szCs w:val="28"/>
          <w:highlight w:val="none"/>
        </w:rPr>
      </w:pPr>
      <w:r>
        <w:rPr>
          <w:rFonts w:hint="eastAsia" w:ascii="宋体" w:hAnsi="宋体" w:eastAsia="宋体"/>
          <w:bCs/>
          <w:color w:val="auto"/>
          <w:sz w:val="24"/>
          <w:szCs w:val="28"/>
          <w:highlight w:val="none"/>
          <w:lang w:val="en-US" w:eastAsia="zh-CN"/>
        </w:rPr>
        <w:t xml:space="preserve">                            </w:t>
      </w:r>
      <w:r>
        <w:rPr>
          <w:rFonts w:hint="eastAsia" w:ascii="宋体" w:hAnsi="宋体" w:eastAsia="宋体"/>
          <w:bCs/>
          <w:color w:val="auto"/>
          <w:sz w:val="24"/>
          <w:szCs w:val="28"/>
          <w:highlight w:val="none"/>
        </w:rPr>
        <w:t>投标人电子签章：</w:t>
      </w:r>
      <w:r>
        <w:rPr>
          <w:rFonts w:hint="eastAsia" w:ascii="宋体" w:hAnsi="宋体" w:eastAsia="宋体"/>
          <w:bCs/>
          <w:color w:val="auto"/>
          <w:sz w:val="24"/>
          <w:szCs w:val="28"/>
          <w:highlight w:val="none"/>
          <w:u w:val="single"/>
        </w:rPr>
        <w:t xml:space="preserve">                    </w:t>
      </w:r>
    </w:p>
    <w:p w14:paraId="17E6162A">
      <w:pPr>
        <w:spacing w:line="360" w:lineRule="auto"/>
        <w:ind w:firstLine="435"/>
        <w:jc w:val="center"/>
        <w:rPr>
          <w:rFonts w:ascii="宋体" w:hAnsi="宋体" w:eastAsia="宋体"/>
          <w:color w:val="auto"/>
          <w:sz w:val="24"/>
          <w:szCs w:val="28"/>
          <w:highlight w:val="none"/>
        </w:rPr>
      </w:pPr>
      <w:r>
        <w:rPr>
          <w:rFonts w:hint="eastAsia" w:ascii="宋体" w:hAnsi="宋体" w:eastAsia="宋体"/>
          <w:color w:val="auto"/>
          <w:sz w:val="24"/>
          <w:szCs w:val="28"/>
          <w:highlight w:val="none"/>
          <w:lang w:val="en-US" w:eastAsia="zh-CN"/>
        </w:rPr>
        <w:t xml:space="preserve">                            </w:t>
      </w:r>
      <w:r>
        <w:rPr>
          <w:rFonts w:hint="eastAsia" w:ascii="宋体" w:hAnsi="宋体" w:eastAsia="宋体"/>
          <w:color w:val="auto"/>
          <w:sz w:val="24"/>
          <w:szCs w:val="28"/>
          <w:highlight w:val="none"/>
        </w:rPr>
        <w:t>日          期：</w:t>
      </w:r>
      <w:r>
        <w:rPr>
          <w:rFonts w:hint="eastAsia" w:ascii="宋体" w:hAnsi="宋体" w:eastAsia="宋体"/>
          <w:b/>
          <w:bCs/>
          <w:color w:val="auto"/>
          <w:sz w:val="24"/>
          <w:szCs w:val="28"/>
          <w:highlight w:val="none"/>
          <w:u w:val="single"/>
        </w:rPr>
        <w:t xml:space="preserve">                    </w:t>
      </w:r>
    </w:p>
    <w:p w14:paraId="1ED22158">
      <w:pPr>
        <w:spacing w:line="360" w:lineRule="auto"/>
        <w:ind w:firstLine="435"/>
        <w:rPr>
          <w:rFonts w:asciiTheme="minorEastAsia" w:hAnsiTheme="minorEastAsia" w:eastAsiaTheme="minorEastAsia"/>
          <w:color w:val="auto"/>
          <w:sz w:val="24"/>
          <w:highlight w:val="none"/>
        </w:rPr>
      </w:pPr>
    </w:p>
    <w:p w14:paraId="271E9458">
      <w:pPr>
        <w:spacing w:line="360" w:lineRule="auto"/>
        <w:ind w:firstLine="435"/>
        <w:rPr>
          <w:rFonts w:asciiTheme="minorEastAsia" w:hAnsiTheme="minorEastAsia" w:eastAsiaTheme="minorEastAsia"/>
          <w:color w:val="auto"/>
          <w:sz w:val="24"/>
          <w:highlight w:val="none"/>
        </w:rPr>
      </w:pPr>
    </w:p>
    <w:p w14:paraId="2B1DF592">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088F0F6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1.本项目只允许有唯一的投标人授权代表，提供身份证明扫描件；</w:t>
      </w:r>
    </w:p>
    <w:p w14:paraId="1E298CB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2.法定代表人参加投标的无需提供授权书，提供身份证明扫描件。</w:t>
      </w:r>
    </w:p>
    <w:p w14:paraId="579B41A1">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7020DF75">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43" w:name="_Toc6796"/>
      <w:bookmarkStart w:id="44" w:name="_Toc31991"/>
      <w:r>
        <w:rPr>
          <w:rFonts w:hint="eastAsia" w:asciiTheme="minorEastAsia" w:hAnsiTheme="minorEastAsia" w:eastAsiaTheme="minorEastAsia"/>
          <w:b/>
          <w:color w:val="auto"/>
          <w:sz w:val="24"/>
          <w:highlight w:val="none"/>
        </w:rPr>
        <w:t>五、投标分项报价表</w:t>
      </w:r>
      <w:bookmarkEnd w:id="43"/>
      <w:bookmarkEnd w:id="44"/>
    </w:p>
    <w:p w14:paraId="2B7CA9A5">
      <w:pPr>
        <w:pStyle w:val="54"/>
        <w:jc w:val="left"/>
        <w:rPr>
          <w:rFonts w:hint="default" w:ascii="宋体" w:hAnsi="宋体" w:eastAsia="宋体"/>
          <w:b/>
          <w:bCs/>
          <w:color w:val="auto"/>
          <w:highlight w:val="none"/>
          <w:lang w:val="en-US" w:eastAsia="zh-CN"/>
        </w:rPr>
      </w:pPr>
      <w:r>
        <w:rPr>
          <w:rFonts w:hint="eastAsia" w:ascii="宋体" w:hAnsi="宋体" w:eastAsia="宋体"/>
          <w:b/>
          <w:bCs/>
          <w:color w:val="auto"/>
          <w:highlight w:val="none"/>
          <w:lang w:val="en-US" w:eastAsia="zh-CN"/>
        </w:rPr>
        <w:t>5-1货物部分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70"/>
        <w:gridCol w:w="1169"/>
        <w:gridCol w:w="1316"/>
        <w:gridCol w:w="672"/>
        <w:gridCol w:w="672"/>
        <w:gridCol w:w="940"/>
        <w:gridCol w:w="940"/>
        <w:gridCol w:w="670"/>
      </w:tblGrid>
      <w:tr w14:paraId="7086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center"/>
          </w:tcPr>
          <w:p w14:paraId="3E04BA45">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序号</w:t>
            </w:r>
          </w:p>
        </w:tc>
        <w:tc>
          <w:tcPr>
            <w:tcW w:w="862" w:type="pct"/>
            <w:noWrap w:val="0"/>
            <w:vAlign w:val="center"/>
          </w:tcPr>
          <w:p w14:paraId="1FB2626D">
            <w:pPr>
              <w:jc w:val="center"/>
              <w:rPr>
                <w:rFonts w:ascii="宋体" w:hAnsi="宋体" w:eastAsia="宋体"/>
                <w:b/>
                <w:color w:val="auto"/>
                <w:sz w:val="24"/>
                <w:highlight w:val="none"/>
              </w:rPr>
            </w:pPr>
            <w:r>
              <w:rPr>
                <w:rFonts w:hint="eastAsia" w:ascii="宋体" w:hAnsi="宋体" w:eastAsia="宋体"/>
                <w:b/>
                <w:color w:val="auto"/>
                <w:sz w:val="24"/>
                <w:highlight w:val="none"/>
              </w:rPr>
              <w:t>货物名称</w:t>
            </w:r>
          </w:p>
        </w:tc>
        <w:tc>
          <w:tcPr>
            <w:tcW w:w="686" w:type="pct"/>
            <w:noWrap w:val="0"/>
            <w:vAlign w:val="center"/>
          </w:tcPr>
          <w:p w14:paraId="7391A509">
            <w:pPr>
              <w:jc w:val="center"/>
              <w:rPr>
                <w:rFonts w:ascii="宋体" w:hAnsi="宋体" w:eastAsia="宋体"/>
                <w:b/>
                <w:color w:val="auto"/>
                <w:sz w:val="24"/>
                <w:highlight w:val="none"/>
              </w:rPr>
            </w:pPr>
            <w:r>
              <w:rPr>
                <w:rFonts w:hint="eastAsia" w:ascii="宋体" w:hAnsi="宋体" w:eastAsia="宋体"/>
                <w:b/>
                <w:color w:val="auto"/>
                <w:sz w:val="24"/>
                <w:highlight w:val="none"/>
              </w:rPr>
              <w:t>品牌、型</w:t>
            </w:r>
          </w:p>
          <w:p w14:paraId="019C90C7">
            <w:pPr>
              <w:jc w:val="center"/>
              <w:rPr>
                <w:rFonts w:ascii="宋体" w:hAnsi="宋体" w:eastAsia="宋体"/>
                <w:b/>
                <w:color w:val="auto"/>
                <w:sz w:val="24"/>
                <w:highlight w:val="none"/>
              </w:rPr>
            </w:pPr>
            <w:r>
              <w:rPr>
                <w:rFonts w:hint="eastAsia" w:ascii="宋体" w:hAnsi="宋体" w:eastAsia="宋体"/>
                <w:b/>
                <w:color w:val="auto"/>
                <w:sz w:val="24"/>
                <w:highlight w:val="none"/>
              </w:rPr>
              <w:t>号规格</w:t>
            </w:r>
          </w:p>
        </w:tc>
        <w:tc>
          <w:tcPr>
            <w:tcW w:w="772" w:type="pct"/>
            <w:noWrap w:val="0"/>
            <w:vAlign w:val="center"/>
          </w:tcPr>
          <w:p w14:paraId="0D5C4AD2">
            <w:pPr>
              <w:jc w:val="center"/>
              <w:rPr>
                <w:rFonts w:ascii="宋体" w:hAnsi="宋体" w:eastAsia="宋体"/>
                <w:b/>
                <w:color w:val="auto"/>
                <w:sz w:val="24"/>
                <w:highlight w:val="none"/>
              </w:rPr>
            </w:pPr>
            <w:r>
              <w:rPr>
                <w:rFonts w:hint="eastAsia" w:ascii="宋体" w:hAnsi="宋体" w:eastAsia="宋体"/>
                <w:b/>
                <w:color w:val="auto"/>
                <w:sz w:val="24"/>
                <w:highlight w:val="none"/>
              </w:rPr>
              <w:t>原产地及</w:t>
            </w:r>
          </w:p>
          <w:p w14:paraId="01CDAF56">
            <w:pPr>
              <w:jc w:val="center"/>
              <w:rPr>
                <w:rFonts w:ascii="宋体" w:hAnsi="宋体" w:eastAsia="宋体"/>
                <w:b/>
                <w:color w:val="auto"/>
                <w:sz w:val="24"/>
                <w:highlight w:val="none"/>
              </w:rPr>
            </w:pPr>
            <w:r>
              <w:rPr>
                <w:rFonts w:hint="eastAsia" w:ascii="宋体" w:hAnsi="宋体" w:eastAsia="宋体"/>
                <w:b/>
                <w:color w:val="auto"/>
                <w:sz w:val="24"/>
                <w:highlight w:val="none"/>
              </w:rPr>
              <w:t>生产厂商</w:t>
            </w:r>
          </w:p>
        </w:tc>
        <w:tc>
          <w:tcPr>
            <w:tcW w:w="394" w:type="pct"/>
            <w:noWrap w:val="0"/>
            <w:vAlign w:val="center"/>
          </w:tcPr>
          <w:p w14:paraId="7C24263B">
            <w:pPr>
              <w:jc w:val="center"/>
              <w:rPr>
                <w:rFonts w:ascii="宋体" w:hAnsi="宋体" w:eastAsia="宋体"/>
                <w:b/>
                <w:color w:val="auto"/>
                <w:sz w:val="24"/>
                <w:highlight w:val="none"/>
              </w:rPr>
            </w:pPr>
            <w:r>
              <w:rPr>
                <w:rFonts w:hint="eastAsia" w:ascii="宋体" w:hAnsi="宋体" w:eastAsia="宋体"/>
                <w:b/>
                <w:color w:val="auto"/>
                <w:sz w:val="24"/>
                <w:highlight w:val="none"/>
              </w:rPr>
              <w:t>单位</w:t>
            </w:r>
          </w:p>
        </w:tc>
        <w:tc>
          <w:tcPr>
            <w:tcW w:w="394" w:type="pct"/>
            <w:noWrap w:val="0"/>
            <w:vAlign w:val="center"/>
          </w:tcPr>
          <w:p w14:paraId="1532E164">
            <w:pPr>
              <w:jc w:val="center"/>
              <w:rPr>
                <w:rFonts w:ascii="宋体" w:hAnsi="宋体" w:eastAsia="宋体"/>
                <w:b/>
                <w:color w:val="auto"/>
                <w:sz w:val="24"/>
                <w:highlight w:val="none"/>
              </w:rPr>
            </w:pPr>
            <w:r>
              <w:rPr>
                <w:rFonts w:hint="eastAsia" w:ascii="宋体" w:hAnsi="宋体" w:eastAsia="宋体"/>
                <w:b/>
                <w:color w:val="auto"/>
                <w:sz w:val="24"/>
                <w:highlight w:val="none"/>
              </w:rPr>
              <w:t>数量</w:t>
            </w:r>
          </w:p>
        </w:tc>
        <w:tc>
          <w:tcPr>
            <w:tcW w:w="551" w:type="pct"/>
            <w:noWrap w:val="0"/>
            <w:vAlign w:val="center"/>
          </w:tcPr>
          <w:p w14:paraId="612EAEF9">
            <w:pPr>
              <w:jc w:val="center"/>
              <w:rPr>
                <w:rFonts w:ascii="宋体" w:hAnsi="宋体" w:eastAsia="宋体"/>
                <w:b/>
                <w:color w:val="auto"/>
                <w:sz w:val="24"/>
                <w:highlight w:val="none"/>
              </w:rPr>
            </w:pPr>
            <w:r>
              <w:rPr>
                <w:rFonts w:hint="eastAsia" w:ascii="宋体" w:hAnsi="宋体" w:eastAsia="宋体"/>
                <w:b/>
                <w:color w:val="auto"/>
                <w:sz w:val="24"/>
                <w:highlight w:val="none"/>
              </w:rPr>
              <w:t>单价</w:t>
            </w:r>
          </w:p>
          <w:p w14:paraId="0AA954E6">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551" w:type="pct"/>
            <w:noWrap w:val="0"/>
            <w:vAlign w:val="center"/>
          </w:tcPr>
          <w:p w14:paraId="7C27CEB3">
            <w:pPr>
              <w:jc w:val="center"/>
              <w:rPr>
                <w:rFonts w:ascii="宋体" w:hAnsi="宋体" w:eastAsia="宋体"/>
                <w:b/>
                <w:color w:val="auto"/>
                <w:sz w:val="24"/>
                <w:highlight w:val="none"/>
              </w:rPr>
            </w:pPr>
            <w:r>
              <w:rPr>
                <w:rFonts w:hint="eastAsia" w:ascii="宋体" w:hAnsi="宋体" w:eastAsia="宋体"/>
                <w:b/>
                <w:color w:val="auto"/>
                <w:sz w:val="24"/>
                <w:highlight w:val="none"/>
              </w:rPr>
              <w:t>小计</w:t>
            </w:r>
          </w:p>
          <w:p w14:paraId="50875EA7">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393" w:type="pct"/>
            <w:noWrap w:val="0"/>
            <w:vAlign w:val="center"/>
          </w:tcPr>
          <w:p w14:paraId="28A8CB35">
            <w:pPr>
              <w:jc w:val="center"/>
              <w:rPr>
                <w:rFonts w:ascii="宋体" w:hAnsi="宋体" w:eastAsia="宋体"/>
                <w:b/>
                <w:color w:val="auto"/>
                <w:sz w:val="24"/>
                <w:highlight w:val="none"/>
              </w:rPr>
            </w:pPr>
            <w:r>
              <w:rPr>
                <w:rFonts w:hint="eastAsia" w:ascii="宋体" w:hAnsi="宋体" w:eastAsia="宋体"/>
                <w:b/>
                <w:color w:val="auto"/>
                <w:sz w:val="24"/>
                <w:highlight w:val="none"/>
              </w:rPr>
              <w:t>备注</w:t>
            </w:r>
          </w:p>
        </w:tc>
      </w:tr>
      <w:tr w14:paraId="743F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noWrap w:val="0"/>
            <w:vAlign w:val="center"/>
          </w:tcPr>
          <w:p w14:paraId="7F3450B3">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862" w:type="pct"/>
            <w:noWrap w:val="0"/>
            <w:vAlign w:val="center"/>
          </w:tcPr>
          <w:p w14:paraId="05AB97F0">
            <w:pPr>
              <w:keepNext w:val="0"/>
              <w:keepLines w:val="0"/>
              <w:widowControl/>
              <w:suppressLineNumbers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公寓床</w:t>
            </w:r>
          </w:p>
        </w:tc>
        <w:tc>
          <w:tcPr>
            <w:tcW w:w="686" w:type="pct"/>
            <w:noWrap w:val="0"/>
            <w:vAlign w:val="center"/>
          </w:tcPr>
          <w:p w14:paraId="705D4EE6">
            <w:pPr>
              <w:widowControl/>
              <w:spacing w:line="500" w:lineRule="exact"/>
              <w:jc w:val="center"/>
              <w:textAlignment w:val="center"/>
              <w:rPr>
                <w:rFonts w:ascii="宋体" w:hAnsi="宋体" w:eastAsia="宋体"/>
                <w:color w:val="auto"/>
                <w:sz w:val="21"/>
                <w:szCs w:val="21"/>
                <w:highlight w:val="none"/>
              </w:rPr>
            </w:pPr>
          </w:p>
        </w:tc>
        <w:tc>
          <w:tcPr>
            <w:tcW w:w="772" w:type="pct"/>
            <w:noWrap w:val="0"/>
            <w:vAlign w:val="center"/>
          </w:tcPr>
          <w:p w14:paraId="17659CB1">
            <w:pPr>
              <w:jc w:val="center"/>
              <w:rPr>
                <w:rFonts w:ascii="宋体" w:hAnsi="宋体" w:eastAsia="宋体"/>
                <w:color w:val="auto"/>
                <w:sz w:val="21"/>
                <w:szCs w:val="21"/>
                <w:highlight w:val="none"/>
              </w:rPr>
            </w:pPr>
          </w:p>
        </w:tc>
        <w:tc>
          <w:tcPr>
            <w:tcW w:w="394" w:type="pct"/>
            <w:noWrap w:val="0"/>
            <w:vAlign w:val="center"/>
          </w:tcPr>
          <w:p w14:paraId="032A53FF">
            <w:pPr>
              <w:jc w:val="center"/>
              <w:rPr>
                <w:rFonts w:ascii="宋体" w:hAnsi="宋体" w:eastAsia="宋体"/>
                <w:color w:val="auto"/>
                <w:sz w:val="21"/>
                <w:szCs w:val="21"/>
                <w:highlight w:val="none"/>
              </w:rPr>
            </w:pPr>
            <w:r>
              <w:rPr>
                <w:rFonts w:hint="eastAsia" w:ascii="宋体" w:hAnsi="宋体" w:eastAsia="宋体" w:cs="宋体"/>
                <w:color w:val="auto"/>
                <w:kern w:val="0"/>
                <w:sz w:val="21"/>
                <w:szCs w:val="21"/>
                <w:highlight w:val="none"/>
                <w:lang w:val="en-US" w:eastAsia="zh-CN" w:bidi="ar"/>
              </w:rPr>
              <w:t>组</w:t>
            </w:r>
          </w:p>
        </w:tc>
        <w:tc>
          <w:tcPr>
            <w:tcW w:w="394" w:type="pct"/>
            <w:noWrap w:val="0"/>
            <w:vAlign w:val="center"/>
          </w:tcPr>
          <w:p w14:paraId="47386C02">
            <w:pPr>
              <w:widowControl/>
              <w:spacing w:line="500" w:lineRule="exact"/>
              <w:jc w:val="center"/>
              <w:textAlignment w:val="center"/>
              <w:rPr>
                <w:rFonts w:hint="default" w:ascii="宋体" w:hAnsi="宋体" w:eastAsia="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218</w:t>
            </w:r>
          </w:p>
        </w:tc>
        <w:tc>
          <w:tcPr>
            <w:tcW w:w="551" w:type="pct"/>
            <w:noWrap w:val="0"/>
            <w:vAlign w:val="top"/>
          </w:tcPr>
          <w:p w14:paraId="29F15A1B">
            <w:pPr>
              <w:rPr>
                <w:rFonts w:ascii="宋体" w:hAnsi="宋体" w:eastAsia="宋体"/>
                <w:color w:val="auto"/>
                <w:sz w:val="24"/>
                <w:highlight w:val="none"/>
              </w:rPr>
            </w:pPr>
          </w:p>
        </w:tc>
        <w:tc>
          <w:tcPr>
            <w:tcW w:w="551" w:type="pct"/>
            <w:noWrap w:val="0"/>
            <w:vAlign w:val="top"/>
          </w:tcPr>
          <w:p w14:paraId="4B5A4A6E">
            <w:pPr>
              <w:rPr>
                <w:rFonts w:ascii="宋体" w:hAnsi="宋体" w:eastAsia="宋体"/>
                <w:color w:val="auto"/>
                <w:sz w:val="24"/>
                <w:highlight w:val="none"/>
              </w:rPr>
            </w:pPr>
          </w:p>
        </w:tc>
        <w:tc>
          <w:tcPr>
            <w:tcW w:w="393" w:type="pct"/>
            <w:noWrap w:val="0"/>
            <w:vAlign w:val="top"/>
          </w:tcPr>
          <w:p w14:paraId="005BEB18">
            <w:pPr>
              <w:rPr>
                <w:rFonts w:ascii="宋体" w:hAnsi="宋体" w:eastAsia="宋体"/>
                <w:color w:val="auto"/>
                <w:sz w:val="24"/>
                <w:highlight w:val="none"/>
              </w:rPr>
            </w:pPr>
          </w:p>
        </w:tc>
      </w:tr>
      <w:tr w14:paraId="70AD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center"/>
          </w:tcPr>
          <w:p w14:paraId="29D856E7">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862" w:type="pct"/>
            <w:noWrap w:val="0"/>
            <w:vAlign w:val="center"/>
          </w:tcPr>
          <w:p w14:paraId="5849EDA1">
            <w:pPr>
              <w:keepNext w:val="0"/>
              <w:keepLines w:val="0"/>
              <w:widowControl/>
              <w:suppressLineNumbers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学习椅</w:t>
            </w:r>
          </w:p>
        </w:tc>
        <w:tc>
          <w:tcPr>
            <w:tcW w:w="686" w:type="pct"/>
            <w:noWrap w:val="0"/>
            <w:vAlign w:val="center"/>
          </w:tcPr>
          <w:p w14:paraId="3BCBBC2F">
            <w:pPr>
              <w:widowControl/>
              <w:spacing w:line="500" w:lineRule="exact"/>
              <w:jc w:val="center"/>
              <w:textAlignment w:val="center"/>
              <w:rPr>
                <w:rFonts w:ascii="宋体" w:hAnsi="宋体" w:eastAsia="宋体"/>
                <w:color w:val="auto"/>
                <w:sz w:val="21"/>
                <w:szCs w:val="21"/>
                <w:highlight w:val="none"/>
              </w:rPr>
            </w:pPr>
          </w:p>
        </w:tc>
        <w:tc>
          <w:tcPr>
            <w:tcW w:w="772" w:type="pct"/>
            <w:noWrap w:val="0"/>
            <w:vAlign w:val="center"/>
          </w:tcPr>
          <w:p w14:paraId="71035650">
            <w:pPr>
              <w:jc w:val="center"/>
              <w:rPr>
                <w:rFonts w:ascii="宋体" w:hAnsi="宋体" w:eastAsia="宋体"/>
                <w:color w:val="auto"/>
                <w:sz w:val="21"/>
                <w:szCs w:val="21"/>
                <w:highlight w:val="none"/>
              </w:rPr>
            </w:pPr>
          </w:p>
        </w:tc>
        <w:tc>
          <w:tcPr>
            <w:tcW w:w="394" w:type="pct"/>
            <w:noWrap w:val="0"/>
            <w:vAlign w:val="center"/>
          </w:tcPr>
          <w:p w14:paraId="34C3058C">
            <w:pPr>
              <w:jc w:val="center"/>
              <w:rPr>
                <w:rFonts w:ascii="宋体" w:hAnsi="宋体" w:eastAsia="宋体"/>
                <w:color w:val="auto"/>
                <w:sz w:val="21"/>
                <w:szCs w:val="21"/>
                <w:highlight w:val="none"/>
              </w:rPr>
            </w:pPr>
            <w:r>
              <w:rPr>
                <w:rFonts w:hint="eastAsia" w:ascii="宋体" w:hAnsi="宋体" w:eastAsia="宋体" w:cs="宋体"/>
                <w:color w:val="auto"/>
                <w:kern w:val="0"/>
                <w:sz w:val="21"/>
                <w:szCs w:val="21"/>
                <w:highlight w:val="none"/>
                <w:lang w:val="en-US" w:eastAsia="zh-CN" w:bidi="ar"/>
              </w:rPr>
              <w:t>把</w:t>
            </w:r>
          </w:p>
        </w:tc>
        <w:tc>
          <w:tcPr>
            <w:tcW w:w="394" w:type="pct"/>
            <w:noWrap w:val="0"/>
            <w:vAlign w:val="center"/>
          </w:tcPr>
          <w:p w14:paraId="708604A6">
            <w:pPr>
              <w:widowControl/>
              <w:spacing w:line="500" w:lineRule="exact"/>
              <w:jc w:val="center"/>
              <w:textAlignment w:val="center"/>
              <w:rPr>
                <w:rFonts w:hint="default" w:ascii="宋体" w:hAnsi="宋体" w:eastAsia="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654</w:t>
            </w:r>
          </w:p>
        </w:tc>
        <w:tc>
          <w:tcPr>
            <w:tcW w:w="551" w:type="pct"/>
            <w:noWrap w:val="0"/>
            <w:vAlign w:val="top"/>
          </w:tcPr>
          <w:p w14:paraId="2F975EA0">
            <w:pPr>
              <w:rPr>
                <w:rFonts w:ascii="宋体" w:hAnsi="宋体" w:eastAsia="宋体"/>
                <w:color w:val="auto"/>
                <w:sz w:val="24"/>
                <w:highlight w:val="none"/>
              </w:rPr>
            </w:pPr>
          </w:p>
        </w:tc>
        <w:tc>
          <w:tcPr>
            <w:tcW w:w="551" w:type="pct"/>
            <w:noWrap w:val="0"/>
            <w:vAlign w:val="top"/>
          </w:tcPr>
          <w:p w14:paraId="287611FB">
            <w:pPr>
              <w:rPr>
                <w:rFonts w:ascii="宋体" w:hAnsi="宋体" w:eastAsia="宋体"/>
                <w:color w:val="auto"/>
                <w:sz w:val="24"/>
                <w:highlight w:val="none"/>
              </w:rPr>
            </w:pPr>
          </w:p>
        </w:tc>
        <w:tc>
          <w:tcPr>
            <w:tcW w:w="393" w:type="pct"/>
            <w:noWrap w:val="0"/>
            <w:vAlign w:val="top"/>
          </w:tcPr>
          <w:p w14:paraId="3EF974C4">
            <w:pPr>
              <w:rPr>
                <w:rFonts w:ascii="宋体" w:hAnsi="宋体" w:eastAsia="宋体"/>
                <w:color w:val="auto"/>
                <w:sz w:val="24"/>
                <w:highlight w:val="none"/>
              </w:rPr>
            </w:pPr>
          </w:p>
        </w:tc>
      </w:tr>
      <w:tr w14:paraId="77D3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noWrap w:val="0"/>
            <w:vAlign w:val="center"/>
          </w:tcPr>
          <w:p w14:paraId="2F180C2D">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3</w:t>
            </w:r>
          </w:p>
        </w:tc>
        <w:tc>
          <w:tcPr>
            <w:tcW w:w="862" w:type="pct"/>
            <w:noWrap w:val="0"/>
            <w:vAlign w:val="center"/>
          </w:tcPr>
          <w:p w14:paraId="70727D9C">
            <w:pPr>
              <w:keepNext w:val="0"/>
              <w:keepLines w:val="0"/>
              <w:widowControl/>
              <w:suppressLineNumbers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六门储物柜</w:t>
            </w:r>
          </w:p>
        </w:tc>
        <w:tc>
          <w:tcPr>
            <w:tcW w:w="686" w:type="pct"/>
            <w:noWrap w:val="0"/>
            <w:vAlign w:val="center"/>
          </w:tcPr>
          <w:p w14:paraId="3857E483">
            <w:pPr>
              <w:widowControl/>
              <w:spacing w:line="500" w:lineRule="exact"/>
              <w:jc w:val="center"/>
              <w:textAlignment w:val="center"/>
              <w:rPr>
                <w:rFonts w:ascii="宋体" w:hAnsi="宋体" w:eastAsia="宋体"/>
                <w:color w:val="auto"/>
                <w:sz w:val="21"/>
                <w:szCs w:val="21"/>
                <w:highlight w:val="none"/>
              </w:rPr>
            </w:pPr>
          </w:p>
        </w:tc>
        <w:tc>
          <w:tcPr>
            <w:tcW w:w="772" w:type="pct"/>
            <w:noWrap w:val="0"/>
            <w:vAlign w:val="center"/>
          </w:tcPr>
          <w:p w14:paraId="2DADB5DE">
            <w:pPr>
              <w:jc w:val="center"/>
              <w:rPr>
                <w:rFonts w:ascii="宋体" w:hAnsi="宋体" w:eastAsia="宋体"/>
                <w:color w:val="auto"/>
                <w:sz w:val="21"/>
                <w:szCs w:val="21"/>
                <w:highlight w:val="none"/>
              </w:rPr>
            </w:pPr>
          </w:p>
        </w:tc>
        <w:tc>
          <w:tcPr>
            <w:tcW w:w="394" w:type="pct"/>
            <w:noWrap w:val="0"/>
            <w:vAlign w:val="center"/>
          </w:tcPr>
          <w:p w14:paraId="52B6F864">
            <w:pPr>
              <w:jc w:val="center"/>
              <w:rPr>
                <w:rFonts w:ascii="宋体" w:hAnsi="宋体" w:eastAsia="宋体"/>
                <w:color w:val="auto"/>
                <w:sz w:val="21"/>
                <w:szCs w:val="21"/>
                <w:highlight w:val="none"/>
              </w:rPr>
            </w:pPr>
            <w:r>
              <w:rPr>
                <w:rFonts w:hint="eastAsia" w:ascii="宋体" w:hAnsi="宋体" w:eastAsia="宋体" w:cs="宋体"/>
                <w:color w:val="auto"/>
                <w:kern w:val="0"/>
                <w:sz w:val="21"/>
                <w:szCs w:val="21"/>
                <w:highlight w:val="none"/>
                <w:lang w:val="en-US" w:eastAsia="zh-CN" w:bidi="ar"/>
              </w:rPr>
              <w:t>套</w:t>
            </w:r>
          </w:p>
        </w:tc>
        <w:tc>
          <w:tcPr>
            <w:tcW w:w="394" w:type="pct"/>
            <w:noWrap w:val="0"/>
            <w:vAlign w:val="center"/>
          </w:tcPr>
          <w:p w14:paraId="4C3D6788">
            <w:pPr>
              <w:widowControl/>
              <w:spacing w:line="500" w:lineRule="exact"/>
              <w:jc w:val="center"/>
              <w:textAlignment w:val="center"/>
              <w:rPr>
                <w:rFonts w:hint="default" w:ascii="宋体" w:hAnsi="宋体" w:eastAsia="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109</w:t>
            </w:r>
          </w:p>
        </w:tc>
        <w:tc>
          <w:tcPr>
            <w:tcW w:w="551" w:type="pct"/>
            <w:noWrap w:val="0"/>
            <w:vAlign w:val="top"/>
          </w:tcPr>
          <w:p w14:paraId="3651A679">
            <w:pPr>
              <w:rPr>
                <w:rFonts w:ascii="宋体" w:hAnsi="宋体" w:eastAsia="宋体"/>
                <w:color w:val="auto"/>
                <w:sz w:val="24"/>
                <w:highlight w:val="none"/>
              </w:rPr>
            </w:pPr>
          </w:p>
        </w:tc>
        <w:tc>
          <w:tcPr>
            <w:tcW w:w="551" w:type="pct"/>
            <w:noWrap w:val="0"/>
            <w:vAlign w:val="top"/>
          </w:tcPr>
          <w:p w14:paraId="425CA928">
            <w:pPr>
              <w:rPr>
                <w:rFonts w:ascii="宋体" w:hAnsi="宋体" w:eastAsia="宋体"/>
                <w:color w:val="auto"/>
                <w:sz w:val="24"/>
                <w:highlight w:val="none"/>
              </w:rPr>
            </w:pPr>
          </w:p>
        </w:tc>
        <w:tc>
          <w:tcPr>
            <w:tcW w:w="393" w:type="pct"/>
            <w:noWrap w:val="0"/>
            <w:vAlign w:val="top"/>
          </w:tcPr>
          <w:p w14:paraId="51DF4463">
            <w:pPr>
              <w:rPr>
                <w:rFonts w:ascii="宋体" w:hAnsi="宋体" w:eastAsia="宋体"/>
                <w:color w:val="auto"/>
                <w:sz w:val="24"/>
                <w:highlight w:val="none"/>
              </w:rPr>
            </w:pPr>
          </w:p>
        </w:tc>
      </w:tr>
      <w:tr w14:paraId="5E29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055" w:type="pct"/>
            <w:gridSpan w:val="7"/>
            <w:noWrap w:val="0"/>
            <w:vAlign w:val="center"/>
          </w:tcPr>
          <w:p w14:paraId="29779074">
            <w:pPr>
              <w:jc w:val="center"/>
              <w:rPr>
                <w:rFonts w:ascii="宋体" w:hAnsi="宋体" w:eastAsia="宋体"/>
                <w:color w:val="auto"/>
                <w:sz w:val="24"/>
                <w:highlight w:val="none"/>
              </w:rPr>
            </w:pPr>
            <w:r>
              <w:rPr>
                <w:rFonts w:hint="eastAsia" w:ascii="宋体" w:hAnsi="宋体" w:eastAsia="宋体"/>
                <w:b/>
                <w:color w:val="auto"/>
                <w:sz w:val="24"/>
                <w:highlight w:val="none"/>
              </w:rPr>
              <w:t>合计</w:t>
            </w:r>
            <w:r>
              <w:rPr>
                <w:rFonts w:hint="eastAsia" w:ascii="宋体" w:hAnsi="宋体" w:eastAsia="宋体"/>
                <w:b/>
                <w:color w:val="auto"/>
                <w:sz w:val="24"/>
                <w:highlight w:val="none"/>
                <w:lang w:val="en-US" w:eastAsia="zh-CN"/>
              </w:rPr>
              <w:t>金额</w:t>
            </w:r>
            <w:r>
              <w:rPr>
                <w:rFonts w:hint="eastAsia" w:ascii="宋体" w:hAnsi="宋体" w:eastAsia="宋体"/>
                <w:b/>
                <w:color w:val="auto"/>
                <w:sz w:val="24"/>
                <w:highlight w:val="none"/>
              </w:rPr>
              <w:t>（元）</w:t>
            </w:r>
          </w:p>
        </w:tc>
        <w:tc>
          <w:tcPr>
            <w:tcW w:w="944" w:type="pct"/>
            <w:gridSpan w:val="2"/>
            <w:noWrap w:val="0"/>
            <w:vAlign w:val="top"/>
          </w:tcPr>
          <w:p w14:paraId="02717F6D">
            <w:pPr>
              <w:rPr>
                <w:rFonts w:ascii="宋体" w:hAnsi="宋体" w:eastAsia="宋体"/>
                <w:color w:val="auto"/>
                <w:sz w:val="24"/>
                <w:highlight w:val="none"/>
              </w:rPr>
            </w:pPr>
          </w:p>
        </w:tc>
      </w:tr>
    </w:tbl>
    <w:p w14:paraId="79D48364">
      <w:pPr>
        <w:pStyle w:val="54"/>
        <w:jc w:val="both"/>
        <w:rPr>
          <w:rFonts w:hint="default" w:ascii="宋体" w:hAnsi="宋体" w:eastAsia="宋体"/>
          <w:b/>
          <w:bCs/>
          <w:i/>
          <w:iCs/>
          <w:color w:val="auto"/>
          <w:highlight w:val="none"/>
          <w:lang w:val="en-US" w:eastAsia="zh-CN"/>
        </w:rPr>
      </w:pPr>
      <w:r>
        <w:rPr>
          <w:rFonts w:hint="eastAsia" w:ascii="宋体" w:hAnsi="宋体" w:eastAsia="宋体"/>
          <w:b/>
          <w:bCs/>
          <w:color w:val="auto"/>
          <w:highlight w:val="none"/>
          <w:lang w:val="en-US" w:eastAsia="zh-CN"/>
        </w:rPr>
        <w:t>5-2服务部分</w:t>
      </w:r>
      <w:r>
        <w:rPr>
          <w:rFonts w:hint="eastAsia" w:ascii="宋体" w:hAnsi="宋体" w:eastAsia="宋体"/>
          <w:b/>
          <w:bCs/>
          <w:i/>
          <w:iCs/>
          <w:color w:val="auto"/>
          <w:highlight w:val="none"/>
        </w:rPr>
        <w:t>（仅供参考，投标人可自行制作格式）</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109"/>
        <w:gridCol w:w="1357"/>
        <w:gridCol w:w="1698"/>
        <w:gridCol w:w="1566"/>
      </w:tblGrid>
      <w:tr w14:paraId="200B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3" w:type="pct"/>
            <w:noWrap w:val="0"/>
            <w:vAlign w:val="center"/>
          </w:tcPr>
          <w:p w14:paraId="4CF977BA">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序号</w:t>
            </w:r>
          </w:p>
        </w:tc>
        <w:tc>
          <w:tcPr>
            <w:tcW w:w="1824" w:type="pct"/>
            <w:noWrap w:val="0"/>
            <w:vAlign w:val="center"/>
          </w:tcPr>
          <w:p w14:paraId="7F4B082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服务内容</w:t>
            </w:r>
          </w:p>
        </w:tc>
        <w:tc>
          <w:tcPr>
            <w:tcW w:w="796" w:type="pct"/>
            <w:noWrap w:val="0"/>
            <w:vAlign w:val="center"/>
          </w:tcPr>
          <w:p w14:paraId="7FDE844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项</w:t>
            </w:r>
          </w:p>
        </w:tc>
        <w:tc>
          <w:tcPr>
            <w:tcW w:w="996" w:type="pct"/>
            <w:noWrap w:val="0"/>
            <w:vAlign w:val="center"/>
          </w:tcPr>
          <w:p w14:paraId="2C8D6070">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单价</w:t>
            </w:r>
          </w:p>
        </w:tc>
        <w:tc>
          <w:tcPr>
            <w:tcW w:w="919" w:type="pct"/>
            <w:noWrap w:val="0"/>
            <w:vAlign w:val="center"/>
          </w:tcPr>
          <w:p w14:paraId="536C808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小计（元）</w:t>
            </w:r>
          </w:p>
        </w:tc>
      </w:tr>
      <w:tr w14:paraId="75FF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tcBorders>
              <w:bottom w:val="single" w:color="auto" w:sz="4" w:space="0"/>
            </w:tcBorders>
            <w:noWrap w:val="0"/>
            <w:vAlign w:val="center"/>
          </w:tcPr>
          <w:p w14:paraId="133B17B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1</w:t>
            </w:r>
          </w:p>
        </w:tc>
        <w:tc>
          <w:tcPr>
            <w:tcW w:w="1824" w:type="pct"/>
            <w:noWrap w:val="0"/>
            <w:vAlign w:val="center"/>
          </w:tcPr>
          <w:p w14:paraId="581EFF4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1D5C88D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376FA841">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20CFD4A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3354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1CD693F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2</w:t>
            </w:r>
          </w:p>
        </w:tc>
        <w:tc>
          <w:tcPr>
            <w:tcW w:w="1824" w:type="pct"/>
            <w:noWrap w:val="0"/>
            <w:vAlign w:val="center"/>
          </w:tcPr>
          <w:p w14:paraId="6E4F9CB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7BB8675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05FA8B5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3F0DD87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42AF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1F378E5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3</w:t>
            </w:r>
          </w:p>
        </w:tc>
        <w:tc>
          <w:tcPr>
            <w:tcW w:w="1824" w:type="pct"/>
            <w:noWrap w:val="0"/>
            <w:vAlign w:val="center"/>
          </w:tcPr>
          <w:p w14:paraId="657DDFF0">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68B62C31">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2880C03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6606CD40">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551B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43D8D35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ascii="宋体" w:hAnsi="宋体" w:eastAsia="宋体"/>
                <w:color w:val="auto"/>
                <w:sz w:val="24"/>
                <w:highlight w:val="none"/>
              </w:rPr>
              <w:t>…</w:t>
            </w:r>
          </w:p>
        </w:tc>
        <w:tc>
          <w:tcPr>
            <w:tcW w:w="1824" w:type="pct"/>
            <w:noWrap w:val="0"/>
            <w:vAlign w:val="center"/>
          </w:tcPr>
          <w:p w14:paraId="6B8D8A7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197D6F0A">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47B71CA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538B14B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46A1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noWrap w:val="0"/>
            <w:vAlign w:val="center"/>
          </w:tcPr>
          <w:p w14:paraId="73967E9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b/>
                <w:color w:val="auto"/>
                <w:sz w:val="24"/>
                <w:highlight w:val="none"/>
              </w:rPr>
              <w:t>合计金额（元）</w:t>
            </w:r>
          </w:p>
        </w:tc>
        <w:tc>
          <w:tcPr>
            <w:tcW w:w="919" w:type="pct"/>
            <w:noWrap w:val="0"/>
            <w:vAlign w:val="center"/>
          </w:tcPr>
          <w:p w14:paraId="12EB51C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bl>
    <w:p w14:paraId="67D2E891">
      <w:pPr>
        <w:spacing w:line="360" w:lineRule="auto"/>
        <w:ind w:firstLine="435"/>
        <w:jc w:val="right"/>
        <w:rPr>
          <w:rFonts w:hint="eastAsia" w:ascii="宋体" w:hAnsi="宋体" w:eastAsia="宋体"/>
          <w:b/>
          <w:bCs/>
          <w:color w:val="auto"/>
          <w:highlight w:val="none"/>
          <w:lang w:val="en-US" w:eastAsia="zh-CN"/>
        </w:rPr>
      </w:pPr>
      <w:r>
        <w:rPr>
          <w:rFonts w:hint="eastAsia" w:ascii="宋体" w:hAnsi="宋体" w:eastAsia="宋体"/>
          <w:bCs/>
          <w:color w:val="auto"/>
          <w:sz w:val="24"/>
          <w:szCs w:val="28"/>
          <w:highlight w:val="none"/>
          <w:u w:val="single"/>
        </w:rPr>
        <w:t xml:space="preserve">       </w:t>
      </w:r>
    </w:p>
    <w:p w14:paraId="4ED65732">
      <w:pPr>
        <w:pStyle w:val="54"/>
        <w:jc w:val="both"/>
        <w:rPr>
          <w:rFonts w:hint="eastAsia" w:ascii="宋体" w:hAnsi="宋体" w:eastAsia="宋体"/>
          <w:b/>
          <w:bCs/>
          <w:color w:val="auto"/>
          <w:highlight w:val="none"/>
          <w:lang w:val="en-US" w:eastAsia="zh-CN"/>
        </w:rPr>
      </w:pPr>
      <w:r>
        <w:rPr>
          <w:rFonts w:hint="eastAsia" w:ascii="宋体" w:hAnsi="宋体" w:eastAsia="宋体"/>
          <w:b/>
          <w:bCs/>
          <w:color w:val="auto"/>
          <w:highlight w:val="none"/>
          <w:lang w:val="en-US" w:eastAsia="zh-CN"/>
        </w:rPr>
        <w:t>5-3 符合本国产品标准的产品成本之和占比</w:t>
      </w:r>
    </w:p>
    <w:tbl>
      <w:tblPr>
        <w:tblStyle w:val="29"/>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8"/>
        <w:gridCol w:w="1766"/>
      </w:tblGrid>
      <w:tr w14:paraId="7A71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7588" w:type="dxa"/>
            <w:noWrap w:val="0"/>
            <w:vAlign w:val="top"/>
          </w:tcPr>
          <w:p w14:paraId="00B91F78">
            <w:pPr>
              <w:spacing w:line="360" w:lineRule="auto"/>
              <w:rPr>
                <w:rFonts w:hint="eastAsia" w:ascii="宋体" w:hAnsi="宋体" w:eastAsia="宋体"/>
                <w:b/>
                <w:bCs/>
                <w:color w:val="auto"/>
                <w:sz w:val="21"/>
                <w:szCs w:val="21"/>
                <w:highlight w:val="none"/>
                <w:vertAlign w:val="baseline"/>
                <w:lang w:eastAsia="zh-CN"/>
              </w:rPr>
            </w:pPr>
            <w:r>
              <w:rPr>
                <w:rFonts w:hint="eastAsia" w:ascii="宋体" w:hAnsi="宋体" w:eastAsia="宋体" w:cs="宋体"/>
                <w:color w:val="auto"/>
                <w:sz w:val="24"/>
                <w:szCs w:val="24"/>
                <w:highlight w:val="none"/>
              </w:rPr>
              <w:t>本公司（单位）提供的符合本国产品标准的产品成本之和占提供的全部产品成本之和的比例</w:t>
            </w:r>
          </w:p>
        </w:tc>
        <w:tc>
          <w:tcPr>
            <w:tcW w:w="1766" w:type="dxa"/>
            <w:noWrap w:val="0"/>
            <w:vAlign w:val="top"/>
          </w:tcPr>
          <w:p w14:paraId="6B2C2E93">
            <w:pPr>
              <w:spacing w:line="360" w:lineRule="auto"/>
              <w:rPr>
                <w:rFonts w:hint="eastAsia" w:ascii="宋体" w:hAnsi="宋体" w:eastAsia="宋体" w:cs="宋体"/>
                <w:color w:val="auto"/>
                <w:sz w:val="24"/>
                <w:szCs w:val="24"/>
                <w:highlight w:val="none"/>
                <w:u w:val="single"/>
                <w:lang w:val="en-US" w:eastAsia="zh-CN"/>
              </w:rPr>
            </w:pPr>
          </w:p>
          <w:p w14:paraId="1ED9CE43">
            <w:pPr>
              <w:spacing w:line="360" w:lineRule="auto"/>
              <w:rPr>
                <w:rFonts w:hint="eastAsia" w:ascii="宋体" w:hAnsi="宋体" w:eastAsia="宋体"/>
                <w:b/>
                <w:bCs/>
                <w:color w:val="auto"/>
                <w:sz w:val="21"/>
                <w:szCs w:val="21"/>
                <w:highlight w:val="none"/>
                <w:vertAlign w:val="baseline"/>
                <w:lang w:eastAsia="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Times New Roman"/>
                <w:b w:val="0"/>
                <w:bCs/>
                <w:color w:val="auto"/>
                <w:szCs w:val="24"/>
                <w:highlight w:val="none"/>
                <w:lang w:val="en-US" w:eastAsia="zh-CN"/>
              </w:rPr>
              <w:t>%</w:t>
            </w:r>
          </w:p>
        </w:tc>
      </w:tr>
      <w:tr w14:paraId="42AA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9354" w:type="dxa"/>
            <w:gridSpan w:val="2"/>
            <w:noWrap w:val="0"/>
            <w:vAlign w:val="top"/>
          </w:tcPr>
          <w:p w14:paraId="1C998F19">
            <w:pPr>
              <w:tabs>
                <w:tab w:val="left" w:pos="4620"/>
              </w:tabs>
              <w:spacing w:line="360" w:lineRule="auto"/>
              <w:jc w:val="left"/>
              <w:rPr>
                <w:rFonts w:hint="eastAsia" w:ascii="宋体" w:hAnsi="宋体" w:eastAsia="宋体" w:cs="Times New Roman"/>
                <w:b/>
                <w:bCs w:val="0"/>
                <w:color w:val="auto"/>
                <w:szCs w:val="24"/>
                <w:highlight w:val="none"/>
                <w:lang w:val="en-US" w:eastAsia="zh-CN"/>
              </w:rPr>
            </w:pPr>
            <w:r>
              <w:rPr>
                <w:rFonts w:hint="eastAsia" w:ascii="宋体" w:hAnsi="宋体" w:eastAsia="宋体" w:cs="Times New Roman"/>
                <w:b/>
                <w:bCs w:val="0"/>
                <w:color w:val="auto"/>
                <w:szCs w:val="24"/>
                <w:highlight w:val="none"/>
                <w:lang w:val="en-US" w:eastAsia="zh-CN"/>
              </w:rPr>
              <w:t>提醒：</w:t>
            </w:r>
          </w:p>
          <w:p w14:paraId="6BE1C440">
            <w:pPr>
              <w:tabs>
                <w:tab w:val="left" w:pos="4620"/>
              </w:tabs>
              <w:spacing w:line="360" w:lineRule="auto"/>
              <w:jc w:val="left"/>
              <w:rPr>
                <w:rFonts w:hint="eastAsia"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1.投标人为该采购项目或者采购包提供的符合本国产品标准的产品成本之和占该投标人提供的全部产品成本之和的比例达到80%以上时，对该投标人提供的全部产品给予价格评审优惠。</w:t>
            </w:r>
          </w:p>
          <w:p w14:paraId="241EB683">
            <w:pPr>
              <w:spacing w:line="360" w:lineRule="auto"/>
              <w:rPr>
                <w:rFonts w:hint="eastAsia"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2.投标人应当根据“投标分项报价表-货物部分”的内容对符合本国产品标准的产品成本进行测算（比例未达到80%或未进行比例测算的，对该投标人提供的全部产品不予价格评审优惠），如有虚假响应，投标人承担全部责任。</w:t>
            </w:r>
          </w:p>
          <w:p w14:paraId="61530A30">
            <w:pPr>
              <w:spacing w:line="360" w:lineRule="auto"/>
              <w:rPr>
                <w:rFonts w:hint="default"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3.</w:t>
            </w:r>
            <w:r>
              <w:rPr>
                <w:rFonts w:hint="eastAsia" w:ascii="宋体" w:hAnsi="宋体" w:eastAsia="宋体" w:cs="宋体"/>
                <w:b w:val="0"/>
                <w:bCs/>
                <w:color w:val="auto"/>
                <w:kern w:val="2"/>
                <w:sz w:val="21"/>
                <w:szCs w:val="21"/>
                <w:highlight w:val="none"/>
                <w:lang w:val="en-US" w:eastAsia="zh-CN" w:bidi="ar"/>
              </w:rPr>
              <w:t>上表中全部产品成本之和是指表5-1和表5-2包含的全部货物、服务产品成本之和。</w:t>
            </w:r>
          </w:p>
        </w:tc>
      </w:tr>
    </w:tbl>
    <w:p w14:paraId="39658003">
      <w:pPr>
        <w:spacing w:line="360" w:lineRule="auto"/>
        <w:rPr>
          <w:rFonts w:hint="eastAsia" w:ascii="宋体" w:hAnsi="宋体" w:eastAsia="宋体"/>
          <w:b/>
          <w:bCs/>
          <w:color w:val="auto"/>
          <w:sz w:val="21"/>
          <w:szCs w:val="21"/>
          <w:highlight w:val="none"/>
          <w:lang w:eastAsia="zh-CN"/>
        </w:rPr>
      </w:pPr>
    </w:p>
    <w:p w14:paraId="47CE130F">
      <w:pPr>
        <w:spacing w:line="360" w:lineRule="auto"/>
        <w:ind w:firstLine="4800" w:firstLineChars="2000"/>
        <w:jc w:val="center"/>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6EDD2932">
      <w:pPr>
        <w:tabs>
          <w:tab w:val="left" w:pos="630"/>
        </w:tabs>
        <w:spacing w:line="360" w:lineRule="auto"/>
        <w:ind w:firstLine="4800" w:firstLineChars="2000"/>
        <w:jc w:val="center"/>
        <w:rPr>
          <w:rFonts w:ascii="宋体" w:hAnsi="宋体" w:eastAsia="宋体"/>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41C89EDB">
      <w:pPr>
        <w:spacing w:line="360" w:lineRule="auto"/>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注：</w:t>
      </w:r>
    </w:p>
    <w:p w14:paraId="2CDA2D7A">
      <w:pPr>
        <w:spacing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1.表5-1</w:t>
      </w:r>
      <w:r>
        <w:rPr>
          <w:rFonts w:hint="eastAsia" w:ascii="宋体" w:hAnsi="宋体" w:eastAsia="宋体"/>
          <w:color w:val="auto"/>
          <w:sz w:val="21"/>
          <w:szCs w:val="21"/>
          <w:highlight w:val="none"/>
        </w:rPr>
        <w:t>中须明确列出所投产品的货物名称、品牌、型号规格、原产地及生产厂商，否则可能导致</w:t>
      </w:r>
      <w:r>
        <w:rPr>
          <w:rFonts w:hint="eastAsia" w:ascii="宋体" w:hAnsi="宋体" w:eastAsia="宋体"/>
          <w:b/>
          <w:bCs/>
          <w:color w:val="auto"/>
          <w:sz w:val="21"/>
          <w:szCs w:val="21"/>
          <w:highlight w:val="none"/>
        </w:rPr>
        <w:t>投标无效</w:t>
      </w:r>
      <w:r>
        <w:rPr>
          <w:rFonts w:hint="eastAsia" w:ascii="宋体" w:hAnsi="宋体" w:eastAsia="宋体"/>
          <w:b/>
          <w:bCs/>
          <w:color w:val="auto"/>
          <w:sz w:val="21"/>
          <w:szCs w:val="21"/>
          <w:highlight w:val="none"/>
          <w:lang w:eastAsia="zh-CN"/>
        </w:rPr>
        <w:t>。</w:t>
      </w:r>
    </w:p>
    <w:p w14:paraId="4CFF3D1F">
      <w:pPr>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2.上述报价为投标人完成本项目内容的全部费用（总报价为表5-1和表5-2合计金额之和），</w:t>
      </w:r>
      <w:r>
        <w:rPr>
          <w:rFonts w:hint="eastAsia" w:ascii="宋体" w:hAnsi="宋体" w:eastAsia="宋体"/>
          <w:color w:val="auto"/>
          <w:sz w:val="21"/>
          <w:szCs w:val="21"/>
          <w:highlight w:val="none"/>
        </w:rPr>
        <w:t>如有漏项或缺项，</w:t>
      </w:r>
      <w:r>
        <w:rPr>
          <w:rFonts w:hint="eastAsia" w:ascii="宋体" w:hAnsi="宋体" w:eastAsia="宋体"/>
          <w:color w:val="auto"/>
          <w:sz w:val="21"/>
          <w:szCs w:val="21"/>
          <w:highlight w:val="none"/>
          <w:lang w:val="en-US" w:eastAsia="zh-CN"/>
        </w:rPr>
        <w:t>自行</w:t>
      </w:r>
      <w:r>
        <w:rPr>
          <w:rFonts w:hint="eastAsia" w:ascii="宋体" w:hAnsi="宋体" w:eastAsia="宋体"/>
          <w:color w:val="auto"/>
          <w:sz w:val="21"/>
          <w:szCs w:val="21"/>
          <w:highlight w:val="none"/>
        </w:rPr>
        <w:t>承担全部责任。</w:t>
      </w:r>
    </w:p>
    <w:p w14:paraId="1147950F">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345537C">
      <w:pPr>
        <w:spacing w:line="360" w:lineRule="auto"/>
        <w:jc w:val="center"/>
        <w:outlineLvl w:val="1"/>
        <w:rPr>
          <w:rFonts w:hint="default" w:asciiTheme="minorEastAsia" w:hAnsiTheme="minorEastAsia" w:eastAsiaTheme="minorEastAsia"/>
          <w:b/>
          <w:color w:val="auto"/>
          <w:sz w:val="24"/>
          <w:highlight w:val="none"/>
          <w:lang w:val="en-US" w:eastAsia="zh-CN"/>
        </w:rPr>
      </w:pPr>
      <w:bookmarkStart w:id="45" w:name="_Toc11940"/>
      <w:bookmarkStart w:id="46" w:name="_Toc20329"/>
      <w:r>
        <w:rPr>
          <w:rFonts w:hint="eastAsia" w:asciiTheme="minorEastAsia" w:hAnsiTheme="minorEastAsia" w:eastAsiaTheme="minorEastAsia"/>
          <w:b/>
          <w:color w:val="auto"/>
          <w:sz w:val="24"/>
          <w:highlight w:val="none"/>
        </w:rPr>
        <w:t>六、投标响应表</w:t>
      </w:r>
      <w:bookmarkEnd w:id="45"/>
      <w:bookmarkEnd w:id="46"/>
    </w:p>
    <w:p w14:paraId="349EB620">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1269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7476B3B7">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0DE06833">
            <w:pPr>
              <w:pStyle w:val="14"/>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7D5B19A9">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招标文件要求</w:t>
            </w:r>
          </w:p>
        </w:tc>
        <w:tc>
          <w:tcPr>
            <w:tcW w:w="1510" w:type="pct"/>
            <w:vAlign w:val="center"/>
          </w:tcPr>
          <w:p w14:paraId="178AAF5C">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投标人承诺</w:t>
            </w:r>
          </w:p>
        </w:tc>
        <w:tc>
          <w:tcPr>
            <w:tcW w:w="475" w:type="pct"/>
            <w:vAlign w:val="center"/>
          </w:tcPr>
          <w:p w14:paraId="13C07E31">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1E3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73D2D50E">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498FD6E5">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5FE3F476">
            <w:pPr>
              <w:jc w:val="center"/>
              <w:rPr>
                <w:rFonts w:asciiTheme="minorEastAsia" w:hAnsiTheme="minorEastAsia" w:eastAsiaTheme="minorEastAsia"/>
                <w:color w:val="auto"/>
                <w:sz w:val="24"/>
                <w:highlight w:val="none"/>
              </w:rPr>
            </w:pPr>
          </w:p>
        </w:tc>
        <w:tc>
          <w:tcPr>
            <w:tcW w:w="1510" w:type="pct"/>
            <w:vAlign w:val="center"/>
          </w:tcPr>
          <w:p w14:paraId="016D97C4">
            <w:pPr>
              <w:jc w:val="center"/>
              <w:rPr>
                <w:rFonts w:asciiTheme="minorEastAsia" w:hAnsiTheme="minorEastAsia" w:eastAsiaTheme="minorEastAsia"/>
                <w:color w:val="auto"/>
                <w:sz w:val="24"/>
                <w:highlight w:val="none"/>
              </w:rPr>
            </w:pPr>
          </w:p>
        </w:tc>
        <w:tc>
          <w:tcPr>
            <w:tcW w:w="475" w:type="pct"/>
            <w:vAlign w:val="center"/>
          </w:tcPr>
          <w:p w14:paraId="157C5827">
            <w:pPr>
              <w:jc w:val="center"/>
              <w:rPr>
                <w:rFonts w:asciiTheme="minorEastAsia" w:hAnsiTheme="minorEastAsia" w:eastAsiaTheme="minorEastAsia"/>
                <w:color w:val="auto"/>
                <w:sz w:val="24"/>
                <w:highlight w:val="none"/>
              </w:rPr>
            </w:pPr>
          </w:p>
        </w:tc>
      </w:tr>
      <w:tr w14:paraId="0500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1991DA2E">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38E26934">
            <w:pPr>
              <w:jc w:val="center"/>
              <w:rPr>
                <w:rFonts w:ascii="宋体" w:hAnsi="宋体" w:eastAsia="宋体"/>
                <w:color w:val="auto"/>
                <w:sz w:val="24"/>
                <w:highlight w:val="none"/>
              </w:rPr>
            </w:pPr>
            <w:r>
              <w:rPr>
                <w:rFonts w:hint="eastAsia" w:ascii="宋体" w:hAnsi="宋体" w:eastAsia="宋体"/>
                <w:color w:val="auto"/>
                <w:sz w:val="24"/>
                <w:highlight w:val="none"/>
              </w:rPr>
              <w:t>供货及安装地点</w:t>
            </w:r>
          </w:p>
        </w:tc>
        <w:tc>
          <w:tcPr>
            <w:tcW w:w="1465" w:type="pct"/>
            <w:vAlign w:val="center"/>
          </w:tcPr>
          <w:p w14:paraId="507AED41">
            <w:pPr>
              <w:jc w:val="center"/>
              <w:rPr>
                <w:rFonts w:asciiTheme="minorEastAsia" w:hAnsiTheme="minorEastAsia" w:eastAsiaTheme="minorEastAsia"/>
                <w:color w:val="auto"/>
                <w:sz w:val="24"/>
                <w:highlight w:val="none"/>
              </w:rPr>
            </w:pPr>
          </w:p>
        </w:tc>
        <w:tc>
          <w:tcPr>
            <w:tcW w:w="1510" w:type="pct"/>
            <w:vAlign w:val="center"/>
          </w:tcPr>
          <w:p w14:paraId="3220CF12">
            <w:pPr>
              <w:jc w:val="center"/>
              <w:rPr>
                <w:rFonts w:asciiTheme="minorEastAsia" w:hAnsiTheme="minorEastAsia" w:eastAsiaTheme="minorEastAsia"/>
                <w:color w:val="auto"/>
                <w:sz w:val="24"/>
                <w:highlight w:val="none"/>
              </w:rPr>
            </w:pPr>
          </w:p>
        </w:tc>
        <w:tc>
          <w:tcPr>
            <w:tcW w:w="475" w:type="pct"/>
            <w:vAlign w:val="center"/>
          </w:tcPr>
          <w:p w14:paraId="65D160FD">
            <w:pPr>
              <w:jc w:val="center"/>
              <w:rPr>
                <w:rFonts w:asciiTheme="minorEastAsia" w:hAnsiTheme="minorEastAsia" w:eastAsiaTheme="minorEastAsia"/>
                <w:color w:val="auto"/>
                <w:sz w:val="24"/>
                <w:highlight w:val="none"/>
              </w:rPr>
            </w:pPr>
          </w:p>
        </w:tc>
      </w:tr>
      <w:tr w14:paraId="41F8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7D7AE3E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26A55F0F">
            <w:pPr>
              <w:jc w:val="center"/>
              <w:rPr>
                <w:rFonts w:ascii="宋体" w:hAnsi="宋体" w:eastAsia="宋体"/>
                <w:color w:val="auto"/>
                <w:sz w:val="24"/>
                <w:highlight w:val="none"/>
              </w:rPr>
            </w:pPr>
            <w:r>
              <w:rPr>
                <w:rFonts w:hint="eastAsia" w:ascii="宋体" w:hAnsi="宋体" w:eastAsia="宋体"/>
                <w:color w:val="auto"/>
                <w:sz w:val="24"/>
                <w:highlight w:val="none"/>
              </w:rPr>
              <w:t>供货及安装期限</w:t>
            </w:r>
          </w:p>
        </w:tc>
        <w:tc>
          <w:tcPr>
            <w:tcW w:w="1465" w:type="pct"/>
            <w:vAlign w:val="center"/>
          </w:tcPr>
          <w:p w14:paraId="099431CB">
            <w:pPr>
              <w:jc w:val="center"/>
              <w:rPr>
                <w:rFonts w:asciiTheme="minorEastAsia" w:hAnsiTheme="minorEastAsia" w:eastAsiaTheme="minorEastAsia"/>
                <w:color w:val="auto"/>
                <w:sz w:val="24"/>
                <w:highlight w:val="none"/>
              </w:rPr>
            </w:pPr>
          </w:p>
        </w:tc>
        <w:tc>
          <w:tcPr>
            <w:tcW w:w="1510" w:type="pct"/>
            <w:vAlign w:val="center"/>
          </w:tcPr>
          <w:p w14:paraId="45A35710">
            <w:pPr>
              <w:pStyle w:val="54"/>
              <w:jc w:val="center"/>
              <w:rPr>
                <w:rFonts w:asciiTheme="minorEastAsia" w:hAnsiTheme="minorEastAsia" w:eastAsiaTheme="minorEastAsia"/>
                <w:color w:val="auto"/>
                <w:highlight w:val="none"/>
              </w:rPr>
            </w:pPr>
          </w:p>
        </w:tc>
        <w:tc>
          <w:tcPr>
            <w:tcW w:w="475" w:type="pct"/>
            <w:vAlign w:val="center"/>
          </w:tcPr>
          <w:p w14:paraId="76865EF5">
            <w:pPr>
              <w:jc w:val="center"/>
              <w:rPr>
                <w:rFonts w:asciiTheme="minorEastAsia" w:hAnsiTheme="minorEastAsia" w:eastAsiaTheme="minorEastAsia"/>
                <w:color w:val="auto"/>
                <w:sz w:val="24"/>
                <w:highlight w:val="none"/>
              </w:rPr>
            </w:pPr>
          </w:p>
        </w:tc>
      </w:tr>
      <w:tr w14:paraId="58E4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725F2604">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124" w:type="pct"/>
            <w:vAlign w:val="center"/>
          </w:tcPr>
          <w:p w14:paraId="699667A0">
            <w:pPr>
              <w:jc w:val="center"/>
              <w:rPr>
                <w:rFonts w:ascii="宋体" w:hAnsi="宋体" w:eastAsia="宋体"/>
                <w:color w:val="auto"/>
                <w:sz w:val="24"/>
                <w:highlight w:val="none"/>
              </w:rPr>
            </w:pPr>
            <w:r>
              <w:rPr>
                <w:rFonts w:hint="eastAsia" w:ascii="宋体" w:hAnsi="宋体" w:eastAsia="宋体"/>
                <w:color w:val="auto"/>
                <w:sz w:val="24"/>
                <w:highlight w:val="none"/>
              </w:rPr>
              <w:t>免费质保期</w:t>
            </w:r>
          </w:p>
        </w:tc>
        <w:tc>
          <w:tcPr>
            <w:tcW w:w="1465" w:type="pct"/>
            <w:vAlign w:val="center"/>
          </w:tcPr>
          <w:p w14:paraId="1975D43A">
            <w:pPr>
              <w:jc w:val="center"/>
              <w:rPr>
                <w:rFonts w:asciiTheme="minorEastAsia" w:hAnsiTheme="minorEastAsia" w:eastAsiaTheme="minorEastAsia"/>
                <w:color w:val="auto"/>
                <w:sz w:val="24"/>
                <w:highlight w:val="none"/>
              </w:rPr>
            </w:pPr>
          </w:p>
        </w:tc>
        <w:tc>
          <w:tcPr>
            <w:tcW w:w="1510" w:type="pct"/>
            <w:vAlign w:val="center"/>
          </w:tcPr>
          <w:p w14:paraId="48BE5A5C">
            <w:pPr>
              <w:jc w:val="center"/>
              <w:rPr>
                <w:rFonts w:asciiTheme="minorEastAsia" w:hAnsiTheme="minorEastAsia" w:eastAsiaTheme="minorEastAsia"/>
                <w:color w:val="auto"/>
                <w:sz w:val="24"/>
                <w:highlight w:val="none"/>
              </w:rPr>
            </w:pPr>
          </w:p>
        </w:tc>
        <w:tc>
          <w:tcPr>
            <w:tcW w:w="475" w:type="pct"/>
            <w:vAlign w:val="center"/>
          </w:tcPr>
          <w:p w14:paraId="0A7A21B7">
            <w:pPr>
              <w:jc w:val="center"/>
              <w:rPr>
                <w:rFonts w:asciiTheme="minorEastAsia" w:hAnsiTheme="minorEastAsia" w:eastAsiaTheme="minorEastAsia"/>
                <w:color w:val="auto"/>
                <w:sz w:val="24"/>
                <w:highlight w:val="none"/>
              </w:rPr>
            </w:pPr>
          </w:p>
        </w:tc>
      </w:tr>
      <w:tr w14:paraId="11C6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1DE86FCE">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3DDC4B5E">
            <w:pPr>
              <w:jc w:val="center"/>
              <w:rPr>
                <w:rFonts w:ascii="宋体" w:hAnsi="宋体" w:eastAsia="宋体"/>
                <w:color w:val="auto"/>
                <w:sz w:val="24"/>
                <w:highlight w:val="none"/>
              </w:rPr>
            </w:pPr>
          </w:p>
        </w:tc>
        <w:tc>
          <w:tcPr>
            <w:tcW w:w="1465" w:type="pct"/>
            <w:vAlign w:val="center"/>
          </w:tcPr>
          <w:p w14:paraId="04A7AEB2">
            <w:pPr>
              <w:jc w:val="center"/>
              <w:rPr>
                <w:rFonts w:asciiTheme="minorEastAsia" w:hAnsiTheme="minorEastAsia" w:eastAsiaTheme="minorEastAsia"/>
                <w:color w:val="auto"/>
                <w:sz w:val="24"/>
                <w:highlight w:val="none"/>
              </w:rPr>
            </w:pPr>
          </w:p>
        </w:tc>
        <w:tc>
          <w:tcPr>
            <w:tcW w:w="1510" w:type="pct"/>
            <w:vAlign w:val="center"/>
          </w:tcPr>
          <w:p w14:paraId="406CD1E6">
            <w:pPr>
              <w:jc w:val="center"/>
              <w:rPr>
                <w:rFonts w:asciiTheme="minorEastAsia" w:hAnsiTheme="minorEastAsia" w:eastAsiaTheme="minorEastAsia"/>
                <w:color w:val="auto"/>
                <w:sz w:val="24"/>
                <w:highlight w:val="none"/>
              </w:rPr>
            </w:pPr>
          </w:p>
        </w:tc>
        <w:tc>
          <w:tcPr>
            <w:tcW w:w="475" w:type="pct"/>
            <w:vAlign w:val="center"/>
          </w:tcPr>
          <w:p w14:paraId="7378D599">
            <w:pPr>
              <w:jc w:val="center"/>
              <w:rPr>
                <w:rFonts w:asciiTheme="minorEastAsia" w:hAnsiTheme="minorEastAsia" w:eastAsiaTheme="minorEastAsia"/>
                <w:color w:val="auto"/>
                <w:sz w:val="24"/>
                <w:highlight w:val="none"/>
              </w:rPr>
            </w:pPr>
          </w:p>
        </w:tc>
      </w:tr>
    </w:tbl>
    <w:p w14:paraId="479EA01B">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技术响应表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5A77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1F34129C">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6B826223">
            <w:pPr>
              <w:pStyle w:val="14"/>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00E219CB">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招标文件规定的技术参数及要求</w:t>
            </w:r>
          </w:p>
        </w:tc>
        <w:tc>
          <w:tcPr>
            <w:tcW w:w="1456" w:type="pct"/>
            <w:vAlign w:val="center"/>
          </w:tcPr>
          <w:p w14:paraId="6B8BB434">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082BDE6D">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3109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B0035A5">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5" w:type="pct"/>
            <w:vAlign w:val="center"/>
          </w:tcPr>
          <w:p w14:paraId="4451EF55">
            <w:pPr>
              <w:jc w:val="center"/>
              <w:rPr>
                <w:rFonts w:asciiTheme="minorEastAsia" w:hAnsiTheme="minorEastAsia" w:eastAsiaTheme="minorEastAsia"/>
                <w:color w:val="auto"/>
                <w:sz w:val="24"/>
                <w:highlight w:val="none"/>
              </w:rPr>
            </w:pPr>
          </w:p>
        </w:tc>
        <w:tc>
          <w:tcPr>
            <w:tcW w:w="1680" w:type="pct"/>
            <w:vAlign w:val="center"/>
          </w:tcPr>
          <w:p w14:paraId="7B99106B">
            <w:pPr>
              <w:jc w:val="center"/>
              <w:rPr>
                <w:rFonts w:asciiTheme="minorEastAsia" w:hAnsiTheme="minorEastAsia" w:eastAsiaTheme="minorEastAsia"/>
                <w:color w:val="auto"/>
                <w:sz w:val="24"/>
                <w:highlight w:val="none"/>
              </w:rPr>
            </w:pPr>
          </w:p>
        </w:tc>
        <w:tc>
          <w:tcPr>
            <w:tcW w:w="1456" w:type="pct"/>
            <w:vAlign w:val="center"/>
          </w:tcPr>
          <w:p w14:paraId="6C490589">
            <w:pPr>
              <w:jc w:val="center"/>
              <w:rPr>
                <w:rFonts w:asciiTheme="minorEastAsia" w:hAnsiTheme="minorEastAsia" w:eastAsiaTheme="minorEastAsia"/>
                <w:color w:val="auto"/>
                <w:sz w:val="24"/>
                <w:highlight w:val="none"/>
              </w:rPr>
            </w:pPr>
          </w:p>
        </w:tc>
        <w:tc>
          <w:tcPr>
            <w:tcW w:w="502" w:type="pct"/>
            <w:vAlign w:val="center"/>
          </w:tcPr>
          <w:p w14:paraId="448D8F18">
            <w:pPr>
              <w:jc w:val="center"/>
              <w:rPr>
                <w:rFonts w:asciiTheme="minorEastAsia" w:hAnsiTheme="minorEastAsia" w:eastAsiaTheme="minorEastAsia"/>
                <w:color w:val="auto"/>
                <w:sz w:val="24"/>
                <w:highlight w:val="none"/>
              </w:rPr>
            </w:pPr>
          </w:p>
        </w:tc>
      </w:tr>
      <w:tr w14:paraId="218C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4C7BE4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5" w:type="pct"/>
            <w:vAlign w:val="center"/>
          </w:tcPr>
          <w:p w14:paraId="12CE6BAF">
            <w:pPr>
              <w:jc w:val="center"/>
              <w:rPr>
                <w:rFonts w:asciiTheme="minorEastAsia" w:hAnsiTheme="minorEastAsia" w:eastAsiaTheme="minorEastAsia"/>
                <w:color w:val="auto"/>
                <w:sz w:val="24"/>
                <w:highlight w:val="none"/>
              </w:rPr>
            </w:pPr>
          </w:p>
        </w:tc>
        <w:tc>
          <w:tcPr>
            <w:tcW w:w="1680" w:type="pct"/>
            <w:vAlign w:val="center"/>
          </w:tcPr>
          <w:p w14:paraId="23F2ADDE">
            <w:pPr>
              <w:jc w:val="center"/>
              <w:rPr>
                <w:rFonts w:asciiTheme="minorEastAsia" w:hAnsiTheme="minorEastAsia" w:eastAsiaTheme="minorEastAsia"/>
                <w:color w:val="auto"/>
                <w:sz w:val="24"/>
                <w:highlight w:val="none"/>
              </w:rPr>
            </w:pPr>
          </w:p>
        </w:tc>
        <w:tc>
          <w:tcPr>
            <w:tcW w:w="1456" w:type="pct"/>
            <w:vAlign w:val="center"/>
          </w:tcPr>
          <w:p w14:paraId="74D31106">
            <w:pPr>
              <w:jc w:val="center"/>
              <w:rPr>
                <w:rFonts w:asciiTheme="minorEastAsia" w:hAnsiTheme="minorEastAsia" w:eastAsiaTheme="minorEastAsia"/>
                <w:color w:val="auto"/>
                <w:sz w:val="24"/>
                <w:highlight w:val="none"/>
              </w:rPr>
            </w:pPr>
          </w:p>
        </w:tc>
        <w:tc>
          <w:tcPr>
            <w:tcW w:w="502" w:type="pct"/>
            <w:vAlign w:val="center"/>
          </w:tcPr>
          <w:p w14:paraId="5D2B3600">
            <w:pPr>
              <w:jc w:val="center"/>
              <w:rPr>
                <w:rFonts w:asciiTheme="minorEastAsia" w:hAnsiTheme="minorEastAsia" w:eastAsiaTheme="minorEastAsia"/>
                <w:color w:val="auto"/>
                <w:sz w:val="24"/>
                <w:highlight w:val="none"/>
              </w:rPr>
            </w:pPr>
          </w:p>
        </w:tc>
      </w:tr>
      <w:tr w14:paraId="1E58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73209F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915" w:type="pct"/>
            <w:vAlign w:val="center"/>
          </w:tcPr>
          <w:p w14:paraId="37A35A5B">
            <w:pPr>
              <w:jc w:val="center"/>
              <w:rPr>
                <w:rFonts w:asciiTheme="minorEastAsia" w:hAnsiTheme="minorEastAsia" w:eastAsiaTheme="minorEastAsia"/>
                <w:color w:val="auto"/>
                <w:sz w:val="24"/>
                <w:highlight w:val="none"/>
              </w:rPr>
            </w:pPr>
          </w:p>
        </w:tc>
        <w:tc>
          <w:tcPr>
            <w:tcW w:w="1680" w:type="pct"/>
            <w:vAlign w:val="center"/>
          </w:tcPr>
          <w:p w14:paraId="6A4C0CDF">
            <w:pPr>
              <w:jc w:val="center"/>
              <w:rPr>
                <w:rFonts w:asciiTheme="minorEastAsia" w:hAnsiTheme="minorEastAsia" w:eastAsiaTheme="minorEastAsia"/>
                <w:color w:val="auto"/>
                <w:sz w:val="24"/>
                <w:highlight w:val="none"/>
              </w:rPr>
            </w:pPr>
          </w:p>
        </w:tc>
        <w:tc>
          <w:tcPr>
            <w:tcW w:w="1456" w:type="pct"/>
            <w:vAlign w:val="center"/>
          </w:tcPr>
          <w:p w14:paraId="3D46312A">
            <w:pPr>
              <w:pStyle w:val="54"/>
              <w:jc w:val="center"/>
              <w:rPr>
                <w:rFonts w:asciiTheme="minorEastAsia" w:hAnsiTheme="minorEastAsia" w:eastAsiaTheme="minorEastAsia"/>
                <w:color w:val="auto"/>
                <w:highlight w:val="none"/>
              </w:rPr>
            </w:pPr>
          </w:p>
        </w:tc>
        <w:tc>
          <w:tcPr>
            <w:tcW w:w="502" w:type="pct"/>
            <w:vAlign w:val="center"/>
          </w:tcPr>
          <w:p w14:paraId="52968288">
            <w:pPr>
              <w:jc w:val="center"/>
              <w:rPr>
                <w:rFonts w:asciiTheme="minorEastAsia" w:hAnsiTheme="minorEastAsia" w:eastAsiaTheme="minorEastAsia"/>
                <w:color w:val="auto"/>
                <w:sz w:val="24"/>
                <w:highlight w:val="none"/>
              </w:rPr>
            </w:pPr>
          </w:p>
        </w:tc>
      </w:tr>
      <w:tr w14:paraId="594E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72F0D32">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5" w:type="pct"/>
            <w:vAlign w:val="center"/>
          </w:tcPr>
          <w:p w14:paraId="5F1BDC92">
            <w:pPr>
              <w:jc w:val="center"/>
              <w:rPr>
                <w:rFonts w:asciiTheme="minorEastAsia" w:hAnsiTheme="minorEastAsia" w:eastAsiaTheme="minorEastAsia"/>
                <w:color w:val="auto"/>
                <w:sz w:val="24"/>
                <w:highlight w:val="none"/>
              </w:rPr>
            </w:pPr>
          </w:p>
        </w:tc>
        <w:tc>
          <w:tcPr>
            <w:tcW w:w="1680" w:type="pct"/>
            <w:vAlign w:val="center"/>
          </w:tcPr>
          <w:p w14:paraId="563C3759">
            <w:pPr>
              <w:jc w:val="center"/>
              <w:rPr>
                <w:rFonts w:asciiTheme="minorEastAsia" w:hAnsiTheme="minorEastAsia" w:eastAsiaTheme="minorEastAsia"/>
                <w:color w:val="auto"/>
                <w:sz w:val="24"/>
                <w:highlight w:val="none"/>
              </w:rPr>
            </w:pPr>
          </w:p>
        </w:tc>
        <w:tc>
          <w:tcPr>
            <w:tcW w:w="1456" w:type="pct"/>
            <w:vAlign w:val="center"/>
          </w:tcPr>
          <w:p w14:paraId="5F7122F2">
            <w:pPr>
              <w:pStyle w:val="54"/>
              <w:jc w:val="center"/>
              <w:rPr>
                <w:rFonts w:asciiTheme="minorEastAsia" w:hAnsiTheme="minorEastAsia" w:eastAsiaTheme="minorEastAsia"/>
                <w:color w:val="auto"/>
                <w:highlight w:val="none"/>
              </w:rPr>
            </w:pPr>
          </w:p>
        </w:tc>
        <w:tc>
          <w:tcPr>
            <w:tcW w:w="502" w:type="pct"/>
            <w:vAlign w:val="center"/>
          </w:tcPr>
          <w:p w14:paraId="5994FEEA">
            <w:pPr>
              <w:jc w:val="center"/>
              <w:rPr>
                <w:rFonts w:asciiTheme="minorEastAsia" w:hAnsiTheme="minorEastAsia" w:eastAsiaTheme="minorEastAsia"/>
                <w:color w:val="auto"/>
                <w:sz w:val="24"/>
                <w:highlight w:val="none"/>
              </w:rPr>
            </w:pPr>
          </w:p>
        </w:tc>
      </w:tr>
      <w:tr w14:paraId="2BA0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6F07FAC">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915" w:type="pct"/>
            <w:vAlign w:val="center"/>
          </w:tcPr>
          <w:p w14:paraId="3D257C4B">
            <w:pPr>
              <w:jc w:val="center"/>
              <w:rPr>
                <w:rFonts w:asciiTheme="minorEastAsia" w:hAnsiTheme="minorEastAsia" w:eastAsiaTheme="minorEastAsia"/>
                <w:color w:val="auto"/>
                <w:sz w:val="24"/>
                <w:highlight w:val="none"/>
              </w:rPr>
            </w:pPr>
          </w:p>
        </w:tc>
        <w:tc>
          <w:tcPr>
            <w:tcW w:w="1680" w:type="pct"/>
            <w:vAlign w:val="center"/>
          </w:tcPr>
          <w:p w14:paraId="277FBE05">
            <w:pPr>
              <w:jc w:val="center"/>
              <w:rPr>
                <w:rFonts w:asciiTheme="minorEastAsia" w:hAnsiTheme="minorEastAsia" w:eastAsiaTheme="minorEastAsia"/>
                <w:color w:val="auto"/>
                <w:sz w:val="24"/>
                <w:highlight w:val="none"/>
              </w:rPr>
            </w:pPr>
          </w:p>
        </w:tc>
        <w:tc>
          <w:tcPr>
            <w:tcW w:w="1456" w:type="pct"/>
            <w:vAlign w:val="center"/>
          </w:tcPr>
          <w:p w14:paraId="5E0DBBD6">
            <w:pPr>
              <w:jc w:val="center"/>
              <w:rPr>
                <w:rFonts w:asciiTheme="minorEastAsia" w:hAnsiTheme="minorEastAsia" w:eastAsiaTheme="minorEastAsia"/>
                <w:color w:val="auto"/>
                <w:sz w:val="24"/>
                <w:highlight w:val="none"/>
              </w:rPr>
            </w:pPr>
          </w:p>
        </w:tc>
        <w:tc>
          <w:tcPr>
            <w:tcW w:w="502" w:type="pct"/>
            <w:vAlign w:val="center"/>
          </w:tcPr>
          <w:p w14:paraId="50D74B2C">
            <w:pPr>
              <w:jc w:val="center"/>
              <w:rPr>
                <w:rFonts w:asciiTheme="minorEastAsia" w:hAnsiTheme="minorEastAsia" w:eastAsiaTheme="minorEastAsia"/>
                <w:color w:val="auto"/>
                <w:sz w:val="24"/>
                <w:highlight w:val="none"/>
              </w:rPr>
            </w:pPr>
          </w:p>
        </w:tc>
      </w:tr>
    </w:tbl>
    <w:p w14:paraId="003B602A">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5EBD4CFD">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0919CFF7">
      <w:pPr>
        <w:pStyle w:val="15"/>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73CF54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eastAsiaTheme="minorEastAsia"/>
          <w:b/>
          <w:color w:val="auto"/>
          <w:sz w:val="24"/>
          <w:highlight w:val="none"/>
          <w:lang w:val="en-US" w:eastAsia="zh-CN"/>
        </w:rPr>
      </w:pPr>
      <w:bookmarkStart w:id="47" w:name="_Toc31244"/>
      <w:bookmarkStart w:id="48" w:name="_Toc9573"/>
      <w:bookmarkStart w:id="49" w:name="OLE_LINK14"/>
      <w:bookmarkStart w:id="50" w:name="OLE_LINK13"/>
      <w:r>
        <w:rPr>
          <w:rFonts w:hint="eastAsia" w:asciiTheme="minorEastAsia" w:hAnsiTheme="minorEastAsia" w:eastAsiaTheme="minorEastAsia"/>
          <w:b/>
          <w:color w:val="auto"/>
          <w:sz w:val="24"/>
          <w:highlight w:val="none"/>
          <w:lang w:val="en-US" w:eastAsia="zh-CN"/>
        </w:rPr>
        <w:t>七、中小企业声明函</w:t>
      </w:r>
      <w:bookmarkEnd w:id="47"/>
      <w:bookmarkEnd w:id="48"/>
    </w:p>
    <w:p w14:paraId="55254EE0">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非中小企业投标</w:t>
      </w:r>
      <w:r>
        <w:rPr>
          <w:rFonts w:hint="eastAsia" w:ascii="宋体" w:hAnsi="宋体" w:eastAsia="宋体"/>
          <w:b w:val="0"/>
          <w:i/>
          <w:color w:val="auto"/>
          <w:sz w:val="24"/>
          <w:highlight w:val="none"/>
          <w:lang w:val="en-US" w:eastAsia="zh-CN"/>
        </w:rPr>
        <w:t>，不需此件，请删去“中小企业声明函”）</w:t>
      </w:r>
    </w:p>
    <w:p w14:paraId="19F7E88B">
      <w:pPr>
        <w:rPr>
          <w:rFonts w:asciiTheme="minorEastAsia" w:hAnsiTheme="minorEastAsia" w:eastAsiaTheme="minorEastAsia"/>
          <w:color w:val="auto"/>
          <w:sz w:val="24"/>
          <w:szCs w:val="24"/>
          <w:highlight w:val="none"/>
        </w:rPr>
      </w:pPr>
    </w:p>
    <w:p w14:paraId="4CE2F7CC">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 xml:space="preserve">）采购活动，提供的货物全部由符合政策要求的中小企业制造。相关企业（含联合体中的中小企业、签订分包意向协议的中小企业）的具体情况如下： </w:t>
      </w:r>
    </w:p>
    <w:p w14:paraId="3BDE74B1">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4275A462">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76C69011">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79E61EE6">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3B7E63FF">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248C82FA">
      <w:pPr>
        <w:spacing w:line="360" w:lineRule="auto"/>
        <w:ind w:firstLine="435"/>
        <w:rPr>
          <w:rFonts w:asciiTheme="minorEastAsia" w:hAnsiTheme="minorEastAsia" w:eastAsiaTheme="minorEastAsia"/>
          <w:color w:val="auto"/>
          <w:sz w:val="24"/>
          <w:szCs w:val="24"/>
          <w:highlight w:val="none"/>
        </w:rPr>
      </w:pPr>
    </w:p>
    <w:p w14:paraId="783937D3">
      <w:pPr>
        <w:spacing w:line="360" w:lineRule="auto"/>
        <w:ind w:firstLine="435"/>
        <w:rPr>
          <w:rFonts w:asciiTheme="minorEastAsia" w:hAnsiTheme="minorEastAsia" w:eastAsiaTheme="minorEastAsia"/>
          <w:color w:val="auto"/>
          <w:sz w:val="24"/>
          <w:szCs w:val="24"/>
          <w:highlight w:val="none"/>
        </w:rPr>
      </w:pPr>
    </w:p>
    <w:p w14:paraId="137C208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476085FC">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2B2CF406">
      <w:pPr>
        <w:tabs>
          <w:tab w:val="left" w:pos="4620"/>
        </w:tabs>
        <w:spacing w:line="360" w:lineRule="auto"/>
        <w:jc w:val="left"/>
        <w:rPr>
          <w:rFonts w:asciiTheme="minorEastAsia" w:hAnsiTheme="minorEastAsia" w:eastAsiaTheme="minorEastAsia"/>
          <w:color w:val="auto"/>
          <w:sz w:val="24"/>
          <w:szCs w:val="24"/>
          <w:highlight w:val="none"/>
        </w:rPr>
      </w:pPr>
    </w:p>
    <w:p w14:paraId="6F47AB80">
      <w:pPr>
        <w:tabs>
          <w:tab w:val="left" w:pos="4620"/>
        </w:tabs>
        <w:spacing w:line="360" w:lineRule="auto"/>
        <w:jc w:val="left"/>
        <w:rPr>
          <w:rFonts w:asciiTheme="minorEastAsia" w:hAnsiTheme="minorEastAsia" w:eastAsiaTheme="minorEastAsia"/>
          <w:color w:val="auto"/>
          <w:sz w:val="24"/>
          <w:szCs w:val="24"/>
          <w:highlight w:val="none"/>
        </w:rPr>
      </w:pPr>
    </w:p>
    <w:p w14:paraId="4048229E">
      <w:pPr>
        <w:tabs>
          <w:tab w:val="left" w:pos="4620"/>
        </w:tabs>
        <w:spacing w:line="360" w:lineRule="auto"/>
        <w:jc w:val="left"/>
        <w:rPr>
          <w:rFonts w:asciiTheme="minorEastAsia" w:hAnsiTheme="minorEastAsia" w:eastAsiaTheme="minorEastAsia"/>
          <w:color w:val="auto"/>
          <w:sz w:val="24"/>
          <w:szCs w:val="24"/>
          <w:highlight w:val="none"/>
        </w:rPr>
      </w:pPr>
    </w:p>
    <w:p w14:paraId="0B2780AB">
      <w:pPr>
        <w:tabs>
          <w:tab w:val="left" w:pos="4620"/>
        </w:tabs>
        <w:spacing w:line="360" w:lineRule="auto"/>
        <w:jc w:val="left"/>
        <w:rPr>
          <w:rFonts w:asciiTheme="minorEastAsia" w:hAnsiTheme="minorEastAsia" w:eastAsiaTheme="minorEastAsia"/>
          <w:color w:val="auto"/>
          <w:sz w:val="24"/>
          <w:szCs w:val="24"/>
          <w:highlight w:val="none"/>
        </w:rPr>
      </w:pPr>
    </w:p>
    <w:p w14:paraId="061DBD95">
      <w:pPr>
        <w:tabs>
          <w:tab w:val="left" w:pos="4620"/>
        </w:tabs>
        <w:spacing w:line="360" w:lineRule="auto"/>
        <w:jc w:val="left"/>
        <w:rPr>
          <w:rFonts w:asciiTheme="minorEastAsia" w:hAnsiTheme="minorEastAsia" w:eastAsiaTheme="minorEastAsia"/>
          <w:color w:val="auto"/>
          <w:sz w:val="24"/>
          <w:szCs w:val="24"/>
          <w:highlight w:val="none"/>
        </w:rPr>
      </w:pPr>
    </w:p>
    <w:p w14:paraId="77328082">
      <w:pPr>
        <w:tabs>
          <w:tab w:val="left" w:pos="4620"/>
        </w:tabs>
        <w:spacing w:line="360" w:lineRule="auto"/>
        <w:jc w:val="left"/>
        <w:outlineLvl w:val="9"/>
        <w:rPr>
          <w:rFonts w:hint="eastAsia" w:asciiTheme="minorEastAsia" w:hAnsiTheme="minorEastAsia" w:eastAsiaTheme="minorEastAsia"/>
          <w:b/>
          <w:color w:val="auto"/>
          <w:szCs w:val="24"/>
          <w:highlight w:val="none"/>
          <w:lang w:eastAsia="zh-CN"/>
        </w:rPr>
      </w:pPr>
      <w:r>
        <w:rPr>
          <w:rFonts w:hint="eastAsia" w:asciiTheme="minorEastAsia" w:hAnsiTheme="minorEastAsia" w:eastAsiaTheme="minorEastAsia"/>
          <w:b/>
          <w:color w:val="auto"/>
          <w:szCs w:val="24"/>
          <w:highlight w:val="none"/>
          <w:lang w:eastAsia="zh-CN"/>
        </w:rPr>
        <w:t>注：</w:t>
      </w:r>
    </w:p>
    <w:p w14:paraId="07F5B980">
      <w:pPr>
        <w:tabs>
          <w:tab w:val="left" w:pos="4620"/>
        </w:tabs>
        <w:spacing w:line="360" w:lineRule="auto"/>
        <w:jc w:val="left"/>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011A55C4">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2.投标人应根据《政府采购促进中小企业发展管理办法》（财库﹝2020﹞46号）和《关于印发中小企业划型标准规定的通知》(工信部联企业〔2011〕300号)相关规定，如实填写中小企业声明函。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投标人自行登录工业和信息化部官网进行中小企业规模类型自测（查询网址https://www.miit.gov.cn/）。</w:t>
      </w:r>
    </w:p>
    <w:p w14:paraId="1883F04C">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”，详见第三章采购需求中明确的“货物名称”。</w:t>
      </w:r>
    </w:p>
    <w:p w14:paraId="6ED013B8">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”，详见第三章采购需求中明确的“所属行业”。</w:t>
      </w:r>
    </w:p>
    <w:p w14:paraId="78BB2DFE">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lang w:val="zh-CN"/>
        </w:rPr>
        <w:t>某设备</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rPr>
        <w:t>（填写第三章采购需求中对应货物的“所属行业”，如工业）</w:t>
      </w:r>
      <w:r>
        <w:rPr>
          <w:rFonts w:hint="eastAsia" w:ascii="宋体" w:hAnsi="宋体" w:eastAsia="宋体" w:cs="宋体"/>
          <w:b/>
          <w:bCs/>
          <w:color w:val="auto"/>
          <w:szCs w:val="21"/>
          <w:highlight w:val="none"/>
          <w:lang w:val="zh-CN"/>
        </w:rPr>
        <w:t>行业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制造</w:t>
      </w:r>
      <w:r>
        <w:rPr>
          <w:rFonts w:hint="eastAsia" w:ascii="宋体" w:hAnsi="宋体" w:eastAsia="宋体" w:cs="宋体"/>
          <w:b/>
          <w:bCs/>
          <w:color w:val="auto"/>
          <w:szCs w:val="21"/>
          <w:highlight w:val="none"/>
          <w:lang w:val="zh-CN"/>
        </w:rPr>
        <w:t>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lang w:val="zh-CN"/>
        </w:rPr>
        <w:t>小型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[投标人自行登录工业和信息化部官网进行中小企业规模类型自测（查询网址https://www.miit.gov.cn/）]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58072F7D">
      <w:pPr>
        <w:rPr>
          <w:rFonts w:hint="eastAsia" w:asciiTheme="minorEastAsia" w:hAnsiTheme="minorEastAsia" w:eastAsiaTheme="minorEastAsia"/>
          <w:b/>
          <w:bCs/>
          <w:color w:val="auto"/>
          <w:szCs w:val="24"/>
          <w:highlight w:val="none"/>
        </w:rPr>
      </w:pPr>
      <w:r>
        <w:rPr>
          <w:rFonts w:hint="eastAsia" w:asciiTheme="minorEastAsia" w:hAnsiTheme="minorEastAsia" w:eastAsiaTheme="minorEastAsia"/>
          <w:b/>
          <w:bCs/>
          <w:color w:val="auto"/>
          <w:szCs w:val="24"/>
          <w:highlight w:val="none"/>
        </w:rPr>
        <w:br w:type="page"/>
      </w:r>
      <w:bookmarkEnd w:id="49"/>
      <w:bookmarkEnd w:id="50"/>
    </w:p>
    <w:p w14:paraId="1C028C3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eastAsiaTheme="minorEastAsia"/>
          <w:b/>
          <w:color w:val="auto"/>
          <w:sz w:val="24"/>
          <w:highlight w:val="none"/>
          <w:lang w:val="en-US" w:eastAsia="zh-CN"/>
        </w:rPr>
      </w:pPr>
      <w:bookmarkStart w:id="51" w:name="_Toc16713"/>
      <w:bookmarkStart w:id="52" w:name="_Toc24563"/>
      <w:r>
        <w:rPr>
          <w:rFonts w:hint="eastAsia" w:asciiTheme="minorEastAsia" w:hAnsiTheme="minorEastAsia" w:eastAsiaTheme="minorEastAsia"/>
          <w:b/>
          <w:color w:val="auto"/>
          <w:sz w:val="24"/>
          <w:highlight w:val="none"/>
          <w:lang w:val="en-US" w:eastAsia="zh-CN"/>
        </w:rPr>
        <w:t>八、残疾人福利性单位声明函</w:t>
      </w:r>
      <w:bookmarkEnd w:id="51"/>
      <w:bookmarkEnd w:id="52"/>
    </w:p>
    <w:p w14:paraId="7708EA47">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（非残疾人福利性单位投标，请删去“残疾人福利性单位声明函”）</w:t>
      </w:r>
    </w:p>
    <w:p w14:paraId="74C678DA">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365B6C6E">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44549BCE">
      <w:pPr>
        <w:spacing w:line="360" w:lineRule="auto"/>
        <w:ind w:firstLine="4228" w:firstLineChars="1762"/>
        <w:rPr>
          <w:rFonts w:asciiTheme="minorEastAsia" w:hAnsiTheme="minorEastAsia" w:eastAsiaTheme="minorEastAsia"/>
          <w:color w:val="auto"/>
          <w:sz w:val="24"/>
          <w:szCs w:val="24"/>
          <w:highlight w:val="none"/>
        </w:rPr>
      </w:pPr>
    </w:p>
    <w:p w14:paraId="5C38B443">
      <w:pPr>
        <w:spacing w:line="360" w:lineRule="auto"/>
        <w:ind w:firstLine="4228" w:firstLineChars="1762"/>
        <w:rPr>
          <w:rFonts w:asciiTheme="minorEastAsia" w:hAnsiTheme="minorEastAsia" w:eastAsiaTheme="minorEastAsia"/>
          <w:color w:val="auto"/>
          <w:sz w:val="24"/>
          <w:szCs w:val="24"/>
          <w:highlight w:val="none"/>
        </w:rPr>
      </w:pPr>
    </w:p>
    <w:p w14:paraId="35C5892A">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1942EBBA">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5D33676B">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54492A2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仿宋_GB2312"/>
          <w:b/>
          <w:color w:val="auto"/>
          <w:sz w:val="24"/>
          <w:szCs w:val="20"/>
          <w:highlight w:val="none"/>
        </w:rPr>
      </w:pPr>
      <w:bookmarkStart w:id="53" w:name="_Toc457768004"/>
      <w:bookmarkStart w:id="54" w:name="_Toc300210382"/>
      <w:bookmarkStart w:id="55" w:name="_Toc520299348"/>
      <w:bookmarkStart w:id="56" w:name="_Toc25813"/>
      <w:bookmarkStart w:id="57" w:name="_Toc26536"/>
      <w:bookmarkStart w:id="58" w:name="_Hlk11701496"/>
      <w:r>
        <w:rPr>
          <w:rFonts w:hint="eastAsia" w:asciiTheme="minorEastAsia" w:hAnsiTheme="minorEastAsia" w:eastAsiaTheme="minorEastAsia"/>
          <w:b/>
          <w:color w:val="auto"/>
          <w:sz w:val="24"/>
          <w:highlight w:val="none"/>
          <w:lang w:val="en-US" w:eastAsia="zh-CN"/>
        </w:rPr>
        <w:t>九、</w:t>
      </w:r>
      <w:r>
        <w:rPr>
          <w:rFonts w:hint="eastAsia" w:ascii="宋体" w:hAnsi="宋体" w:eastAsia="宋体" w:cs="@仿宋_GB2312"/>
          <w:b/>
          <w:color w:val="auto"/>
          <w:sz w:val="24"/>
          <w:szCs w:val="20"/>
          <w:highlight w:val="none"/>
        </w:rPr>
        <w:t>关于符合本国产品标准的声明函</w:t>
      </w:r>
    </w:p>
    <w:p w14:paraId="4B877A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i w:val="0"/>
          <w:iCs w:val="0"/>
          <w:caps w:val="0"/>
          <w:color w:val="auto"/>
          <w:spacing w:val="0"/>
          <w:sz w:val="24"/>
          <w:szCs w:val="24"/>
          <w:highlight w:val="none"/>
          <w:u w:val="none"/>
          <w:shd w:val="clear" w:color="auto" w:fill="FFFFFF"/>
          <w:vertAlign w:val="baseline"/>
        </w:rPr>
      </w:pPr>
      <w:r>
        <w:rPr>
          <w:rFonts w:hint="eastAsia" w:ascii="宋体" w:hAnsi="宋体" w:eastAsia="宋体"/>
          <w:b w:val="0"/>
          <w:i/>
          <w:color w:val="auto"/>
          <w:sz w:val="24"/>
          <w:highlight w:val="none"/>
          <w:lang w:val="en-US" w:eastAsia="zh-CN"/>
        </w:rPr>
        <w:t>（不符合本国产品扶持政策，不需此件）</w:t>
      </w:r>
    </w:p>
    <w:p w14:paraId="5252BC2D">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14B4EA3">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1.</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（产品名称1）</w:t>
      </w:r>
      <w:r>
        <w:rPr>
          <w:rStyle w:val="33"/>
          <w:rFonts w:hint="eastAsia" w:ascii="宋体" w:hAnsi="宋体" w:eastAsia="宋体" w:cs="宋体"/>
          <w:i w:val="0"/>
          <w:iCs w:val="0"/>
          <w:caps w:val="0"/>
          <w:color w:val="auto"/>
          <w:spacing w:val="0"/>
          <w:sz w:val="24"/>
          <w:szCs w:val="24"/>
          <w:highlight w:val="none"/>
          <w:u w:val="none"/>
          <w:shd w:val="clear" w:color="auto" w:fill="FFFFFF"/>
          <w:vertAlign w:val="superscript"/>
        </w:rPr>
        <w:t>1</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Style w:val="33"/>
          <w:rFonts w:hint="eastAsia" w:ascii="宋体" w:hAnsi="宋体" w:eastAsia="宋体" w:cs="宋体"/>
          <w:i w:val="0"/>
          <w:iCs w:val="0"/>
          <w:caps w:val="0"/>
          <w:color w:val="auto"/>
          <w:spacing w:val="0"/>
          <w:sz w:val="24"/>
          <w:szCs w:val="24"/>
          <w:highlight w:val="none"/>
          <w:u w:val="none"/>
          <w:shd w:val="clear" w:color="auto" w:fill="FFFFFF"/>
          <w:vertAlign w:val="superscript"/>
        </w:rPr>
        <w:t>2</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013C41A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2.</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33"/>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445B96C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w:t>
      </w:r>
    </w:p>
    <w:p w14:paraId="78FBDA1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本公司（单位）对上述声明内容的真实性负责。如有虚假，愿承担相应法律责任。</w:t>
      </w:r>
    </w:p>
    <w:p w14:paraId="5CFCD70A">
      <w:pPr>
        <w:keepNext w:val="0"/>
        <w:keepLines w:val="0"/>
        <w:pageBreakBefore w:val="0"/>
        <w:widowControl w:val="0"/>
        <w:kinsoku/>
        <w:wordWrap/>
        <w:overflowPunct/>
        <w:topLinePunct w:val="0"/>
        <w:autoSpaceDE/>
        <w:autoSpaceDN/>
        <w:bidi w:val="0"/>
        <w:adjustRightInd/>
        <w:snapToGrid/>
        <w:spacing w:line="360" w:lineRule="auto"/>
        <w:ind w:firstLine="4228" w:firstLineChars="1762"/>
        <w:textAlignment w:val="auto"/>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电子签章</w:t>
      </w:r>
      <w:r>
        <w:rPr>
          <w:rFonts w:hint="eastAsia" w:ascii="宋体" w:hAnsi="宋体" w:eastAsia="宋体"/>
          <w:color w:val="auto"/>
          <w:sz w:val="24"/>
          <w:szCs w:val="24"/>
          <w:highlight w:val="none"/>
        </w:rPr>
        <w:t>：</w:t>
      </w:r>
      <w:r>
        <w:rPr>
          <w:rFonts w:ascii="宋体" w:hAnsi="宋体" w:eastAsia="宋体"/>
          <w:color w:val="auto"/>
          <w:sz w:val="24"/>
          <w:szCs w:val="24"/>
          <w:highlight w:val="none"/>
          <w:u w:val="single"/>
        </w:rPr>
        <w:t xml:space="preserve">             </w:t>
      </w:r>
    </w:p>
    <w:p w14:paraId="2DF598AD">
      <w:pPr>
        <w:keepNext w:val="0"/>
        <w:keepLines w:val="0"/>
        <w:pageBreakBefore w:val="0"/>
        <w:widowControl w:val="0"/>
        <w:tabs>
          <w:tab w:val="left" w:pos="4620"/>
        </w:tabs>
        <w:kinsoku/>
        <w:wordWrap/>
        <w:overflowPunct/>
        <w:topLinePunct w:val="0"/>
        <w:autoSpaceDE/>
        <w:autoSpaceDN/>
        <w:bidi w:val="0"/>
        <w:adjustRightInd/>
        <w:snapToGrid/>
        <w:spacing w:line="360" w:lineRule="auto"/>
        <w:ind w:firstLine="4252" w:firstLineChars="1772"/>
        <w:textAlignment w:val="auto"/>
        <w:rPr>
          <w:rFonts w:hint="eastAsia" w:ascii="宋体" w:hAnsi="宋体" w:eastAsia="宋体" w:cs="宋体"/>
          <w:i w:val="0"/>
          <w:iCs w:val="0"/>
          <w:caps w:val="0"/>
          <w:color w:val="auto"/>
          <w:spacing w:val="0"/>
          <w:sz w:val="24"/>
          <w:szCs w:val="24"/>
          <w:highlight w:val="none"/>
          <w:u w:val="none"/>
          <w:shd w:val="clear" w:color="auto" w:fill="FFFFFF"/>
          <w:vertAlign w:val="baseline"/>
        </w:rPr>
      </w:pPr>
      <w:r>
        <w:rPr>
          <w:rFonts w:hint="eastAsia" w:ascii="宋体" w:hAnsi="宋体" w:eastAsia="宋体"/>
          <w:color w:val="auto"/>
          <w:sz w:val="24"/>
          <w:szCs w:val="24"/>
          <w:highlight w:val="none"/>
        </w:rPr>
        <w:t>日</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ascii="宋体" w:hAnsi="宋体" w:eastAsia="宋体"/>
          <w:color w:val="auto"/>
          <w:sz w:val="24"/>
          <w:szCs w:val="24"/>
          <w:highlight w:val="none"/>
          <w:u w:val="single"/>
        </w:rPr>
        <w:t xml:space="preserve">             </w:t>
      </w:r>
    </w:p>
    <w:p w14:paraId="1DBA2226">
      <w:pPr>
        <w:tabs>
          <w:tab w:val="left" w:pos="4620"/>
        </w:tabs>
        <w:spacing w:line="360" w:lineRule="auto"/>
        <w:jc w:val="left"/>
        <w:rPr>
          <w:rFonts w:hint="eastAsia" w:ascii="宋体" w:hAnsi="宋体" w:eastAsia="宋体"/>
          <w:b w:val="0"/>
          <w:bCs/>
          <w:color w:val="auto"/>
          <w:szCs w:val="24"/>
          <w:highlight w:val="none"/>
          <w:lang w:eastAsia="zh-CN"/>
        </w:rPr>
      </w:pPr>
      <w:r>
        <w:rPr>
          <w:rFonts w:hint="eastAsia" w:ascii="宋体" w:hAnsi="宋体" w:eastAsia="宋体" w:cs="Times New Roman"/>
          <w:b/>
          <w:color w:val="auto"/>
          <w:szCs w:val="24"/>
          <w:highlight w:val="none"/>
          <w:lang w:val="en-US" w:eastAsia="zh-CN"/>
        </w:rPr>
        <w:t>注：</w:t>
      </w:r>
    </w:p>
    <w:p w14:paraId="790AB324">
      <w:pPr>
        <w:tabs>
          <w:tab w:val="left" w:pos="4620"/>
        </w:tabs>
        <w:spacing w:line="360" w:lineRule="auto"/>
        <w:jc w:val="left"/>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lang w:eastAsia="zh-CN"/>
        </w:rPr>
        <w:t>1.产品如有型号，请在“产品名称”栏一并填写。</w:t>
      </w:r>
    </w:p>
    <w:p w14:paraId="01D63837">
      <w:pPr>
        <w:tabs>
          <w:tab w:val="left" w:pos="4620"/>
        </w:tabs>
        <w:spacing w:line="360" w:lineRule="auto"/>
        <w:jc w:val="left"/>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lang w:eastAsia="zh-CN"/>
        </w:rPr>
        <w:t>2.生产厂名与厂址应与生产厂营业执照载明的相关信息保持一致。</w:t>
      </w:r>
    </w:p>
    <w:p w14:paraId="4A665285">
      <w:pPr>
        <w:tabs>
          <w:tab w:val="left" w:pos="4620"/>
        </w:tabs>
        <w:spacing w:line="360" w:lineRule="auto"/>
        <w:jc w:val="left"/>
        <w:rPr>
          <w:rFonts w:hint="eastAsia"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lang w:val="en-US" w:eastAsia="zh-CN"/>
        </w:rPr>
        <w:t>3.上述声明函中标注</w:t>
      </w:r>
      <w:r>
        <w:rPr>
          <w:rFonts w:hint="eastAsia" w:ascii="宋体" w:hAnsi="宋体" w:eastAsia="宋体" w:cs="Times New Roman"/>
          <w:b w:val="0"/>
          <w:bCs/>
          <w:color w:val="auto"/>
          <w:sz w:val="21"/>
          <w:szCs w:val="21"/>
          <w:highlight w:val="none"/>
          <w:u w:val="single"/>
          <w:lang w:val="en-US" w:eastAsia="zh-CN"/>
        </w:rPr>
        <w:t xml:space="preserve">  /  </w:t>
      </w:r>
      <w:r>
        <w:rPr>
          <w:rFonts w:hint="eastAsia" w:ascii="宋体" w:hAnsi="宋体" w:eastAsia="宋体" w:cs="Times New Roman"/>
          <w:b w:val="0"/>
          <w:bCs/>
          <w:color w:val="auto"/>
          <w:sz w:val="21"/>
          <w:szCs w:val="21"/>
          <w:highlight w:val="none"/>
          <w:lang w:val="en-US" w:eastAsia="zh-CN"/>
        </w:rPr>
        <w:t>的，无需填写。</w:t>
      </w:r>
    </w:p>
    <w:p w14:paraId="58570BDE">
      <w:pPr>
        <w:tabs>
          <w:tab w:val="left" w:pos="4620"/>
        </w:tabs>
        <w:spacing w:line="360" w:lineRule="auto"/>
        <w:jc w:val="left"/>
        <w:rPr>
          <w:rFonts w:hint="default"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lang w:val="en-US" w:eastAsia="zh-CN"/>
        </w:rPr>
        <w:t>4.投标人应当结合“五、投标分项报价表-货物部分”相关信息进行填写。</w:t>
      </w:r>
    </w:p>
    <w:p w14:paraId="21C27F8C">
      <w:pPr>
        <w:tabs>
          <w:tab w:val="left" w:pos="4620"/>
        </w:tabs>
        <w:spacing w:line="360" w:lineRule="auto"/>
        <w:jc w:val="left"/>
        <w:rPr>
          <w:rFonts w:hint="eastAsia"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lang w:val="en-US" w:eastAsia="zh-CN"/>
        </w:rPr>
        <w:t>5.根据《国务院办公厅关于在政府采购中实施本国产品标准及相关政策的通知》（</w:t>
      </w:r>
      <w:r>
        <w:rPr>
          <w:rFonts w:hint="eastAsia" w:ascii="宋体" w:hAnsi="宋体" w:eastAsia="宋体" w:cs="Times New Roman"/>
          <w:b w:val="0"/>
          <w:bCs/>
          <w:color w:val="auto"/>
          <w:sz w:val="21"/>
          <w:szCs w:val="21"/>
          <w:highlight w:val="none"/>
          <w:lang w:eastAsia="zh-CN"/>
        </w:rPr>
        <w:t>国办发〔2025〕34号）</w:t>
      </w:r>
      <w:r>
        <w:rPr>
          <w:rFonts w:hint="eastAsia" w:ascii="宋体" w:hAnsi="宋体" w:eastAsia="宋体" w:cs="Times New Roman"/>
          <w:b w:val="0"/>
          <w:bCs/>
          <w:color w:val="auto"/>
          <w:sz w:val="21"/>
          <w:szCs w:val="21"/>
          <w:highlight w:val="none"/>
          <w:lang w:val="en-US" w:eastAsia="zh-CN"/>
        </w:rPr>
        <w:t>和财政部工业和信息化部关于贯彻落实《国务院办公厅关于在政府采购中实施本国产品标准及相关政策的通知》的意见（财库〔2025〕30号），本项目所称的本国产品是指在</w:t>
      </w:r>
      <w:r>
        <w:rPr>
          <w:rFonts w:hint="eastAsia" w:ascii="宋体" w:hAnsi="宋体" w:eastAsia="宋体" w:cs="Times New Roman"/>
          <w:b w:val="0"/>
          <w:bCs/>
          <w:color w:val="auto"/>
          <w:sz w:val="21"/>
          <w:szCs w:val="21"/>
          <w:highlight w:val="none"/>
          <w:lang w:eastAsia="zh-CN"/>
        </w:rPr>
        <w:t>中国境内生产</w:t>
      </w:r>
      <w:r>
        <w:rPr>
          <w:rFonts w:hint="eastAsia" w:ascii="宋体" w:hAnsi="宋体" w:eastAsia="宋体" w:cs="Times New Roman"/>
          <w:b w:val="0"/>
          <w:bCs/>
          <w:color w:val="auto"/>
          <w:sz w:val="21"/>
          <w:szCs w:val="21"/>
          <w:highlight w:val="none"/>
          <w:lang w:val="en-US" w:eastAsia="zh-CN"/>
        </w:rPr>
        <w:t>的产品</w:t>
      </w:r>
      <w:r>
        <w:rPr>
          <w:rFonts w:hint="eastAsia" w:ascii="宋体" w:hAnsi="宋体" w:eastAsia="宋体" w:cs="Times New Roman"/>
          <w:b w:val="0"/>
          <w:bCs/>
          <w:color w:val="auto"/>
          <w:sz w:val="21"/>
          <w:szCs w:val="21"/>
          <w:highlight w:val="none"/>
          <w:lang w:eastAsia="zh-CN"/>
        </w:rPr>
        <w:t>，即在中华人民共和国关境内实现从原材料、组件到产品的属性改变。</w:t>
      </w:r>
      <w:r>
        <w:rPr>
          <w:rFonts w:hint="eastAsia" w:ascii="宋体" w:hAnsi="宋体" w:eastAsia="宋体" w:cs="Times New Roman"/>
          <w:b w:val="0"/>
          <w:bCs/>
          <w:color w:val="auto"/>
          <w:sz w:val="21"/>
          <w:szCs w:val="21"/>
          <w:highlight w:val="none"/>
          <w:lang w:val="en-US" w:eastAsia="zh-CN"/>
        </w:rPr>
        <w:t>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C6D6117">
      <w:pPr>
        <w:tabs>
          <w:tab w:val="left" w:pos="4620"/>
        </w:tabs>
        <w:spacing w:line="360" w:lineRule="auto"/>
        <w:jc w:val="left"/>
        <w:rPr>
          <w:rFonts w:hint="eastAsia" w:asciiTheme="minorEastAsia" w:hAnsiTheme="minorEastAsia" w:eastAsiaTheme="minorEastAsia"/>
          <w:b/>
          <w:color w:val="auto"/>
          <w:sz w:val="24"/>
          <w:highlight w:val="none"/>
          <w:lang w:val="en-US" w:eastAsia="zh-CN"/>
        </w:rPr>
      </w:pPr>
    </w:p>
    <w:p w14:paraId="067C3400">
      <w:pPr>
        <w:pStyle w:val="26"/>
        <w:rPr>
          <w:rFonts w:hint="eastAsia" w:asciiTheme="minorEastAsia" w:hAnsiTheme="minorEastAsia" w:eastAsiaTheme="minorEastAsia"/>
          <w:b/>
          <w:color w:val="auto"/>
          <w:sz w:val="24"/>
          <w:highlight w:val="none"/>
          <w:lang w:val="en-US" w:eastAsia="zh-CN"/>
        </w:rPr>
      </w:pPr>
    </w:p>
    <w:p w14:paraId="6ABD5A9C">
      <w:pPr>
        <w:pStyle w:val="26"/>
        <w:rPr>
          <w:rFonts w:hint="eastAsia" w:asciiTheme="minorEastAsia" w:hAnsiTheme="minorEastAsia" w:eastAsiaTheme="minorEastAsia"/>
          <w:b/>
          <w:color w:val="auto"/>
          <w:sz w:val="24"/>
          <w:highlight w:val="none"/>
          <w:lang w:val="en-US" w:eastAsia="zh-CN"/>
        </w:rPr>
      </w:pPr>
    </w:p>
    <w:p w14:paraId="0DCD671D">
      <w:pPr>
        <w:pStyle w:val="26"/>
        <w:rPr>
          <w:rFonts w:hint="eastAsia" w:asciiTheme="minorEastAsia" w:hAnsiTheme="minorEastAsia" w:eastAsiaTheme="minorEastAsia"/>
          <w:b/>
          <w:color w:val="auto"/>
          <w:sz w:val="24"/>
          <w:highlight w:val="none"/>
          <w:lang w:val="en-US" w:eastAsia="zh-CN"/>
        </w:rPr>
      </w:pPr>
    </w:p>
    <w:p w14:paraId="77A95EC4">
      <w:pPr>
        <w:pStyle w:val="26"/>
        <w:rPr>
          <w:rFonts w:hint="eastAsia" w:asciiTheme="minorEastAsia" w:hAnsiTheme="minorEastAsia" w:eastAsiaTheme="minorEastAsia"/>
          <w:b/>
          <w:color w:val="auto"/>
          <w:sz w:val="24"/>
          <w:highlight w:val="none"/>
          <w:lang w:val="en-US" w:eastAsia="zh-CN"/>
        </w:rPr>
      </w:pPr>
    </w:p>
    <w:p w14:paraId="47F825D7">
      <w:pPr>
        <w:pStyle w:val="26"/>
        <w:rPr>
          <w:rFonts w:hint="eastAsia" w:asciiTheme="minorEastAsia" w:hAnsiTheme="minorEastAsia" w:eastAsiaTheme="minorEastAsia"/>
          <w:b/>
          <w:color w:val="auto"/>
          <w:sz w:val="24"/>
          <w:highlight w:val="none"/>
          <w:lang w:val="en-US" w:eastAsia="zh-CN"/>
        </w:rPr>
      </w:pPr>
    </w:p>
    <w:p w14:paraId="1767B446">
      <w:pPr>
        <w:pStyle w:val="26"/>
        <w:rPr>
          <w:rFonts w:hint="eastAsia" w:asciiTheme="minorEastAsia" w:hAnsiTheme="minorEastAsia" w:eastAsiaTheme="minorEastAsia"/>
          <w:b/>
          <w:color w:val="auto"/>
          <w:sz w:val="24"/>
          <w:highlight w:val="none"/>
          <w:lang w:val="en-US" w:eastAsia="zh-CN"/>
        </w:rPr>
      </w:pPr>
    </w:p>
    <w:p w14:paraId="14541B9D">
      <w:pPr>
        <w:pStyle w:val="26"/>
        <w:rPr>
          <w:rFonts w:hint="eastAsia" w:asciiTheme="minorEastAsia" w:hAnsiTheme="minorEastAsia" w:eastAsiaTheme="minorEastAsia"/>
          <w:b/>
          <w:color w:val="auto"/>
          <w:sz w:val="24"/>
          <w:highlight w:val="none"/>
          <w:lang w:val="en-US" w:eastAsia="zh-CN"/>
        </w:rPr>
      </w:pPr>
    </w:p>
    <w:p w14:paraId="3D9698FE">
      <w:pPr>
        <w:pStyle w:val="26"/>
        <w:rPr>
          <w:rFonts w:hint="eastAsia" w:asciiTheme="minorEastAsia" w:hAnsiTheme="minorEastAsia" w:eastAsiaTheme="minorEastAsia"/>
          <w:b/>
          <w:color w:val="auto"/>
          <w:sz w:val="24"/>
          <w:highlight w:val="none"/>
          <w:lang w:val="en-US" w:eastAsia="zh-CN"/>
        </w:rPr>
      </w:pPr>
    </w:p>
    <w:p w14:paraId="43E97C66">
      <w:pPr>
        <w:pStyle w:val="26"/>
        <w:rPr>
          <w:rFonts w:hint="eastAsia" w:asciiTheme="minorEastAsia" w:hAnsiTheme="minorEastAsia" w:eastAsiaTheme="minorEastAsia"/>
          <w:b/>
          <w:color w:val="auto"/>
          <w:sz w:val="24"/>
          <w:highlight w:val="none"/>
          <w:lang w:val="en-US" w:eastAsia="zh-CN"/>
        </w:rPr>
      </w:pPr>
    </w:p>
    <w:p w14:paraId="2C5850E4">
      <w:pPr>
        <w:pStyle w:val="26"/>
        <w:rPr>
          <w:rFonts w:hint="eastAsia" w:asciiTheme="minorEastAsia" w:hAnsiTheme="minorEastAsia" w:eastAsiaTheme="minorEastAsia"/>
          <w:b/>
          <w:color w:val="auto"/>
          <w:sz w:val="24"/>
          <w:highlight w:val="none"/>
          <w:lang w:val="en-US" w:eastAsia="zh-CN"/>
        </w:rPr>
      </w:pPr>
    </w:p>
    <w:p w14:paraId="39783644">
      <w:pPr>
        <w:pStyle w:val="26"/>
        <w:rPr>
          <w:rFonts w:hint="eastAsia" w:asciiTheme="minorEastAsia" w:hAnsiTheme="minorEastAsia" w:eastAsiaTheme="minorEastAsia"/>
          <w:b/>
          <w:color w:val="auto"/>
          <w:sz w:val="24"/>
          <w:highlight w:val="none"/>
          <w:lang w:val="en-US" w:eastAsia="zh-CN"/>
        </w:rPr>
      </w:pPr>
    </w:p>
    <w:p w14:paraId="594BFB6E">
      <w:pPr>
        <w:pStyle w:val="26"/>
        <w:rPr>
          <w:rFonts w:hint="eastAsia" w:asciiTheme="minorEastAsia" w:hAnsiTheme="minorEastAsia" w:eastAsiaTheme="minorEastAsia"/>
          <w:b/>
          <w:color w:val="auto"/>
          <w:sz w:val="24"/>
          <w:highlight w:val="none"/>
          <w:lang w:val="en-US" w:eastAsia="zh-CN"/>
        </w:rPr>
      </w:pPr>
    </w:p>
    <w:p w14:paraId="762231F1">
      <w:pPr>
        <w:pStyle w:val="26"/>
        <w:rPr>
          <w:rFonts w:hint="eastAsia" w:asciiTheme="minorEastAsia" w:hAnsiTheme="minorEastAsia" w:eastAsiaTheme="minorEastAsia"/>
          <w:b/>
          <w:color w:val="auto"/>
          <w:sz w:val="24"/>
          <w:highlight w:val="none"/>
          <w:lang w:val="en-US" w:eastAsia="zh-CN"/>
        </w:rPr>
      </w:pPr>
    </w:p>
    <w:p w14:paraId="1928F17A">
      <w:pPr>
        <w:pStyle w:val="26"/>
        <w:rPr>
          <w:rFonts w:hint="eastAsia" w:asciiTheme="minorEastAsia" w:hAnsiTheme="minorEastAsia" w:eastAsiaTheme="minorEastAsia"/>
          <w:b/>
          <w:color w:val="auto"/>
          <w:sz w:val="24"/>
          <w:highlight w:val="none"/>
          <w:lang w:val="en-US" w:eastAsia="zh-CN"/>
        </w:rPr>
      </w:pPr>
    </w:p>
    <w:p w14:paraId="16101722">
      <w:pPr>
        <w:pStyle w:val="26"/>
        <w:rPr>
          <w:rFonts w:hint="eastAsia" w:asciiTheme="minorEastAsia" w:hAnsiTheme="minorEastAsia" w:eastAsiaTheme="minorEastAsia"/>
          <w:b/>
          <w:color w:val="auto"/>
          <w:sz w:val="24"/>
          <w:highlight w:val="none"/>
          <w:lang w:val="en-US" w:eastAsia="zh-CN"/>
        </w:rPr>
      </w:pPr>
    </w:p>
    <w:p w14:paraId="3511E794">
      <w:pPr>
        <w:pStyle w:val="26"/>
        <w:rPr>
          <w:rFonts w:hint="eastAsia" w:asciiTheme="minorEastAsia" w:hAnsiTheme="minorEastAsia" w:eastAsiaTheme="minorEastAsia"/>
          <w:b/>
          <w:color w:val="auto"/>
          <w:sz w:val="24"/>
          <w:highlight w:val="none"/>
          <w:lang w:val="en-US" w:eastAsia="zh-CN"/>
        </w:rPr>
      </w:pPr>
    </w:p>
    <w:p w14:paraId="7BC79047">
      <w:pPr>
        <w:pStyle w:val="26"/>
        <w:rPr>
          <w:rFonts w:hint="eastAsia" w:asciiTheme="minorEastAsia" w:hAnsiTheme="minorEastAsia" w:eastAsiaTheme="minorEastAsia"/>
          <w:b/>
          <w:color w:val="auto"/>
          <w:sz w:val="24"/>
          <w:highlight w:val="none"/>
          <w:lang w:val="en-US" w:eastAsia="zh-CN"/>
        </w:rPr>
      </w:pPr>
    </w:p>
    <w:p w14:paraId="3ECE6D84">
      <w:pPr>
        <w:pStyle w:val="26"/>
        <w:rPr>
          <w:rFonts w:hint="eastAsia" w:asciiTheme="minorEastAsia" w:hAnsiTheme="minorEastAsia" w:eastAsiaTheme="minorEastAsia"/>
          <w:b/>
          <w:color w:val="auto"/>
          <w:sz w:val="24"/>
          <w:highlight w:val="none"/>
          <w:lang w:val="en-US" w:eastAsia="zh-CN"/>
        </w:rPr>
      </w:pPr>
    </w:p>
    <w:p w14:paraId="3A4C2DF7">
      <w:pPr>
        <w:pStyle w:val="26"/>
        <w:rPr>
          <w:rFonts w:hint="eastAsia" w:asciiTheme="minorEastAsia" w:hAnsiTheme="minorEastAsia" w:eastAsiaTheme="minorEastAsia"/>
          <w:b/>
          <w:color w:val="auto"/>
          <w:sz w:val="24"/>
          <w:highlight w:val="none"/>
          <w:lang w:val="en-US" w:eastAsia="zh-CN"/>
        </w:rPr>
      </w:pPr>
    </w:p>
    <w:p w14:paraId="719F7F5F">
      <w:pPr>
        <w:pStyle w:val="26"/>
        <w:rPr>
          <w:rFonts w:hint="eastAsia" w:asciiTheme="minorEastAsia" w:hAnsiTheme="minorEastAsia" w:eastAsiaTheme="minorEastAsia"/>
          <w:b/>
          <w:color w:val="auto"/>
          <w:sz w:val="24"/>
          <w:highlight w:val="none"/>
          <w:lang w:val="en-US" w:eastAsia="zh-CN"/>
        </w:rPr>
      </w:pPr>
    </w:p>
    <w:p w14:paraId="34500115">
      <w:pPr>
        <w:pStyle w:val="26"/>
        <w:rPr>
          <w:rFonts w:hint="eastAsia" w:asciiTheme="minorEastAsia" w:hAnsiTheme="minorEastAsia" w:eastAsiaTheme="minorEastAsia"/>
          <w:b/>
          <w:color w:val="auto"/>
          <w:sz w:val="24"/>
          <w:highlight w:val="none"/>
          <w:lang w:val="en-US" w:eastAsia="zh-CN"/>
        </w:rPr>
      </w:pPr>
    </w:p>
    <w:p w14:paraId="45E341BE">
      <w:pPr>
        <w:pStyle w:val="26"/>
        <w:rPr>
          <w:rFonts w:hint="eastAsia" w:asciiTheme="minorEastAsia" w:hAnsiTheme="minorEastAsia" w:eastAsiaTheme="minorEastAsia"/>
          <w:b/>
          <w:color w:val="auto"/>
          <w:sz w:val="24"/>
          <w:highlight w:val="none"/>
          <w:lang w:val="en-US" w:eastAsia="zh-CN"/>
        </w:rPr>
      </w:pPr>
    </w:p>
    <w:p w14:paraId="172A631B">
      <w:pPr>
        <w:pStyle w:val="26"/>
        <w:rPr>
          <w:rFonts w:hint="eastAsia" w:asciiTheme="minorEastAsia" w:hAnsiTheme="minorEastAsia" w:eastAsiaTheme="minorEastAsia"/>
          <w:b/>
          <w:color w:val="auto"/>
          <w:sz w:val="24"/>
          <w:highlight w:val="none"/>
          <w:lang w:val="en-US" w:eastAsia="zh-CN"/>
        </w:rPr>
      </w:pPr>
    </w:p>
    <w:p w14:paraId="6864D6BD">
      <w:pPr>
        <w:pStyle w:val="26"/>
        <w:rPr>
          <w:rFonts w:hint="eastAsia" w:asciiTheme="minorEastAsia" w:hAnsiTheme="minorEastAsia" w:eastAsiaTheme="minorEastAsia"/>
          <w:b/>
          <w:color w:val="auto"/>
          <w:sz w:val="24"/>
          <w:highlight w:val="none"/>
          <w:lang w:val="en-US" w:eastAsia="zh-CN"/>
        </w:rPr>
      </w:pPr>
    </w:p>
    <w:p w14:paraId="072CAE91">
      <w:pPr>
        <w:pStyle w:val="26"/>
        <w:rPr>
          <w:rFonts w:hint="eastAsia" w:asciiTheme="minorEastAsia" w:hAnsiTheme="minorEastAsia" w:eastAsiaTheme="minorEastAsia"/>
          <w:b/>
          <w:color w:val="auto"/>
          <w:sz w:val="24"/>
          <w:highlight w:val="none"/>
          <w:lang w:val="en-US" w:eastAsia="zh-CN"/>
        </w:rPr>
      </w:pPr>
    </w:p>
    <w:p w14:paraId="12A1A635">
      <w:pPr>
        <w:pStyle w:val="26"/>
        <w:rPr>
          <w:rFonts w:hint="eastAsia" w:asciiTheme="minorEastAsia" w:hAnsiTheme="minorEastAsia" w:eastAsiaTheme="minorEastAsia"/>
          <w:b/>
          <w:color w:val="auto"/>
          <w:sz w:val="24"/>
          <w:highlight w:val="none"/>
          <w:lang w:val="en-US" w:eastAsia="zh-CN"/>
        </w:rPr>
      </w:pPr>
    </w:p>
    <w:p w14:paraId="41079F7E">
      <w:pPr>
        <w:pStyle w:val="26"/>
        <w:rPr>
          <w:rFonts w:hint="eastAsia" w:asciiTheme="minorEastAsia" w:hAnsiTheme="minorEastAsia" w:eastAsiaTheme="minorEastAsia"/>
          <w:b/>
          <w:color w:val="auto"/>
          <w:sz w:val="24"/>
          <w:highlight w:val="none"/>
          <w:lang w:val="en-US" w:eastAsia="zh-CN"/>
        </w:rPr>
      </w:pPr>
    </w:p>
    <w:p w14:paraId="557E6994">
      <w:pPr>
        <w:pStyle w:val="26"/>
        <w:rPr>
          <w:rFonts w:hint="eastAsia" w:asciiTheme="minorEastAsia" w:hAnsiTheme="minorEastAsia" w:eastAsiaTheme="minorEastAsia"/>
          <w:b/>
          <w:color w:val="auto"/>
          <w:sz w:val="24"/>
          <w:highlight w:val="none"/>
          <w:lang w:val="en-US" w:eastAsia="zh-CN"/>
        </w:rPr>
      </w:pPr>
    </w:p>
    <w:p w14:paraId="5DDD85B7">
      <w:pPr>
        <w:pStyle w:val="26"/>
        <w:rPr>
          <w:rFonts w:hint="eastAsia" w:asciiTheme="minorEastAsia" w:hAnsiTheme="minorEastAsia" w:eastAsiaTheme="minorEastAsia"/>
          <w:b/>
          <w:color w:val="auto"/>
          <w:sz w:val="24"/>
          <w:highlight w:val="none"/>
          <w:lang w:val="en-US" w:eastAsia="zh-CN"/>
        </w:rPr>
      </w:pPr>
    </w:p>
    <w:p w14:paraId="2B014478">
      <w:pPr>
        <w:pStyle w:val="26"/>
        <w:ind w:left="0" w:leftChars="0" w:firstLine="0" w:firstLineChars="0"/>
        <w:rPr>
          <w:rFonts w:hint="eastAsia" w:asciiTheme="minorEastAsia" w:hAnsiTheme="minorEastAsia" w:eastAsiaTheme="minorEastAsia"/>
          <w:b/>
          <w:color w:val="auto"/>
          <w:sz w:val="24"/>
          <w:highlight w:val="none"/>
          <w:lang w:val="en-US" w:eastAsia="zh-CN"/>
        </w:rPr>
      </w:pPr>
    </w:p>
    <w:p w14:paraId="1B3B2CD6">
      <w:pPr>
        <w:spacing w:line="360" w:lineRule="auto"/>
        <w:jc w:val="center"/>
        <w:outlineLvl w:val="1"/>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w:t>
      </w:r>
      <w:bookmarkEnd w:id="53"/>
      <w:bookmarkEnd w:id="54"/>
      <w:bookmarkEnd w:id="55"/>
      <w:r>
        <w:rPr>
          <w:rFonts w:hint="eastAsia" w:asciiTheme="minorEastAsia" w:hAnsiTheme="minorEastAsia" w:eastAsiaTheme="minorEastAsia"/>
          <w:b/>
          <w:color w:val="auto"/>
          <w:sz w:val="24"/>
          <w:highlight w:val="none"/>
          <w:lang w:val="en-US" w:eastAsia="zh-CN"/>
        </w:rPr>
        <w:t>诚信履约承诺函</w:t>
      </w:r>
      <w:bookmarkEnd w:id="56"/>
      <w:bookmarkEnd w:id="57"/>
    </w:p>
    <w:p w14:paraId="4EA1DAD4">
      <w:pPr>
        <w:spacing w:line="360" w:lineRule="auto"/>
        <w:rPr>
          <w:rFonts w:asciiTheme="minorEastAsia" w:hAnsiTheme="minorEastAsia" w:eastAsiaTheme="minorEastAsia"/>
          <w:b/>
          <w:bCs/>
          <w:color w:val="auto"/>
          <w:sz w:val="24"/>
          <w:highlight w:val="none"/>
        </w:rPr>
      </w:pPr>
    </w:p>
    <w:p w14:paraId="59AD4BDF">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29FA1DD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50EF4D8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35423B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46156C34">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017E957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6AA58D2A">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643A5DC2">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40F9301">
      <w:pPr>
        <w:spacing w:line="360" w:lineRule="auto"/>
        <w:rPr>
          <w:rFonts w:asciiTheme="minorEastAsia" w:hAnsiTheme="minorEastAsia" w:eastAsiaTheme="minorEastAsia"/>
          <w:bCs/>
          <w:color w:val="auto"/>
          <w:sz w:val="24"/>
          <w:highlight w:val="none"/>
        </w:rPr>
      </w:pPr>
    </w:p>
    <w:p w14:paraId="47625E16">
      <w:pPr>
        <w:spacing w:line="360" w:lineRule="auto"/>
        <w:rPr>
          <w:rFonts w:asciiTheme="minorEastAsia" w:hAnsiTheme="minorEastAsia" w:eastAsiaTheme="minorEastAsia"/>
          <w:bCs/>
          <w:color w:val="auto"/>
          <w:sz w:val="24"/>
          <w:highlight w:val="none"/>
        </w:rPr>
      </w:pPr>
    </w:p>
    <w:p w14:paraId="267A8500">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5445C6A4">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24D75B7D">
      <w:pPr>
        <w:rPr>
          <w:rFonts w:ascii="宋体" w:hAnsi="宋体" w:eastAsia="宋体" w:cs="Arial"/>
          <w:color w:val="auto"/>
          <w:sz w:val="24"/>
          <w:highlight w:val="none"/>
        </w:rPr>
      </w:pPr>
      <w:r>
        <w:rPr>
          <w:rFonts w:ascii="宋体" w:hAnsi="宋体" w:eastAsia="宋体" w:cs="Arial"/>
          <w:color w:val="auto"/>
          <w:sz w:val="24"/>
          <w:highlight w:val="none"/>
        </w:rPr>
        <w:br w:type="page"/>
      </w:r>
    </w:p>
    <w:p w14:paraId="74B18816">
      <w:pPr>
        <w:spacing w:line="360" w:lineRule="auto"/>
        <w:jc w:val="center"/>
        <w:outlineLvl w:val="1"/>
        <w:rPr>
          <w:rFonts w:hint="eastAsia" w:ascii="宋体" w:hAnsi="宋体" w:eastAsia="宋体"/>
          <w:b/>
          <w:color w:val="auto"/>
          <w:sz w:val="24"/>
          <w:szCs w:val="24"/>
          <w:highlight w:val="none"/>
        </w:rPr>
      </w:pPr>
      <w:r>
        <w:rPr>
          <w:rFonts w:hint="eastAsia" w:asciiTheme="minorEastAsia" w:hAnsiTheme="minorEastAsia" w:eastAsiaTheme="minorEastAsia"/>
          <w:b/>
          <w:color w:val="auto"/>
          <w:sz w:val="24"/>
          <w:highlight w:val="none"/>
          <w:lang w:val="en-US" w:eastAsia="zh-CN"/>
        </w:rPr>
        <w:t>十一、</w:t>
      </w:r>
      <w:r>
        <w:rPr>
          <w:rFonts w:hint="eastAsia" w:ascii="宋体" w:hAnsi="宋体" w:eastAsia="宋体" w:cs="宋体"/>
          <w:b/>
          <w:color w:val="auto"/>
          <w:sz w:val="24"/>
          <w:szCs w:val="24"/>
          <w:highlight w:val="none"/>
          <w:lang w:bidi="ar"/>
        </w:rPr>
        <w:t>诚信投标承诺书</w:t>
      </w:r>
    </w:p>
    <w:p w14:paraId="68AD13E6">
      <w:pPr>
        <w:spacing w:line="5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本人以企业法定代表人的身份郑重承诺：</w:t>
      </w:r>
    </w:p>
    <w:p w14:paraId="67FA5BDC">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一、将遵循公开、公正和诚实信用的原则自愿参加</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项目的投标，所提供的一切材料都是真实、有效、合法的；</w:t>
      </w:r>
    </w:p>
    <w:p w14:paraId="36460919">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0861E4B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三、不出借、转让资质证书，不让他人挂靠投标，不以他人名义投标或者以其他方式弄虚作假，骗取中标；</w:t>
      </w:r>
    </w:p>
    <w:p w14:paraId="177D982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四、不与其他投标人相互串通投标报价，不排挤其他投标人的公平竞争、损害招标人的合法权益；</w:t>
      </w:r>
    </w:p>
    <w:p w14:paraId="4DFE2F6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五、不与招标人、招标代理机构或其他投标人串通投标，损害国家利益、社会公共利益或者他人的合法权益；</w:t>
      </w:r>
    </w:p>
    <w:p w14:paraId="044B66FB">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六、</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或</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43521DCF">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七、严格遵守开标现场纪律，服从监管人员管理；</w:t>
      </w:r>
    </w:p>
    <w:p w14:paraId="49BD647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八、保证中标后不转包，若有分包征得招标人同意；</w:t>
      </w:r>
    </w:p>
    <w:p w14:paraId="466D42D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九、保证中标之后，按照投标文件要求提供相关后续服务；</w:t>
      </w:r>
    </w:p>
    <w:p w14:paraId="138FDAD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十、保证企业及所属相关人员在本次投标中无行贿等犯罪行为；</w:t>
      </w:r>
    </w:p>
    <w:p w14:paraId="58D6BC7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08BF498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227319A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64393506">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开户银行：                      基本账户：</w:t>
      </w:r>
    </w:p>
    <w:p w14:paraId="610ACF4D">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投标单位（签章）：               法定代表人（签章）：</w:t>
      </w:r>
    </w:p>
    <w:p w14:paraId="54072D8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0F7CDB97">
      <w:pPr>
        <w:spacing w:line="560" w:lineRule="exact"/>
        <w:jc w:val="right"/>
        <w:rPr>
          <w:rFonts w:hint="eastAsia" w:ascii="仿宋_GB2312" w:eastAsia="仿宋_GB2312" w:cs="仿宋_GB2312"/>
          <w:color w:val="auto"/>
          <w:sz w:val="32"/>
          <w:szCs w:val="32"/>
          <w:highlight w:val="none"/>
        </w:rPr>
      </w:pPr>
      <w:r>
        <w:rPr>
          <w:rFonts w:hint="eastAsia" w:ascii="宋体" w:hAnsi="宋体" w:eastAsia="宋体" w:cs="宋体"/>
          <w:color w:val="auto"/>
          <w:szCs w:val="21"/>
          <w:highlight w:val="none"/>
          <w:lang w:bidi="ar"/>
        </w:rPr>
        <w:t>日期：</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年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月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日</w:t>
      </w:r>
    </w:p>
    <w:p w14:paraId="707195F5">
      <w:pPr>
        <w:pStyle w:val="12"/>
        <w:rPr>
          <w:color w:val="auto"/>
          <w:highlight w:val="none"/>
        </w:rPr>
      </w:pPr>
    </w:p>
    <w:bookmarkEnd w:id="58"/>
    <w:p w14:paraId="7AC8F8D6">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59" w:name="_Toc2683"/>
      <w:bookmarkStart w:id="60" w:name="_Toc32633"/>
      <w:r>
        <w:rPr>
          <w:rFonts w:hint="eastAsia" w:asciiTheme="minorEastAsia" w:hAnsiTheme="minorEastAsia" w:eastAsiaTheme="minorEastAsia"/>
          <w:b/>
          <w:color w:val="auto"/>
          <w:sz w:val="24"/>
          <w:highlight w:val="none"/>
          <w:lang w:val="en-US" w:eastAsia="zh-CN"/>
        </w:rPr>
        <w:t>十二、其他相关证明材料</w:t>
      </w:r>
      <w:bookmarkEnd w:id="59"/>
      <w:bookmarkEnd w:id="60"/>
    </w:p>
    <w:p w14:paraId="7460AB9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提供符合投标邀请、采购需求及评标方法和标准规定的相关证明文件。</w:t>
      </w:r>
    </w:p>
    <w:p w14:paraId="5F8012CF">
      <w:pPr>
        <w:spacing w:line="360" w:lineRule="auto"/>
        <w:ind w:firstLine="480" w:firstLineChars="200"/>
        <w:rPr>
          <w:rFonts w:asciiTheme="minorEastAsia" w:hAnsiTheme="minorEastAsia" w:eastAsiaTheme="minorEastAsia"/>
          <w:color w:val="auto"/>
          <w:sz w:val="24"/>
          <w:highlight w:val="none"/>
        </w:rPr>
      </w:pPr>
    </w:p>
    <w:p w14:paraId="6072E757">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5B1EFEE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投标人在投标文件制作时可在此栏内上传</w:t>
      </w:r>
      <w:r>
        <w:rPr>
          <w:rFonts w:asciiTheme="minorEastAsia" w:hAnsiTheme="minorEastAsia" w:eastAsiaTheme="minorEastAsia"/>
          <w:color w:val="auto"/>
          <w:sz w:val="24"/>
          <w:highlight w:val="none"/>
        </w:rPr>
        <w:t>招标文件要求上传的证明资料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34910FF6">
      <w:pPr>
        <w:widowControl/>
        <w:jc w:val="left"/>
        <w:rPr>
          <w:rFonts w:ascii="宋体" w:hAnsi="宋体" w:eastAsia="宋体"/>
          <w:bCs/>
          <w:color w:val="auto"/>
          <w:sz w:val="24"/>
          <w:highlight w:val="none"/>
        </w:rPr>
      </w:pPr>
      <w:r>
        <w:rPr>
          <w:rFonts w:ascii="宋体" w:hAnsi="宋体" w:eastAsia="宋体"/>
          <w:bCs/>
          <w:color w:val="auto"/>
          <w:sz w:val="24"/>
          <w:highlight w:val="none"/>
        </w:rPr>
        <w:br w:type="page"/>
      </w:r>
    </w:p>
    <w:p w14:paraId="4C03B5FE">
      <w:pPr>
        <w:spacing w:line="360" w:lineRule="auto"/>
        <w:jc w:val="center"/>
        <w:outlineLvl w:val="0"/>
        <w:rPr>
          <w:rFonts w:ascii="宋体" w:hAnsi="宋体" w:eastAsia="宋体"/>
          <w:b/>
          <w:bCs/>
          <w:color w:val="auto"/>
          <w:sz w:val="28"/>
          <w:highlight w:val="none"/>
        </w:rPr>
      </w:pPr>
      <w:bookmarkStart w:id="61" w:name="_Toc6435"/>
      <w:bookmarkStart w:id="62" w:name="_Toc18131"/>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val="en-US" w:eastAsia="zh-CN"/>
        </w:rPr>
        <w:t>七</w:t>
      </w:r>
      <w:r>
        <w:rPr>
          <w:rFonts w:hint="eastAsia" w:asciiTheme="minorEastAsia" w:hAnsiTheme="minorEastAsia" w:eastAsiaTheme="minorEastAsia"/>
          <w:b/>
          <w:color w:val="auto"/>
          <w:sz w:val="28"/>
          <w:highlight w:val="none"/>
        </w:rPr>
        <w:t>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61"/>
      <w:bookmarkEnd w:id="62"/>
    </w:p>
    <w:p w14:paraId="1066B407">
      <w:pPr>
        <w:spacing w:line="360" w:lineRule="auto"/>
        <w:jc w:val="center"/>
        <w:outlineLvl w:val="1"/>
        <w:rPr>
          <w:rFonts w:ascii="仿宋" w:hAnsi="仿宋" w:eastAsia="仿宋" w:cs="仿宋"/>
          <w:b/>
          <w:bCs/>
          <w:color w:val="auto"/>
          <w:sz w:val="32"/>
          <w:szCs w:val="44"/>
          <w:highlight w:val="none"/>
        </w:rPr>
      </w:pPr>
      <w:bookmarkStart w:id="63" w:name="_Toc27159"/>
      <w:bookmarkStart w:id="64" w:name="_Toc27489"/>
      <w:r>
        <w:rPr>
          <w:rFonts w:hint="eastAsia" w:ascii="仿宋" w:hAnsi="仿宋" w:eastAsia="仿宋" w:cs="仿宋"/>
          <w:b/>
          <w:bCs/>
          <w:color w:val="auto"/>
          <w:sz w:val="32"/>
          <w:szCs w:val="44"/>
          <w:highlight w:val="none"/>
        </w:rPr>
        <w:t>询问函范本</w:t>
      </w:r>
      <w:bookmarkEnd w:id="63"/>
      <w:bookmarkEnd w:id="64"/>
    </w:p>
    <w:p w14:paraId="6E9BBADF">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7FD0F541">
      <w:pPr>
        <w:adjustRightInd w:val="0"/>
        <w:snapToGrid w:val="0"/>
        <w:spacing w:line="360" w:lineRule="auto"/>
        <w:rPr>
          <w:rFonts w:hint="eastAsia" w:cs="仿宋" w:asciiTheme="minorEastAsia" w:hAnsiTheme="minorEastAsia" w:eastAsiaTheme="minorEastAsia"/>
          <w:b/>
          <w:bCs/>
          <w:color w:val="auto"/>
          <w:sz w:val="24"/>
          <w:szCs w:val="24"/>
          <w:highlight w:val="none"/>
          <w:u w:val="singl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1037825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i/>
          <w:iCs/>
          <w:color w:val="auto"/>
          <w:sz w:val="24"/>
          <w:szCs w:val="24"/>
          <w:highlight w:val="none"/>
          <w:u w:val="none"/>
          <w:lang w:val="en-US" w:eastAsia="zh-CN"/>
        </w:rPr>
        <w:t>项目名称、编号</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69CD8E40">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65" w:name="_Toc13899"/>
      <w:r>
        <w:rPr>
          <w:rFonts w:hint="eastAsia" w:cs="仿宋" w:asciiTheme="minorEastAsia" w:hAnsiTheme="minorEastAsia" w:eastAsiaTheme="minorEastAsia"/>
          <w:color w:val="auto"/>
          <w:sz w:val="24"/>
          <w:szCs w:val="24"/>
          <w:highlight w:val="none"/>
        </w:rPr>
        <w:t>一、(事项一)</w:t>
      </w:r>
      <w:bookmarkEnd w:id="65"/>
    </w:p>
    <w:p w14:paraId="28FADC05">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31E7C991">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496A5FF">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BBD936D">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66" w:name="_Toc3352"/>
      <w:r>
        <w:rPr>
          <w:rFonts w:hint="eastAsia" w:cs="仿宋" w:asciiTheme="minorEastAsia" w:hAnsiTheme="minorEastAsia" w:eastAsiaTheme="minorEastAsia"/>
          <w:color w:val="auto"/>
          <w:sz w:val="24"/>
          <w:szCs w:val="24"/>
          <w:highlight w:val="none"/>
        </w:rPr>
        <w:t>二、(事项二)</w:t>
      </w:r>
      <w:bookmarkEnd w:id="66"/>
    </w:p>
    <w:p w14:paraId="29C0641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5E890101">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594AE676">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4E3FCF91">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6FF5D55D">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0B301B3F">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2C6EC227">
      <w:pPr>
        <w:jc w:val="center"/>
        <w:outlineLvl w:val="1"/>
        <w:rPr>
          <w:rFonts w:ascii="仿宋" w:hAnsi="仿宋" w:eastAsia="仿宋" w:cs="仿宋"/>
          <w:b/>
          <w:bCs/>
          <w:color w:val="auto"/>
          <w:sz w:val="32"/>
          <w:szCs w:val="44"/>
          <w:highlight w:val="none"/>
        </w:rPr>
      </w:pPr>
      <w:bookmarkStart w:id="67" w:name="_Toc1575"/>
      <w:bookmarkStart w:id="68" w:name="_Toc3245"/>
      <w:r>
        <w:rPr>
          <w:rFonts w:hint="eastAsia" w:ascii="仿宋" w:hAnsi="仿宋" w:eastAsia="仿宋" w:cs="仿宋"/>
          <w:b/>
          <w:bCs/>
          <w:color w:val="auto"/>
          <w:sz w:val="32"/>
          <w:szCs w:val="44"/>
          <w:highlight w:val="none"/>
        </w:rPr>
        <w:t>质疑函范本</w:t>
      </w:r>
      <w:bookmarkEnd w:id="67"/>
      <w:bookmarkEnd w:id="68"/>
    </w:p>
    <w:p w14:paraId="447ADE15">
      <w:pPr>
        <w:adjustRightInd w:val="0"/>
        <w:snapToGrid w:val="0"/>
        <w:spacing w:before="312" w:beforeLines="100" w:line="360" w:lineRule="auto"/>
        <w:outlineLvl w:val="9"/>
        <w:rPr>
          <w:rFonts w:cs="仿宋" w:asciiTheme="minorEastAsia" w:hAnsiTheme="minorEastAsia" w:eastAsiaTheme="minorEastAsia"/>
          <w:b/>
          <w:bCs/>
          <w:color w:val="auto"/>
          <w:sz w:val="24"/>
          <w:szCs w:val="24"/>
          <w:highlight w:val="none"/>
        </w:rPr>
      </w:pPr>
      <w:bookmarkStart w:id="69" w:name="_Toc21381"/>
      <w:r>
        <w:rPr>
          <w:rFonts w:hint="eastAsia" w:cs="仿宋" w:asciiTheme="minorEastAsia" w:hAnsiTheme="minorEastAsia" w:eastAsiaTheme="minorEastAsia"/>
          <w:b/>
          <w:bCs/>
          <w:color w:val="auto"/>
          <w:sz w:val="24"/>
          <w:szCs w:val="24"/>
          <w:highlight w:val="none"/>
        </w:rPr>
        <w:t>一、质疑供应商基本信息</w:t>
      </w:r>
      <w:bookmarkEnd w:id="69"/>
    </w:p>
    <w:p w14:paraId="7EC1532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389F680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21DD6948">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52EF999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7A2B6866">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4D1C00A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25DA05F">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70" w:name="_Toc28415"/>
      <w:r>
        <w:rPr>
          <w:rFonts w:hint="eastAsia" w:cs="仿宋" w:asciiTheme="minorEastAsia" w:hAnsiTheme="minorEastAsia" w:eastAsiaTheme="minorEastAsia"/>
          <w:b/>
          <w:bCs/>
          <w:color w:val="auto"/>
          <w:sz w:val="24"/>
          <w:szCs w:val="24"/>
          <w:highlight w:val="none"/>
        </w:rPr>
        <w:t>二、质疑项目基本情况</w:t>
      </w:r>
      <w:bookmarkEnd w:id="70"/>
    </w:p>
    <w:p w14:paraId="0DDF40B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034DBBE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483F5CA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696D767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312596F4">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71" w:name="_Toc19014"/>
      <w:r>
        <w:rPr>
          <w:rFonts w:hint="eastAsia" w:cs="仿宋" w:asciiTheme="minorEastAsia" w:hAnsiTheme="minorEastAsia" w:eastAsiaTheme="minorEastAsia"/>
          <w:b/>
          <w:bCs/>
          <w:color w:val="auto"/>
          <w:sz w:val="24"/>
          <w:szCs w:val="24"/>
          <w:highlight w:val="none"/>
        </w:rPr>
        <w:t>三、质疑事项具体内容</w:t>
      </w:r>
      <w:bookmarkEnd w:id="71"/>
    </w:p>
    <w:p w14:paraId="268FEEA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4FF3617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6CF244B">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3AB77CC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7EFB681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341044D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61695F8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1D489136">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72" w:name="_Toc17919"/>
      <w:r>
        <w:rPr>
          <w:rFonts w:hint="eastAsia" w:cs="仿宋" w:asciiTheme="minorEastAsia" w:hAnsiTheme="minorEastAsia" w:eastAsiaTheme="minorEastAsia"/>
          <w:b/>
          <w:bCs/>
          <w:color w:val="auto"/>
          <w:sz w:val="24"/>
          <w:szCs w:val="24"/>
          <w:highlight w:val="none"/>
        </w:rPr>
        <w:t>四、与质疑事项相关的质疑请求</w:t>
      </w:r>
      <w:bookmarkEnd w:id="72"/>
    </w:p>
    <w:p w14:paraId="11ED960D">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81C6568">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0E7ADEA4">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3EE13C2B">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15AAF772">
      <w:pPr>
        <w:outlineLvl w:val="0"/>
        <w:rPr>
          <w:rFonts w:asciiTheme="minorEastAsia" w:hAnsiTheme="minorEastAsia" w:eastAsiaTheme="minorEastAsia"/>
          <w:b/>
          <w:color w:val="auto"/>
          <w:sz w:val="28"/>
          <w:szCs w:val="32"/>
          <w:highlight w:val="none"/>
        </w:rPr>
      </w:pPr>
      <w:bookmarkStart w:id="73" w:name="_Toc26836"/>
      <w:bookmarkStart w:id="74" w:name="_Toc9754"/>
      <w:r>
        <w:rPr>
          <w:rFonts w:hint="eastAsia" w:asciiTheme="minorEastAsia" w:hAnsiTheme="minorEastAsia" w:eastAsiaTheme="minorEastAsia"/>
          <w:b/>
          <w:color w:val="auto"/>
          <w:sz w:val="28"/>
          <w:szCs w:val="32"/>
          <w:highlight w:val="none"/>
        </w:rPr>
        <w:t>质疑函制作说明：</w:t>
      </w:r>
      <w:bookmarkEnd w:id="73"/>
      <w:bookmarkEnd w:id="74"/>
    </w:p>
    <w:p w14:paraId="799C9A1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5D1820C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194F05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34A8CD3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78A0B5D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79AC054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122A8D2D">
      <w:pP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21A81122">
      <w:pPr>
        <w:keepNext/>
        <w:keepLines/>
        <w:spacing w:before="200" w:after="200" w:line="600" w:lineRule="exact"/>
        <w:outlineLvl w:val="0"/>
        <w:rPr>
          <w:rFonts w:ascii="黑体" w:hAnsi="黑体" w:eastAsia="黑体" w:cs="Times New Roman"/>
          <w:b/>
          <w:bCs/>
          <w:color w:val="auto"/>
          <w:kern w:val="44"/>
          <w:sz w:val="28"/>
          <w:szCs w:val="28"/>
          <w:highlight w:val="none"/>
        </w:rPr>
      </w:pPr>
      <w:r>
        <w:rPr>
          <w:rFonts w:hint="eastAsia" w:ascii="黑体" w:hAnsi="黑体" w:eastAsia="黑体" w:cs="Times New Roman"/>
          <w:b/>
          <w:bCs/>
          <w:color w:val="auto"/>
          <w:kern w:val="44"/>
          <w:sz w:val="36"/>
          <w:szCs w:val="28"/>
          <w:highlight w:val="none"/>
        </w:rPr>
        <w:t>附件1 关于联合惩戒失信行为加强信用查询管理的通知</w:t>
      </w:r>
    </w:p>
    <w:p w14:paraId="6D6D99BC">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一、失信行为联合惩戒的范围和查询渠道</w:t>
      </w:r>
    </w:p>
    <w:p w14:paraId="167CAB3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在我市公共资源交易活动中对存在下列失信行为的投标人、法定代表人及其项目经理（建造师）实施联合惩戒，禁止参与我市公共资源交易活动。</w:t>
      </w:r>
    </w:p>
    <w:p w14:paraId="66F653E2">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（一）工程建设项目</w:t>
      </w:r>
    </w:p>
    <w:p w14:paraId="05B1D00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1、“信用中国”网站（www.creditchina.gov.cn）查询</w:t>
      </w:r>
      <w:bookmarkStart w:id="75" w:name="OLE_LINK92"/>
      <w:bookmarkStart w:id="76" w:name="OLE_LINK103"/>
      <w:bookmarkStart w:id="77" w:name="OLE_LINK91"/>
      <w:bookmarkStart w:id="78" w:name="OLE_LINK93"/>
      <w:r>
        <w:rPr>
          <w:rFonts w:hint="eastAsia" w:ascii="仿宋_GB2312" w:hAnsi="宋体" w:eastAsia="仿宋_GB2312" w:cs="Times New Roman"/>
          <w:color w:val="auto"/>
          <w:sz w:val="28"/>
          <w:szCs w:val="28"/>
          <w:highlight w:val="none"/>
        </w:rPr>
        <w:t>投标人、法定代表人及其项目经理(建造师)</w:t>
      </w:r>
      <w:bookmarkEnd w:id="75"/>
      <w:bookmarkEnd w:id="76"/>
      <w:bookmarkEnd w:id="77"/>
      <w:bookmarkEnd w:id="78"/>
      <w:r>
        <w:rPr>
          <w:rFonts w:hint="eastAsia" w:ascii="仿宋_GB2312" w:hAnsi="宋体" w:eastAsia="仿宋_GB2312" w:cs="Times New Roman"/>
          <w:color w:val="auto"/>
          <w:sz w:val="28"/>
          <w:szCs w:val="28"/>
          <w:highlight w:val="none"/>
        </w:rPr>
        <w:t>以下失信行为：</w:t>
      </w:r>
    </w:p>
    <w:p w14:paraId="114944BD">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79" w:name="OLE_LINK94"/>
      <w:bookmarkStart w:id="80" w:name="OLE_LINK119"/>
      <w:bookmarkStart w:id="81" w:name="OLE_LINK87"/>
      <w:bookmarkStart w:id="82" w:name="OLE_LINK86"/>
      <w:r>
        <w:rPr>
          <w:rFonts w:hint="eastAsia" w:ascii="仿宋_GB2312" w:hAnsi="宋体" w:eastAsia="仿宋_GB2312" w:cs="Times New Roman"/>
          <w:color w:val="auto"/>
          <w:sz w:val="28"/>
          <w:szCs w:val="28"/>
          <w:highlight w:val="none"/>
        </w:rPr>
        <w:t>①被列入“失信被执行人”的;</w:t>
      </w:r>
    </w:p>
    <w:p w14:paraId="6AE53792">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w:t>
      </w:r>
      <w:bookmarkStart w:id="83" w:name="OLE_LINK118"/>
      <w:bookmarkStart w:id="84" w:name="OLE_LINK115"/>
      <w:bookmarkStart w:id="85" w:name="OLE_LINK116"/>
      <w:bookmarkStart w:id="86" w:name="OLE_LINK117"/>
      <w:r>
        <w:rPr>
          <w:rFonts w:hint="eastAsia" w:ascii="仿宋_GB2312" w:hAnsi="宋体" w:eastAsia="仿宋_GB2312" w:cs="Times New Roman"/>
          <w:color w:val="auto"/>
          <w:sz w:val="28"/>
          <w:szCs w:val="28"/>
          <w:highlight w:val="none"/>
        </w:rPr>
        <w:t>“重大税收违法失信主体”</w:t>
      </w:r>
      <w:bookmarkEnd w:id="83"/>
      <w:bookmarkEnd w:id="84"/>
      <w:bookmarkEnd w:id="85"/>
      <w:bookmarkEnd w:id="86"/>
      <w:r>
        <w:rPr>
          <w:rFonts w:hint="eastAsia" w:ascii="仿宋_GB2312" w:hAnsi="宋体" w:eastAsia="仿宋_GB2312" w:cs="Times New Roman"/>
          <w:color w:val="auto"/>
          <w:sz w:val="28"/>
          <w:szCs w:val="28"/>
          <w:highlight w:val="none"/>
        </w:rPr>
        <w:t>的；</w:t>
      </w:r>
    </w:p>
    <w:p w14:paraId="734DCF96">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③被列入“拖欠</w:t>
      </w:r>
      <w:bookmarkStart w:id="87" w:name="OLE_LINK85"/>
      <w:bookmarkStart w:id="88" w:name="OLE_LINK84"/>
      <w:r>
        <w:rPr>
          <w:rFonts w:hint="eastAsia" w:ascii="仿宋_GB2312" w:hAnsi="宋体" w:eastAsia="仿宋_GB2312" w:cs="Times New Roman"/>
          <w:color w:val="auto"/>
          <w:sz w:val="28"/>
          <w:szCs w:val="28"/>
          <w:highlight w:val="none"/>
        </w:rPr>
        <w:t>农民工工资失信联合惩戒对象</w:t>
      </w:r>
      <w:bookmarkEnd w:id="87"/>
      <w:bookmarkEnd w:id="88"/>
      <w:r>
        <w:rPr>
          <w:rFonts w:hint="eastAsia" w:ascii="仿宋_GB2312" w:hAnsi="宋体" w:eastAsia="仿宋_GB2312" w:cs="Times New Roman"/>
          <w:color w:val="auto"/>
          <w:sz w:val="28"/>
          <w:szCs w:val="28"/>
          <w:highlight w:val="none"/>
        </w:rPr>
        <w:t>名单”的；</w:t>
      </w:r>
    </w:p>
    <w:p w14:paraId="05594CDD">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④被列入 “严重失信主体名单”的；</w:t>
      </w:r>
    </w:p>
    <w:p w14:paraId="402F1C18">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⑤在“信用中国”网站上披露的仍在公示期的严重失信行为(具体行为类别及判定依据见附件2)的。</w:t>
      </w:r>
    </w:p>
    <w:bookmarkEnd w:id="79"/>
    <w:bookmarkEnd w:id="80"/>
    <w:bookmarkEnd w:id="81"/>
    <w:bookmarkEnd w:id="82"/>
    <w:p w14:paraId="554FDEF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w:t>
      </w:r>
      <w:bookmarkStart w:id="89" w:name="OLE_LINK130"/>
      <w:r>
        <w:rPr>
          <w:rFonts w:hint="eastAsia" w:ascii="仿宋_GB2312" w:hAnsi="宋体" w:eastAsia="仿宋_GB2312" w:cs="Times New Roman"/>
          <w:color w:val="auto"/>
          <w:sz w:val="28"/>
          <w:szCs w:val="28"/>
          <w:highlight w:val="none"/>
        </w:rPr>
        <w:t>国家企业信用信息公示系统网站</w:t>
      </w:r>
      <w:bookmarkEnd w:id="89"/>
      <w:r>
        <w:rPr>
          <w:rFonts w:hint="eastAsia" w:ascii="仿宋_GB2312" w:hAnsi="宋体" w:eastAsia="仿宋_GB2312"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bookmarkStart w:id="90" w:name="OLE_LINK89"/>
      <w:bookmarkStart w:id="91" w:name="OLE_LINK90"/>
      <w:r>
        <w:rPr>
          <w:rStyle w:val="38"/>
          <w:rFonts w:hint="eastAsia" w:ascii="仿宋_GB2312" w:hAnsi="宋体" w:eastAsia="仿宋_GB2312" w:cs="Times New Roman"/>
          <w:color w:val="auto"/>
          <w:sz w:val="28"/>
          <w:szCs w:val="28"/>
          <w:highlight w:val="none"/>
        </w:rPr>
        <w:t>www.gsxt.gov.cn</w:t>
      </w:r>
      <w:bookmarkEnd w:id="90"/>
      <w:bookmarkEnd w:id="91"/>
      <w:r>
        <w:rPr>
          <w:rStyle w:val="38"/>
          <w:rFonts w:hint="eastAsia" w:ascii="仿宋_GB2312" w:hAnsi="宋体" w:eastAsia="仿宋_GB2312" w:cs="Times New Roman"/>
          <w:color w:val="auto"/>
          <w:sz w:val="28"/>
          <w:szCs w:val="28"/>
          <w:highlight w:val="none"/>
        </w:rPr>
        <w:t>）</w:t>
      </w:r>
      <w:r>
        <w:rPr>
          <w:rStyle w:val="38"/>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查询投标人以下失信行为：</w:t>
      </w:r>
    </w:p>
    <w:p w14:paraId="6CF8473D">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92" w:name="OLE_LINK120"/>
      <w:bookmarkStart w:id="93" w:name="OLE_LINK121"/>
      <w:bookmarkStart w:id="94" w:name="OLE_LINK122"/>
      <w:r>
        <w:rPr>
          <w:rFonts w:hint="eastAsia" w:ascii="仿宋_GB2312" w:hAnsi="宋体" w:eastAsia="仿宋_GB2312" w:cs="Times New Roman"/>
          <w:color w:val="auto"/>
          <w:sz w:val="28"/>
          <w:szCs w:val="28"/>
          <w:highlight w:val="none"/>
        </w:rPr>
        <w:t>①</w:t>
      </w:r>
      <w:bookmarkStart w:id="95" w:name="OLE_LINK113"/>
      <w:bookmarkStart w:id="96" w:name="OLE_LINK114"/>
      <w:r>
        <w:rPr>
          <w:rFonts w:hint="eastAsia" w:ascii="仿宋_GB2312" w:hAnsi="宋体" w:eastAsia="仿宋_GB2312" w:cs="Times New Roman"/>
          <w:color w:val="auto"/>
          <w:sz w:val="28"/>
          <w:szCs w:val="28"/>
          <w:highlight w:val="none"/>
        </w:rPr>
        <w:t>被列入“经营异常名录”或者“严重违法失信名单”的</w:t>
      </w:r>
      <w:bookmarkEnd w:id="95"/>
      <w:bookmarkEnd w:id="96"/>
      <w:r>
        <w:rPr>
          <w:rFonts w:hint="eastAsia" w:ascii="仿宋_GB2312" w:hAnsi="宋体" w:eastAsia="仿宋_GB2312" w:cs="Times New Roman"/>
          <w:color w:val="auto"/>
          <w:sz w:val="28"/>
          <w:szCs w:val="28"/>
          <w:highlight w:val="none"/>
        </w:rPr>
        <w:t>。</w:t>
      </w:r>
      <w:bookmarkEnd w:id="92"/>
      <w:bookmarkEnd w:id="93"/>
      <w:bookmarkEnd w:id="94"/>
    </w:p>
    <w:p w14:paraId="0E50AD8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3、由</w:t>
      </w:r>
      <w:r>
        <w:rPr>
          <w:rFonts w:hint="eastAsia" w:ascii="仿宋_GB2312" w:hAnsi="宋体" w:eastAsia="仿宋_GB2312" w:cs="Times New Roman"/>
          <w:color w:val="auto"/>
          <w:kern w:val="0"/>
          <w:sz w:val="28"/>
          <w:szCs w:val="28"/>
          <w:highlight w:val="none"/>
        </w:rPr>
        <w:t>投标人、法定代表人及其项目经理(建造师)</w:t>
      </w:r>
      <w:r>
        <w:rPr>
          <w:rFonts w:hint="eastAsia" w:ascii="仿宋_GB2312" w:hAnsi="宋体" w:eastAsia="仿宋_GB2312" w:cs="Times New Roman"/>
          <w:color w:val="auto"/>
          <w:sz w:val="28"/>
          <w:szCs w:val="28"/>
          <w:highlight w:val="none"/>
        </w:rPr>
        <w:t>进行承诺，不进行现场网上信用查询的失信行为：</w:t>
      </w:r>
    </w:p>
    <w:p w14:paraId="7101CE49">
      <w:pPr>
        <w:adjustRightInd w:val="0"/>
        <w:snapToGrid w:val="0"/>
        <w:spacing w:line="560" w:lineRule="exact"/>
        <w:ind w:firstLine="560" w:firstLineChars="200"/>
        <w:rPr>
          <w:rFonts w:ascii="仿宋_GB2312" w:hAnsi="宋体" w:eastAsia="仿宋_GB2312" w:cs="楷体"/>
          <w:color w:val="auto"/>
          <w:sz w:val="28"/>
          <w:szCs w:val="28"/>
          <w:highlight w:val="none"/>
        </w:rPr>
      </w:pPr>
      <w:bookmarkStart w:id="97" w:name="OLE_LINK123"/>
      <w:bookmarkStart w:id="98" w:name="OLE_LINK124"/>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p>
    <w:p w14:paraId="3060BA8D">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②被滁州市县两级公管部门取消在一定期限内的投标资格且在取消期限内的；</w:t>
      </w:r>
    </w:p>
    <w:p w14:paraId="51D71C34">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③被滁州市县两级各行业主管部门取消在一定期限内的投标资格且在取消期限内的；</w:t>
      </w:r>
    </w:p>
    <w:p w14:paraId="3A32A38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④因拖欠农民工工资被</w:t>
      </w:r>
      <w:bookmarkStart w:id="99" w:name="OLE_LINK108"/>
      <w:bookmarkStart w:id="100" w:name="OLE_LINK107"/>
      <w:r>
        <w:rPr>
          <w:rFonts w:hint="eastAsia" w:ascii="仿宋_GB2312" w:hAnsi="宋体" w:eastAsia="仿宋_GB2312" w:cs="Times New Roman"/>
          <w:color w:val="auto"/>
          <w:sz w:val="28"/>
          <w:szCs w:val="28"/>
          <w:highlight w:val="none"/>
        </w:rPr>
        <w:t>县级及以上有关行政主管部门限制投标资格且在限制期限内的</w:t>
      </w:r>
      <w:bookmarkEnd w:id="99"/>
      <w:bookmarkEnd w:id="100"/>
      <w:r>
        <w:rPr>
          <w:rFonts w:hint="eastAsia" w:ascii="仿宋_GB2312" w:hAnsi="宋体" w:eastAsia="仿宋_GB2312" w:cs="Times New Roman"/>
          <w:color w:val="auto"/>
          <w:sz w:val="28"/>
          <w:szCs w:val="28"/>
          <w:highlight w:val="none"/>
        </w:rPr>
        <w:t>；</w:t>
      </w:r>
    </w:p>
    <w:p w14:paraId="049AAFA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97"/>
    <w:bookmarkEnd w:id="98"/>
    <w:p w14:paraId="31B5951D">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（二）政府采购项目</w:t>
      </w:r>
    </w:p>
    <w:p w14:paraId="7A8E4C3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t>
      </w:r>
      <w:r>
        <w:rPr>
          <w:rFonts w:hint="eastAsia" w:ascii="仿宋" w:hAnsi="仿宋" w:eastAsia="仿宋" w:cs="Times New Roman"/>
          <w:color w:val="auto"/>
          <w:sz w:val="28"/>
          <w:szCs w:val="28"/>
          <w:highlight w:val="none"/>
        </w:rPr>
        <w:t>（</w:t>
      </w:r>
      <w:r>
        <w:rPr>
          <w:rStyle w:val="38"/>
          <w:rFonts w:hint="eastAsia" w:ascii="仿宋" w:hAnsi="仿宋" w:eastAsia="仿宋"/>
          <w:color w:val="auto"/>
          <w:sz w:val="28"/>
          <w:szCs w:val="28"/>
          <w:highlight w:val="none"/>
        </w:rPr>
        <w:t>www.creditchina.gov.cn</w:t>
      </w:r>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查询供应商、法定代表人及其项目负责人以下失信行为：</w:t>
      </w:r>
    </w:p>
    <w:p w14:paraId="544DAA7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①被列入“失信被执行人”的;</w:t>
      </w:r>
    </w:p>
    <w:p w14:paraId="7F25303D">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②被列入“重大税收违法失信主体”的；</w:t>
      </w:r>
    </w:p>
    <w:p w14:paraId="2F87B82D">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 “严重失信主体名单”的；</w:t>
      </w:r>
    </w:p>
    <w:p w14:paraId="045E0D1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④在“信用中国”网站上披露的仍在公示期的严重失信行为(具体行为类别及判定依据见附件2)的。</w:t>
      </w:r>
    </w:p>
    <w:p w14:paraId="1CBC055F">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2、国家企业信用信息公示系统网站</w:t>
      </w:r>
      <w:r>
        <w:rPr>
          <w:rFonts w:hint="eastAsia" w:ascii="仿宋" w:hAnsi="仿宋" w:eastAsia="仿宋"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r>
        <w:rPr>
          <w:rFonts w:hint="eastAsia" w:ascii="仿宋" w:hAnsi="仿宋" w:eastAsia="仿宋"/>
          <w:color w:val="auto"/>
          <w:sz w:val="28"/>
          <w:szCs w:val="28"/>
          <w:highlight w:val="none"/>
        </w:rPr>
        <w:t>www.gsxt.gov.cn）</w:t>
      </w:r>
      <w:r>
        <w:rPr>
          <w:rFonts w:hint="eastAsia" w:ascii="仿宋" w:hAnsi="仿宋" w:eastAsia="仿宋"/>
          <w:color w:val="auto"/>
          <w:sz w:val="28"/>
          <w:szCs w:val="28"/>
          <w:highlight w:val="none"/>
        </w:rPr>
        <w:fldChar w:fldCharType="end"/>
      </w:r>
      <w:r>
        <w:rPr>
          <w:rFonts w:hint="eastAsia" w:ascii="仿宋_GB2312" w:hAnsi="宋体" w:eastAsia="仿宋_GB2312" w:cs="Times New Roman"/>
          <w:color w:val="auto"/>
          <w:sz w:val="28"/>
          <w:szCs w:val="28"/>
          <w:highlight w:val="none"/>
        </w:rPr>
        <w:t>查询供应商以下失信行为：</w:t>
      </w:r>
    </w:p>
    <w:p w14:paraId="59006478">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bookmarkStart w:id="101" w:name="OLE_LINK102"/>
      <w:bookmarkStart w:id="102" w:name="OLE_LINK100"/>
      <w:bookmarkStart w:id="103" w:name="OLE_LINK101"/>
      <w:r>
        <w:rPr>
          <w:rFonts w:hint="eastAsia" w:ascii="仿宋_GB2312" w:hAnsi="宋体" w:eastAsia="仿宋_GB2312" w:cs="Times New Roman"/>
          <w:color w:val="auto"/>
          <w:sz w:val="28"/>
          <w:szCs w:val="28"/>
          <w:highlight w:val="none"/>
        </w:rPr>
        <w:t>被列入“经营异常名录”或者“严重违法失信名单”的</w:t>
      </w:r>
      <w:bookmarkEnd w:id="101"/>
      <w:bookmarkEnd w:id="102"/>
      <w:bookmarkEnd w:id="103"/>
      <w:r>
        <w:rPr>
          <w:rFonts w:hint="eastAsia" w:ascii="仿宋_GB2312" w:hAnsi="宋体" w:eastAsia="仿宋_GB2312" w:cs="Times New Roman"/>
          <w:color w:val="auto"/>
          <w:sz w:val="28"/>
          <w:szCs w:val="28"/>
          <w:highlight w:val="none"/>
        </w:rPr>
        <w:t>。</w:t>
      </w:r>
    </w:p>
    <w:p w14:paraId="1E3ED6A6">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3、中国政府采购网站</w:t>
      </w:r>
      <w:r>
        <w:rPr>
          <w:rFonts w:hint="eastAsia" w:ascii="仿宋" w:hAnsi="仿宋" w:eastAsia="仿宋" w:cs="Times New Roman"/>
          <w:color w:val="auto"/>
          <w:sz w:val="28"/>
          <w:szCs w:val="28"/>
          <w:highlight w:val="none"/>
        </w:rPr>
        <w:t>（</w:t>
      </w:r>
      <w:bookmarkStart w:id="104" w:name="OLE_LINK95"/>
      <w:bookmarkStart w:id="105" w:name="OLE_LINK96"/>
      <w:r>
        <w:rPr>
          <w:rFonts w:ascii="仿宋" w:hAnsi="仿宋" w:eastAsia="仿宋" w:cs="Times New Roman"/>
          <w:color w:val="auto"/>
          <w:sz w:val="28"/>
          <w:szCs w:val="28"/>
          <w:highlight w:val="none"/>
        </w:rPr>
        <w:fldChar w:fldCharType="begin"/>
      </w:r>
      <w:r>
        <w:rPr>
          <w:rFonts w:ascii="仿宋" w:hAnsi="仿宋" w:eastAsia="仿宋" w:cs="Times New Roman"/>
          <w:color w:val="auto"/>
          <w:sz w:val="28"/>
          <w:szCs w:val="28"/>
          <w:highlight w:val="none"/>
        </w:rPr>
        <w:instrText xml:space="preserve"> HYPERLINK "http://www.ccgp.gov.cn" </w:instrText>
      </w:r>
      <w:r>
        <w:rPr>
          <w:rFonts w:ascii="仿宋" w:hAnsi="仿宋" w:eastAsia="仿宋" w:cs="Times New Roman"/>
          <w:color w:val="auto"/>
          <w:sz w:val="28"/>
          <w:szCs w:val="28"/>
          <w:highlight w:val="none"/>
        </w:rPr>
        <w:fldChar w:fldCharType="separate"/>
      </w:r>
      <w:r>
        <w:rPr>
          <w:rFonts w:hint="eastAsia" w:ascii="仿宋" w:hAnsi="仿宋" w:eastAsia="仿宋"/>
          <w:color w:val="auto"/>
          <w:sz w:val="28"/>
          <w:szCs w:val="28"/>
          <w:highlight w:val="none"/>
        </w:rPr>
        <w:t>www.ccgp.gov.cn</w:t>
      </w:r>
      <w:r>
        <w:rPr>
          <w:rFonts w:ascii="仿宋" w:hAnsi="仿宋" w:eastAsia="仿宋" w:cs="Times New Roman"/>
          <w:color w:val="auto"/>
          <w:sz w:val="28"/>
          <w:szCs w:val="28"/>
          <w:highlight w:val="none"/>
        </w:rPr>
        <w:fldChar w:fldCharType="end"/>
      </w:r>
      <w:bookmarkEnd w:id="104"/>
      <w:bookmarkEnd w:id="105"/>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查询以下失信行为：</w:t>
      </w:r>
    </w:p>
    <w:p w14:paraId="4250EF32">
      <w:pPr>
        <w:adjustRightInd w:val="0"/>
        <w:snapToGrid w:val="0"/>
        <w:spacing w:line="560" w:lineRule="exact"/>
        <w:ind w:firstLine="560" w:firstLineChars="200"/>
        <w:rPr>
          <w:rFonts w:ascii="仿宋_GB2312" w:hAnsi="宋体" w:eastAsia="仿宋_GB2312" w:cs="楷体"/>
          <w:color w:val="auto"/>
          <w:sz w:val="28"/>
          <w:szCs w:val="28"/>
          <w:highlight w:val="none"/>
        </w:rPr>
      </w:pPr>
      <w:r>
        <w:rPr>
          <w:rFonts w:hint="eastAsia" w:ascii="仿宋_GB2312" w:hAnsi="宋体" w:eastAsia="仿宋_GB2312" w:cs="Times New Roman"/>
          <w:color w:val="auto"/>
          <w:sz w:val="28"/>
          <w:szCs w:val="28"/>
          <w:highlight w:val="none"/>
        </w:rPr>
        <w:t>①</w:t>
      </w:r>
      <w:bookmarkStart w:id="106" w:name="OLE_LINK105"/>
      <w:bookmarkStart w:id="107" w:name="OLE_LINK104"/>
      <w:bookmarkStart w:id="108" w:name="OLE_LINK106"/>
      <w:r>
        <w:rPr>
          <w:rFonts w:hint="eastAsia" w:ascii="仿宋_GB2312" w:hAnsi="宋体" w:eastAsia="仿宋_GB2312" w:cs="Times New Roman"/>
          <w:color w:val="auto"/>
          <w:sz w:val="28"/>
          <w:szCs w:val="28"/>
          <w:highlight w:val="none"/>
        </w:rPr>
        <w:t>被列入“政府采购严重违法失信行为信息记录”的</w:t>
      </w:r>
      <w:bookmarkEnd w:id="106"/>
      <w:bookmarkEnd w:id="107"/>
      <w:bookmarkEnd w:id="108"/>
      <w:r>
        <w:rPr>
          <w:rFonts w:hint="eastAsia" w:ascii="仿宋_GB2312" w:hAnsi="宋体" w:eastAsia="仿宋_GB2312" w:cs="楷体"/>
          <w:color w:val="auto"/>
          <w:sz w:val="28"/>
          <w:szCs w:val="28"/>
          <w:highlight w:val="none"/>
        </w:rPr>
        <w:t>。</w:t>
      </w:r>
    </w:p>
    <w:p w14:paraId="19FB944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4、由竞争主体进行承诺，不进行现场网上信用查询的失信行为：</w:t>
      </w:r>
    </w:p>
    <w:p w14:paraId="04CD8944">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r>
        <w:rPr>
          <w:rFonts w:hint="eastAsia" w:ascii="仿宋_GB2312" w:hAnsi="宋体" w:eastAsia="仿宋_GB2312" w:cs="Times New Roman"/>
          <w:color w:val="auto"/>
          <w:sz w:val="28"/>
          <w:szCs w:val="28"/>
          <w:highlight w:val="none"/>
        </w:rPr>
        <w:t>。</w:t>
      </w:r>
    </w:p>
    <w:p w14:paraId="6C1FE5EB">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二、在开评标活动中的查询程序</w:t>
      </w:r>
    </w:p>
    <w:p w14:paraId="33CA0F1C">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10893493">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1BF4F10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3、项目单位及其委托的代理机构应当做好信用查询结果截图和记录留存。</w:t>
      </w:r>
    </w:p>
    <w:p w14:paraId="738045C6">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三、相关要求</w:t>
      </w:r>
    </w:p>
    <w:p w14:paraId="6A37E70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3F7289D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72FFF169">
      <w:pPr>
        <w:wordWrap w:val="0"/>
        <w:adjustRightInd w:val="0"/>
        <w:snapToGrid w:val="0"/>
        <w:spacing w:line="560" w:lineRule="exact"/>
        <w:ind w:firstLine="560" w:firstLineChars="200"/>
        <w:rPr>
          <w:rFonts w:ascii="Times New Roman" w:hAnsi="Times New Roman" w:eastAsia="宋体" w:cs="Times New Roman"/>
          <w:color w:val="auto"/>
          <w:szCs w:val="24"/>
          <w:highlight w:val="none"/>
        </w:rPr>
      </w:pPr>
      <w:r>
        <w:rPr>
          <w:rFonts w:hint="eastAsia" w:ascii="仿宋_GB2312" w:hAnsi="宋体" w:eastAsia="仿宋_GB2312" w:cs="Times New Roman"/>
          <w:color w:val="auto"/>
          <w:sz w:val="28"/>
          <w:szCs w:val="28"/>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auto"/>
          <w:highlight w:val="none"/>
        </w:rPr>
        <w:fldChar w:fldCharType="begin"/>
      </w:r>
      <w:r>
        <w:rPr>
          <w:color w:val="auto"/>
          <w:highlight w:val="none"/>
        </w:rPr>
        <w:instrText xml:space="preserve"> HYPERLINK "https://credit.ah.gov.cn/xinyong-fuwu/xvbahv/index.html" </w:instrText>
      </w:r>
      <w:r>
        <w:rPr>
          <w:color w:val="auto"/>
          <w:highlight w:val="none"/>
        </w:rPr>
        <w:fldChar w:fldCharType="separate"/>
      </w:r>
      <w:r>
        <w:rPr>
          <w:rFonts w:hint="eastAsia" w:ascii="仿宋_GB2312" w:hAnsi="宋体" w:eastAsia="仿宋_GB2312" w:cs="Times New Roman"/>
          <w:color w:val="auto"/>
          <w:sz w:val="28"/>
          <w:szCs w:val="28"/>
          <w:highlight w:val="none"/>
        </w:rPr>
        <w:t>https://credit.ah.gov.cn/xinyong-fuwu/xvbahv/index.html</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103495F8">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2、“信用中国”查询的严重失信行为判定依据为各行业主管部门下发的联合惩戒文件中规定的行为（按附件2执行）。</w:t>
      </w:r>
    </w:p>
    <w:p w14:paraId="13CBCF3D">
      <w:pPr>
        <w:wordWrap w:val="0"/>
        <w:adjustRightInd w:val="0"/>
        <w:snapToGrid w:val="0"/>
        <w:spacing w:line="560" w:lineRule="exact"/>
        <w:ind w:firstLine="560" w:firstLineChars="200"/>
        <w:rPr>
          <w:rFonts w:hint="eastAsia"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3、资格预审的项目以递交资格预审申请文件截止时间查询为准；资格后审的项目以递交投标文件截止时间查询为准。</w:t>
      </w:r>
    </w:p>
    <w:p w14:paraId="4BD07F35">
      <w:pPr>
        <w:wordWrap w:val="0"/>
        <w:adjustRightInd w:val="0"/>
        <w:snapToGrid w:val="0"/>
        <w:spacing w:line="560" w:lineRule="exact"/>
        <w:ind w:firstLine="560" w:firstLineChars="200"/>
        <w:rPr>
          <w:rFonts w:hint="eastAsia" w:ascii="仿宋_GB2312" w:hAnsi="宋体" w:eastAsia="仿宋_GB2312" w:cs="Times New Roman"/>
          <w:color w:val="auto"/>
          <w:sz w:val="28"/>
          <w:szCs w:val="28"/>
          <w:highlight w:val="none"/>
        </w:rPr>
      </w:pPr>
    </w:p>
    <w:p w14:paraId="3256AFDD">
      <w:pPr>
        <w:ind w:right="-92" w:rightChars="-44"/>
        <w:rPr>
          <w:rFonts w:ascii="宋体" w:hAnsi="宋体" w:eastAsia="宋体" w:cs="宋体"/>
          <w:bCs/>
          <w:color w:val="auto"/>
          <w:szCs w:val="21"/>
          <w:highlight w:val="none"/>
        </w:rPr>
      </w:pPr>
    </w:p>
    <w:p w14:paraId="2BFF6018">
      <w:pPr>
        <w:ind w:right="-92" w:rightChars="-44"/>
        <w:rPr>
          <w:rFonts w:ascii="宋体" w:hAnsi="宋体" w:eastAsia="宋体" w:cs="宋体"/>
          <w:bCs/>
          <w:color w:val="auto"/>
          <w:sz w:val="32"/>
          <w:szCs w:val="32"/>
          <w:highlight w:val="none"/>
        </w:rPr>
      </w:pPr>
    </w:p>
    <w:p w14:paraId="3B07E2F8">
      <w:pPr>
        <w:ind w:right="-92" w:rightChars="-44"/>
        <w:rPr>
          <w:rFonts w:ascii="宋体" w:hAnsi="宋体" w:eastAsia="宋体" w:cs="宋体"/>
          <w:bCs/>
          <w:color w:val="auto"/>
          <w:sz w:val="32"/>
          <w:szCs w:val="32"/>
          <w:highlight w:val="none"/>
        </w:rPr>
      </w:pPr>
    </w:p>
    <w:p w14:paraId="7CF1DC41">
      <w:pPr>
        <w:ind w:right="-92" w:rightChars="-44"/>
        <w:rPr>
          <w:rFonts w:ascii="宋体" w:hAnsi="宋体" w:eastAsia="宋体" w:cs="宋体"/>
          <w:bCs/>
          <w:color w:val="auto"/>
          <w:sz w:val="32"/>
          <w:szCs w:val="32"/>
          <w:highlight w:val="none"/>
        </w:rPr>
      </w:pPr>
    </w:p>
    <w:p w14:paraId="12052E74">
      <w:pPr>
        <w:ind w:right="-92" w:rightChars="-44"/>
        <w:rPr>
          <w:rFonts w:ascii="宋体" w:hAnsi="宋体" w:eastAsia="宋体" w:cs="宋体"/>
          <w:bCs/>
          <w:color w:val="auto"/>
          <w:sz w:val="32"/>
          <w:szCs w:val="32"/>
          <w:highlight w:val="none"/>
        </w:rPr>
      </w:pPr>
    </w:p>
    <w:p w14:paraId="28C8EDAE">
      <w:pPr>
        <w:ind w:right="-92" w:rightChars="-44"/>
        <w:rPr>
          <w:rFonts w:ascii="宋体" w:hAnsi="宋体" w:eastAsia="宋体" w:cs="宋体"/>
          <w:bCs/>
          <w:color w:val="auto"/>
          <w:sz w:val="32"/>
          <w:szCs w:val="32"/>
          <w:highlight w:val="none"/>
        </w:rPr>
      </w:pPr>
    </w:p>
    <w:p w14:paraId="26C564E2">
      <w:pPr>
        <w:ind w:right="-92" w:rightChars="-44"/>
        <w:rPr>
          <w:rFonts w:ascii="宋体" w:hAnsi="宋体" w:eastAsia="宋体" w:cs="宋体"/>
          <w:bCs/>
          <w:color w:val="auto"/>
          <w:sz w:val="32"/>
          <w:szCs w:val="32"/>
          <w:highlight w:val="none"/>
        </w:rPr>
      </w:pPr>
    </w:p>
    <w:p w14:paraId="375A4750">
      <w:pPr>
        <w:ind w:right="-92" w:rightChars="-44"/>
        <w:rPr>
          <w:rFonts w:ascii="宋体" w:hAnsi="宋体" w:eastAsia="宋体" w:cs="宋体"/>
          <w:bCs/>
          <w:color w:val="auto"/>
          <w:sz w:val="32"/>
          <w:szCs w:val="32"/>
          <w:highlight w:val="none"/>
        </w:rPr>
      </w:pPr>
    </w:p>
    <w:p w14:paraId="4550DD10">
      <w:pPr>
        <w:ind w:right="-92" w:rightChars="-44"/>
        <w:rPr>
          <w:rFonts w:ascii="宋体" w:hAnsi="宋体" w:eastAsia="宋体" w:cs="宋体"/>
          <w:bCs/>
          <w:color w:val="auto"/>
          <w:sz w:val="32"/>
          <w:szCs w:val="32"/>
          <w:highlight w:val="none"/>
        </w:rPr>
      </w:pPr>
    </w:p>
    <w:p w14:paraId="3EB4AAB8">
      <w:pPr>
        <w:keepNext/>
        <w:keepLines/>
        <w:spacing w:before="200" w:after="200" w:line="600" w:lineRule="exact"/>
        <w:outlineLvl w:val="0"/>
        <w:rPr>
          <w:rFonts w:ascii="黑体" w:hAnsi="黑体" w:eastAsia="黑体" w:cs="Times New Roman"/>
          <w:b/>
          <w:bCs/>
          <w:color w:val="auto"/>
          <w:kern w:val="44"/>
          <w:sz w:val="36"/>
          <w:szCs w:val="28"/>
          <w:highlight w:val="none"/>
        </w:rPr>
      </w:pPr>
      <w:bookmarkStart w:id="109" w:name="_Toc95223549"/>
      <w:bookmarkStart w:id="110" w:name="OLE_LINK31"/>
      <w:bookmarkStart w:id="111" w:name="OLE_LINK41"/>
      <w:bookmarkStart w:id="112" w:name="OLE_LINK32"/>
      <w:r>
        <w:rPr>
          <w:rFonts w:hint="eastAsia" w:ascii="黑体" w:hAnsi="黑体" w:eastAsia="黑体" w:cs="Times New Roman"/>
          <w:b/>
          <w:bCs/>
          <w:color w:val="auto"/>
          <w:kern w:val="44"/>
          <w:sz w:val="36"/>
          <w:szCs w:val="28"/>
          <w:highlight w:val="none"/>
        </w:rPr>
        <w:t xml:space="preserve">附件2 </w:t>
      </w:r>
      <w:bookmarkStart w:id="113" w:name="OLE_LINK75"/>
      <w:bookmarkStart w:id="114" w:name="OLE_LINK74"/>
      <w:r>
        <w:rPr>
          <w:rFonts w:hint="eastAsia" w:ascii="黑体" w:hAnsi="黑体" w:eastAsia="黑体" w:cs="Times New Roman"/>
          <w:b/>
          <w:bCs/>
          <w:color w:val="auto"/>
          <w:kern w:val="44"/>
          <w:sz w:val="36"/>
          <w:szCs w:val="28"/>
          <w:highlight w:val="none"/>
        </w:rPr>
        <w:t>“信用中国”查询的严重失信行为</w:t>
      </w:r>
      <w:bookmarkStart w:id="115" w:name="OLE_LINK39"/>
      <w:bookmarkStart w:id="116" w:name="OLE_LINK76"/>
      <w:bookmarkStart w:id="117" w:name="OLE_LINK38"/>
      <w:bookmarkStart w:id="118" w:name="OLE_LINK40"/>
      <w:r>
        <w:rPr>
          <w:rFonts w:hint="eastAsia" w:ascii="黑体" w:hAnsi="黑体" w:eastAsia="黑体" w:cs="Times New Roman"/>
          <w:b/>
          <w:bCs/>
          <w:color w:val="auto"/>
          <w:kern w:val="44"/>
          <w:sz w:val="36"/>
          <w:szCs w:val="28"/>
          <w:highlight w:val="none"/>
        </w:rPr>
        <w:t>类别及判定依据</w:t>
      </w:r>
      <w:bookmarkEnd w:id="109"/>
      <w:bookmarkEnd w:id="113"/>
      <w:bookmarkEnd w:id="114"/>
      <w:bookmarkEnd w:id="115"/>
      <w:bookmarkEnd w:id="116"/>
      <w:bookmarkEnd w:id="117"/>
      <w:bookmarkEnd w:id="118"/>
    </w:p>
    <w:bookmarkEnd w:id="110"/>
    <w:bookmarkEnd w:id="111"/>
    <w:bookmarkEnd w:id="112"/>
    <w:p w14:paraId="3DC3B626">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32"/>
          <w:szCs w:val="32"/>
          <w:highlight w:val="none"/>
        </w:rPr>
        <w:t>“</w:t>
      </w:r>
      <w:r>
        <w:rPr>
          <w:rFonts w:hint="eastAsia" w:ascii="仿宋_GB2312" w:hAnsi="宋体" w:eastAsia="仿宋_GB2312" w:cs="Times New Roman"/>
          <w:color w:val="auto"/>
          <w:sz w:val="28"/>
          <w:szCs w:val="28"/>
          <w:highlight w:val="none"/>
        </w:rPr>
        <w:t>信用中国”查询的严重失信行为判定依据为各行业主管部门下发的联合惩戒文件中规定的行为。下面将部分类别的严重失信行为列举如下：</w:t>
      </w:r>
    </w:p>
    <w:p w14:paraId="5E55DF1A">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一、安全生产领域严重失信行为：</w:t>
      </w:r>
    </w:p>
    <w:p w14:paraId="54A7B7A9">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（一）下列发生生产安全事故的生产经营单位及其有关人员应当列入严重失信主体名单：</w:t>
      </w:r>
    </w:p>
    <w:p w14:paraId="20363A26">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1、发生特别重大、重大生产安全事故的生产经营单位及其主要负责人，以及经调查认定对该事故发生负有责任，应当列入名单的其他单位和人员；</w:t>
      </w:r>
    </w:p>
    <w:p w14:paraId="694DCF9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2、12个月内累计发生2起以上较大生产安全事故的生产经营单位及其主要负责人；</w:t>
      </w:r>
    </w:p>
    <w:p w14:paraId="264EA91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5ACCAEFC">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4、瞒报、谎报生产安全事故的生产经营单位及其有关责任人员；</w:t>
      </w:r>
    </w:p>
    <w:p w14:paraId="7991B1B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5、发生生产安全事故后，不立即组织抢救或者在事故调查处理期间擅离职守或者逃匿的生产经营单位主要负责人。</w:t>
      </w:r>
    </w:p>
    <w:p w14:paraId="484027F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（二）下列未发生生产安全事故，但因安全生产违法行为，受到行政处罚的生产经营单位或者机构及其有关人员，应当列入严重失信主体名单：</w:t>
      </w:r>
    </w:p>
    <w:p w14:paraId="72C62D27">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1、未依法取得安全生产相关许可或者许可被暂扣、吊销期间从事相关生产经营活动的生产经营单位及其主要负责人；</w:t>
      </w:r>
    </w:p>
    <w:p w14:paraId="5E70F97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2、承担安全评价、认证、检测、检验职责的机构及其直接责任人员租借资质、挂靠、出具虚假报告或者证书的；</w:t>
      </w:r>
    </w:p>
    <w:p w14:paraId="409D218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3、在应急管理部门作出行政处罚后，有执行能力拒不执行或者逃避执行的生产经营单位及其主要负责人；</w:t>
      </w:r>
    </w:p>
    <w:p w14:paraId="4E8ACBD9">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4、其他违反安全生产法律法规受到行政处罚，且性质恶劣、情节严重的。</w:t>
      </w:r>
    </w:p>
    <w:p w14:paraId="24F295C3">
      <w:pPr>
        <w:adjustRightInd w:val="0"/>
        <w:snapToGrid w:val="0"/>
        <w:spacing w:line="560" w:lineRule="exact"/>
        <w:ind w:firstLine="645"/>
        <w:jc w:val="left"/>
        <w:rPr>
          <w:rFonts w:ascii="仿宋_GB2312" w:hAnsi="Calibri"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依据：《安全生产严重失信主体名单管理办法》</w:t>
      </w:r>
      <w:r>
        <w:rPr>
          <w:rFonts w:hint="eastAsia" w:ascii="仿宋_GB2312" w:hAnsi="Calibri" w:eastAsia="仿宋_GB2312" w:cs="Times New Roman"/>
          <w:b/>
          <w:color w:val="auto"/>
          <w:sz w:val="28"/>
          <w:szCs w:val="28"/>
          <w:highlight w:val="none"/>
        </w:rPr>
        <w:t>（2023年8月8日应急管理部令第11号）</w:t>
      </w:r>
    </w:p>
    <w:p w14:paraId="5FD438EB">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440D6291">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二、环境保护领域严重失信行为：</w:t>
      </w:r>
    </w:p>
    <w:p w14:paraId="6B8F09F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（一）因为环境违法构成</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"https://baike.sogou.com/m/fullLemma?lid=10403954&amp;g_ut=3"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环境犯罪</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5FF4D54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"https://baike.sogou.com/m/fullLemma?lid=76033123&amp;g_ut=3"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建设项目环境影响评价</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文件未按规定通过审批，擅自开工建设的；</w:t>
      </w:r>
    </w:p>
    <w:p w14:paraId="7655FAE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（三）建设项目环保设施未建成、环保措施未落实、未通过</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"https://baike.sogou.com/m/fullLemma?lid=6470550&amp;g_ut=3"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竣工环保验收</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或者验收不合格，主体工程正式投入生产或者使用的；</w:t>
      </w:r>
    </w:p>
    <w:p w14:paraId="00503389">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（四）建设项目性质、规模、地点、采用的生产工艺或者防治污染、防止生态破坏的措施发生重大变动，未重新报批环境影响评价文件，擅自投入生产或者使用的；</w:t>
      </w:r>
    </w:p>
    <w:p w14:paraId="014A6B47">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（五）主要污染物排放总量超过控制指标的；</w:t>
      </w:r>
    </w:p>
    <w:p w14:paraId="549E8F36">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（六）私设暗管或者利用</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"https://baike.sogou.com/m/fullLemma?lid=41657319&amp;g_ut=3"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渗井</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、渗坑、裂隙、溶洞等排放、倾倒、处置水污染物，或者通过私设旁路排放</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"https://baike.sogou.com/m/fullLemma?lid=7758328&amp;g_ut=3"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大气污染物</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2048265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（七）非法排放、倾倒、处置危险废物，或者向无</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"https://baike.sogou.com/m/fullLemma?lid=5923292&amp;g_ut=3"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经营许可证</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或者超出经营许可范围的单位或个人提供或者委托其收集、贮存、利用、处置危险废物的；</w:t>
      </w:r>
    </w:p>
    <w:p w14:paraId="57569A7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（八）</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"https://baike.sogou.com/m/fullLemma?lid=167759803&amp;g_ut=3"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环境违法行为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造成集中式生活饮用水水源取水中断的；</w:t>
      </w:r>
    </w:p>
    <w:p w14:paraId="082C4B57">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（九）环境违法行为对生活饮用水水源保护区、自然保护区、</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"https://baike.sogou.com/m/fullLemma?lid=155199213&amp;g_ut=3"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国家重点生态功能区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、风景名胜区、居住功能区、</w:t>
      </w:r>
      <w:r>
        <w:rPr>
          <w:rFonts w:ascii="Calibri" w:hAnsi="Calibri" w:eastAsia="宋体" w:cs="Times New Roman"/>
          <w:color w:val="auto"/>
          <w:szCs w:val="22"/>
          <w:highlight w:val="none"/>
        </w:rPr>
        <w:fldChar w:fldCharType="begin"/>
      </w:r>
      <w:r>
        <w:rPr>
          <w:rFonts w:ascii="Calibri" w:hAnsi="Calibri" w:eastAsia="宋体" w:cs="Times New Roman"/>
          <w:color w:val="auto"/>
          <w:szCs w:val="22"/>
          <w:highlight w:val="none"/>
        </w:rPr>
        <w:instrText xml:space="preserve"> HYPERLINK "https://baike.sogou.com/m/fullLemma?lid=7757164&amp;g_ut=3" \t "https://baike.sogou.com/m/_blank" </w:instrText>
      </w:r>
      <w:r>
        <w:rPr>
          <w:rFonts w:ascii="Calibri" w:hAnsi="Calibri" w:eastAsia="宋体" w:cs="Times New Roman"/>
          <w:color w:val="auto"/>
          <w:szCs w:val="22"/>
          <w:highlight w:val="none"/>
        </w:rPr>
        <w:fldChar w:fldCharType="separate"/>
      </w:r>
      <w:r>
        <w:rPr>
          <w:rFonts w:hint="eastAsia" w:ascii="仿宋_GB2312" w:hAnsi="宋体" w:eastAsia="仿宋_GB2312" w:cs="Times New Roman"/>
          <w:color w:val="auto"/>
          <w:sz w:val="28"/>
          <w:szCs w:val="28"/>
          <w:highlight w:val="none"/>
        </w:rPr>
        <w:t>基本农田保护区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等环境敏感区造成重大不利影响的；</w:t>
      </w:r>
    </w:p>
    <w:p w14:paraId="31A0D3DC">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（十）违法从事自然资源开发、交通基础设施建设，以及其他开发建设活动，造成严重生态破坏的；</w:t>
      </w:r>
    </w:p>
    <w:p w14:paraId="3630FA3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（十一）发生较大及以上突发环境事件的；</w:t>
      </w:r>
    </w:p>
    <w:p w14:paraId="485E176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（十二）被环保部门挂牌督办，整改逾期未完成的；</w:t>
      </w:r>
    </w:p>
    <w:p w14:paraId="0C883D06">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（十三）以暴力、威胁等方式拒绝、阻挠环保部门工作人员现场检查的；</w:t>
      </w:r>
    </w:p>
    <w:p w14:paraId="0543CE9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（十四）违反重污染天气应急预案有关规定，对重污染天气响应不力的。</w:t>
      </w:r>
    </w:p>
    <w:p w14:paraId="4AA508E5">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w:t>
      </w:r>
      <w:bookmarkStart w:id="119" w:name="OLE_LINK9"/>
      <w:bookmarkStart w:id="120" w:name="OLE_LINK8"/>
      <w:bookmarkStart w:id="121" w:name="OLE_LINK10"/>
      <w:r>
        <w:rPr>
          <w:rFonts w:hint="eastAsia" w:ascii="仿宋_GB2312" w:hAnsi="宋体" w:eastAsia="仿宋_GB2312" w:cs="Times New Roman"/>
          <w:b/>
          <w:color w:val="auto"/>
          <w:sz w:val="28"/>
          <w:szCs w:val="28"/>
          <w:highlight w:val="none"/>
        </w:rPr>
        <w:t>关于对环境保护领域失信生产经营单位及其有关人员开展联合惩戒的合作备忘录</w:t>
      </w:r>
      <w:bookmarkEnd w:id="119"/>
      <w:bookmarkEnd w:id="120"/>
      <w:bookmarkEnd w:id="121"/>
      <w:r>
        <w:rPr>
          <w:rFonts w:hint="eastAsia" w:ascii="仿宋_GB2312" w:hAnsi="宋体" w:eastAsia="仿宋_GB2312" w:cs="Times New Roman"/>
          <w:b/>
          <w:color w:val="auto"/>
          <w:sz w:val="28"/>
          <w:szCs w:val="28"/>
          <w:highlight w:val="none"/>
        </w:rPr>
        <w:t>》、《</w:t>
      </w:r>
      <w:bookmarkStart w:id="122" w:name="OLE_LINK11"/>
      <w:bookmarkStart w:id="123" w:name="OLE_LINK12"/>
      <w:r>
        <w:rPr>
          <w:rFonts w:hint="eastAsia" w:ascii="仿宋_GB2312" w:hAnsi="宋体" w:eastAsia="仿宋_GB2312" w:cs="Times New Roman"/>
          <w:b/>
          <w:color w:val="auto"/>
          <w:sz w:val="28"/>
          <w:szCs w:val="28"/>
          <w:highlight w:val="none"/>
        </w:rPr>
        <w:t>企业环境信用评价办法（试行）</w:t>
      </w:r>
      <w:bookmarkEnd w:id="122"/>
      <w:bookmarkEnd w:id="123"/>
      <w:r>
        <w:rPr>
          <w:rFonts w:hint="eastAsia" w:ascii="仿宋_GB2312" w:hAnsi="宋体" w:eastAsia="仿宋_GB2312" w:cs="Times New Roman"/>
          <w:b/>
          <w:color w:val="auto"/>
          <w:sz w:val="28"/>
          <w:szCs w:val="28"/>
          <w:highlight w:val="none"/>
        </w:rPr>
        <w:t>》（环发〔2013〕150号）</w:t>
      </w:r>
    </w:p>
    <w:p w14:paraId="79850472">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4AAE297A">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w:t>
      </w:r>
      <w:r>
        <w:rPr>
          <w:rFonts w:hint="eastAsia" w:ascii="仿宋_GB2312" w:hAnsi="宋体" w:eastAsia="仿宋_GB2312" w:cs="Times New Roman"/>
          <w:b/>
          <w:bCs/>
          <w:color w:val="auto"/>
          <w:sz w:val="28"/>
          <w:szCs w:val="28"/>
          <w:highlight w:val="none"/>
        </w:rPr>
        <w:t>公共资源交易领域严重失信行为</w:t>
      </w:r>
    </w:p>
    <w:p w14:paraId="6E97133D">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（一）违反法律规定，必须进行招标的项目而不招标的，将必须进行招标的项目化整为零或者以其他任何方式规避招标的； </w:t>
      </w:r>
    </w:p>
    <w:p w14:paraId="28A97B17">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（二）招标代理机构违反法律规定，泄露应当保密的与招标投标活动有关的情况和资料的，或者与招标人、投标人串通损害 国家利益、社会公共利益或者他人合法权益的；</w:t>
      </w:r>
    </w:p>
    <w:p w14:paraId="2E1A8F7D">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（三）招标人以不合理的条件限制或者排斥潜在投标人的，对潜在投标人实行歧视待遇的，强制要求投标人组成联合体共同 投标的，或者限制投标人之间竞争的；</w:t>
      </w:r>
    </w:p>
    <w:p w14:paraId="1EB1E04B">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（四）依法必须进行招标的项目的招标人向他人透露已获取招标文件的潜在投标人的名称、数量或者可能影响公平竞争的有 关招标投标的其他情况的，或者泄露标底的；</w:t>
      </w:r>
    </w:p>
    <w:p w14:paraId="56CECAB1">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（五）投标人相互串通投标或者与招标人串通投标的，投标人以向招标人或者评标委员会成员行贿的手段谋取中标的； </w:t>
      </w:r>
    </w:p>
    <w:p w14:paraId="393B922C">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（六）投标人以他人名义投标或者以其他方式弄虚作假，骗取中标的；</w:t>
      </w:r>
    </w:p>
    <w:p w14:paraId="73714DC6">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（七）依法必须进行招标的项目，招标人违反法律规定，与投标人就投标价格、投标方案等实质性内容进行谈判的；</w:t>
      </w:r>
    </w:p>
    <w:p w14:paraId="47843BFC">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73369EE9">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（九）招标人在评标委员会依法推荐的中标候选人以外确定中标人的，依法必须进行招标的项目在所有投标被评标委员会否 决后自行确定中标人的； </w:t>
      </w:r>
    </w:p>
    <w:p w14:paraId="229B563A">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（十）中标人将中标项目转让给他人的，将中标项目肢解后分别转让给他人的，违反法律规定将中标项目的部分主体、关键 性工作分包给他人的，或者分包人再次分包的； </w:t>
      </w:r>
    </w:p>
    <w:p w14:paraId="5F9D4957">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（十一）招标人与中标人不按照招标文件和中标人的投标文件订立合同的，或者招标人、中标人订立背离合同实质性内容的 协议的； </w:t>
      </w:r>
    </w:p>
    <w:p w14:paraId="288B4443">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（十二）中标人不按照与招标人订立的合同履行义务，情节严重的； </w:t>
      </w:r>
    </w:p>
    <w:p w14:paraId="3EDD9F29">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2CB23F23">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14700C61">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（十五）采购人对应当实行集中采购的政府采购项目，不委托集中采购机构实行集中采购的； </w:t>
      </w:r>
    </w:p>
    <w:p w14:paraId="0B07036C">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（十六）采购人、采购代理机构违反法律规定隐匿、销毁应当保存的采购文件或者伪造、变造采购文件的； </w:t>
      </w:r>
    </w:p>
    <w:p w14:paraId="7DB505CC">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42D168EE">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（十八）疫苗生产企业向县级疾病预防控制机构以外的单位或者个人销售第二类疫苗的； </w:t>
      </w:r>
    </w:p>
    <w:p w14:paraId="6193E734">
      <w:pPr>
        <w:adjustRightInd w:val="0"/>
        <w:snapToGrid w:val="0"/>
        <w:spacing w:line="560" w:lineRule="exact"/>
        <w:ind w:left="141" w:leftChars="67" w:firstLine="420" w:firstLineChars="150"/>
        <w:jc w:val="left"/>
        <w:rPr>
          <w:rFonts w:ascii="仿宋_GB2312" w:hAnsi="宋体"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（十九）存在其他违反公共资源交易法律法规行为的。</w:t>
      </w:r>
    </w:p>
    <w:p w14:paraId="24153E54">
      <w:pPr>
        <w:adjustRightInd w:val="0"/>
        <w:snapToGrid w:val="0"/>
        <w:spacing w:line="560" w:lineRule="exact"/>
        <w:ind w:firstLine="894" w:firstLineChars="318"/>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依据：《关于对公共资源交易领域严重失信主体开展联合惩戒的备忘录》（发改法规〔2018〕457号）</w:t>
      </w:r>
    </w:p>
    <w:p w14:paraId="2123A909">
      <w:pPr>
        <w:adjustRightInd w:val="0"/>
        <w:snapToGrid w:val="0"/>
        <w:spacing w:line="560" w:lineRule="exact"/>
        <w:ind w:firstLine="645"/>
        <w:jc w:val="left"/>
        <w:rPr>
          <w:rFonts w:ascii="仿宋_GB2312" w:hAnsi="宋体" w:eastAsia="仿宋_GB2312" w:cs="Times New Roman"/>
          <w:color w:val="auto"/>
          <w:sz w:val="28"/>
          <w:szCs w:val="28"/>
          <w:highlight w:val="none"/>
        </w:rPr>
      </w:pPr>
    </w:p>
    <w:p w14:paraId="7195D52D">
      <w:pPr>
        <w:adjustRightInd w:val="0"/>
        <w:snapToGrid w:val="0"/>
        <w:spacing w:line="560" w:lineRule="exact"/>
        <w:ind w:firstLine="645"/>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四、</w:t>
      </w:r>
      <w:r>
        <w:rPr>
          <w:rFonts w:hint="eastAsia" w:ascii="仿宋_GB2312" w:hAnsi="宋体" w:eastAsia="仿宋_GB2312" w:cs="Times New Roman"/>
          <w:b/>
          <w:bCs/>
          <w:color w:val="auto"/>
          <w:sz w:val="28"/>
          <w:szCs w:val="28"/>
          <w:highlight w:val="none"/>
        </w:rPr>
        <w:t>社会保险领域严重失信行为</w:t>
      </w:r>
    </w:p>
    <w:p w14:paraId="1E15F60E">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（一）用人单位未按相关规定参加社会保险且拒不整改的； </w:t>
      </w:r>
    </w:p>
    <w:p w14:paraId="3E189F00">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（二）用人单位未如实申报社会保险缴费基数且拒不整改的； </w:t>
      </w:r>
    </w:p>
    <w:p w14:paraId="74C03EC8">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（三）应缴纳社会保险费却拒不缴纳的； </w:t>
      </w:r>
    </w:p>
    <w:p w14:paraId="246B8966">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（四）隐匿、转移、侵占、挪用社会保险费款、基金或者违规投资运营的；</w:t>
      </w:r>
    </w:p>
    <w:p w14:paraId="2734822C">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（五）以欺诈、伪造证明材料或者其他手段参加、申报社会保险和骗取社会保险基金支出或社会保险待遇的； </w:t>
      </w:r>
    </w:p>
    <w:p w14:paraId="4E511EA1">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（六）非法获取、出售或变相交易社会保险个人权益数据的； </w:t>
      </w:r>
    </w:p>
    <w:p w14:paraId="1D8A6351">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（七）社会保险服务机构违反服务协议或相关规定的； </w:t>
      </w:r>
    </w:p>
    <w:p w14:paraId="680E58BB">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（八）拒绝协助社会保险行政部门、经办机构对事故和问题进 行调查核实的；拒绝接受或协助税务部门对社会保险实施监督检查， 不如实提供与社会保险相关各项资料的； </w:t>
      </w:r>
    </w:p>
    <w:p w14:paraId="3A0CAEC6">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（九）其他违反法律法规规定的。</w:t>
      </w:r>
    </w:p>
    <w:p w14:paraId="61DF9EF9">
      <w:pPr>
        <w:adjustRightInd w:val="0"/>
        <w:snapToGrid w:val="0"/>
        <w:spacing w:line="560" w:lineRule="exact"/>
        <w:ind w:firstLine="551" w:firstLineChars="196"/>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124" w:name="OLE_LINK16"/>
      <w:bookmarkStart w:id="125" w:name="OLE_LINK15"/>
      <w:r>
        <w:rPr>
          <w:rFonts w:hint="eastAsia" w:ascii="仿宋_GB2312" w:hAnsi="Calibri" w:eastAsia="仿宋_GB2312" w:cs="Times New Roman"/>
          <w:b/>
          <w:color w:val="auto"/>
          <w:sz w:val="28"/>
          <w:szCs w:val="28"/>
          <w:highlight w:val="none"/>
        </w:rPr>
        <w:t>关于对社会保险领域严重失信企业及其有关人员实施联合惩戒的合作备忘录</w:t>
      </w:r>
      <w:bookmarkEnd w:id="124"/>
      <w:bookmarkEnd w:id="125"/>
      <w:r>
        <w:rPr>
          <w:rFonts w:hint="eastAsia" w:ascii="仿宋_GB2312" w:hAnsi="Calibri" w:eastAsia="仿宋_GB2312" w:cs="Times New Roman"/>
          <w:b/>
          <w:color w:val="auto"/>
          <w:sz w:val="28"/>
          <w:szCs w:val="28"/>
          <w:highlight w:val="none"/>
        </w:rPr>
        <w:t>》（发改财金〔2018〕1704号）</w:t>
      </w:r>
    </w:p>
    <w:p w14:paraId="6CC59243">
      <w:pPr>
        <w:adjustRightInd w:val="0"/>
        <w:snapToGrid w:val="0"/>
        <w:spacing w:line="560" w:lineRule="exact"/>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 xml:space="preserve">     </w:t>
      </w:r>
    </w:p>
    <w:p w14:paraId="4B9B899F">
      <w:pPr>
        <w:adjustRightInd w:val="0"/>
        <w:snapToGrid w:val="0"/>
        <w:spacing w:line="560" w:lineRule="exact"/>
        <w:ind w:firstLine="562" w:firstLineChars="200"/>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五、建筑市场领域</w:t>
      </w:r>
      <w:r>
        <w:rPr>
          <w:rFonts w:hint="eastAsia" w:ascii="仿宋_GB2312" w:hAnsi="宋体" w:eastAsia="仿宋_GB2312" w:cs="Times New Roman"/>
          <w:b/>
          <w:bCs/>
          <w:color w:val="auto"/>
          <w:sz w:val="28"/>
          <w:szCs w:val="28"/>
          <w:highlight w:val="none"/>
        </w:rPr>
        <w:t>严重失信行为</w:t>
      </w:r>
    </w:p>
    <w:p w14:paraId="0B59286A">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（一）利用虚假材料、以欺骗手段取得企业资质的；</w:t>
      </w:r>
    </w:p>
    <w:p w14:paraId="6DE3CC35">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（二）发生转包、出借资质，受到行政处罚的；</w:t>
      </w:r>
    </w:p>
    <w:p w14:paraId="0F5C3D22">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32C32450">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（四）经法院判决或仲裁机构裁决，认定为拖欠工程款,且拒不履行生效法律文书确定的义务的。</w:t>
      </w:r>
    </w:p>
    <w:p w14:paraId="213F876B">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03E3EC2F">
      <w:pPr>
        <w:ind w:firstLine="562" w:firstLineChars="200"/>
        <w:jc w:val="left"/>
        <w:rPr>
          <w:rFonts w:ascii="宋体" w:hAnsi="宋体" w:eastAsia="宋体"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126" w:name="OLE_LINK18"/>
      <w:bookmarkStart w:id="127" w:name="OLE_LINK17"/>
      <w:r>
        <w:rPr>
          <w:rFonts w:hint="eastAsia" w:ascii="仿宋_GB2312" w:hAnsi="Calibri" w:eastAsia="仿宋_GB2312" w:cs="Times New Roman"/>
          <w:b/>
          <w:color w:val="auto"/>
          <w:sz w:val="28"/>
          <w:szCs w:val="28"/>
          <w:highlight w:val="none"/>
        </w:rPr>
        <w:t>建筑市场信用管理暂行办法</w:t>
      </w:r>
      <w:bookmarkEnd w:id="126"/>
      <w:bookmarkEnd w:id="127"/>
      <w:r>
        <w:rPr>
          <w:rFonts w:hint="eastAsia" w:ascii="仿宋_GB2312" w:hAnsi="Calibri" w:eastAsia="仿宋_GB2312" w:cs="Times New Roman"/>
          <w:b/>
          <w:color w:val="auto"/>
          <w:sz w:val="28"/>
          <w:szCs w:val="28"/>
          <w:highlight w:val="none"/>
        </w:rPr>
        <w:t>》（建市〔2017〕241号）</w:t>
      </w:r>
    </w:p>
    <w:p w14:paraId="493CDA45">
      <w:pPr>
        <w:adjustRightInd w:val="0"/>
        <w:snapToGrid w:val="0"/>
        <w:spacing w:line="560" w:lineRule="exact"/>
        <w:rPr>
          <w:rFonts w:ascii="仿宋_GB2312" w:hAnsi="宋体" w:eastAsia="仿宋_GB2312" w:cs="Times New Roman"/>
          <w:b/>
          <w:color w:val="auto"/>
          <w:sz w:val="28"/>
          <w:szCs w:val="28"/>
          <w:highlight w:val="none"/>
        </w:rPr>
      </w:pPr>
    </w:p>
    <w:p w14:paraId="4878DCD2">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六、</w:t>
      </w:r>
      <w:bookmarkStart w:id="128" w:name="OLE_LINK20"/>
      <w:bookmarkStart w:id="129" w:name="OLE_LINK19"/>
      <w:r>
        <w:rPr>
          <w:rFonts w:hint="eastAsia" w:ascii="仿宋_GB2312" w:hAnsi="宋体" w:eastAsia="仿宋_GB2312" w:cs="Times New Roman"/>
          <w:b/>
          <w:color w:val="auto"/>
          <w:sz w:val="28"/>
          <w:szCs w:val="28"/>
          <w:highlight w:val="none"/>
        </w:rPr>
        <w:t>政府采购严重失信行为</w:t>
      </w:r>
      <w:bookmarkEnd w:id="128"/>
      <w:bookmarkEnd w:id="129"/>
    </w:p>
    <w:p w14:paraId="05C0AE99">
      <w:pPr>
        <w:adjustRightInd w:val="0"/>
        <w:snapToGrid w:val="0"/>
        <w:spacing w:line="560" w:lineRule="exact"/>
        <w:ind w:firstLine="615"/>
        <w:rPr>
          <w:rFonts w:hint="eastAsia" w:ascii="仿宋_GB2312" w:hAnsi="Calibri" w:eastAsia="仿宋_GB2312" w:cs="Times New Roman"/>
          <w:color w:val="auto"/>
          <w:sz w:val="28"/>
          <w:szCs w:val="28"/>
          <w:highlight w:val="none"/>
          <w:lang w:eastAsia="zh-CN"/>
        </w:rPr>
      </w:pPr>
      <w:r>
        <w:rPr>
          <w:rFonts w:hint="eastAsia" w:ascii="仿宋_GB2312" w:hAnsi="Calibri" w:eastAsia="仿宋_GB2312" w:cs="Times New Roman"/>
          <w:color w:val="auto"/>
          <w:sz w:val="28"/>
          <w:szCs w:val="28"/>
          <w:highlight w:val="none"/>
        </w:rPr>
        <w:t>供应商、采购代理机构在三年内受到财政部门作出下列情形之一的行政处罚，列入政府采购严重违法失信行为记录名单。</w:t>
      </w:r>
    </w:p>
    <w:p w14:paraId="614BDE0B">
      <w:pPr>
        <w:adjustRightInd w:val="0"/>
        <w:snapToGrid w:val="0"/>
        <w:spacing w:line="560" w:lineRule="exact"/>
        <w:ind w:firstLine="615"/>
        <w:rPr>
          <w:rFonts w:hint="eastAsia" w:ascii="仿宋_GB2312" w:hAnsi="Calibri" w:eastAsia="仿宋_GB2312" w:cs="Times New Roman"/>
          <w:color w:val="auto"/>
          <w:sz w:val="28"/>
          <w:szCs w:val="28"/>
          <w:highlight w:val="none"/>
          <w:lang w:eastAsia="zh-CN"/>
        </w:rPr>
      </w:pPr>
      <w:r>
        <w:rPr>
          <w:rFonts w:hint="eastAsia" w:ascii="仿宋_GB2312" w:hAnsi="Calibri" w:eastAsia="仿宋_GB2312" w:cs="Times New Roman"/>
          <w:color w:val="auto"/>
          <w:sz w:val="28"/>
          <w:szCs w:val="28"/>
          <w:highlight w:val="none"/>
        </w:rPr>
        <w:t>　　（一）三万元以上罚款；</w:t>
      </w:r>
    </w:p>
    <w:p w14:paraId="7C342394">
      <w:pPr>
        <w:adjustRightInd w:val="0"/>
        <w:snapToGrid w:val="0"/>
        <w:spacing w:line="560" w:lineRule="exact"/>
        <w:ind w:firstLine="615"/>
        <w:rPr>
          <w:rFonts w:hint="eastAsia" w:ascii="仿宋_GB2312" w:hAnsi="Calibri" w:eastAsia="仿宋_GB2312" w:cs="Times New Roman"/>
          <w:color w:val="auto"/>
          <w:sz w:val="28"/>
          <w:szCs w:val="28"/>
          <w:highlight w:val="none"/>
          <w:lang w:eastAsia="zh-CN"/>
        </w:rPr>
      </w:pPr>
      <w:r>
        <w:rPr>
          <w:rFonts w:hint="eastAsia" w:ascii="仿宋_GB2312" w:hAnsi="Calibri" w:eastAsia="仿宋_GB2312" w:cs="Times New Roman"/>
          <w:color w:val="auto"/>
          <w:sz w:val="28"/>
          <w:szCs w:val="28"/>
          <w:highlight w:val="none"/>
        </w:rPr>
        <w:t>　　（二）在一至三年内禁止参加政府采购活动（处罚期限届满的除外）；</w:t>
      </w:r>
    </w:p>
    <w:p w14:paraId="3B233688">
      <w:pPr>
        <w:adjustRightInd w:val="0"/>
        <w:snapToGrid w:val="0"/>
        <w:spacing w:line="560" w:lineRule="exact"/>
        <w:ind w:firstLine="615"/>
        <w:rPr>
          <w:rFonts w:hint="eastAsia" w:ascii="仿宋_GB2312" w:hAnsi="Calibri" w:eastAsia="仿宋_GB2312" w:cs="Times New Roman"/>
          <w:color w:val="auto"/>
          <w:sz w:val="28"/>
          <w:szCs w:val="28"/>
          <w:highlight w:val="none"/>
          <w:lang w:eastAsia="zh-CN"/>
        </w:rPr>
      </w:pPr>
      <w:r>
        <w:rPr>
          <w:rFonts w:hint="eastAsia" w:ascii="仿宋_GB2312" w:hAnsi="Calibri" w:eastAsia="仿宋_GB2312" w:cs="Times New Roman"/>
          <w:color w:val="auto"/>
          <w:sz w:val="28"/>
          <w:szCs w:val="28"/>
          <w:highlight w:val="none"/>
        </w:rPr>
        <w:t>　　（三）在一至三年内禁止代理政府采购业务（处罚期限届满的除外）；</w:t>
      </w:r>
    </w:p>
    <w:p w14:paraId="25FA3381">
      <w:pPr>
        <w:adjustRightInd w:val="0"/>
        <w:snapToGrid w:val="0"/>
        <w:spacing w:line="560" w:lineRule="exact"/>
        <w:ind w:firstLine="615"/>
        <w:rPr>
          <w:rFonts w:ascii="仿宋_GB2312" w:hAnsi="Calibri"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 xml:space="preserve">　 </w:t>
      </w:r>
      <w:r>
        <w:rPr>
          <w:rFonts w:hint="eastAsia" w:ascii="仿宋_GB2312" w:hAnsi="Calibri" w:eastAsia="仿宋_GB2312" w:cs="Times New Roman"/>
          <w:color w:val="auto"/>
          <w:sz w:val="28"/>
          <w:szCs w:val="28"/>
          <w:highlight w:val="none"/>
        </w:rPr>
        <w:t>（四）撤销政府采购代理机构资格（仅针对《政府采购法》第78条修改前作出的处罚决定）。</w:t>
      </w:r>
    </w:p>
    <w:p w14:paraId="332F205F">
      <w:pPr>
        <w:adjustRightInd w:val="0"/>
        <w:snapToGrid w:val="0"/>
        <w:spacing w:line="560" w:lineRule="exact"/>
        <w:ind w:firstLine="562" w:firstLineChars="200"/>
        <w:jc w:val="left"/>
        <w:rPr>
          <w:rFonts w:ascii="仿宋_GB2312" w:hAnsi="Calibri" w:eastAsia="仿宋_GB2312" w:cs="Times New Roman"/>
          <w:b/>
          <w:color w:val="auto"/>
          <w:sz w:val="28"/>
          <w:szCs w:val="28"/>
          <w:highlight w:val="none"/>
        </w:rPr>
      </w:pPr>
      <w:r>
        <w:rPr>
          <w:rFonts w:hint="eastAsia" w:ascii="仿宋_GB2312" w:hAnsi="Calibri" w:eastAsia="仿宋_GB2312" w:cs="Times New Roman"/>
          <w:b/>
          <w:color w:val="auto"/>
          <w:sz w:val="28"/>
          <w:szCs w:val="28"/>
          <w:highlight w:val="none"/>
        </w:rPr>
        <w:t>依据：《关于报送政府采购严重违法失信行为信息记录的通知》</w:t>
      </w:r>
      <w:r>
        <w:rPr>
          <w:rFonts w:ascii="Calibri" w:hAnsi="Calibri" w:eastAsia="宋体" w:cs="Times New Roman"/>
          <w:b/>
          <w:color w:val="auto"/>
          <w:sz w:val="28"/>
          <w:szCs w:val="28"/>
          <w:highlight w:val="none"/>
        </w:rPr>
        <w:t>（</w:t>
      </w:r>
      <w:r>
        <w:rPr>
          <w:rFonts w:hint="eastAsia" w:ascii="Calibri" w:hAnsi="Calibri" w:eastAsia="宋体" w:cs="Times New Roman"/>
          <w:b/>
          <w:color w:val="auto"/>
          <w:sz w:val="28"/>
          <w:szCs w:val="28"/>
          <w:highlight w:val="none"/>
        </w:rPr>
        <w:t>财办库〔</w:t>
      </w:r>
      <w:r>
        <w:rPr>
          <w:rFonts w:ascii="Calibri" w:hAnsi="Calibri" w:eastAsia="宋体" w:cs="Times New Roman"/>
          <w:b/>
          <w:color w:val="auto"/>
          <w:sz w:val="28"/>
          <w:szCs w:val="28"/>
          <w:highlight w:val="none"/>
        </w:rPr>
        <w:t>201</w:t>
      </w:r>
      <w:r>
        <w:rPr>
          <w:rFonts w:hint="eastAsia" w:ascii="Calibri" w:hAnsi="Calibri" w:eastAsia="宋体" w:cs="Times New Roman"/>
          <w:b/>
          <w:color w:val="auto"/>
          <w:sz w:val="28"/>
          <w:szCs w:val="28"/>
          <w:highlight w:val="none"/>
        </w:rPr>
        <w:t>4〕526</w:t>
      </w:r>
      <w:r>
        <w:rPr>
          <w:rFonts w:ascii="Calibri" w:hAnsi="Calibri" w:eastAsia="宋体" w:cs="Times New Roman"/>
          <w:b/>
          <w:color w:val="auto"/>
          <w:sz w:val="28"/>
          <w:szCs w:val="28"/>
          <w:highlight w:val="none"/>
        </w:rPr>
        <w:t>号）</w:t>
      </w:r>
    </w:p>
    <w:p w14:paraId="223FC066">
      <w:pPr>
        <w:adjustRightInd w:val="0"/>
        <w:snapToGrid w:val="0"/>
        <w:spacing w:line="560" w:lineRule="exact"/>
        <w:rPr>
          <w:rFonts w:ascii="仿宋_GB2312" w:hAnsi="宋体" w:eastAsia="仿宋_GB2312" w:cs="Times New Roman"/>
          <w:b/>
          <w:color w:val="auto"/>
          <w:sz w:val="28"/>
          <w:szCs w:val="28"/>
          <w:highlight w:val="none"/>
        </w:rPr>
      </w:pPr>
    </w:p>
    <w:p w14:paraId="718D5B0F">
      <w:pPr>
        <w:spacing w:line="440" w:lineRule="exact"/>
        <w:ind w:right="-92" w:rightChars="-44" w:firstLine="615"/>
        <w:rPr>
          <w:rFonts w:ascii="宋体" w:hAnsi="宋体" w:eastAsia="宋体" w:cs="宋体"/>
          <w:bCs/>
          <w:color w:val="auto"/>
          <w:sz w:val="24"/>
          <w:highlight w:val="none"/>
        </w:rPr>
      </w:pPr>
      <w:r>
        <w:rPr>
          <w:rFonts w:hint="eastAsia" w:ascii="仿宋_GB2312" w:hAnsi="宋体" w:eastAsia="仿宋_GB2312" w:cs="Times New Roman"/>
          <w:b/>
          <w:color w:val="auto"/>
          <w:sz w:val="28"/>
          <w:szCs w:val="28"/>
          <w:highlight w:val="none"/>
        </w:rPr>
        <w:t>未列出的其他类别严重失信行为，由招标人（代理机构）根据各类别行业主管部门下发的联合惩戒文件进行判断。</w:t>
      </w:r>
    </w:p>
    <w:p w14:paraId="5E311ABE">
      <w:pPr>
        <w:pStyle w:val="12"/>
        <w:rPr>
          <w:color w:val="auto"/>
          <w:highlight w:val="none"/>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46D3BC-8FDC-4C82-9E85-AEE4DCE2BE59}"/>
  </w:font>
  <w:font w:name="Arial">
    <w:panose1 w:val="020B0604020202020204"/>
    <w:charset w:val="01"/>
    <w:family w:val="swiss"/>
    <w:pitch w:val="default"/>
    <w:sig w:usb0="E0002EFF" w:usb1="C000785B" w:usb2="00000009" w:usb3="00000000" w:csb0="400001FF" w:csb1="FFFF0000"/>
    <w:embedRegular r:id="rId2" w:fontKey="{5C45CD14-47C6-46C9-984E-93CE96F6E783}"/>
  </w:font>
  <w:font w:name="黑体">
    <w:panose1 w:val="02010609060101010101"/>
    <w:charset w:val="86"/>
    <w:family w:val="auto"/>
    <w:pitch w:val="default"/>
    <w:sig w:usb0="800002BF" w:usb1="38CF7CFA" w:usb2="00000016" w:usb3="00000000" w:csb0="00040001" w:csb1="00000000"/>
    <w:embedRegular r:id="rId3" w:fontKey="{A07BE2AC-BE72-4EA1-A724-46F1B8F97D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C0FC57D-ADE2-43E7-ADF7-F107D06D4775}"/>
  </w:font>
  <w:font w:name="@仿宋_GB2312">
    <w:altName w:val="仿宋"/>
    <w:panose1 w:val="02010609030101010101"/>
    <w:charset w:val="86"/>
    <w:family w:val="modern"/>
    <w:pitch w:val="default"/>
    <w:sig w:usb0="00000000" w:usb1="00000000" w:usb2="00000000" w:usb3="00000000" w:csb0="00040000" w:csb1="00000000"/>
    <w:embedRegular r:id="rId5" w:fontKey="{F64C5AE8-E123-456A-BA7A-41E7E8D8EDA8}"/>
  </w:font>
  <w:font w:name="仿宋">
    <w:panose1 w:val="02010609060101010101"/>
    <w:charset w:val="86"/>
    <w:family w:val="modern"/>
    <w:pitch w:val="default"/>
    <w:sig w:usb0="800002BF" w:usb1="38CF7CFA" w:usb2="00000016" w:usb3="00000000" w:csb0="00040001" w:csb1="00000000"/>
    <w:embedRegular r:id="rId6" w:fontKey="{74D76099-33F5-48C5-86D8-A4A64388AE4B}"/>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A00002BF" w:usb1="78CF7CFB" w:usb2="00000016" w:usb3="00000000" w:csb0="6006009F" w:csb1="DFD70000"/>
  </w:font>
  <w:font w:name="仿宋_GB2312">
    <w:altName w:val="仿宋"/>
    <w:panose1 w:val="02010609030101010101"/>
    <w:charset w:val="86"/>
    <w:family w:val="auto"/>
    <w:pitch w:val="default"/>
    <w:sig w:usb0="00000000" w:usb1="00000000" w:usb2="00000000" w:usb3="00000000" w:csb0="00040000" w:csb1="00000000"/>
    <w:embedRegular r:id="rId7" w:fontKey="{9A911191-CBF1-46E3-8D5E-CA4994CA45BF}"/>
  </w:font>
  <w:font w:name="方正仿宋_GB2312">
    <w:panose1 w:val="02000000000000000000"/>
    <w:charset w:val="86"/>
    <w:family w:val="auto"/>
    <w:pitch w:val="default"/>
    <w:sig w:usb0="A00002BF" w:usb1="184F6CFA" w:usb2="00000012" w:usb3="00000000" w:csb0="00040001" w:csb1="00000000"/>
    <w:embedRegular r:id="rId8" w:fontKey="{CD105DD6-6930-48EB-BBD6-EFD76697FBD9}"/>
  </w:font>
  <w:font w:name="楷体">
    <w:panose1 w:val="02010609060101010101"/>
    <w:charset w:val="86"/>
    <w:family w:val="auto"/>
    <w:pitch w:val="default"/>
    <w:sig w:usb0="800002BF" w:usb1="38CF7CFA" w:usb2="00000016" w:usb3="00000000" w:csb0="00040001" w:csb1="00000000"/>
    <w:embedRegular r:id="rId9" w:fontKey="{15E52F3D-0962-4555-9559-9ADCCF38392D}"/>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68F2">
    <w:pPr>
      <w:pStyle w:val="1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06B61">
                          <w:pPr>
                            <w:pStyle w:val="17"/>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A06B61">
                    <w:pPr>
                      <w:pStyle w:val="17"/>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823F6">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03539">
                          <w:pPr>
                            <w:pStyle w:val="17"/>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lang w:val="en-US" w:eastAsia="zh-CN"/>
                            </w:rPr>
                            <w:t>90</w:t>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A03539">
                    <w:pPr>
                      <w:pStyle w:val="17"/>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lang w:val="en-US" w:eastAsia="zh-CN"/>
                      </w:rPr>
                      <w:t>90</w:t>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B95FE">
    <w:pPr>
      <w:pStyle w:val="19"/>
      <w:jc w:val="left"/>
      <w:rPr>
        <w:rFonts w:hint="eastAsia"/>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项目公开</w:t>
    </w:r>
    <w:r>
      <w:rPr>
        <w:rFonts w:hint="eastAsia" w:asciiTheme="minorEastAsia" w:hAnsiTheme="minorEastAsia" w:eastAsiaTheme="minorEastAsia"/>
      </w:rPr>
      <w:t>招标文件</w:t>
    </w:r>
    <w:r>
      <w:rPr>
        <w:rFonts w:hint="eastAsia" w:asciiTheme="minorEastAsia" w:hAnsiTheme="minorEastAsia" w:eastAsiaTheme="minorEastAsia"/>
        <w:lang w:eastAsia="zh-CN"/>
      </w:rPr>
      <w:t>示范文本（</w:t>
    </w:r>
    <w:r>
      <w:rPr>
        <w:rFonts w:hint="eastAsia" w:asciiTheme="minorEastAsia" w:hAnsiTheme="minorEastAsia" w:eastAsiaTheme="minorEastAsia"/>
        <w:lang w:val="en-US" w:eastAsia="zh-CN"/>
      </w:rPr>
      <w:t>货物类</w:t>
    </w:r>
    <w:r>
      <w:rPr>
        <w:rFonts w:hint="eastAsia" w:asciiTheme="minorEastAsia" w:hAnsiTheme="minorEastAsia" w:eastAsiaTheme="minor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7E18FE"/>
    <w:multiLevelType w:val="multilevel"/>
    <w:tmpl w:val="AC7E18FE"/>
    <w:lvl w:ilvl="0" w:tentative="0">
      <w:start w:val="16"/>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BACA0508"/>
    <w:multiLevelType w:val="multilevel"/>
    <w:tmpl w:val="BACA0508"/>
    <w:lvl w:ilvl="0" w:tentative="0">
      <w:start w:val="23"/>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C54EA2A8"/>
    <w:multiLevelType w:val="singleLevel"/>
    <w:tmpl w:val="C54EA2A8"/>
    <w:lvl w:ilvl="0" w:tentative="0">
      <w:start w:val="1"/>
      <w:numFmt w:val="decimal"/>
      <w:pStyle w:val="7"/>
      <w:lvlText w:val="%1."/>
      <w:lvlJc w:val="left"/>
      <w:pPr>
        <w:tabs>
          <w:tab w:val="left" w:pos="360"/>
        </w:tabs>
        <w:ind w:left="360" w:hanging="360"/>
      </w:pPr>
    </w:lvl>
  </w:abstractNum>
  <w:abstractNum w:abstractNumId="3">
    <w:nsid w:val="C666EA50"/>
    <w:multiLevelType w:val="multilevel"/>
    <w:tmpl w:val="C666EA50"/>
    <w:lvl w:ilvl="0" w:tentative="0">
      <w:start w:val="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D6500D40"/>
    <w:multiLevelType w:val="multilevel"/>
    <w:tmpl w:val="D6500D40"/>
    <w:lvl w:ilvl="0" w:tentative="0">
      <w:start w:val="6"/>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FC9A424E"/>
    <w:multiLevelType w:val="singleLevel"/>
    <w:tmpl w:val="FC9A424E"/>
    <w:lvl w:ilvl="0" w:tentative="0">
      <w:start w:val="1"/>
      <w:numFmt w:val="decimal"/>
      <w:suff w:val="nothing"/>
      <w:lvlText w:val="（%1）"/>
      <w:lvlJc w:val="left"/>
    </w:lvl>
  </w:abstractNum>
  <w:abstractNum w:abstractNumId="6">
    <w:nsid w:val="09649FA8"/>
    <w:multiLevelType w:val="multilevel"/>
    <w:tmpl w:val="09649FA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5FEA4A1"/>
    <w:multiLevelType w:val="multilevel"/>
    <w:tmpl w:val="65FEA4A1"/>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D2291B5"/>
    <w:multiLevelType w:val="singleLevel"/>
    <w:tmpl w:val="6D2291B5"/>
    <w:lvl w:ilvl="0" w:tentative="0">
      <w:start w:val="1"/>
      <w:numFmt w:val="chineseCounting"/>
      <w:suff w:val="nothing"/>
      <w:lvlText w:val="（%1）"/>
      <w:lvlJc w:val="left"/>
      <w:rPr>
        <w:rFonts w:hint="eastAsia"/>
      </w:rPr>
    </w:lvl>
  </w:abstractNum>
  <w:num w:numId="1">
    <w:abstractNumId w:val="2"/>
  </w:num>
  <w:num w:numId="2">
    <w:abstractNumId w:val="8"/>
  </w:num>
  <w:num w:numId="3">
    <w:abstractNumId w:val="7"/>
  </w:num>
  <w:num w:numId="4">
    <w:abstractNumId w:val="5"/>
  </w:num>
  <w:num w:numId="5">
    <w:abstractNumId w:val="6"/>
  </w:num>
  <w:num w:numId="6">
    <w:abstractNumId w:val="3"/>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lNzQ4MzcxNzg2OWFlODZiZmQ0MDE5ZTViOTE5MTEifQ=="/>
  </w:docVars>
  <w:rsids>
    <w:rsidRoot w:val="00276BA1"/>
    <w:rsid w:val="0000043F"/>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6E0"/>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5F65"/>
    <w:rsid w:val="00246810"/>
    <w:rsid w:val="00260860"/>
    <w:rsid w:val="00260B9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10A1"/>
    <w:rsid w:val="00556D4C"/>
    <w:rsid w:val="005614B4"/>
    <w:rsid w:val="005616B5"/>
    <w:rsid w:val="00571315"/>
    <w:rsid w:val="00582075"/>
    <w:rsid w:val="00584A63"/>
    <w:rsid w:val="00585EB3"/>
    <w:rsid w:val="00591688"/>
    <w:rsid w:val="00592509"/>
    <w:rsid w:val="00594986"/>
    <w:rsid w:val="00597B15"/>
    <w:rsid w:val="005A044C"/>
    <w:rsid w:val="005B5C95"/>
    <w:rsid w:val="005B636A"/>
    <w:rsid w:val="005B6740"/>
    <w:rsid w:val="005D0200"/>
    <w:rsid w:val="005D44EF"/>
    <w:rsid w:val="005D4814"/>
    <w:rsid w:val="005D5112"/>
    <w:rsid w:val="005F03E3"/>
    <w:rsid w:val="005F3914"/>
    <w:rsid w:val="005F3B5A"/>
    <w:rsid w:val="005F6AB4"/>
    <w:rsid w:val="00610A66"/>
    <w:rsid w:val="00613177"/>
    <w:rsid w:val="00613F7C"/>
    <w:rsid w:val="00614BF2"/>
    <w:rsid w:val="0061618E"/>
    <w:rsid w:val="00620560"/>
    <w:rsid w:val="006208CB"/>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73D89"/>
    <w:rsid w:val="00876659"/>
    <w:rsid w:val="00876677"/>
    <w:rsid w:val="0087734C"/>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4CAE"/>
    <w:rsid w:val="0094257D"/>
    <w:rsid w:val="00942F60"/>
    <w:rsid w:val="0095211B"/>
    <w:rsid w:val="0095467C"/>
    <w:rsid w:val="00954A61"/>
    <w:rsid w:val="00955C6F"/>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176"/>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5561"/>
    <w:rsid w:val="00C4202A"/>
    <w:rsid w:val="00C4211F"/>
    <w:rsid w:val="00C46A36"/>
    <w:rsid w:val="00C47037"/>
    <w:rsid w:val="00C53625"/>
    <w:rsid w:val="00C602C1"/>
    <w:rsid w:val="00C61C98"/>
    <w:rsid w:val="00C63FC0"/>
    <w:rsid w:val="00C66392"/>
    <w:rsid w:val="00C74C5E"/>
    <w:rsid w:val="00C77487"/>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66E36"/>
    <w:rsid w:val="00E6781E"/>
    <w:rsid w:val="00E702ED"/>
    <w:rsid w:val="00E705CC"/>
    <w:rsid w:val="00E709A4"/>
    <w:rsid w:val="00E73822"/>
    <w:rsid w:val="00E772DB"/>
    <w:rsid w:val="00E86012"/>
    <w:rsid w:val="00E86BAB"/>
    <w:rsid w:val="00E901A1"/>
    <w:rsid w:val="00E94E10"/>
    <w:rsid w:val="00E954BD"/>
    <w:rsid w:val="00E96743"/>
    <w:rsid w:val="00E96A42"/>
    <w:rsid w:val="00EA0A36"/>
    <w:rsid w:val="00EA49C5"/>
    <w:rsid w:val="00EB1C1C"/>
    <w:rsid w:val="00EB5027"/>
    <w:rsid w:val="00EC1836"/>
    <w:rsid w:val="00EC3990"/>
    <w:rsid w:val="00EC484B"/>
    <w:rsid w:val="00ED15FA"/>
    <w:rsid w:val="00ED1E00"/>
    <w:rsid w:val="00ED70C6"/>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17B1BF9"/>
    <w:rsid w:val="01A84053"/>
    <w:rsid w:val="01E054EB"/>
    <w:rsid w:val="01E93A1B"/>
    <w:rsid w:val="0214602E"/>
    <w:rsid w:val="03486B27"/>
    <w:rsid w:val="03C2134C"/>
    <w:rsid w:val="040A094E"/>
    <w:rsid w:val="056F201D"/>
    <w:rsid w:val="05B664D4"/>
    <w:rsid w:val="064B485A"/>
    <w:rsid w:val="068C65C4"/>
    <w:rsid w:val="07076C01"/>
    <w:rsid w:val="071C12AC"/>
    <w:rsid w:val="07A934B3"/>
    <w:rsid w:val="07BA4A57"/>
    <w:rsid w:val="07EB6287"/>
    <w:rsid w:val="0806421B"/>
    <w:rsid w:val="0980799C"/>
    <w:rsid w:val="09944B8E"/>
    <w:rsid w:val="09951550"/>
    <w:rsid w:val="0A0E19EA"/>
    <w:rsid w:val="0A6A18DB"/>
    <w:rsid w:val="0A825391"/>
    <w:rsid w:val="0A975B48"/>
    <w:rsid w:val="0AB17C0E"/>
    <w:rsid w:val="0AEF3828"/>
    <w:rsid w:val="0B406381"/>
    <w:rsid w:val="0BB452AA"/>
    <w:rsid w:val="0BBB665B"/>
    <w:rsid w:val="0BDC700F"/>
    <w:rsid w:val="0C595C85"/>
    <w:rsid w:val="0D3B1FC6"/>
    <w:rsid w:val="0EEA6FC1"/>
    <w:rsid w:val="0F790928"/>
    <w:rsid w:val="10CD72BB"/>
    <w:rsid w:val="12197477"/>
    <w:rsid w:val="131B5CD3"/>
    <w:rsid w:val="133E02C4"/>
    <w:rsid w:val="13776448"/>
    <w:rsid w:val="14263231"/>
    <w:rsid w:val="1466407E"/>
    <w:rsid w:val="14834E28"/>
    <w:rsid w:val="148E7D65"/>
    <w:rsid w:val="15231BF9"/>
    <w:rsid w:val="15C4546D"/>
    <w:rsid w:val="191173C1"/>
    <w:rsid w:val="19DD2D01"/>
    <w:rsid w:val="1A064976"/>
    <w:rsid w:val="1A3B68AA"/>
    <w:rsid w:val="1A3E1C1E"/>
    <w:rsid w:val="1B5A4701"/>
    <w:rsid w:val="1B6F4F40"/>
    <w:rsid w:val="1C141836"/>
    <w:rsid w:val="1C76537D"/>
    <w:rsid w:val="1D24052A"/>
    <w:rsid w:val="1DEF28E6"/>
    <w:rsid w:val="1E6B6A14"/>
    <w:rsid w:val="1F6115C2"/>
    <w:rsid w:val="1FE80168"/>
    <w:rsid w:val="20202956"/>
    <w:rsid w:val="20550D9A"/>
    <w:rsid w:val="205545EA"/>
    <w:rsid w:val="215F7913"/>
    <w:rsid w:val="218E2416"/>
    <w:rsid w:val="21B75E11"/>
    <w:rsid w:val="21C31F1F"/>
    <w:rsid w:val="226915FE"/>
    <w:rsid w:val="229273EC"/>
    <w:rsid w:val="23BC656D"/>
    <w:rsid w:val="241804A5"/>
    <w:rsid w:val="24B97929"/>
    <w:rsid w:val="24D632D7"/>
    <w:rsid w:val="2621364C"/>
    <w:rsid w:val="27323351"/>
    <w:rsid w:val="27D65DBA"/>
    <w:rsid w:val="285F40CA"/>
    <w:rsid w:val="289E1AF0"/>
    <w:rsid w:val="28C01ECB"/>
    <w:rsid w:val="290275F9"/>
    <w:rsid w:val="296138D0"/>
    <w:rsid w:val="29BF71E3"/>
    <w:rsid w:val="29D6387F"/>
    <w:rsid w:val="2A127B63"/>
    <w:rsid w:val="2A451A6C"/>
    <w:rsid w:val="2A990D4C"/>
    <w:rsid w:val="2AAA4765"/>
    <w:rsid w:val="2AC21606"/>
    <w:rsid w:val="2AD63D42"/>
    <w:rsid w:val="2B3060CD"/>
    <w:rsid w:val="2B7E7608"/>
    <w:rsid w:val="2B7F04E9"/>
    <w:rsid w:val="2B8B554A"/>
    <w:rsid w:val="2CDA07B4"/>
    <w:rsid w:val="2D496D68"/>
    <w:rsid w:val="2E7A48DE"/>
    <w:rsid w:val="2EBA5177"/>
    <w:rsid w:val="2EDC3ED8"/>
    <w:rsid w:val="2F104B00"/>
    <w:rsid w:val="2F6351B4"/>
    <w:rsid w:val="2FC86126"/>
    <w:rsid w:val="2FCF199E"/>
    <w:rsid w:val="2FE34275"/>
    <w:rsid w:val="2FE760BA"/>
    <w:rsid w:val="30483E83"/>
    <w:rsid w:val="30BF3991"/>
    <w:rsid w:val="310315DB"/>
    <w:rsid w:val="3111619A"/>
    <w:rsid w:val="319775DB"/>
    <w:rsid w:val="31B139DC"/>
    <w:rsid w:val="32497AF3"/>
    <w:rsid w:val="343C0775"/>
    <w:rsid w:val="356C50EC"/>
    <w:rsid w:val="36137E45"/>
    <w:rsid w:val="36376E0A"/>
    <w:rsid w:val="3700166C"/>
    <w:rsid w:val="37857B97"/>
    <w:rsid w:val="37985945"/>
    <w:rsid w:val="379A1012"/>
    <w:rsid w:val="38694EE9"/>
    <w:rsid w:val="38E069CE"/>
    <w:rsid w:val="3A6818FA"/>
    <w:rsid w:val="3B365CC9"/>
    <w:rsid w:val="3B9A7B88"/>
    <w:rsid w:val="3D2C7AC8"/>
    <w:rsid w:val="3D855D12"/>
    <w:rsid w:val="3D8B42FF"/>
    <w:rsid w:val="3DE86C4C"/>
    <w:rsid w:val="3DF36A6E"/>
    <w:rsid w:val="3EBA1EE9"/>
    <w:rsid w:val="3F792F1E"/>
    <w:rsid w:val="40824826"/>
    <w:rsid w:val="40E63923"/>
    <w:rsid w:val="43A91E5B"/>
    <w:rsid w:val="449E0D39"/>
    <w:rsid w:val="45E32B26"/>
    <w:rsid w:val="463A3650"/>
    <w:rsid w:val="46461627"/>
    <w:rsid w:val="469F0116"/>
    <w:rsid w:val="46E0714F"/>
    <w:rsid w:val="47315BD2"/>
    <w:rsid w:val="475259B7"/>
    <w:rsid w:val="488302AE"/>
    <w:rsid w:val="48831CF9"/>
    <w:rsid w:val="49024C9C"/>
    <w:rsid w:val="49B1408D"/>
    <w:rsid w:val="4A7D4FD2"/>
    <w:rsid w:val="4A913C9A"/>
    <w:rsid w:val="4B1F70AC"/>
    <w:rsid w:val="4B240F94"/>
    <w:rsid w:val="4C0832E5"/>
    <w:rsid w:val="4C3C565C"/>
    <w:rsid w:val="4C3E2B07"/>
    <w:rsid w:val="4CC254E6"/>
    <w:rsid w:val="4CCC79C7"/>
    <w:rsid w:val="4D7555C7"/>
    <w:rsid w:val="4EAE6DA0"/>
    <w:rsid w:val="4ECF79AE"/>
    <w:rsid w:val="4FE617D9"/>
    <w:rsid w:val="5016514B"/>
    <w:rsid w:val="50BD4329"/>
    <w:rsid w:val="50BD4DF3"/>
    <w:rsid w:val="50FC1A26"/>
    <w:rsid w:val="51723664"/>
    <w:rsid w:val="51CB1C78"/>
    <w:rsid w:val="51D35A9F"/>
    <w:rsid w:val="51FD6A51"/>
    <w:rsid w:val="526B680A"/>
    <w:rsid w:val="52836F71"/>
    <w:rsid w:val="52D26B02"/>
    <w:rsid w:val="541A5D30"/>
    <w:rsid w:val="55C1559C"/>
    <w:rsid w:val="55F068CD"/>
    <w:rsid w:val="566C3136"/>
    <w:rsid w:val="568D04F2"/>
    <w:rsid w:val="58D04AE7"/>
    <w:rsid w:val="59D653D9"/>
    <w:rsid w:val="5A526582"/>
    <w:rsid w:val="5A5F5C77"/>
    <w:rsid w:val="5A711A0D"/>
    <w:rsid w:val="5B1613E4"/>
    <w:rsid w:val="5B50604C"/>
    <w:rsid w:val="5B78003B"/>
    <w:rsid w:val="5BC11A60"/>
    <w:rsid w:val="5C7A4D54"/>
    <w:rsid w:val="5CD23B73"/>
    <w:rsid w:val="5F00691E"/>
    <w:rsid w:val="5F127819"/>
    <w:rsid w:val="60350ED3"/>
    <w:rsid w:val="60B72AEE"/>
    <w:rsid w:val="61025188"/>
    <w:rsid w:val="61057D5F"/>
    <w:rsid w:val="6126068F"/>
    <w:rsid w:val="614D4977"/>
    <w:rsid w:val="62FD1A73"/>
    <w:rsid w:val="63133D14"/>
    <w:rsid w:val="63C60FC0"/>
    <w:rsid w:val="64BA3D7A"/>
    <w:rsid w:val="64F179BC"/>
    <w:rsid w:val="65DF0A5F"/>
    <w:rsid w:val="665704D3"/>
    <w:rsid w:val="666D151C"/>
    <w:rsid w:val="67C065A4"/>
    <w:rsid w:val="67D359C9"/>
    <w:rsid w:val="68042537"/>
    <w:rsid w:val="68FE36DD"/>
    <w:rsid w:val="694E60FC"/>
    <w:rsid w:val="69E95A08"/>
    <w:rsid w:val="6A256904"/>
    <w:rsid w:val="6AEE1907"/>
    <w:rsid w:val="6B656832"/>
    <w:rsid w:val="6BD66471"/>
    <w:rsid w:val="6C675CE6"/>
    <w:rsid w:val="6D4F4321"/>
    <w:rsid w:val="6DF41B82"/>
    <w:rsid w:val="6DFF7360"/>
    <w:rsid w:val="6E7A5F73"/>
    <w:rsid w:val="6E873A42"/>
    <w:rsid w:val="6EE90F9D"/>
    <w:rsid w:val="6FD74228"/>
    <w:rsid w:val="7021106F"/>
    <w:rsid w:val="71633091"/>
    <w:rsid w:val="718801FD"/>
    <w:rsid w:val="72734A09"/>
    <w:rsid w:val="73081CA5"/>
    <w:rsid w:val="74201F7D"/>
    <w:rsid w:val="7487762D"/>
    <w:rsid w:val="74C33AA4"/>
    <w:rsid w:val="75210D7A"/>
    <w:rsid w:val="75385498"/>
    <w:rsid w:val="75F37776"/>
    <w:rsid w:val="76BC207F"/>
    <w:rsid w:val="76EB4904"/>
    <w:rsid w:val="77645DCD"/>
    <w:rsid w:val="777378F5"/>
    <w:rsid w:val="777A2D3C"/>
    <w:rsid w:val="78474930"/>
    <w:rsid w:val="79074B81"/>
    <w:rsid w:val="794F0939"/>
    <w:rsid w:val="79AF0FCA"/>
    <w:rsid w:val="7A9D05C5"/>
    <w:rsid w:val="7AF9279C"/>
    <w:rsid w:val="7B870811"/>
    <w:rsid w:val="7CC51958"/>
    <w:rsid w:val="7CD53DF9"/>
    <w:rsid w:val="7D097C86"/>
    <w:rsid w:val="7E2936C3"/>
    <w:rsid w:val="7E6411B9"/>
    <w:rsid w:val="7EB4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6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63"/>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8"/>
    <w:autoRedefine/>
    <w:qFormat/>
    <w:uiPriority w:val="0"/>
    <w:pPr>
      <w:keepNext/>
      <w:keepLines/>
      <w:spacing w:before="280" w:after="290" w:line="376" w:lineRule="auto"/>
      <w:outlineLvl w:val="3"/>
    </w:pPr>
    <w:rPr>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260"/>
      <w:jc w:val="left"/>
    </w:pPr>
    <w:rPr>
      <w:rFonts w:ascii="Calibri" w:hAnsi="Calibri" w:cs="Calibri"/>
      <w:kern w:val="2"/>
      <w:sz w:val="18"/>
      <w:szCs w:val="18"/>
    </w:rPr>
  </w:style>
  <w:style w:type="paragraph" w:styleId="7">
    <w:name w:val="List Number"/>
    <w:basedOn w:val="1"/>
    <w:autoRedefine/>
    <w:semiHidden/>
    <w:unhideWhenUsed/>
    <w:qFormat/>
    <w:uiPriority w:val="99"/>
    <w:pPr>
      <w:numPr>
        <w:ilvl w:val="0"/>
        <w:numId w:val="1"/>
      </w:numPr>
    </w:pPr>
  </w:style>
  <w:style w:type="paragraph" w:styleId="8">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9">
    <w:name w:val="annotation text"/>
    <w:basedOn w:val="1"/>
    <w:link w:val="60"/>
    <w:autoRedefine/>
    <w:qFormat/>
    <w:uiPriority w:val="0"/>
    <w:pPr>
      <w:jc w:val="left"/>
    </w:pPr>
    <w:rPr>
      <w:rFonts w:ascii="Arial" w:hAnsi="Arial" w:eastAsia="黑体" w:cs="Arial"/>
    </w:rPr>
  </w:style>
  <w:style w:type="paragraph" w:styleId="10">
    <w:name w:val="Body Text"/>
    <w:basedOn w:val="1"/>
    <w:autoRedefine/>
    <w:qFormat/>
    <w:uiPriority w:val="0"/>
    <w:pPr>
      <w:spacing w:after="120"/>
    </w:pPr>
    <w:rPr>
      <w:rFonts w:ascii="@微软简标宋" w:hAnsi="@微软简标宋" w:eastAsia="@微软简标宋" w:cs="@微软简标宋"/>
      <w:szCs w:val="24"/>
      <w:lang w:val="zh-CN"/>
    </w:rPr>
  </w:style>
  <w:style w:type="paragraph" w:styleId="11">
    <w:name w:val="Body Text Indent"/>
    <w:basedOn w:val="1"/>
    <w:autoRedefine/>
    <w:qFormat/>
    <w:uiPriority w:val="0"/>
    <w:pPr>
      <w:spacing w:after="120"/>
      <w:ind w:left="420" w:leftChars="200"/>
    </w:pPr>
  </w:style>
  <w:style w:type="paragraph" w:styleId="12">
    <w:name w:val="index 4"/>
    <w:basedOn w:val="1"/>
    <w:next w:val="1"/>
    <w:qFormat/>
    <w:uiPriority w:val="0"/>
    <w:pPr>
      <w:ind w:left="600" w:leftChars="600"/>
    </w:pPr>
    <w:rPr>
      <w:rFonts w:ascii="Times New Roman" w:hAnsi="Times New Roman" w:eastAsia="宋体" w:cs="Times New Roman"/>
    </w:rPr>
  </w:style>
  <w:style w:type="paragraph" w:styleId="13">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4">
    <w:name w:val="Plain Text"/>
    <w:basedOn w:val="1"/>
    <w:link w:val="50"/>
    <w:autoRedefine/>
    <w:qFormat/>
    <w:uiPriority w:val="99"/>
    <w:rPr>
      <w:rFonts w:ascii="宋体" w:hAnsi="Courier New" w:eastAsiaTheme="minorEastAsia" w:cstheme="minorBidi"/>
      <w:szCs w:val="22"/>
    </w:rPr>
  </w:style>
  <w:style w:type="paragraph" w:styleId="15">
    <w:name w:val="Date"/>
    <w:basedOn w:val="1"/>
    <w:next w:val="1"/>
    <w:link w:val="57"/>
    <w:autoRedefine/>
    <w:qFormat/>
    <w:uiPriority w:val="0"/>
    <w:rPr>
      <w:rFonts w:ascii="Arial" w:hAnsi="Arial" w:eastAsia="宋体" w:cs="Arial"/>
      <w:b/>
      <w:sz w:val="28"/>
    </w:rPr>
  </w:style>
  <w:style w:type="paragraph" w:styleId="16">
    <w:name w:val="Balloon Text"/>
    <w:basedOn w:val="1"/>
    <w:link w:val="44"/>
    <w:autoRedefine/>
    <w:semiHidden/>
    <w:unhideWhenUsed/>
    <w:qFormat/>
    <w:uiPriority w:val="99"/>
    <w:rPr>
      <w:sz w:val="18"/>
      <w:szCs w:val="18"/>
    </w:rPr>
  </w:style>
  <w:style w:type="paragraph" w:styleId="17">
    <w:name w:val="footer"/>
    <w:basedOn w:val="1"/>
    <w:link w:val="49"/>
    <w:autoRedefine/>
    <w:unhideWhenUsed/>
    <w:qFormat/>
    <w:uiPriority w:val="99"/>
    <w:pPr>
      <w:tabs>
        <w:tab w:val="center" w:pos="4153"/>
        <w:tab w:val="right" w:pos="8306"/>
      </w:tabs>
      <w:snapToGrid w:val="0"/>
      <w:jc w:val="left"/>
    </w:pPr>
    <w:rPr>
      <w:sz w:val="18"/>
      <w:szCs w:val="18"/>
    </w:rPr>
  </w:style>
  <w:style w:type="paragraph" w:styleId="18">
    <w:name w:val="envelope return"/>
    <w:basedOn w:val="1"/>
    <w:next w:val="6"/>
    <w:qFormat/>
    <w:uiPriority w:val="0"/>
    <w:pPr>
      <w:snapToGrid w:val="0"/>
    </w:pPr>
    <w:rPr>
      <w:rFonts w:ascii="Arial" w:hAnsi="Arial"/>
    </w:rPr>
  </w:style>
  <w:style w:type="paragraph" w:styleId="19">
    <w:name w:val="header"/>
    <w:basedOn w:val="1"/>
    <w:link w:val="4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1">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Normal (Web)"/>
    <w:basedOn w:val="1"/>
    <w:next w:val="23"/>
    <w:autoRedefine/>
    <w:qFormat/>
    <w:uiPriority w:val="0"/>
    <w:pPr>
      <w:spacing w:before="100" w:beforeAutospacing="1" w:after="100" w:afterAutospacing="1"/>
      <w:jc w:val="left"/>
    </w:pPr>
    <w:rPr>
      <w:rFonts w:cs="Times New Roman"/>
      <w:kern w:val="0"/>
      <w:sz w:val="24"/>
    </w:rPr>
  </w:style>
  <w:style w:type="paragraph" w:customStyle="1" w:styleId="23">
    <w:name w:val="正文文字 8"/>
    <w:basedOn w:val="1"/>
    <w:next w:val="1"/>
    <w:qFormat/>
    <w:uiPriority w:val="0"/>
    <w:pPr>
      <w:ind w:left="240"/>
    </w:pPr>
    <w:rPr>
      <w:sz w:val="16"/>
    </w:rPr>
  </w:style>
  <w:style w:type="paragraph" w:styleId="24">
    <w:name w:val="index 1"/>
    <w:basedOn w:val="1"/>
    <w:next w:val="1"/>
    <w:autoRedefine/>
    <w:qFormat/>
    <w:uiPriority w:val="0"/>
    <w:pPr>
      <w:jc w:val="center"/>
    </w:pPr>
    <w:rPr>
      <w:rFonts w:ascii="Arial" w:hAnsi="Arial" w:eastAsia="Arial" w:cs="Arial"/>
      <w:b/>
      <w:bCs/>
      <w:sz w:val="28"/>
    </w:rPr>
  </w:style>
  <w:style w:type="paragraph" w:styleId="25">
    <w:name w:val="annotation subject"/>
    <w:basedOn w:val="9"/>
    <w:next w:val="9"/>
    <w:link w:val="71"/>
    <w:autoRedefine/>
    <w:semiHidden/>
    <w:unhideWhenUsed/>
    <w:qFormat/>
    <w:uiPriority w:val="99"/>
    <w:rPr>
      <w:rFonts w:ascii="@仿宋_GB2312" w:hAnsi="@仿宋_GB2312" w:eastAsia="@仿宋_GB2312" w:cs="@仿宋_GB2312"/>
      <w:b/>
      <w:bCs/>
    </w:rPr>
  </w:style>
  <w:style w:type="paragraph" w:styleId="26">
    <w:name w:val="Body Text First Indent"/>
    <w:basedOn w:val="10"/>
    <w:autoRedefine/>
    <w:unhideWhenUsed/>
    <w:qFormat/>
    <w:uiPriority w:val="99"/>
    <w:pPr>
      <w:ind w:firstLine="420" w:firstLineChars="100"/>
    </w:pPr>
  </w:style>
  <w:style w:type="paragraph" w:styleId="27">
    <w:name w:val="Body Text First Indent 2"/>
    <w:basedOn w:val="11"/>
    <w:next w:val="1"/>
    <w:qFormat/>
    <w:uiPriority w:val="0"/>
    <w:pPr>
      <w:spacing w:line="360" w:lineRule="auto"/>
      <w:ind w:firstLine="200"/>
    </w:pPr>
    <w:rPr>
      <w:sz w:val="21"/>
    </w:rPr>
  </w:style>
  <w:style w:type="table" w:styleId="29">
    <w:name w:val="Table Grid"/>
    <w:basedOn w:val="28"/>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autoRedefine/>
    <w:qFormat/>
    <w:uiPriority w:val="0"/>
    <w:rPr>
      <w:b/>
      <w:bCs/>
    </w:rPr>
  </w:style>
  <w:style w:type="character" w:styleId="32">
    <w:name w:val="FollowedHyperlink"/>
    <w:basedOn w:val="30"/>
    <w:semiHidden/>
    <w:unhideWhenUsed/>
    <w:uiPriority w:val="99"/>
    <w:rPr>
      <w:color w:val="5C5C5C"/>
      <w:u w:val="none"/>
    </w:rPr>
  </w:style>
  <w:style w:type="character" w:styleId="33">
    <w:name w:val="Emphasis"/>
    <w:basedOn w:val="30"/>
    <w:qFormat/>
    <w:uiPriority w:val="0"/>
    <w:rPr>
      <w:b/>
      <w:bCs/>
    </w:rPr>
  </w:style>
  <w:style w:type="character" w:styleId="34">
    <w:name w:val="HTML Definition"/>
    <w:basedOn w:val="30"/>
    <w:semiHidden/>
    <w:unhideWhenUsed/>
    <w:uiPriority w:val="99"/>
  </w:style>
  <w:style w:type="character" w:styleId="35">
    <w:name w:val="HTML Typewriter"/>
    <w:basedOn w:val="30"/>
    <w:semiHidden/>
    <w:unhideWhenUsed/>
    <w:uiPriority w:val="99"/>
    <w:rPr>
      <w:rFonts w:hint="default" w:ascii="monospace" w:hAnsi="monospace" w:eastAsia="monospace" w:cs="monospace"/>
      <w:sz w:val="20"/>
    </w:rPr>
  </w:style>
  <w:style w:type="character" w:styleId="36">
    <w:name w:val="HTML Acronym"/>
    <w:basedOn w:val="30"/>
    <w:semiHidden/>
    <w:unhideWhenUsed/>
    <w:uiPriority w:val="99"/>
  </w:style>
  <w:style w:type="character" w:styleId="37">
    <w:name w:val="HTML Variable"/>
    <w:basedOn w:val="30"/>
    <w:semiHidden/>
    <w:unhideWhenUsed/>
    <w:uiPriority w:val="99"/>
  </w:style>
  <w:style w:type="character" w:styleId="38">
    <w:name w:val="Hyperlink"/>
    <w:basedOn w:val="30"/>
    <w:autoRedefine/>
    <w:unhideWhenUsed/>
    <w:qFormat/>
    <w:uiPriority w:val="99"/>
    <w:rPr>
      <w:color w:val="0000FF" w:themeColor="hyperlink"/>
      <w:u w:val="single"/>
      <w14:textFill>
        <w14:solidFill>
          <w14:schemeClr w14:val="hlink"/>
        </w14:solidFill>
      </w14:textFill>
    </w:rPr>
  </w:style>
  <w:style w:type="character" w:styleId="39">
    <w:name w:val="HTML Code"/>
    <w:basedOn w:val="30"/>
    <w:semiHidden/>
    <w:unhideWhenUsed/>
    <w:uiPriority w:val="99"/>
    <w:rPr>
      <w:rFonts w:hint="default" w:ascii="monospace" w:hAnsi="monospace" w:eastAsia="monospace" w:cs="monospace"/>
      <w:sz w:val="20"/>
    </w:rPr>
  </w:style>
  <w:style w:type="character" w:styleId="40">
    <w:name w:val="annotation reference"/>
    <w:basedOn w:val="30"/>
    <w:autoRedefine/>
    <w:semiHidden/>
    <w:unhideWhenUsed/>
    <w:qFormat/>
    <w:uiPriority w:val="99"/>
    <w:rPr>
      <w:sz w:val="21"/>
      <w:szCs w:val="21"/>
    </w:rPr>
  </w:style>
  <w:style w:type="character" w:styleId="41">
    <w:name w:val="HTML Cite"/>
    <w:basedOn w:val="30"/>
    <w:semiHidden/>
    <w:unhideWhenUsed/>
    <w:uiPriority w:val="99"/>
  </w:style>
  <w:style w:type="character" w:styleId="42">
    <w:name w:val="HTML Keyboard"/>
    <w:basedOn w:val="30"/>
    <w:semiHidden/>
    <w:unhideWhenUsed/>
    <w:uiPriority w:val="99"/>
    <w:rPr>
      <w:rFonts w:hint="default" w:ascii="monospace" w:hAnsi="monospace" w:eastAsia="monospace" w:cs="monospace"/>
      <w:sz w:val="20"/>
    </w:rPr>
  </w:style>
  <w:style w:type="character" w:styleId="43">
    <w:name w:val="HTML Sample"/>
    <w:basedOn w:val="30"/>
    <w:semiHidden/>
    <w:unhideWhenUsed/>
    <w:uiPriority w:val="99"/>
    <w:rPr>
      <w:rFonts w:ascii="monospace" w:hAnsi="monospace" w:eastAsia="monospace" w:cs="monospace"/>
    </w:rPr>
  </w:style>
  <w:style w:type="character" w:customStyle="1" w:styleId="44">
    <w:name w:val="批注框文本 Char"/>
    <w:basedOn w:val="30"/>
    <w:link w:val="16"/>
    <w:autoRedefine/>
    <w:semiHidden/>
    <w:qFormat/>
    <w:uiPriority w:val="99"/>
    <w:rPr>
      <w:rFonts w:ascii="@仿宋_GB2312" w:hAnsi="@仿宋_GB2312" w:eastAsia="@仿宋_GB2312" w:cs="@仿宋_GB2312"/>
      <w:sz w:val="18"/>
      <w:szCs w:val="18"/>
    </w:rPr>
  </w:style>
  <w:style w:type="paragraph" w:customStyle="1" w:styleId="45">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6">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7">
    <w:name w:val="D&amp;L"/>
    <w:basedOn w:val="19"/>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8">
    <w:name w:val="页眉 Char"/>
    <w:basedOn w:val="30"/>
    <w:link w:val="19"/>
    <w:autoRedefine/>
    <w:qFormat/>
    <w:uiPriority w:val="99"/>
    <w:rPr>
      <w:rFonts w:ascii="@仿宋_GB2312" w:hAnsi="@仿宋_GB2312" w:eastAsia="@仿宋_GB2312" w:cs="@仿宋_GB2312"/>
      <w:sz w:val="18"/>
      <w:szCs w:val="18"/>
    </w:rPr>
  </w:style>
  <w:style w:type="character" w:customStyle="1" w:styleId="49">
    <w:name w:val="页脚 Char"/>
    <w:basedOn w:val="30"/>
    <w:link w:val="17"/>
    <w:autoRedefine/>
    <w:qFormat/>
    <w:uiPriority w:val="99"/>
    <w:rPr>
      <w:rFonts w:ascii="@仿宋_GB2312" w:hAnsi="@仿宋_GB2312" w:eastAsia="@仿宋_GB2312" w:cs="@仿宋_GB2312"/>
      <w:sz w:val="18"/>
      <w:szCs w:val="18"/>
    </w:rPr>
  </w:style>
  <w:style w:type="character" w:customStyle="1" w:styleId="50">
    <w:name w:val="纯文本 Char"/>
    <w:link w:val="14"/>
    <w:autoRedefine/>
    <w:qFormat/>
    <w:uiPriority w:val="0"/>
    <w:rPr>
      <w:rFonts w:ascii="宋体" w:hAnsi="Courier New"/>
    </w:rPr>
  </w:style>
  <w:style w:type="character" w:customStyle="1" w:styleId="51">
    <w:name w:val="纯文本 字符1"/>
    <w:basedOn w:val="30"/>
    <w:autoRedefine/>
    <w:semiHidden/>
    <w:qFormat/>
    <w:uiPriority w:val="99"/>
    <w:rPr>
      <w:rFonts w:hAnsi="Courier New" w:cs="Courier New" w:asciiTheme="minorEastAsia"/>
      <w:szCs w:val="20"/>
    </w:rPr>
  </w:style>
  <w:style w:type="character" w:customStyle="1" w:styleId="52">
    <w:name w:val="未处理的提及1"/>
    <w:basedOn w:val="30"/>
    <w:autoRedefine/>
    <w:semiHidden/>
    <w:unhideWhenUsed/>
    <w:qFormat/>
    <w:uiPriority w:val="99"/>
    <w:rPr>
      <w:color w:val="605E5C"/>
      <w:shd w:val="clear" w:color="auto" w:fill="E1DFDD"/>
    </w:rPr>
  </w:style>
  <w:style w:type="paragraph" w:styleId="53">
    <w:name w:val="List Paragraph"/>
    <w:basedOn w:val="1"/>
    <w:autoRedefine/>
    <w:qFormat/>
    <w:uiPriority w:val="34"/>
    <w:pPr>
      <w:ind w:firstLine="420" w:firstLineChars="200"/>
    </w:pPr>
  </w:style>
  <w:style w:type="paragraph" w:customStyle="1" w:styleId="54">
    <w:name w:val="Char Char Char Char Char Char Char1 Char"/>
    <w:basedOn w:val="1"/>
    <w:autoRedefine/>
    <w:qFormat/>
    <w:uiPriority w:val="0"/>
    <w:rPr>
      <w:rFonts w:ascii="Arial" w:hAnsi="Arial" w:eastAsia="宋体" w:cs="Arial"/>
      <w:sz w:val="24"/>
    </w:rPr>
  </w:style>
  <w:style w:type="table" w:customStyle="1" w:styleId="55">
    <w:name w:val="网格表 1 浅色1"/>
    <w:basedOn w:val="28"/>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6">
    <w:name w:val="日期 字符"/>
    <w:basedOn w:val="30"/>
    <w:autoRedefine/>
    <w:semiHidden/>
    <w:qFormat/>
    <w:uiPriority w:val="99"/>
    <w:rPr>
      <w:rFonts w:ascii="@仿宋_GB2312" w:hAnsi="@仿宋_GB2312" w:eastAsia="@仿宋_GB2312" w:cs="@仿宋_GB2312"/>
      <w:szCs w:val="20"/>
    </w:rPr>
  </w:style>
  <w:style w:type="character" w:customStyle="1" w:styleId="57">
    <w:name w:val="日期 Char"/>
    <w:link w:val="15"/>
    <w:autoRedefine/>
    <w:qFormat/>
    <w:uiPriority w:val="0"/>
    <w:rPr>
      <w:rFonts w:ascii="Arial" w:hAnsi="Arial" w:eastAsia="宋体" w:cs="Arial"/>
      <w:b/>
      <w:sz w:val="28"/>
      <w:szCs w:val="20"/>
    </w:rPr>
  </w:style>
  <w:style w:type="character" w:customStyle="1" w:styleId="58">
    <w:name w:val="纯文本 Char1"/>
    <w:autoRedefine/>
    <w:qFormat/>
    <w:locked/>
    <w:uiPriority w:val="99"/>
    <w:rPr>
      <w:rFonts w:ascii="Arial" w:hAnsi="Arial" w:eastAsia="Arial"/>
      <w:kern w:val="2"/>
      <w:sz w:val="21"/>
      <w:lang w:val="en-US" w:eastAsia="zh-CN" w:bidi="ar-SA"/>
    </w:rPr>
  </w:style>
  <w:style w:type="character" w:customStyle="1" w:styleId="59">
    <w:name w:val="批注文字 Char"/>
    <w:basedOn w:val="30"/>
    <w:autoRedefine/>
    <w:semiHidden/>
    <w:qFormat/>
    <w:uiPriority w:val="99"/>
    <w:rPr>
      <w:rFonts w:ascii="@仿宋_GB2312" w:hAnsi="@仿宋_GB2312" w:eastAsia="@仿宋_GB2312" w:cs="@仿宋_GB2312"/>
      <w:szCs w:val="20"/>
    </w:rPr>
  </w:style>
  <w:style w:type="character" w:customStyle="1" w:styleId="60">
    <w:name w:val="批注文字 Char1"/>
    <w:link w:val="9"/>
    <w:autoRedefine/>
    <w:qFormat/>
    <w:uiPriority w:val="0"/>
    <w:rPr>
      <w:rFonts w:ascii="Arial" w:hAnsi="Arial" w:eastAsia="黑体" w:cs="Arial"/>
      <w:szCs w:val="20"/>
    </w:rPr>
  </w:style>
  <w:style w:type="character" w:customStyle="1" w:styleId="61">
    <w:name w:val="标题 1 Char"/>
    <w:basedOn w:val="30"/>
    <w:link w:val="2"/>
    <w:autoRedefine/>
    <w:qFormat/>
    <w:uiPriority w:val="9"/>
    <w:rPr>
      <w:rFonts w:ascii="@仿宋_GB2312" w:hAnsi="@仿宋_GB2312" w:eastAsia="@仿宋_GB2312" w:cs="@仿宋_GB2312"/>
      <w:b/>
      <w:bCs/>
      <w:kern w:val="44"/>
      <w:sz w:val="44"/>
      <w:szCs w:val="44"/>
    </w:rPr>
  </w:style>
  <w:style w:type="paragraph" w:customStyle="1" w:styleId="62">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3">
    <w:name w:val="标题 3 Char"/>
    <w:basedOn w:val="30"/>
    <w:link w:val="4"/>
    <w:autoRedefine/>
    <w:semiHidden/>
    <w:qFormat/>
    <w:uiPriority w:val="9"/>
    <w:rPr>
      <w:rFonts w:ascii="@仿宋_GB2312" w:hAnsi="@仿宋_GB2312" w:eastAsia="@仿宋_GB2312" w:cs="@仿宋_GB2312"/>
      <w:b/>
      <w:bCs/>
      <w:sz w:val="32"/>
      <w:szCs w:val="32"/>
    </w:rPr>
  </w:style>
  <w:style w:type="character" w:customStyle="1" w:styleId="64">
    <w:name w:val="fontstyle01"/>
    <w:basedOn w:val="30"/>
    <w:autoRedefine/>
    <w:qFormat/>
    <w:uiPriority w:val="0"/>
    <w:rPr>
      <w:rFonts w:hint="eastAsia" w:ascii="宋体" w:hAnsi="宋体" w:eastAsia="宋体"/>
      <w:color w:val="000000"/>
      <w:sz w:val="22"/>
      <w:szCs w:val="22"/>
    </w:rPr>
  </w:style>
  <w:style w:type="character" w:customStyle="1" w:styleId="65">
    <w:name w:val="fontstyle21"/>
    <w:basedOn w:val="30"/>
    <w:autoRedefine/>
    <w:qFormat/>
    <w:uiPriority w:val="0"/>
    <w:rPr>
      <w:rFonts w:hint="default" w:ascii="TimesNewRomanPSMT" w:hAnsi="TimesNewRomanPSMT"/>
      <w:color w:val="000000"/>
      <w:sz w:val="22"/>
      <w:szCs w:val="22"/>
    </w:rPr>
  </w:style>
  <w:style w:type="character" w:customStyle="1" w:styleId="66">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7">
    <w:name w:val="标题 4 字符"/>
    <w:basedOn w:val="30"/>
    <w:autoRedefine/>
    <w:semiHidden/>
    <w:qFormat/>
    <w:uiPriority w:val="9"/>
    <w:rPr>
      <w:rFonts w:asciiTheme="majorHAnsi" w:hAnsiTheme="majorHAnsi" w:eastAsiaTheme="majorEastAsia" w:cstheme="majorBidi"/>
      <w:b/>
      <w:bCs/>
      <w:sz w:val="28"/>
      <w:szCs w:val="28"/>
    </w:rPr>
  </w:style>
  <w:style w:type="character" w:customStyle="1" w:styleId="68">
    <w:name w:val="标题 4 Char1"/>
    <w:link w:val="5"/>
    <w:autoRedefine/>
    <w:qFormat/>
    <w:uiPriority w:val="0"/>
    <w:rPr>
      <w:rFonts w:ascii="@仿宋_GB2312" w:hAnsi="@仿宋_GB2312" w:eastAsia="@仿宋_GB2312" w:cs="@仿宋_GB2312"/>
      <w:b/>
      <w:bCs/>
      <w:sz w:val="28"/>
      <w:szCs w:val="28"/>
    </w:rPr>
  </w:style>
  <w:style w:type="character" w:customStyle="1" w:styleId="69">
    <w:name w:val="标题 4 Char"/>
    <w:autoRedefine/>
    <w:qFormat/>
    <w:uiPriority w:val="0"/>
    <w:rPr>
      <w:rFonts w:ascii="Arial" w:hAnsi="Arial" w:eastAsia="Arial"/>
      <w:b/>
      <w:bCs/>
      <w:kern w:val="2"/>
      <w:sz w:val="28"/>
      <w:szCs w:val="28"/>
      <w:lang w:val="en-US" w:eastAsia="zh-CN" w:bidi="ar-SA"/>
    </w:rPr>
  </w:style>
  <w:style w:type="table" w:customStyle="1" w:styleId="70">
    <w:name w:val="网格型1"/>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
    <w:name w:val="批注主题 Char"/>
    <w:basedOn w:val="60"/>
    <w:link w:val="25"/>
    <w:autoRedefine/>
    <w:semiHidden/>
    <w:qFormat/>
    <w:uiPriority w:val="99"/>
    <w:rPr>
      <w:rFonts w:ascii="@仿宋_GB2312" w:hAnsi="@仿宋_GB2312" w:eastAsia="@仿宋_GB2312" w:cs="@仿宋_GB2312"/>
      <w:b/>
      <w:bCs/>
      <w:szCs w:val="20"/>
    </w:rPr>
  </w:style>
  <w:style w:type="table" w:customStyle="1" w:styleId="72">
    <w:name w:val="Table Normal"/>
    <w:autoRedefine/>
    <w:semiHidden/>
    <w:unhideWhenUsed/>
    <w:qFormat/>
    <w:uiPriority w:val="0"/>
    <w:tblPr>
      <w:tblCellMar>
        <w:top w:w="0" w:type="dxa"/>
        <w:left w:w="0" w:type="dxa"/>
        <w:bottom w:w="0" w:type="dxa"/>
        <w:right w:w="0" w:type="dxa"/>
      </w:tblCellMar>
    </w:tblPr>
  </w:style>
  <w:style w:type="paragraph" w:customStyle="1" w:styleId="73">
    <w:name w:val="Table Text"/>
    <w:basedOn w:val="1"/>
    <w:autoRedefine/>
    <w:semiHidden/>
    <w:qFormat/>
    <w:uiPriority w:val="0"/>
    <w:rPr>
      <w:rFonts w:ascii="Arial" w:hAnsi="Arial" w:eastAsia="Arial" w:cs="Arial"/>
      <w:sz w:val="21"/>
      <w:szCs w:val="21"/>
      <w:lang w:val="en-US" w:eastAsia="en-US" w:bidi="ar-SA"/>
    </w:rPr>
  </w:style>
  <w:style w:type="paragraph" w:customStyle="1" w:styleId="74">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5">
    <w:name w:val="列出段落1"/>
    <w:basedOn w:val="1"/>
    <w:autoRedefine/>
    <w:qFormat/>
    <w:uiPriority w:val="0"/>
    <w:pPr>
      <w:ind w:firstLine="420" w:firstLineChars="200"/>
    </w:pPr>
    <w:rPr>
      <w:szCs w:val="21"/>
    </w:rPr>
  </w:style>
  <w:style w:type="paragraph" w:customStyle="1" w:styleId="76">
    <w:name w:val="样式1无缩进"/>
    <w:basedOn w:val="1"/>
    <w:autoRedefine/>
    <w:qFormat/>
    <w:uiPriority w:val="0"/>
    <w:pPr>
      <w:ind w:firstLine="0" w:firstLineChars="0"/>
    </w:pPr>
  </w:style>
  <w:style w:type="character" w:customStyle="1" w:styleId="77">
    <w:name w:val="hover"/>
    <w:basedOn w:val="30"/>
    <w:qFormat/>
    <w:uiPriority w:val="0"/>
  </w:style>
  <w:style w:type="character" w:customStyle="1" w:styleId="78">
    <w:name w:val="hover1"/>
    <w:basedOn w:val="30"/>
    <w:qFormat/>
    <w:uiPriority w:val="0"/>
    <w:rPr>
      <w:color w:val="2590EB"/>
    </w:rPr>
  </w:style>
  <w:style w:type="character" w:customStyle="1" w:styleId="79">
    <w:name w:val="hover2"/>
    <w:basedOn w:val="30"/>
    <w:qFormat/>
    <w:uiPriority w:val="0"/>
    <w:rPr>
      <w:color w:val="2590EB"/>
    </w:rPr>
  </w:style>
  <w:style w:type="character" w:customStyle="1" w:styleId="80">
    <w:name w:val="hover3"/>
    <w:basedOn w:val="30"/>
    <w:qFormat/>
    <w:uiPriority w:val="0"/>
    <w:rPr>
      <w:color w:val="2590EB"/>
      <w:shd w:val="clear" w:fill="E9F4FD"/>
    </w:rPr>
  </w:style>
  <w:style w:type="character" w:customStyle="1" w:styleId="81">
    <w:name w:val="hover4"/>
    <w:basedOn w:val="30"/>
    <w:qFormat/>
    <w:uiPriority w:val="0"/>
    <w:rPr>
      <w:color w:val="2590EB"/>
      <w:shd w:val="clear" w:fill="E9F4F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C3C6-84CB-4D2E-AFC0-C8AD46F7C0BA}">
  <ds:schemaRefs/>
</ds:datastoreItem>
</file>

<file path=docProps/app.xml><?xml version="1.0" encoding="utf-8"?>
<Properties xmlns="http://schemas.openxmlformats.org/officeDocument/2006/extended-properties" xmlns:vt="http://schemas.openxmlformats.org/officeDocument/2006/docPropsVTypes">
  <Template>Normal</Template>
  <Pages>91</Pages>
  <Words>2292</Words>
  <Characters>2650</Characters>
  <Lines>244</Lines>
  <Paragraphs>68</Paragraphs>
  <TotalTime>40</TotalTime>
  <ScaleCrop>false</ScaleCrop>
  <LinksUpToDate>false</LinksUpToDate>
  <CharactersWithSpaces>2744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倪荣</dc:creator>
  <cp:lastModifiedBy>傻傻一辈子</cp:lastModifiedBy>
  <cp:lastPrinted>2019-12-07T15:18:00Z</cp:lastPrinted>
  <dcterms:modified xsi:type="dcterms:W3CDTF">2026-06-22T08:04:28Z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1C60B33A0F1D4E068AF30FD0D16C3F70_13</vt:lpwstr>
  </property>
  <property fmtid="{D5CDD505-2E9C-101B-9397-08002B2CF9AE}" pid="4" name="KSOTemplateDocerSaveRecord">
    <vt:lpwstr>eyJoZGlkIjoiMTljMDcwYWJmYjExZWQzNTVmZDAzZTYwM2JlMzJmZDYiLCJ1c2VySWQiOiIzODU2Mzk2OTQifQ==</vt:lpwstr>
  </property>
</Properties>
</file>