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6D3C3">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rPr>
      </w:pPr>
    </w:p>
    <w:p w14:paraId="29E7F5E0">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rPr>
      </w:pPr>
    </w:p>
    <w:p w14:paraId="7D737578">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rPr>
      </w:pPr>
      <w:bookmarkStart w:id="0" w:name="_Hlk9544796"/>
      <w:r>
        <w:rPr>
          <w:rFonts w:hint="eastAsia" w:ascii="宋体" w:hAnsi="宋体" w:eastAsia="宋体"/>
          <w:b/>
          <w:bCs/>
          <w:color w:val="auto"/>
          <w:sz w:val="52"/>
          <w:szCs w:val="52"/>
          <w:highlight w:val="none"/>
        </w:rPr>
        <w:t>安徽省政府采购项目</w:t>
      </w:r>
    </w:p>
    <w:p w14:paraId="3A00DF10">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rPr>
      </w:pPr>
      <w:r>
        <w:rPr>
          <w:rFonts w:hint="eastAsia" w:ascii="宋体" w:hAnsi="宋体" w:eastAsia="宋体"/>
          <w:b/>
          <w:bCs/>
          <w:color w:val="auto"/>
          <w:sz w:val="52"/>
          <w:szCs w:val="52"/>
          <w:highlight w:val="none"/>
        </w:rPr>
        <w:t>公开招标文件示范文本</w:t>
      </w:r>
      <w:bookmarkEnd w:id="0"/>
      <w:r>
        <w:rPr>
          <w:rFonts w:hint="eastAsia" w:ascii="宋体" w:hAnsi="宋体" w:eastAsia="宋体"/>
          <w:b/>
          <w:bCs/>
          <w:color w:val="auto"/>
          <w:sz w:val="52"/>
          <w:szCs w:val="52"/>
          <w:highlight w:val="none"/>
        </w:rPr>
        <w:t>（货物类）</w:t>
      </w:r>
    </w:p>
    <w:p w14:paraId="1AC95C8A">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rPr>
      </w:pPr>
      <w:r>
        <w:rPr>
          <w:rFonts w:hint="eastAsia" w:ascii="宋体" w:hAnsi="宋体" w:eastAsia="宋体"/>
          <w:b/>
          <w:bCs/>
          <w:color w:val="auto"/>
          <w:sz w:val="52"/>
          <w:szCs w:val="52"/>
          <w:highlight w:val="none"/>
        </w:rPr>
        <w:t>（2024年版）</w:t>
      </w:r>
    </w:p>
    <w:p w14:paraId="7355D58D">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010477EF">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5F9F00DB">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298313B1">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14BAFB3C">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6B353D9E">
      <w:pPr>
        <w:tabs>
          <w:tab w:val="left" w:pos="2410"/>
        </w:tabs>
        <w:autoSpaceDE w:val="0"/>
        <w:autoSpaceDN w:val="0"/>
        <w:adjustRightInd w:val="0"/>
        <w:snapToGrid w:val="0"/>
        <w:spacing w:line="360" w:lineRule="auto"/>
        <w:ind w:left="2244" w:leftChars="304" w:hanging="1606" w:hangingChars="500"/>
        <w:rPr>
          <w:rFonts w:hint="eastAsia" w:ascii="宋体" w:hAnsi="宋体" w:eastAsia="宋体"/>
          <w:b/>
          <w:color w:val="auto"/>
          <w:kern w:val="0"/>
          <w:sz w:val="32"/>
          <w:szCs w:val="32"/>
          <w:highlight w:val="none"/>
        </w:rPr>
      </w:pPr>
    </w:p>
    <w:p w14:paraId="473530DC">
      <w:pPr>
        <w:tabs>
          <w:tab w:val="left" w:pos="2410"/>
        </w:tabs>
        <w:autoSpaceDE w:val="0"/>
        <w:autoSpaceDN w:val="0"/>
        <w:adjustRightInd w:val="0"/>
        <w:snapToGrid w:val="0"/>
        <w:spacing w:line="360" w:lineRule="auto"/>
        <w:ind w:left="2244" w:leftChars="304" w:hanging="1606" w:hangingChars="500"/>
        <w:rPr>
          <w:rFonts w:hint="eastAsia" w:ascii="宋体" w:hAnsi="宋体" w:eastAsia="宋体"/>
          <w:b/>
          <w:color w:val="auto"/>
          <w:kern w:val="0"/>
          <w:sz w:val="32"/>
          <w:szCs w:val="32"/>
          <w:highlight w:val="none"/>
          <w:lang w:eastAsia="zh-CN"/>
        </w:rPr>
      </w:pPr>
      <w:r>
        <w:rPr>
          <w:rFonts w:hint="eastAsia" w:ascii="宋体" w:hAnsi="宋体" w:eastAsia="宋体"/>
          <w:b/>
          <w:color w:val="auto"/>
          <w:kern w:val="0"/>
          <w:sz w:val="32"/>
          <w:szCs w:val="32"/>
          <w:highlight w:val="none"/>
        </w:rPr>
        <w:t>项目名称：</w:t>
      </w:r>
      <w:r>
        <w:rPr>
          <w:rFonts w:hint="eastAsia" w:ascii="宋体" w:hAnsi="宋体" w:eastAsia="宋体"/>
          <w:b/>
          <w:color w:val="auto"/>
          <w:kern w:val="0"/>
          <w:sz w:val="32"/>
          <w:szCs w:val="32"/>
          <w:highlight w:val="none"/>
          <w:u w:val="single"/>
          <w:lang w:eastAsia="zh-CN"/>
        </w:rPr>
        <w:t>滁州职业技术学院智能网联车路云一体化实训室项目</w:t>
      </w:r>
    </w:p>
    <w:p w14:paraId="2C35CC7B">
      <w:pPr>
        <w:tabs>
          <w:tab w:val="left" w:pos="2410"/>
        </w:tabs>
        <w:autoSpaceDE w:val="0"/>
        <w:autoSpaceDN w:val="0"/>
        <w:adjustRightInd w:val="0"/>
        <w:snapToGrid w:val="0"/>
        <w:spacing w:line="360" w:lineRule="auto"/>
        <w:ind w:firstLine="643" w:firstLineChars="200"/>
        <w:rPr>
          <w:rFonts w:hint="default" w:ascii="宋体" w:hAnsi="宋体" w:eastAsia="宋体"/>
          <w:b/>
          <w:color w:val="auto"/>
          <w:kern w:val="0"/>
          <w:sz w:val="32"/>
          <w:szCs w:val="32"/>
          <w:highlight w:val="none"/>
          <w:lang w:val="en-US" w:eastAsia="zh-CN"/>
        </w:rPr>
      </w:pPr>
      <w:r>
        <w:rPr>
          <w:rFonts w:hint="eastAsia" w:ascii="宋体" w:hAnsi="宋体" w:eastAsia="宋体"/>
          <w:b/>
          <w:color w:val="auto"/>
          <w:kern w:val="0"/>
          <w:sz w:val="32"/>
          <w:szCs w:val="32"/>
          <w:highlight w:val="none"/>
        </w:rPr>
        <w:t>项目编号：</w:t>
      </w:r>
      <w:r>
        <w:rPr>
          <w:rFonts w:hint="eastAsia" w:ascii="宋体" w:hAnsi="宋体" w:eastAsia="宋体"/>
          <w:b/>
          <w:color w:val="auto"/>
          <w:kern w:val="0"/>
          <w:sz w:val="32"/>
          <w:szCs w:val="32"/>
          <w:highlight w:val="none"/>
          <w:u w:val="single"/>
          <w:lang w:val="en-US" w:eastAsia="zh-CN"/>
        </w:rPr>
        <w:t>czsjcg202509-049</w:t>
      </w:r>
    </w:p>
    <w:p w14:paraId="58C2D6C6">
      <w:pPr>
        <w:tabs>
          <w:tab w:val="left" w:pos="2410"/>
        </w:tabs>
        <w:autoSpaceDE w:val="0"/>
        <w:autoSpaceDN w:val="0"/>
        <w:adjustRightInd w:val="0"/>
        <w:snapToGrid w:val="0"/>
        <w:spacing w:line="360" w:lineRule="auto"/>
        <w:ind w:firstLine="643" w:firstLineChars="200"/>
        <w:rPr>
          <w:rFonts w:hint="eastAsia" w:ascii="宋体" w:hAnsi="宋体" w:eastAsia="宋体"/>
          <w:b/>
          <w:color w:val="auto"/>
          <w:kern w:val="0"/>
          <w:sz w:val="32"/>
          <w:szCs w:val="32"/>
          <w:highlight w:val="none"/>
          <w:lang w:eastAsia="zh-CN"/>
        </w:rPr>
      </w:pPr>
      <w:r>
        <w:rPr>
          <w:rFonts w:hint="eastAsia" w:ascii="宋体" w:hAnsi="宋体" w:eastAsia="宋体"/>
          <w:b/>
          <w:color w:val="auto"/>
          <w:kern w:val="0"/>
          <w:sz w:val="32"/>
          <w:szCs w:val="32"/>
          <w:highlight w:val="none"/>
        </w:rPr>
        <w:t>采 购 人：</w:t>
      </w:r>
      <w:r>
        <w:rPr>
          <w:rFonts w:hint="eastAsia" w:ascii="宋体" w:hAnsi="宋体" w:eastAsia="宋体"/>
          <w:b/>
          <w:color w:val="auto"/>
          <w:kern w:val="0"/>
          <w:sz w:val="32"/>
          <w:szCs w:val="32"/>
          <w:highlight w:val="none"/>
          <w:u w:val="single"/>
          <w:lang w:eastAsia="zh-CN"/>
        </w:rPr>
        <w:t>滁州职业技术学院</w:t>
      </w:r>
    </w:p>
    <w:p w14:paraId="076E51FC">
      <w:pPr>
        <w:tabs>
          <w:tab w:val="left" w:pos="2410"/>
        </w:tabs>
        <w:autoSpaceDE w:val="0"/>
        <w:autoSpaceDN w:val="0"/>
        <w:adjustRightInd w:val="0"/>
        <w:snapToGrid w:val="0"/>
        <w:spacing w:line="360" w:lineRule="auto"/>
        <w:ind w:firstLine="643" w:firstLineChars="200"/>
        <w:rPr>
          <w:rFonts w:hint="eastAsia" w:ascii="宋体" w:hAnsi="宋体" w:eastAsia="宋体"/>
          <w:b/>
          <w:color w:val="auto"/>
          <w:spacing w:val="20"/>
          <w:kern w:val="0"/>
          <w:sz w:val="32"/>
          <w:szCs w:val="32"/>
          <w:highlight w:val="none"/>
        </w:rPr>
      </w:pPr>
      <w:r>
        <w:rPr>
          <w:rFonts w:hint="eastAsia" w:ascii="宋体" w:hAnsi="宋体" w:eastAsia="宋体"/>
          <w:b/>
          <w:color w:val="auto"/>
          <w:kern w:val="0"/>
          <w:sz w:val="32"/>
          <w:szCs w:val="32"/>
          <w:highlight w:val="none"/>
        </w:rPr>
        <w:t>采购代理机构：</w:t>
      </w:r>
      <w:r>
        <w:rPr>
          <w:rFonts w:hint="eastAsia" w:ascii="宋体" w:hAnsi="宋体" w:eastAsia="宋体"/>
          <w:b/>
          <w:color w:val="auto"/>
          <w:kern w:val="0"/>
          <w:sz w:val="32"/>
          <w:szCs w:val="32"/>
          <w:highlight w:val="none"/>
          <w:u w:val="single"/>
        </w:rPr>
        <w:t>滁州市城投工程咨询管理有限公司</w:t>
      </w:r>
    </w:p>
    <w:p w14:paraId="14CE93E3">
      <w:pPr>
        <w:tabs>
          <w:tab w:val="left" w:pos="2410"/>
        </w:tabs>
        <w:autoSpaceDE w:val="0"/>
        <w:autoSpaceDN w:val="0"/>
        <w:adjustRightInd w:val="0"/>
        <w:snapToGrid w:val="0"/>
        <w:spacing w:line="360" w:lineRule="auto"/>
        <w:ind w:firstLine="643" w:firstLineChars="200"/>
        <w:rPr>
          <w:rFonts w:hint="eastAsia" w:ascii="宋体" w:hAnsi="宋体" w:eastAsia="宋体"/>
          <w:b/>
          <w:color w:val="auto"/>
          <w:kern w:val="0"/>
          <w:sz w:val="32"/>
          <w:szCs w:val="32"/>
          <w:highlight w:val="none"/>
        </w:rPr>
      </w:pPr>
    </w:p>
    <w:p w14:paraId="1B63D904">
      <w:pPr>
        <w:tabs>
          <w:tab w:val="left" w:pos="2410"/>
        </w:tabs>
        <w:autoSpaceDE w:val="0"/>
        <w:autoSpaceDN w:val="0"/>
        <w:adjustRightInd w:val="0"/>
        <w:snapToGrid w:val="0"/>
        <w:spacing w:line="360" w:lineRule="auto"/>
        <w:jc w:val="center"/>
        <w:rPr>
          <w:rFonts w:hint="eastAsia" w:ascii="宋体" w:hAnsi="宋体" w:eastAsia="宋体"/>
          <w:b/>
          <w:color w:val="auto"/>
          <w:sz w:val="28"/>
          <w:highlight w:val="none"/>
        </w:rPr>
      </w:pPr>
      <w:r>
        <w:rPr>
          <w:rFonts w:hint="eastAsia" w:ascii="宋体" w:hAnsi="宋体" w:eastAsia="宋体"/>
          <w:b/>
          <w:color w:val="auto"/>
          <w:sz w:val="36"/>
          <w:highlight w:val="none"/>
          <w:u w:val="single"/>
        </w:rPr>
        <w:t xml:space="preserve"> 2025 </w:t>
      </w:r>
      <w:r>
        <w:rPr>
          <w:rFonts w:hint="eastAsia" w:ascii="宋体" w:hAnsi="宋体" w:eastAsia="宋体"/>
          <w:b/>
          <w:color w:val="auto"/>
          <w:sz w:val="36"/>
          <w:highlight w:val="none"/>
        </w:rPr>
        <w:t>年</w:t>
      </w: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u w:val="single"/>
          <w:lang w:val="en-US" w:eastAsia="zh-CN"/>
        </w:rPr>
        <w:t>9</w:t>
      </w: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rPr>
        <w:t>月</w:t>
      </w:r>
      <w:r>
        <w:rPr>
          <w:rFonts w:ascii="宋体" w:hAnsi="宋体" w:eastAsia="宋体"/>
          <w:b/>
          <w:color w:val="auto"/>
          <w:sz w:val="36"/>
          <w:highlight w:val="none"/>
        </w:rPr>
        <w:br w:type="page"/>
      </w:r>
    </w:p>
    <w:p w14:paraId="260780E0">
      <w:pPr>
        <w:tabs>
          <w:tab w:val="left" w:pos="2410"/>
        </w:tabs>
        <w:autoSpaceDE w:val="0"/>
        <w:autoSpaceDN w:val="0"/>
        <w:adjustRightInd w:val="0"/>
        <w:snapToGrid w:val="0"/>
        <w:spacing w:line="360" w:lineRule="auto"/>
        <w:jc w:val="center"/>
        <w:rPr>
          <w:rFonts w:hint="eastAsia" w:ascii="宋体" w:hAnsi="宋体" w:eastAsia="宋体"/>
          <w:b/>
          <w:color w:val="auto"/>
          <w:sz w:val="28"/>
          <w:highlight w:val="none"/>
        </w:rPr>
      </w:pPr>
      <w:r>
        <w:rPr>
          <w:rFonts w:hint="eastAsia" w:ascii="宋体" w:hAnsi="宋体" w:eastAsia="宋体"/>
          <w:b/>
          <w:color w:val="auto"/>
          <w:sz w:val="28"/>
          <w:highlight w:val="none"/>
        </w:rPr>
        <w:t>目  录</w:t>
      </w:r>
    </w:p>
    <w:p w14:paraId="707EAD67">
      <w:pPr>
        <w:pStyle w:val="18"/>
        <w:tabs>
          <w:tab w:val="right" w:leader="dot" w:pos="8306"/>
        </w:tabs>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fldChar w:fldCharType="begin"/>
      </w:r>
      <w:r>
        <w:rPr>
          <w:rFonts w:hint="eastAsia" w:ascii="宋体" w:hAnsi="宋体" w:eastAsia="宋体" w:cs="宋体"/>
          <w:b/>
          <w:color w:val="auto"/>
          <w:sz w:val="28"/>
          <w:szCs w:val="28"/>
          <w:highlight w:val="none"/>
        </w:rPr>
        <w:instrText xml:space="preserve"> TOC \o "1-2" \h \z \u </w:instrText>
      </w:r>
      <w:r>
        <w:rPr>
          <w:rFonts w:hint="eastAsia" w:ascii="宋体" w:hAnsi="宋体" w:eastAsia="宋体" w:cs="宋体"/>
          <w:b/>
          <w:color w:val="auto"/>
          <w:sz w:val="28"/>
          <w:szCs w:val="28"/>
          <w:highlight w:val="none"/>
        </w:rPr>
        <w:fldChar w:fldCharType="separate"/>
      </w:r>
      <w:r>
        <w:rPr>
          <w:color w:val="auto"/>
          <w:highlight w:val="none"/>
        </w:rPr>
        <w:fldChar w:fldCharType="begin"/>
      </w:r>
      <w:r>
        <w:rPr>
          <w:color w:val="auto"/>
          <w:highlight w:val="none"/>
        </w:rPr>
        <w:instrText xml:space="preserve"> HYPERLINK \l "_Toc23443" </w:instrText>
      </w:r>
      <w:r>
        <w:rPr>
          <w:color w:val="auto"/>
          <w:highlight w:val="none"/>
        </w:rPr>
        <w:fldChar w:fldCharType="separate"/>
      </w:r>
      <w:r>
        <w:rPr>
          <w:rFonts w:hint="eastAsia" w:ascii="宋体" w:hAnsi="宋体" w:eastAsia="宋体" w:cs="宋体"/>
          <w:color w:val="auto"/>
          <w:sz w:val="28"/>
          <w:szCs w:val="28"/>
          <w:highlight w:val="none"/>
        </w:rPr>
        <w:t>第一章  投标邀请</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_Toc23443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DDEFE1D">
      <w:pPr>
        <w:pStyle w:val="18"/>
        <w:tabs>
          <w:tab w:val="right" w:leader="dot" w:pos="8306"/>
        </w:tabs>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"_Toc31935" </w:instrText>
      </w:r>
      <w:r>
        <w:rPr>
          <w:color w:val="auto"/>
          <w:highlight w:val="none"/>
        </w:rPr>
        <w:fldChar w:fldCharType="separate"/>
      </w:r>
      <w:r>
        <w:rPr>
          <w:rFonts w:hint="eastAsia" w:ascii="宋体" w:hAnsi="宋体" w:eastAsia="宋体" w:cs="宋体"/>
          <w:color w:val="auto"/>
          <w:sz w:val="28"/>
          <w:szCs w:val="28"/>
          <w:highlight w:val="none"/>
        </w:rPr>
        <w:t>第二章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_Toc31935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E475C0F">
      <w:pPr>
        <w:pStyle w:val="18"/>
        <w:tabs>
          <w:tab w:val="right" w:leader="dot" w:pos="8306"/>
        </w:tabs>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"_Toc10891" </w:instrText>
      </w:r>
      <w:r>
        <w:rPr>
          <w:color w:val="auto"/>
          <w:highlight w:val="none"/>
        </w:rPr>
        <w:fldChar w:fldCharType="separate"/>
      </w:r>
      <w:r>
        <w:rPr>
          <w:rFonts w:hint="eastAsia" w:ascii="宋体" w:hAnsi="宋体" w:eastAsia="宋体" w:cs="宋体"/>
          <w:color w:val="auto"/>
          <w:sz w:val="28"/>
          <w:szCs w:val="28"/>
          <w:highlight w:val="none"/>
        </w:rPr>
        <w:t>第三章  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_Toc10891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3074770">
      <w:pPr>
        <w:pStyle w:val="18"/>
        <w:tabs>
          <w:tab w:val="right" w:leader="dot" w:pos="8306"/>
        </w:tabs>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"_Toc16417" </w:instrText>
      </w:r>
      <w:r>
        <w:rPr>
          <w:color w:val="auto"/>
          <w:highlight w:val="none"/>
        </w:rPr>
        <w:fldChar w:fldCharType="separate"/>
      </w:r>
      <w:r>
        <w:rPr>
          <w:rFonts w:hint="eastAsia" w:ascii="宋体" w:hAnsi="宋体" w:eastAsia="宋体" w:cs="宋体"/>
          <w:color w:val="auto"/>
          <w:sz w:val="28"/>
          <w:szCs w:val="28"/>
          <w:highlight w:val="none"/>
        </w:rPr>
        <w:t>第四章  评标方法和标准（综合评分法）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_Toc16417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BEA8C08">
      <w:pPr>
        <w:pStyle w:val="18"/>
        <w:tabs>
          <w:tab w:val="right" w:leader="dot" w:pos="8306"/>
        </w:tabs>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"_Toc4682" </w:instrText>
      </w:r>
      <w:r>
        <w:rPr>
          <w:color w:val="auto"/>
          <w:highlight w:val="none"/>
        </w:rPr>
        <w:fldChar w:fldCharType="separate"/>
      </w:r>
      <w:r>
        <w:rPr>
          <w:rFonts w:hint="eastAsia" w:ascii="宋体" w:hAnsi="宋体" w:eastAsia="宋体" w:cs="宋体"/>
          <w:color w:val="auto"/>
          <w:sz w:val="28"/>
          <w:szCs w:val="28"/>
          <w:highlight w:val="none"/>
        </w:rPr>
        <w:t>第五章  政府采购合同</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_Toc4682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2B9B0BE">
      <w:pPr>
        <w:pStyle w:val="18"/>
        <w:tabs>
          <w:tab w:val="right" w:leader="dot" w:pos="8306"/>
        </w:tabs>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"_Toc22492" </w:instrText>
      </w:r>
      <w:r>
        <w:rPr>
          <w:color w:val="auto"/>
          <w:highlight w:val="none"/>
        </w:rPr>
        <w:fldChar w:fldCharType="separate"/>
      </w:r>
      <w:r>
        <w:rPr>
          <w:rFonts w:hint="eastAsia" w:ascii="宋体" w:hAnsi="宋体" w:eastAsia="宋体" w:cs="宋体"/>
          <w:color w:val="auto"/>
          <w:sz w:val="28"/>
          <w:szCs w:val="28"/>
          <w:highlight w:val="none"/>
        </w:rPr>
        <w:t>第六章  投标文件格式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_Toc22492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94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8173266">
      <w:pPr>
        <w:pStyle w:val="18"/>
        <w:tabs>
          <w:tab w:val="right" w:leader="dot" w:pos="8306"/>
        </w:tabs>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"_Toc18131" </w:instrText>
      </w:r>
      <w:r>
        <w:rPr>
          <w:color w:val="auto"/>
          <w:highlight w:val="none"/>
        </w:rPr>
        <w:fldChar w:fldCharType="separate"/>
      </w:r>
      <w:r>
        <w:rPr>
          <w:rFonts w:hint="eastAsia" w:ascii="宋体" w:hAnsi="宋体" w:eastAsia="宋体" w:cs="宋体"/>
          <w:color w:val="auto"/>
          <w:sz w:val="28"/>
          <w:szCs w:val="28"/>
          <w:highlight w:val="none"/>
        </w:rPr>
        <w:t>第七章</w:t>
      </w:r>
      <w:r>
        <w:rPr>
          <w:rFonts w:hint="eastAsia" w:ascii="宋体" w:hAnsi="宋体" w:eastAsia="宋体" w:cs="宋体"/>
          <w:bCs/>
          <w:color w:val="auto"/>
          <w:sz w:val="28"/>
          <w:szCs w:val="28"/>
          <w:highlight w:val="none"/>
        </w:rPr>
        <w:t xml:space="preserve">  政府采购</w:t>
      </w:r>
      <w:r>
        <w:rPr>
          <w:rFonts w:hint="eastAsia" w:ascii="宋体" w:hAnsi="宋体" w:eastAsia="宋体" w:cs="宋体"/>
          <w:color w:val="auto"/>
          <w:sz w:val="28"/>
          <w:szCs w:val="28"/>
          <w:highlight w:val="none"/>
        </w:rPr>
        <w:t>供应</w:t>
      </w:r>
      <w:r>
        <w:rPr>
          <w:rFonts w:hint="eastAsia" w:ascii="宋体" w:hAnsi="宋体" w:eastAsia="宋体" w:cs="宋体"/>
          <w:bCs/>
          <w:color w:val="auto"/>
          <w:sz w:val="28"/>
          <w:szCs w:val="28"/>
          <w:highlight w:val="none"/>
        </w:rPr>
        <w:t>商询问函和质疑函范本</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_Toc18131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122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5BC15B1">
      <w:pPr>
        <w:spacing w:line="360" w:lineRule="auto"/>
        <w:rPr>
          <w:rFonts w:hint="eastAsia" w:ascii="宋体" w:hAnsi="宋体" w:eastAsia="宋体"/>
          <w:b/>
          <w:color w:val="auto"/>
          <w:sz w:val="32"/>
          <w:highlight w:val="none"/>
        </w:rPr>
      </w:pPr>
      <w:r>
        <w:rPr>
          <w:rFonts w:hint="eastAsia" w:ascii="宋体" w:hAnsi="宋体" w:eastAsia="宋体" w:cs="宋体"/>
          <w:color w:val="auto"/>
          <w:sz w:val="28"/>
          <w:szCs w:val="28"/>
          <w:highlight w:val="none"/>
        </w:rPr>
        <w:fldChar w:fldCharType="end"/>
      </w:r>
    </w:p>
    <w:p w14:paraId="33ADB7F9">
      <w:pPr>
        <w:pStyle w:val="9"/>
        <w:rPr>
          <w:rFonts w:hint="eastAsia"/>
          <w:color w:val="auto"/>
          <w:highlight w:val="none"/>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14:paraId="13D9B99B">
      <w:pPr>
        <w:spacing w:line="360" w:lineRule="auto"/>
        <w:jc w:val="center"/>
        <w:outlineLvl w:val="0"/>
        <w:rPr>
          <w:rFonts w:hint="eastAsia" w:ascii="宋体" w:hAnsi="宋体" w:eastAsia="宋体"/>
          <w:b/>
          <w:color w:val="auto"/>
          <w:sz w:val="28"/>
          <w:highlight w:val="none"/>
        </w:rPr>
      </w:pPr>
      <w:bookmarkStart w:id="1" w:name="_Toc23443"/>
      <w:r>
        <w:rPr>
          <w:rFonts w:hint="eastAsia" w:ascii="宋体" w:hAnsi="宋体" w:eastAsia="宋体"/>
          <w:b/>
          <w:color w:val="auto"/>
          <w:sz w:val="28"/>
          <w:highlight w:val="none"/>
        </w:rPr>
        <w:t xml:space="preserve">第一章 </w:t>
      </w:r>
      <w:r>
        <w:rPr>
          <w:rFonts w:ascii="宋体" w:hAnsi="宋体" w:eastAsia="宋体"/>
          <w:b/>
          <w:color w:val="auto"/>
          <w:sz w:val="28"/>
          <w:highlight w:val="none"/>
        </w:rPr>
        <w:t xml:space="preserve"> 投标邀请</w:t>
      </w:r>
      <w:bookmarkEnd w:id="1"/>
    </w:p>
    <w:p w14:paraId="3FECD2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项目概况</w:t>
      </w:r>
    </w:p>
    <w:p w14:paraId="17A16A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bidi="ar"/>
        </w:rPr>
        <w:t>滁州职业技术学院智能网联车路云一体化实训室项目</w:t>
      </w:r>
      <w:r>
        <w:rPr>
          <w:rFonts w:hint="eastAsia" w:ascii="宋体" w:hAnsi="宋体" w:eastAsia="宋体" w:cs="宋体"/>
          <w:color w:val="auto"/>
          <w:sz w:val="24"/>
          <w:szCs w:val="24"/>
          <w:highlight w:val="none"/>
          <w:lang w:bidi="ar"/>
        </w:rPr>
        <w:t>的潜在投标人应在</w:t>
      </w:r>
      <w:r>
        <w:rPr>
          <w:rFonts w:hint="eastAsia" w:ascii="宋体" w:hAnsi="宋体" w:eastAsia="宋体" w:cs="宋体"/>
          <w:color w:val="auto"/>
          <w:sz w:val="24"/>
          <w:szCs w:val="24"/>
          <w:highlight w:val="none"/>
          <w:u w:val="single"/>
          <w:lang w:bidi="ar"/>
        </w:rPr>
        <w:t>滁州市公共资源交易中心网（http：//ggzy.chuzhou.gov.cn/）</w:t>
      </w:r>
      <w:r>
        <w:rPr>
          <w:rFonts w:hint="eastAsia" w:ascii="宋体" w:hAnsi="宋体" w:eastAsia="宋体" w:cs="宋体"/>
          <w:color w:val="auto"/>
          <w:sz w:val="24"/>
          <w:szCs w:val="24"/>
          <w:highlight w:val="none"/>
          <w:lang w:bidi="ar"/>
        </w:rPr>
        <w:t>获取招标文件，并于</w:t>
      </w:r>
      <w:r>
        <w:rPr>
          <w:rFonts w:hint="eastAsia" w:ascii="宋体" w:hAnsi="宋体" w:eastAsia="宋体" w:cs="宋体"/>
          <w:color w:val="auto"/>
          <w:sz w:val="24"/>
          <w:szCs w:val="24"/>
          <w:highlight w:val="none"/>
          <w:u w:val="single"/>
          <w:lang w:bidi="ar"/>
        </w:rPr>
        <w:t xml:space="preserve"> 2025年</w:t>
      </w:r>
      <w:r>
        <w:rPr>
          <w:rFonts w:hint="eastAsia" w:ascii="宋体" w:hAnsi="宋体" w:eastAsia="宋体" w:cs="宋体"/>
          <w:color w:val="auto"/>
          <w:sz w:val="24"/>
          <w:szCs w:val="24"/>
          <w:highlight w:val="none"/>
          <w:u w:val="single"/>
          <w:lang w:val="en-US" w:eastAsia="zh-CN" w:bidi="ar"/>
        </w:rPr>
        <w:t>10</w:t>
      </w:r>
      <w:r>
        <w:rPr>
          <w:rFonts w:hint="eastAsia" w:ascii="宋体" w:hAnsi="宋体" w:eastAsia="宋体" w:cs="宋体"/>
          <w:color w:val="auto"/>
          <w:sz w:val="24"/>
          <w:szCs w:val="24"/>
          <w:highlight w:val="none"/>
          <w:u w:val="single"/>
          <w:lang w:bidi="ar"/>
        </w:rPr>
        <w:t>月</w:t>
      </w:r>
      <w:r>
        <w:rPr>
          <w:rFonts w:hint="eastAsia" w:ascii="宋体" w:hAnsi="宋体" w:eastAsia="宋体" w:cs="宋体"/>
          <w:color w:val="auto"/>
          <w:sz w:val="24"/>
          <w:szCs w:val="24"/>
          <w:highlight w:val="none"/>
          <w:u w:val="single"/>
          <w:lang w:val="en-US" w:eastAsia="zh-CN" w:bidi="ar"/>
        </w:rPr>
        <w:t>17</w:t>
      </w:r>
      <w:r>
        <w:rPr>
          <w:rFonts w:hint="eastAsia" w:ascii="宋体" w:hAnsi="宋体" w:eastAsia="宋体" w:cs="宋体"/>
          <w:color w:val="auto"/>
          <w:sz w:val="24"/>
          <w:szCs w:val="24"/>
          <w:highlight w:val="none"/>
          <w:u w:val="single"/>
          <w:lang w:bidi="ar"/>
        </w:rPr>
        <w:t>日8点00分</w:t>
      </w:r>
      <w:r>
        <w:rPr>
          <w:rFonts w:hint="eastAsia" w:ascii="宋体" w:hAnsi="宋体" w:eastAsia="宋体" w:cs="宋体"/>
          <w:color w:val="auto"/>
          <w:sz w:val="24"/>
          <w:szCs w:val="24"/>
          <w:highlight w:val="none"/>
          <w:lang w:bidi="ar"/>
        </w:rPr>
        <w:t>（北京时间）前递交投标文件。</w:t>
      </w:r>
    </w:p>
    <w:p w14:paraId="19BC120E">
      <w:pPr>
        <w:keepNext/>
        <w:keepLines/>
        <w:spacing w:before="260" w:after="260"/>
        <w:rPr>
          <w:rFonts w:hint="eastAsia" w:ascii="黑体" w:hAnsi="宋体" w:eastAsia="黑体" w:cs="黑体"/>
          <w:color w:val="auto"/>
          <w:sz w:val="24"/>
          <w:szCs w:val="24"/>
          <w:highlight w:val="none"/>
        </w:rPr>
      </w:pPr>
      <w:r>
        <w:rPr>
          <w:rFonts w:hint="eastAsia" w:ascii="黑体" w:hAnsi="宋体" w:eastAsia="黑体" w:cs="黑体"/>
          <w:color w:val="auto"/>
          <w:sz w:val="24"/>
          <w:szCs w:val="24"/>
          <w:highlight w:val="none"/>
          <w:lang w:bidi="ar"/>
        </w:rPr>
        <w:t>一、项目基本情况</w:t>
      </w:r>
    </w:p>
    <w:p w14:paraId="2516B6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项目编号：czsjcg202509-049</w:t>
      </w:r>
    </w:p>
    <w:p w14:paraId="5A95B1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项目名称：</w:t>
      </w:r>
      <w:r>
        <w:rPr>
          <w:rFonts w:hint="eastAsia" w:ascii="宋体" w:hAnsi="宋体" w:eastAsia="宋体" w:cs="宋体"/>
          <w:color w:val="auto"/>
          <w:sz w:val="24"/>
          <w:szCs w:val="24"/>
          <w:highlight w:val="none"/>
          <w:lang w:eastAsia="zh-CN" w:bidi="ar"/>
        </w:rPr>
        <w:t>滁州职业技术学院智能网联车路云一体化实训室项目</w:t>
      </w:r>
    </w:p>
    <w:p w14:paraId="0C3097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预算金额：</w:t>
      </w:r>
      <w:r>
        <w:rPr>
          <w:rFonts w:hint="eastAsia" w:ascii="宋体" w:hAnsi="宋体" w:eastAsia="宋体" w:cs="宋体"/>
          <w:color w:val="auto"/>
          <w:sz w:val="24"/>
          <w:szCs w:val="24"/>
          <w:highlight w:val="none"/>
          <w:lang w:val="en-US" w:eastAsia="zh-CN" w:bidi="ar"/>
        </w:rPr>
        <w:t>21</w:t>
      </w:r>
      <w:r>
        <w:rPr>
          <w:rFonts w:hint="eastAsia" w:ascii="宋体" w:hAnsi="宋体" w:eastAsia="宋体" w:cs="宋体"/>
          <w:color w:val="auto"/>
          <w:sz w:val="24"/>
          <w:szCs w:val="24"/>
          <w:highlight w:val="none"/>
          <w:lang w:bidi="ar"/>
        </w:rPr>
        <w:t>0</w:t>
      </w:r>
      <w:r>
        <w:rPr>
          <w:rFonts w:hint="eastAsia" w:ascii="宋体" w:hAnsi="宋体" w:eastAsia="宋体" w:cs="宋体"/>
          <w:color w:val="auto"/>
          <w:sz w:val="24"/>
          <w:szCs w:val="24"/>
          <w:highlight w:val="none"/>
          <w:lang w:val="en-US" w:eastAsia="zh-CN" w:bidi="ar"/>
        </w:rPr>
        <w:t>0</w:t>
      </w:r>
      <w:r>
        <w:rPr>
          <w:rFonts w:hint="eastAsia" w:ascii="宋体" w:hAnsi="宋体" w:eastAsia="宋体" w:cs="宋体"/>
          <w:color w:val="auto"/>
          <w:sz w:val="24"/>
          <w:szCs w:val="24"/>
          <w:highlight w:val="none"/>
          <w:lang w:bidi="ar"/>
        </w:rPr>
        <w:t>000</w:t>
      </w:r>
      <w:r>
        <w:rPr>
          <w:rFonts w:hint="eastAsia" w:ascii="宋体" w:hAnsi="宋体" w:eastAsia="宋体" w:cs="宋体"/>
          <w:color w:val="auto"/>
          <w:sz w:val="24"/>
          <w:szCs w:val="24"/>
          <w:highlight w:val="none"/>
          <w:lang w:val="en-US" w:eastAsia="zh-CN" w:bidi="ar"/>
        </w:rPr>
        <w:t>.00</w:t>
      </w:r>
      <w:r>
        <w:rPr>
          <w:rFonts w:hint="eastAsia" w:ascii="宋体" w:hAnsi="宋体" w:eastAsia="宋体" w:cs="宋体"/>
          <w:color w:val="auto"/>
          <w:sz w:val="24"/>
          <w:szCs w:val="24"/>
          <w:highlight w:val="none"/>
          <w:lang w:bidi="ar"/>
        </w:rPr>
        <w:t>元</w:t>
      </w:r>
    </w:p>
    <w:p w14:paraId="24F80C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最高限价：</w:t>
      </w:r>
      <w:r>
        <w:rPr>
          <w:rFonts w:hint="eastAsia" w:ascii="宋体" w:hAnsi="宋体" w:eastAsia="宋体" w:cs="宋体"/>
          <w:color w:val="auto"/>
          <w:sz w:val="24"/>
          <w:szCs w:val="24"/>
          <w:highlight w:val="none"/>
          <w:lang w:val="en-US" w:eastAsia="zh-CN" w:bidi="ar"/>
        </w:rPr>
        <w:t>2095</w:t>
      </w:r>
      <w:r>
        <w:rPr>
          <w:rFonts w:hint="eastAsia" w:ascii="宋体" w:hAnsi="宋体" w:eastAsia="宋体" w:cs="宋体"/>
          <w:color w:val="auto"/>
          <w:sz w:val="24"/>
          <w:szCs w:val="24"/>
          <w:highlight w:val="none"/>
          <w:lang w:bidi="ar"/>
        </w:rPr>
        <w:t>0</w:t>
      </w:r>
      <w:r>
        <w:rPr>
          <w:rFonts w:hint="eastAsia" w:ascii="宋体" w:hAnsi="宋体" w:eastAsia="宋体" w:cs="宋体"/>
          <w:color w:val="auto"/>
          <w:sz w:val="24"/>
          <w:szCs w:val="24"/>
          <w:highlight w:val="none"/>
          <w:lang w:val="en-US" w:eastAsia="zh-CN" w:bidi="ar"/>
        </w:rPr>
        <w:t>0</w:t>
      </w:r>
      <w:r>
        <w:rPr>
          <w:rFonts w:hint="eastAsia" w:ascii="宋体" w:hAnsi="宋体" w:eastAsia="宋体" w:cs="宋体"/>
          <w:color w:val="auto"/>
          <w:sz w:val="24"/>
          <w:szCs w:val="24"/>
          <w:highlight w:val="none"/>
          <w:lang w:bidi="ar"/>
        </w:rPr>
        <w:t>0</w:t>
      </w:r>
      <w:r>
        <w:rPr>
          <w:rFonts w:hint="eastAsia" w:ascii="宋体" w:hAnsi="宋体" w:eastAsia="宋体" w:cs="宋体"/>
          <w:color w:val="auto"/>
          <w:sz w:val="24"/>
          <w:szCs w:val="24"/>
          <w:highlight w:val="none"/>
          <w:lang w:val="en-US" w:eastAsia="zh-CN" w:bidi="ar"/>
        </w:rPr>
        <w:t>.00</w:t>
      </w:r>
      <w:r>
        <w:rPr>
          <w:rFonts w:hint="eastAsia" w:ascii="宋体" w:hAnsi="宋体" w:eastAsia="宋体" w:cs="宋体"/>
          <w:color w:val="auto"/>
          <w:sz w:val="24"/>
          <w:szCs w:val="24"/>
          <w:highlight w:val="none"/>
          <w:lang w:bidi="ar"/>
        </w:rPr>
        <w:t>元，投标报价高于最高限价的，其投标文件按无效标处理。</w:t>
      </w:r>
    </w:p>
    <w:p w14:paraId="371892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采购需求：</w:t>
      </w:r>
      <w:r>
        <w:rPr>
          <w:rFonts w:hint="eastAsia" w:ascii="宋体" w:hAnsi="宋体" w:eastAsia="宋体" w:cs="宋体"/>
          <w:color w:val="auto"/>
          <w:sz w:val="24"/>
          <w:szCs w:val="24"/>
          <w:highlight w:val="none"/>
          <w:lang w:val="en-US" w:eastAsia="zh-CN" w:bidi="ar"/>
        </w:rPr>
        <w:t>本实训室用于新能源汽车技术，汽车实验与制造技术，汽车检测与维修技术等专业的智能网联汽车技术课程教学，完成网联化实训条件搭建。其中购入设备用以实现车路协同综合类实训模块，包括车路协同道路搭建，路测单元RSU通讯，车辆OBU信号处理，道路标注等项目内容</w:t>
      </w:r>
      <w:r>
        <w:rPr>
          <w:rFonts w:hint="eastAsia" w:ascii="宋体" w:hAnsi="宋体" w:eastAsia="宋体" w:cs="宋体"/>
          <w:color w:val="auto"/>
          <w:sz w:val="24"/>
          <w:szCs w:val="24"/>
          <w:highlight w:val="none"/>
          <w:lang w:bidi="ar"/>
        </w:rPr>
        <w:t>。</w:t>
      </w:r>
    </w:p>
    <w:p w14:paraId="761DF1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合同履行期限：合同签订后，自采购人通知之日起</w:t>
      </w:r>
      <w:r>
        <w:rPr>
          <w:rFonts w:hint="eastAsia" w:ascii="宋体" w:hAnsi="宋体" w:eastAsia="宋体" w:cs="宋体"/>
          <w:color w:val="auto"/>
          <w:sz w:val="24"/>
          <w:szCs w:val="24"/>
          <w:highlight w:val="none"/>
          <w:lang w:val="en-US" w:eastAsia="zh-CN" w:bidi="ar"/>
        </w:rPr>
        <w:t>60</w:t>
      </w:r>
      <w:r>
        <w:rPr>
          <w:rFonts w:hint="eastAsia" w:ascii="宋体" w:hAnsi="宋体" w:eastAsia="宋体" w:cs="宋体"/>
          <w:color w:val="auto"/>
          <w:sz w:val="24"/>
          <w:szCs w:val="24"/>
          <w:highlight w:val="none"/>
          <w:lang w:bidi="ar"/>
        </w:rPr>
        <w:t>个日历天完成全部货物的供货、安装、调试、运行和培训工作。</w:t>
      </w:r>
    </w:p>
    <w:p w14:paraId="4C6A32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本项目不接受联合体投标。</w:t>
      </w:r>
    </w:p>
    <w:p w14:paraId="3D578A02">
      <w:pPr>
        <w:keepNext/>
        <w:keepLines/>
        <w:spacing w:before="260" w:after="260"/>
        <w:rPr>
          <w:rFonts w:hint="eastAsia" w:ascii="黑体" w:hAnsi="宋体" w:eastAsia="黑体" w:cs="黑体"/>
          <w:color w:val="auto"/>
          <w:sz w:val="24"/>
          <w:szCs w:val="24"/>
          <w:highlight w:val="none"/>
        </w:rPr>
      </w:pPr>
      <w:r>
        <w:rPr>
          <w:rFonts w:hint="eastAsia" w:ascii="黑体" w:hAnsi="宋体" w:eastAsia="黑体" w:cs="黑体"/>
          <w:color w:val="auto"/>
          <w:sz w:val="24"/>
          <w:szCs w:val="24"/>
          <w:highlight w:val="none"/>
          <w:lang w:bidi="ar"/>
        </w:rPr>
        <w:t>二、申请人的资格要求</w:t>
      </w:r>
    </w:p>
    <w:p w14:paraId="765F37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1.满足《中华人民共和国政府采购法》第二十二条规定；</w:t>
      </w:r>
    </w:p>
    <w:p w14:paraId="6A1DCC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2.落实政府采购政策需满足的资格要求：</w:t>
      </w:r>
      <w:r>
        <w:rPr>
          <w:rFonts w:hint="eastAsia" w:ascii="宋体" w:hAnsi="宋体" w:eastAsia="宋体" w:cs="宋体"/>
          <w:color w:val="auto"/>
          <w:sz w:val="24"/>
          <w:szCs w:val="24"/>
          <w:highlight w:val="none"/>
          <w:u w:val="single"/>
          <w:lang w:bidi="ar"/>
        </w:rPr>
        <w:t>按照财政部、工业和信息化部制定的《政府采购促进中小企业发展管理办法》第六条第三款（按照本办法规定预留采购份额无法确保充分供应、充分竞争，或者存在可能影响政府采购目标实现的情形）之规定，本项目为非专门面向中小企业采购项目。若中小企业对此有质疑，可按以下渠道递交质疑：①以书面材料递交至采购人或采购代理机构处；②在滁州市公共资源交易中心网电子交易系统中进行质疑，具体操作步骤和程序请参见服务指南&gt;交易须知&gt;在线异议、质疑和投诉操作手册。</w:t>
      </w:r>
    </w:p>
    <w:p w14:paraId="34A8A0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3.本项目的特定资格要求：无；</w:t>
      </w:r>
    </w:p>
    <w:p w14:paraId="00B4BD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4.信誉要求：投标人不得存在以下情形：</w:t>
      </w:r>
    </w:p>
    <w:p w14:paraId="221D18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①被列入“信用中国”网站“失信被执行人”的；</w:t>
      </w:r>
    </w:p>
    <w:p w14:paraId="70B253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②被列入“信用中国”网站“重大税收违法失信主体”的；</w:t>
      </w:r>
    </w:p>
    <w:p w14:paraId="753B94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③被列入“信用中国”网站 “严重失信主体名单”的；</w:t>
      </w:r>
    </w:p>
    <w:p w14:paraId="39DC2B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④在</w:t>
      </w:r>
      <w:bookmarkStart w:id="2" w:name="OLE_LINK129"/>
      <w:bookmarkStart w:id="3" w:name="OLE_LINK128"/>
      <w:bookmarkStart w:id="4" w:name="OLE_LINK127"/>
      <w:r>
        <w:rPr>
          <w:rFonts w:hint="eastAsia" w:ascii="宋体" w:hAnsi="宋体" w:eastAsia="宋体" w:cs="宋体"/>
          <w:color w:val="auto"/>
          <w:sz w:val="24"/>
          <w:szCs w:val="24"/>
          <w:highlight w:val="none"/>
          <w:lang w:bidi="ar"/>
        </w:rPr>
        <w:t>“信用中国”网站</w:t>
      </w:r>
      <w:bookmarkEnd w:id="2"/>
      <w:bookmarkEnd w:id="3"/>
      <w:bookmarkEnd w:id="4"/>
      <w:r>
        <w:rPr>
          <w:rFonts w:hint="eastAsia" w:ascii="宋体" w:hAnsi="宋体" w:eastAsia="宋体" w:cs="宋体"/>
          <w:color w:val="auto"/>
          <w:sz w:val="24"/>
          <w:szCs w:val="24"/>
          <w:highlight w:val="none"/>
          <w:lang w:bidi="ar"/>
        </w:rPr>
        <w:t>上披露的仍在公示期的严重失信行为(具体行为类别及判定依据见“信用中国”查询的严重失信行为类别及判定依据)的。</w:t>
      </w:r>
    </w:p>
    <w:p w14:paraId="3B4B8B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⑤被列入国家企业信用信息公示系统网站“经营异常名录”或者“严重违法失信名单”的。</w:t>
      </w:r>
    </w:p>
    <w:p w14:paraId="693A67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bidi="ar"/>
        </w:rPr>
      </w:pPr>
      <w:bookmarkStart w:id="5" w:name="OLE_LINK113"/>
      <w:bookmarkStart w:id="6" w:name="OLE_LINK114"/>
      <w:r>
        <w:rPr>
          <w:rFonts w:hint="eastAsia" w:ascii="宋体" w:hAnsi="宋体" w:eastAsia="宋体" w:cs="宋体"/>
          <w:color w:val="auto"/>
          <w:sz w:val="24"/>
          <w:szCs w:val="24"/>
          <w:highlight w:val="none"/>
          <w:lang w:bidi="ar"/>
        </w:rPr>
        <w:t>⑥</w:t>
      </w:r>
      <w:bookmarkEnd w:id="5"/>
      <w:bookmarkEnd w:id="6"/>
      <w:r>
        <w:rPr>
          <w:rFonts w:hint="eastAsia" w:ascii="宋体" w:hAnsi="宋体" w:eastAsia="宋体" w:cs="宋体"/>
          <w:color w:val="auto"/>
          <w:sz w:val="24"/>
          <w:szCs w:val="24"/>
          <w:highlight w:val="none"/>
          <w:lang w:bidi="ar"/>
        </w:rPr>
        <w:t>被列入中国政府采购网站“政府采购严重违法失信行为信息记录”的。</w:t>
      </w:r>
    </w:p>
    <w:p w14:paraId="7B2A02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⑦前三年有行贿犯罪行为的单位和个人。</w:t>
      </w:r>
    </w:p>
    <w:p w14:paraId="227C25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5.投标人所属分公司、办事处等分支机构存在第4款信誉要求①-⑦项情形之一的，接受投标人参加本项目。</w:t>
      </w:r>
    </w:p>
    <w:p w14:paraId="001F04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备注：第4、5条按照“关于联合惩戒失信行为加强信用查询管理的通知”查询或承诺。</w:t>
      </w:r>
    </w:p>
    <w:p w14:paraId="07814FBE">
      <w:pPr>
        <w:keepNext/>
        <w:keepLines/>
        <w:spacing w:before="260" w:after="260"/>
        <w:rPr>
          <w:rFonts w:hint="eastAsia" w:ascii="黑体" w:hAnsi="宋体" w:eastAsia="黑体" w:cs="黑体"/>
          <w:color w:val="auto"/>
          <w:sz w:val="24"/>
          <w:szCs w:val="24"/>
          <w:highlight w:val="none"/>
        </w:rPr>
      </w:pPr>
      <w:r>
        <w:rPr>
          <w:rFonts w:hint="eastAsia" w:ascii="黑体" w:hAnsi="宋体" w:eastAsia="黑体" w:cs="黑体"/>
          <w:color w:val="auto"/>
          <w:sz w:val="24"/>
          <w:szCs w:val="24"/>
          <w:highlight w:val="none"/>
          <w:lang w:bidi="ar"/>
        </w:rPr>
        <w:t>三、获取招标文件</w:t>
      </w:r>
    </w:p>
    <w:p w14:paraId="47918B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时间：</w:t>
      </w:r>
      <w:r>
        <w:rPr>
          <w:rFonts w:hint="eastAsia" w:ascii="宋体" w:hAnsi="宋体" w:eastAsia="宋体" w:cs="宋体"/>
          <w:color w:val="auto"/>
          <w:sz w:val="24"/>
          <w:szCs w:val="24"/>
          <w:highlight w:val="none"/>
          <w:u w:val="single"/>
          <w:lang w:bidi="ar"/>
        </w:rPr>
        <w:t>2025年</w:t>
      </w:r>
      <w:r>
        <w:rPr>
          <w:rFonts w:hint="eastAsia" w:ascii="宋体" w:hAnsi="宋体" w:eastAsia="宋体" w:cs="宋体"/>
          <w:color w:val="auto"/>
          <w:sz w:val="24"/>
          <w:szCs w:val="24"/>
          <w:highlight w:val="none"/>
          <w:u w:val="single"/>
          <w:lang w:val="en-US" w:eastAsia="zh-CN" w:bidi="ar"/>
        </w:rPr>
        <w:t>9</w:t>
      </w:r>
      <w:r>
        <w:rPr>
          <w:rFonts w:hint="eastAsia" w:ascii="宋体" w:hAnsi="宋体" w:eastAsia="宋体" w:cs="宋体"/>
          <w:color w:val="auto"/>
          <w:sz w:val="24"/>
          <w:szCs w:val="24"/>
          <w:highlight w:val="none"/>
          <w:u w:val="single"/>
          <w:lang w:bidi="ar"/>
        </w:rPr>
        <w:t>月</w:t>
      </w:r>
      <w:r>
        <w:rPr>
          <w:rFonts w:hint="eastAsia" w:ascii="宋体" w:hAnsi="宋体" w:eastAsia="宋体" w:cs="宋体"/>
          <w:color w:val="auto"/>
          <w:sz w:val="24"/>
          <w:szCs w:val="24"/>
          <w:highlight w:val="none"/>
          <w:u w:val="single"/>
          <w:lang w:val="en-US" w:eastAsia="zh-CN" w:bidi="ar"/>
        </w:rPr>
        <w:t>26</w:t>
      </w:r>
      <w:r>
        <w:rPr>
          <w:rFonts w:hint="eastAsia" w:ascii="宋体" w:hAnsi="宋体" w:eastAsia="宋体" w:cs="宋体"/>
          <w:color w:val="auto"/>
          <w:sz w:val="24"/>
          <w:szCs w:val="24"/>
          <w:highlight w:val="none"/>
          <w:u w:val="single"/>
          <w:lang w:bidi="ar"/>
        </w:rPr>
        <w:t>日</w:t>
      </w:r>
      <w:r>
        <w:rPr>
          <w:rFonts w:hint="eastAsia" w:ascii="宋体" w:hAnsi="宋体" w:eastAsia="宋体" w:cs="宋体"/>
          <w:color w:val="auto"/>
          <w:sz w:val="24"/>
          <w:szCs w:val="24"/>
          <w:highlight w:val="none"/>
          <w:lang w:bidi="ar"/>
        </w:rPr>
        <w:t>至</w:t>
      </w:r>
      <w:r>
        <w:rPr>
          <w:rFonts w:hint="eastAsia" w:ascii="宋体" w:hAnsi="宋体" w:eastAsia="宋体" w:cs="宋体"/>
          <w:color w:val="auto"/>
          <w:sz w:val="24"/>
          <w:szCs w:val="24"/>
          <w:highlight w:val="none"/>
          <w:u w:val="single"/>
          <w:lang w:bidi="ar"/>
        </w:rPr>
        <w:t>2025年</w:t>
      </w:r>
      <w:r>
        <w:rPr>
          <w:rFonts w:hint="eastAsia" w:ascii="宋体" w:hAnsi="宋体" w:eastAsia="宋体" w:cs="宋体"/>
          <w:color w:val="auto"/>
          <w:sz w:val="24"/>
          <w:szCs w:val="24"/>
          <w:highlight w:val="none"/>
          <w:u w:val="single"/>
          <w:lang w:val="en-US" w:eastAsia="zh-CN" w:bidi="ar"/>
        </w:rPr>
        <w:t>10</w:t>
      </w:r>
      <w:r>
        <w:rPr>
          <w:rFonts w:hint="eastAsia" w:ascii="宋体" w:hAnsi="宋体" w:eastAsia="宋体" w:cs="宋体"/>
          <w:color w:val="auto"/>
          <w:sz w:val="24"/>
          <w:szCs w:val="24"/>
          <w:highlight w:val="none"/>
          <w:u w:val="single"/>
          <w:lang w:bidi="ar"/>
        </w:rPr>
        <w:t>月</w:t>
      </w:r>
      <w:r>
        <w:rPr>
          <w:rFonts w:hint="eastAsia" w:ascii="宋体" w:hAnsi="宋体" w:eastAsia="宋体" w:cs="宋体"/>
          <w:color w:val="auto"/>
          <w:sz w:val="24"/>
          <w:szCs w:val="24"/>
          <w:highlight w:val="none"/>
          <w:u w:val="single"/>
          <w:lang w:val="en-US" w:eastAsia="zh-CN" w:bidi="ar"/>
        </w:rPr>
        <w:t>17</w:t>
      </w:r>
      <w:r>
        <w:rPr>
          <w:rFonts w:hint="eastAsia" w:ascii="宋体" w:hAnsi="宋体" w:eastAsia="宋体" w:cs="宋体"/>
          <w:color w:val="auto"/>
          <w:sz w:val="24"/>
          <w:szCs w:val="24"/>
          <w:highlight w:val="none"/>
          <w:u w:val="single"/>
          <w:lang w:bidi="ar"/>
        </w:rPr>
        <w:t>日</w:t>
      </w:r>
    </w:p>
    <w:p w14:paraId="2DA76B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地点：滁州市公共资源交易中心网</w:t>
      </w:r>
    </w:p>
    <w:p w14:paraId="291A74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方式：网上下载</w:t>
      </w:r>
    </w:p>
    <w:p w14:paraId="12E80E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售价：0元</w:t>
      </w:r>
    </w:p>
    <w:p w14:paraId="32A2E469">
      <w:pPr>
        <w:keepNext/>
        <w:keepLines/>
        <w:spacing w:before="260" w:after="260"/>
        <w:rPr>
          <w:rFonts w:hint="eastAsia" w:ascii="黑体" w:hAnsi="宋体" w:eastAsia="黑体" w:cs="黑体"/>
          <w:color w:val="auto"/>
          <w:sz w:val="24"/>
          <w:szCs w:val="24"/>
          <w:highlight w:val="none"/>
        </w:rPr>
      </w:pPr>
      <w:r>
        <w:rPr>
          <w:rFonts w:hint="eastAsia" w:ascii="黑体" w:hAnsi="宋体" w:eastAsia="黑体" w:cs="黑体"/>
          <w:color w:val="auto"/>
          <w:sz w:val="24"/>
          <w:szCs w:val="24"/>
          <w:highlight w:val="none"/>
          <w:lang w:bidi="ar"/>
        </w:rPr>
        <w:t>四、提交投标文件截止时间、开标时间和地点</w:t>
      </w:r>
    </w:p>
    <w:p w14:paraId="2C8071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bidi="ar"/>
        </w:rPr>
        <w:t>2025年</w:t>
      </w:r>
      <w:r>
        <w:rPr>
          <w:rFonts w:hint="eastAsia" w:ascii="宋体" w:hAnsi="宋体" w:eastAsia="宋体" w:cs="宋体"/>
          <w:color w:val="auto"/>
          <w:kern w:val="0"/>
          <w:sz w:val="24"/>
          <w:szCs w:val="24"/>
          <w:highlight w:val="none"/>
          <w:u w:val="single"/>
          <w:lang w:val="en-US" w:eastAsia="zh-CN" w:bidi="ar"/>
        </w:rPr>
        <w:t>10</w:t>
      </w:r>
      <w:r>
        <w:rPr>
          <w:rFonts w:hint="eastAsia" w:ascii="宋体" w:hAnsi="宋体" w:eastAsia="宋体" w:cs="宋体"/>
          <w:color w:val="auto"/>
          <w:kern w:val="0"/>
          <w:sz w:val="24"/>
          <w:szCs w:val="24"/>
          <w:highlight w:val="none"/>
          <w:u w:val="single"/>
          <w:lang w:bidi="ar"/>
        </w:rPr>
        <w:t>月</w:t>
      </w:r>
      <w:r>
        <w:rPr>
          <w:rFonts w:hint="eastAsia" w:ascii="宋体" w:hAnsi="宋体" w:eastAsia="宋体" w:cs="宋体"/>
          <w:color w:val="auto"/>
          <w:kern w:val="0"/>
          <w:sz w:val="24"/>
          <w:szCs w:val="24"/>
          <w:highlight w:val="none"/>
          <w:u w:val="single"/>
          <w:lang w:val="en-US" w:eastAsia="zh-CN" w:bidi="ar"/>
        </w:rPr>
        <w:t>17</w:t>
      </w:r>
      <w:r>
        <w:rPr>
          <w:rFonts w:hint="eastAsia" w:ascii="宋体" w:hAnsi="宋体" w:eastAsia="宋体" w:cs="宋体"/>
          <w:color w:val="auto"/>
          <w:kern w:val="0"/>
          <w:sz w:val="24"/>
          <w:szCs w:val="24"/>
          <w:highlight w:val="none"/>
          <w:u w:val="single"/>
          <w:lang w:bidi="ar"/>
        </w:rPr>
        <w:t>日8点00分</w:t>
      </w:r>
      <w:r>
        <w:rPr>
          <w:rFonts w:hint="eastAsia" w:ascii="宋体" w:hAnsi="宋体" w:eastAsia="宋体" w:cs="宋体"/>
          <w:color w:val="auto"/>
          <w:kern w:val="0"/>
          <w:sz w:val="24"/>
          <w:szCs w:val="24"/>
          <w:highlight w:val="none"/>
          <w:lang w:bidi="ar"/>
        </w:rPr>
        <w:t>（北京时间）</w:t>
      </w:r>
    </w:p>
    <w:p w14:paraId="5D58F3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地点：</w:t>
      </w:r>
      <w:r>
        <w:rPr>
          <w:rFonts w:hint="eastAsia" w:ascii="宋体" w:hAnsi="宋体" w:eastAsia="宋体" w:cs="宋体"/>
          <w:color w:val="auto"/>
          <w:sz w:val="24"/>
          <w:szCs w:val="24"/>
          <w:highlight w:val="none"/>
          <w:lang w:bidi="ar"/>
        </w:rPr>
        <w:t>滁州市公共资源交易平台电子交易系统</w:t>
      </w:r>
    </w:p>
    <w:p w14:paraId="1495ED41">
      <w:pPr>
        <w:keepNext/>
        <w:keepLines/>
        <w:spacing w:before="260" w:after="260"/>
        <w:rPr>
          <w:rFonts w:hint="eastAsia" w:ascii="黑体" w:hAnsi="宋体" w:eastAsia="黑体" w:cs="黑体"/>
          <w:color w:val="auto"/>
          <w:sz w:val="24"/>
          <w:szCs w:val="24"/>
          <w:highlight w:val="none"/>
        </w:rPr>
      </w:pPr>
      <w:r>
        <w:rPr>
          <w:rFonts w:hint="eastAsia" w:ascii="黑体" w:hAnsi="宋体" w:eastAsia="黑体" w:cs="黑体"/>
          <w:color w:val="auto"/>
          <w:sz w:val="24"/>
          <w:szCs w:val="24"/>
          <w:highlight w:val="none"/>
          <w:lang w:bidi="ar"/>
        </w:rPr>
        <w:t>五、公告期限</w:t>
      </w:r>
    </w:p>
    <w:p w14:paraId="37A0D2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自本公告发布之日起5个工作日。</w:t>
      </w:r>
    </w:p>
    <w:p w14:paraId="17FCF4DE">
      <w:pPr>
        <w:keepNext/>
        <w:keepLines/>
        <w:spacing w:before="260" w:after="260"/>
        <w:rPr>
          <w:rFonts w:hint="eastAsia" w:ascii="黑体" w:hAnsi="宋体" w:eastAsia="黑体" w:cs="黑体"/>
          <w:color w:val="auto"/>
          <w:sz w:val="24"/>
          <w:szCs w:val="24"/>
          <w:highlight w:val="none"/>
        </w:rPr>
      </w:pPr>
      <w:r>
        <w:rPr>
          <w:rFonts w:hint="eastAsia" w:ascii="黑体" w:hAnsi="宋体" w:eastAsia="黑体" w:cs="黑体"/>
          <w:color w:val="auto"/>
          <w:sz w:val="24"/>
          <w:szCs w:val="24"/>
          <w:highlight w:val="none"/>
          <w:lang w:bidi="ar"/>
        </w:rPr>
        <w:t>六、其他补充事宜</w:t>
      </w:r>
    </w:p>
    <w:p w14:paraId="741977CB">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本项目只接受在安徽省公共资源交易市场主体库（http://ggzy.ah.gov.cn/ahggfwpt-zhutiku/dengludengl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 ；2. CA数字证书有关问题：安徽CA客服400-880-4959、0550-3019013（工作日），CFCA客服025-66085508、0550-3801669（工作日）；3.市场主体招标环节和投标环节系统使用问题：0512-58188516（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14:paraId="5DFA66F5">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2.请投标人登录滁州市公共资源交易中心网站查看参加本项目的程序。（具体操作步骤和程序请参见服务指南&gt;交易须知&gt;投标人填写投标信息、下载文件及网上提问操作手册）。</w:t>
      </w:r>
    </w:p>
    <w:p w14:paraId="497FFCE4">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本项目采用不见面开标（远程解密)方式，开标时投标人无须至开标现场进行解密，开标采取远程解密方式解密投标文件，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w:t>
      </w:r>
    </w:p>
    <w:p w14:paraId="360EAE85">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4.投标人接到远程解密指令后，须在规定时间内解密。因投标人自身原因导致投标文件在规定时间内未能解密、解密失败或解密超时，投标文件无效；因采购代理机构原因或网上平台发生故障，导致无法按时完成投标文件解密的，经采购代理机构申请后可延迟解密时间。</w:t>
      </w:r>
    </w:p>
    <w:p w14:paraId="05DBA60B">
      <w:pPr>
        <w:keepNext/>
        <w:keepLines/>
        <w:spacing w:before="260" w:after="260"/>
        <w:rPr>
          <w:rFonts w:hint="eastAsia" w:ascii="黑体" w:hAnsi="宋体" w:eastAsia="黑体" w:cs="黑体"/>
          <w:color w:val="auto"/>
          <w:sz w:val="24"/>
          <w:szCs w:val="24"/>
          <w:highlight w:val="none"/>
        </w:rPr>
      </w:pPr>
      <w:r>
        <w:rPr>
          <w:rFonts w:hint="eastAsia" w:ascii="黑体" w:hAnsi="宋体" w:eastAsia="黑体" w:cs="黑体"/>
          <w:color w:val="auto"/>
          <w:sz w:val="24"/>
          <w:szCs w:val="24"/>
          <w:highlight w:val="none"/>
          <w:lang w:bidi="ar"/>
        </w:rPr>
        <w:t>七、对本次招标提出询问，请按以下方式联系</w:t>
      </w:r>
    </w:p>
    <w:p w14:paraId="0535CFDF">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1.采购人信息</w:t>
      </w:r>
    </w:p>
    <w:p w14:paraId="4D192A53">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bidi="ar"/>
        </w:rPr>
        <w:t>名  称：</w:t>
      </w:r>
      <w:r>
        <w:rPr>
          <w:rFonts w:hint="eastAsia" w:ascii="宋体" w:hAnsi="宋体" w:eastAsia="宋体" w:cs="宋体"/>
          <w:color w:val="auto"/>
          <w:sz w:val="24"/>
          <w:szCs w:val="24"/>
          <w:highlight w:val="none"/>
          <w:u w:val="single"/>
          <w:lang w:eastAsia="zh-CN" w:bidi="ar"/>
        </w:rPr>
        <w:t>滁州职业技术学院</w:t>
      </w:r>
    </w:p>
    <w:p w14:paraId="43B7FE5D">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bidi="ar"/>
        </w:rPr>
        <w:t>地  址：</w:t>
      </w:r>
      <w:r>
        <w:rPr>
          <w:rFonts w:hint="eastAsia" w:ascii="宋体" w:hAnsi="宋体" w:eastAsia="宋体" w:cs="宋体"/>
          <w:color w:val="auto"/>
          <w:sz w:val="24"/>
          <w:szCs w:val="24"/>
          <w:highlight w:val="none"/>
          <w:u w:val="single"/>
          <w:lang w:eastAsia="zh-CN" w:bidi="ar"/>
        </w:rPr>
        <w:t>安徽省滁州市丰乐大道2188号</w:t>
      </w:r>
    </w:p>
    <w:p w14:paraId="378494C0">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bidi="ar"/>
        </w:rPr>
        <w:t>联系人：</w:t>
      </w:r>
      <w:r>
        <w:rPr>
          <w:rFonts w:hint="eastAsia" w:ascii="宋体" w:hAnsi="宋体" w:eastAsia="宋体" w:cs="宋体"/>
          <w:color w:val="auto"/>
          <w:sz w:val="24"/>
          <w:szCs w:val="24"/>
          <w:highlight w:val="none"/>
          <w:u w:val="single"/>
          <w:lang w:eastAsia="zh-CN" w:bidi="ar"/>
        </w:rPr>
        <w:t>陈老师、李老师</w:t>
      </w:r>
    </w:p>
    <w:p w14:paraId="376470BA">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bidi="ar"/>
        </w:rPr>
        <w:t>联系方式：</w:t>
      </w:r>
      <w:r>
        <w:rPr>
          <w:rFonts w:hint="eastAsia" w:ascii="宋体" w:hAnsi="宋体" w:eastAsia="宋体" w:cs="宋体"/>
          <w:color w:val="auto"/>
          <w:sz w:val="24"/>
          <w:szCs w:val="24"/>
          <w:highlight w:val="none"/>
          <w:u w:val="single"/>
          <w:lang w:eastAsia="zh-CN" w:bidi="ar"/>
        </w:rPr>
        <w:t>0550-3854662</w:t>
      </w:r>
    </w:p>
    <w:p w14:paraId="4D2A9218">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2.采购代理机构信息</w:t>
      </w:r>
    </w:p>
    <w:p w14:paraId="47A6DDF1">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名  称：</w:t>
      </w:r>
      <w:r>
        <w:rPr>
          <w:rFonts w:hint="eastAsia" w:ascii="宋体" w:hAnsi="宋体" w:eastAsia="宋体" w:cs="宋体"/>
          <w:color w:val="auto"/>
          <w:sz w:val="24"/>
          <w:szCs w:val="24"/>
          <w:highlight w:val="none"/>
          <w:u w:val="single"/>
          <w:lang w:bidi="ar"/>
        </w:rPr>
        <w:t>滁州市城投工程咨询管理有限公司</w:t>
      </w:r>
    </w:p>
    <w:p w14:paraId="5DCA3A47">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地  址：</w:t>
      </w:r>
      <w:r>
        <w:rPr>
          <w:rFonts w:hint="eastAsia" w:ascii="宋体" w:hAnsi="宋体" w:eastAsia="宋体" w:cs="宋体"/>
          <w:color w:val="auto"/>
          <w:sz w:val="24"/>
          <w:szCs w:val="24"/>
          <w:highlight w:val="none"/>
          <w:u w:val="single"/>
          <w:lang w:bidi="ar"/>
        </w:rPr>
        <w:t>滁州市龙蟠大道109号房产商务大厦6楼</w:t>
      </w:r>
    </w:p>
    <w:p w14:paraId="577E3B9A">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联系人：</w:t>
      </w:r>
      <w:r>
        <w:rPr>
          <w:rFonts w:hint="eastAsia" w:ascii="宋体" w:hAnsi="宋体" w:eastAsia="宋体" w:cs="宋体"/>
          <w:color w:val="auto"/>
          <w:sz w:val="24"/>
          <w:szCs w:val="24"/>
          <w:highlight w:val="none"/>
          <w:u w:val="single"/>
          <w:lang w:bidi="ar"/>
        </w:rPr>
        <w:t>胡国庆</w:t>
      </w:r>
    </w:p>
    <w:p w14:paraId="7DC6E68A">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联系方式：</w:t>
      </w:r>
      <w:r>
        <w:rPr>
          <w:rFonts w:hint="eastAsia" w:ascii="宋体" w:hAnsi="宋体" w:eastAsia="宋体" w:cs="宋体"/>
          <w:color w:val="auto"/>
          <w:sz w:val="24"/>
          <w:szCs w:val="24"/>
          <w:highlight w:val="none"/>
          <w:u w:val="single"/>
          <w:lang w:bidi="ar"/>
        </w:rPr>
        <w:t>0550-3519517、18005500950</w:t>
      </w:r>
    </w:p>
    <w:p w14:paraId="1AD2D772">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3.政府采购监督管理部门信息</w:t>
      </w:r>
    </w:p>
    <w:p w14:paraId="7CAB4879">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名  称：</w:t>
      </w:r>
      <w:r>
        <w:rPr>
          <w:rFonts w:hint="eastAsia" w:ascii="宋体" w:hAnsi="宋体" w:eastAsia="宋体" w:cs="宋体"/>
          <w:color w:val="auto"/>
          <w:sz w:val="24"/>
          <w:szCs w:val="24"/>
          <w:highlight w:val="none"/>
          <w:u w:val="single"/>
          <w:lang w:bidi="ar"/>
        </w:rPr>
        <w:t>滁州市公共资源交易监督管理局</w:t>
      </w:r>
    </w:p>
    <w:p w14:paraId="3E5506D9">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地  址：</w:t>
      </w:r>
      <w:r>
        <w:rPr>
          <w:rFonts w:hint="eastAsia" w:ascii="宋体" w:hAnsi="宋体" w:eastAsia="宋体" w:cs="宋体"/>
          <w:color w:val="auto"/>
          <w:sz w:val="24"/>
          <w:szCs w:val="24"/>
          <w:highlight w:val="none"/>
          <w:u w:val="single"/>
          <w:lang w:bidi="ar"/>
        </w:rPr>
        <w:t>滁州市龙蟠大道109号房产大厦三楼</w:t>
      </w:r>
    </w:p>
    <w:p w14:paraId="431212AD">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联系方式：</w:t>
      </w:r>
      <w:r>
        <w:rPr>
          <w:rFonts w:hint="eastAsia" w:ascii="宋体" w:hAnsi="宋体" w:eastAsia="宋体" w:cs="宋体"/>
          <w:color w:val="auto"/>
          <w:sz w:val="24"/>
          <w:szCs w:val="24"/>
          <w:highlight w:val="none"/>
          <w:u w:val="single"/>
          <w:lang w:bidi="ar"/>
        </w:rPr>
        <w:t>0550-3801601</w:t>
      </w:r>
    </w:p>
    <w:p w14:paraId="7CD50F1E">
      <w:pPr>
        <w:spacing w:line="360" w:lineRule="auto"/>
        <w:ind w:firstLine="435"/>
        <w:rPr>
          <w:rFonts w:hint="eastAsia" w:ascii="宋体" w:hAnsi="宋体" w:eastAsia="宋体" w:cs="宋体"/>
          <w:color w:val="auto"/>
          <w:sz w:val="24"/>
          <w:szCs w:val="24"/>
          <w:highlight w:val="none"/>
          <w:u w:val="single"/>
        </w:rPr>
      </w:pPr>
    </w:p>
    <w:p w14:paraId="227D5257">
      <w:pPr>
        <w:widowControl/>
        <w:jc w:val="left"/>
        <w:rPr>
          <w:rFonts w:hint="eastAsia" w:ascii="宋体" w:hAnsi="宋体" w:eastAsia="宋体"/>
          <w:color w:val="auto"/>
          <w:sz w:val="24"/>
          <w:szCs w:val="18"/>
          <w:highlight w:val="none"/>
        </w:rPr>
      </w:pPr>
      <w:r>
        <w:rPr>
          <w:rFonts w:ascii="宋体" w:hAnsi="宋体" w:eastAsia="宋体"/>
          <w:color w:val="auto"/>
          <w:sz w:val="24"/>
          <w:szCs w:val="18"/>
          <w:highlight w:val="none"/>
        </w:rPr>
        <w:br w:type="page"/>
      </w:r>
    </w:p>
    <w:p w14:paraId="61D86C55">
      <w:pPr>
        <w:spacing w:line="360" w:lineRule="auto"/>
        <w:jc w:val="center"/>
        <w:outlineLvl w:val="0"/>
        <w:rPr>
          <w:rFonts w:hint="eastAsia" w:ascii="宋体" w:hAnsi="宋体" w:eastAsia="宋体"/>
          <w:b/>
          <w:color w:val="auto"/>
          <w:sz w:val="28"/>
          <w:highlight w:val="none"/>
        </w:rPr>
      </w:pPr>
      <w:bookmarkStart w:id="7" w:name="_Toc31935"/>
      <w:r>
        <w:rPr>
          <w:rFonts w:hint="eastAsia" w:ascii="宋体" w:hAnsi="宋体" w:eastAsia="宋体"/>
          <w:b/>
          <w:color w:val="auto"/>
          <w:sz w:val="28"/>
          <w:highlight w:val="none"/>
        </w:rPr>
        <w:t>第二章</w:t>
      </w:r>
      <w:r>
        <w:rPr>
          <w:rFonts w:ascii="宋体" w:hAnsi="宋体" w:eastAsia="宋体"/>
          <w:b/>
          <w:color w:val="auto"/>
          <w:sz w:val="28"/>
          <w:highlight w:val="none"/>
        </w:rPr>
        <w:t xml:space="preserve"> </w:t>
      </w:r>
      <w:r>
        <w:rPr>
          <w:rFonts w:hint="eastAsia" w:ascii="宋体" w:hAnsi="宋体" w:eastAsia="宋体"/>
          <w:b/>
          <w:color w:val="auto"/>
          <w:sz w:val="28"/>
          <w:highlight w:val="none"/>
        </w:rPr>
        <w:t xml:space="preserve"> </w:t>
      </w:r>
      <w:r>
        <w:rPr>
          <w:rFonts w:ascii="宋体" w:hAnsi="宋体" w:eastAsia="宋体"/>
          <w:b/>
          <w:color w:val="auto"/>
          <w:sz w:val="28"/>
          <w:highlight w:val="none"/>
        </w:rPr>
        <w:t>投标人须知</w:t>
      </w:r>
      <w:bookmarkEnd w:id="7"/>
    </w:p>
    <w:p w14:paraId="45649222">
      <w:pPr>
        <w:spacing w:line="360" w:lineRule="auto"/>
        <w:jc w:val="center"/>
        <w:outlineLvl w:val="1"/>
        <w:rPr>
          <w:rFonts w:hint="eastAsia" w:ascii="宋体" w:hAnsi="宋体" w:eastAsia="宋体"/>
          <w:b/>
          <w:color w:val="auto"/>
          <w:sz w:val="24"/>
          <w:highlight w:val="none"/>
        </w:rPr>
      </w:pPr>
      <w:bookmarkStart w:id="8" w:name="_Toc7178"/>
      <w:bookmarkStart w:id="9" w:name="_Toc3114"/>
      <w:r>
        <w:rPr>
          <w:rFonts w:hint="eastAsia" w:ascii="宋体" w:hAnsi="宋体" w:eastAsia="宋体"/>
          <w:b/>
          <w:color w:val="auto"/>
          <w:sz w:val="24"/>
          <w:highlight w:val="none"/>
        </w:rPr>
        <w:t>一、</w:t>
      </w:r>
      <w:r>
        <w:rPr>
          <w:rFonts w:ascii="宋体" w:hAnsi="宋体" w:eastAsia="宋体"/>
          <w:b/>
          <w:color w:val="auto"/>
          <w:sz w:val="24"/>
          <w:highlight w:val="none"/>
        </w:rPr>
        <w:t>投标人须知前附表</w:t>
      </w:r>
      <w:bookmarkEnd w:id="8"/>
      <w:bookmarkEnd w:id="9"/>
    </w:p>
    <w:p w14:paraId="39A5FCC7">
      <w:pPr>
        <w:spacing w:line="360" w:lineRule="auto"/>
        <w:ind w:firstLine="435"/>
        <w:rPr>
          <w:rFonts w:hint="eastAsia" w:ascii="宋体" w:hAnsi="宋体" w:eastAsia="宋体"/>
          <w:color w:val="auto"/>
          <w:sz w:val="24"/>
          <w:szCs w:val="18"/>
          <w:highlight w:val="none"/>
        </w:rPr>
      </w:pPr>
      <w:r>
        <w:rPr>
          <w:rFonts w:hint="eastAsia" w:ascii="宋体" w:hAnsi="宋体" w:eastAsia="宋体"/>
          <w:b/>
          <w:bCs/>
          <w:color w:val="auto"/>
          <w:sz w:val="24"/>
          <w:szCs w:val="18"/>
          <w:highlight w:val="none"/>
        </w:rPr>
        <w:t>注：</w:t>
      </w:r>
      <w:r>
        <w:rPr>
          <w:rFonts w:hint="eastAsia" w:ascii="宋体" w:hAnsi="宋体" w:eastAsia="宋体"/>
          <w:color w:val="auto"/>
          <w:sz w:val="24"/>
          <w:szCs w:val="18"/>
          <w:highlight w:val="none"/>
        </w:rPr>
        <w:t>本表是本项目的具体要求，是对投标人须知的具体补充和修改，如有不一致，以本表为准。</w:t>
      </w:r>
    </w:p>
    <w:tbl>
      <w:tblPr>
        <w:tblStyle w:val="25"/>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3"/>
        <w:gridCol w:w="5618"/>
      </w:tblGrid>
      <w:tr w14:paraId="1CED5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noWrap w:val="0"/>
            <w:vAlign w:val="center"/>
          </w:tcPr>
          <w:p w14:paraId="232D7601">
            <w:pPr>
              <w:pStyle w:val="52"/>
              <w:keepNext w:val="0"/>
              <w:keepLines w:val="0"/>
              <w:widowControl w:val="0"/>
              <w:suppressLineNumbers w:val="0"/>
              <w:spacing w:before="0" w:beforeAutospacing="0" w:after="0" w:afterAutospacing="0"/>
              <w:ind w:left="0" w:right="0"/>
              <w:rPr>
                <w:rFonts w:hint="eastAsia"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条款号</w:t>
            </w:r>
          </w:p>
        </w:tc>
        <w:tc>
          <w:tcPr>
            <w:tcW w:w="1174" w:type="pct"/>
            <w:noWrap w:val="0"/>
            <w:vAlign w:val="center"/>
          </w:tcPr>
          <w:p w14:paraId="2D77621D">
            <w:pPr>
              <w:pStyle w:val="52"/>
              <w:keepNext w:val="0"/>
              <w:keepLines w:val="0"/>
              <w:widowControl w:val="0"/>
              <w:suppressLineNumbers w:val="0"/>
              <w:spacing w:before="0" w:beforeAutospacing="0" w:after="0" w:afterAutospacing="0"/>
              <w:ind w:left="0" w:right="0"/>
              <w:rPr>
                <w:rFonts w:hint="eastAsia"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条款名称</w:t>
            </w:r>
          </w:p>
        </w:tc>
        <w:tc>
          <w:tcPr>
            <w:tcW w:w="3244" w:type="pct"/>
            <w:noWrap w:val="0"/>
            <w:vAlign w:val="center"/>
          </w:tcPr>
          <w:p w14:paraId="4110631D">
            <w:pPr>
              <w:pStyle w:val="52"/>
              <w:keepNext w:val="0"/>
              <w:keepLines w:val="0"/>
              <w:widowControl w:val="0"/>
              <w:suppressLineNumbers w:val="0"/>
              <w:spacing w:before="0" w:beforeAutospacing="0" w:after="0" w:afterAutospacing="0"/>
              <w:ind w:left="0" w:right="0"/>
              <w:rPr>
                <w:rFonts w:hint="eastAsia"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内容、说明与要求</w:t>
            </w:r>
          </w:p>
        </w:tc>
      </w:tr>
      <w:tr w14:paraId="58AC5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noWrap w:val="0"/>
            <w:vAlign w:val="center"/>
          </w:tcPr>
          <w:p w14:paraId="291C70A4">
            <w:pPr>
              <w:pStyle w:val="53"/>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5</w:t>
            </w:r>
            <w:r>
              <w:rPr>
                <w:rFonts w:hint="default" w:ascii="宋体" w:hAnsi="宋体" w:eastAsia="宋体"/>
                <w:bCs/>
                <w:color w:val="auto"/>
                <w:kern w:val="2"/>
                <w:highlight w:val="none"/>
              </w:rPr>
              <w:t>.</w:t>
            </w:r>
            <w:r>
              <w:rPr>
                <w:rFonts w:hint="eastAsia" w:ascii="宋体" w:hAnsi="宋体" w:eastAsia="宋体"/>
                <w:bCs/>
                <w:color w:val="auto"/>
                <w:kern w:val="2"/>
                <w:highlight w:val="none"/>
              </w:rPr>
              <w:t>2</w:t>
            </w:r>
          </w:p>
        </w:tc>
        <w:tc>
          <w:tcPr>
            <w:tcW w:w="1174" w:type="pct"/>
            <w:noWrap w:val="0"/>
            <w:vAlign w:val="center"/>
          </w:tcPr>
          <w:p w14:paraId="2E3E74D8">
            <w:pPr>
              <w:pStyle w:val="52"/>
              <w:keepNext w:val="0"/>
              <w:keepLines w:val="0"/>
              <w:widowControl w:val="0"/>
              <w:suppressLineNumbers w:val="0"/>
              <w:spacing w:before="0" w:beforeAutospacing="0" w:after="0" w:afterAutospacing="0" w:line="360" w:lineRule="auto"/>
              <w:ind w:left="0" w:right="0"/>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现场考察或标前答疑会</w:t>
            </w:r>
          </w:p>
        </w:tc>
        <w:tc>
          <w:tcPr>
            <w:tcW w:w="3244" w:type="pct"/>
            <w:noWrap w:val="0"/>
            <w:vAlign w:val="center"/>
          </w:tcPr>
          <w:p w14:paraId="0106B2BA">
            <w:pPr>
              <w:keepNext w:val="0"/>
              <w:keepLines w:val="0"/>
              <w:suppressLineNumbers w:val="0"/>
              <w:spacing w:before="0" w:beforeAutospacing="0" w:after="0" w:afterAutospacing="0" w:line="360" w:lineRule="auto"/>
              <w:ind w:left="0" w:right="0"/>
              <w:rPr>
                <w:rFonts w:hint="eastAsia" w:ascii="宋体" w:hAnsi="宋体" w:eastAsia="宋体"/>
                <w:bCs/>
                <w:color w:val="auto"/>
                <w:sz w:val="24"/>
                <w:szCs w:val="20"/>
                <w:highlight w:val="none"/>
              </w:rPr>
            </w:pPr>
            <w:r>
              <w:rPr>
                <w:rFonts w:hint="default" w:ascii="Segoe UI Symbol" w:hAnsi="Segoe UI Symbol" w:eastAsia="宋体" w:cs="Segoe UI Symbol"/>
                <w:bCs/>
                <w:color w:val="auto"/>
                <w:sz w:val="24"/>
                <w:szCs w:val="24"/>
                <w:highlight w:val="none"/>
              </w:rPr>
              <w:t>☑</w:t>
            </w:r>
            <w:r>
              <w:rPr>
                <w:rFonts w:hint="eastAsia" w:ascii="宋体" w:hAnsi="宋体" w:eastAsia="宋体"/>
                <w:color w:val="auto"/>
                <w:sz w:val="24"/>
                <w:szCs w:val="20"/>
                <w:highlight w:val="none"/>
              </w:rPr>
              <w:t>不组织或不召开</w:t>
            </w:r>
          </w:p>
          <w:p w14:paraId="079A3F08">
            <w:pPr>
              <w:keepNext w:val="0"/>
              <w:keepLines w:val="0"/>
              <w:suppressLineNumbers w:val="0"/>
              <w:spacing w:before="0" w:beforeAutospacing="0" w:after="0" w:afterAutospacing="0" w:line="360" w:lineRule="auto"/>
              <w:ind w:left="0" w:right="0"/>
              <w:rPr>
                <w:rFonts w:hint="eastAsia" w:ascii="宋体" w:hAnsi="宋体" w:eastAsia="宋体"/>
                <w:bCs/>
                <w:color w:val="auto"/>
                <w:sz w:val="24"/>
                <w:szCs w:val="20"/>
                <w:highlight w:val="none"/>
              </w:rPr>
            </w:pPr>
            <w:r>
              <w:rPr>
                <w:rFonts w:hint="eastAsia" w:ascii="宋体" w:hAnsi="宋体" w:eastAsia="宋体"/>
                <w:color w:val="auto"/>
                <w:sz w:val="24"/>
                <w:szCs w:val="20"/>
                <w:highlight w:val="none"/>
              </w:rPr>
              <w:t>□</w:t>
            </w:r>
            <w:r>
              <w:rPr>
                <w:rFonts w:hint="eastAsia" w:ascii="宋体" w:hAnsi="宋体" w:eastAsia="宋体"/>
                <w:bCs/>
                <w:color w:val="auto"/>
                <w:sz w:val="24"/>
                <w:szCs w:val="20"/>
                <w:highlight w:val="none"/>
              </w:rPr>
              <w:t>统一组织或统一召开</w:t>
            </w:r>
          </w:p>
          <w:p w14:paraId="22D40696">
            <w:pPr>
              <w:keepNext w:val="0"/>
              <w:keepLines w:val="0"/>
              <w:suppressLineNumbers w:val="0"/>
              <w:spacing w:before="0" w:beforeAutospacing="0" w:after="0" w:afterAutospacing="0" w:line="360" w:lineRule="auto"/>
              <w:ind w:left="0" w:right="0"/>
              <w:rPr>
                <w:rFonts w:hint="eastAsia" w:ascii="宋体" w:hAnsi="宋体" w:eastAsia="宋体"/>
                <w:bCs/>
                <w:color w:val="auto"/>
                <w:sz w:val="24"/>
                <w:szCs w:val="20"/>
                <w:highlight w:val="none"/>
                <w:u w:val="single"/>
              </w:rPr>
            </w:pPr>
            <w:r>
              <w:rPr>
                <w:rFonts w:hint="eastAsia" w:ascii="宋体" w:hAnsi="宋体" w:eastAsia="宋体"/>
                <w:bCs/>
                <w:color w:val="auto"/>
                <w:sz w:val="24"/>
                <w:szCs w:val="20"/>
                <w:highlight w:val="none"/>
              </w:rPr>
              <w:t>时间：</w:t>
            </w:r>
            <w:r>
              <w:rPr>
                <w:rFonts w:hint="eastAsia" w:ascii="宋体" w:hAnsi="宋体" w:eastAsia="宋体"/>
                <w:bCs/>
                <w:color w:val="auto"/>
                <w:sz w:val="24"/>
                <w:szCs w:val="20"/>
                <w:highlight w:val="none"/>
                <w:u w:val="single"/>
              </w:rPr>
              <w:t xml:space="preserve"> </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u w:val="single"/>
              </w:rPr>
              <w:t>/</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rPr>
              <w:t>年</w:t>
            </w:r>
            <w:r>
              <w:rPr>
                <w:rFonts w:hint="eastAsia" w:ascii="宋体" w:hAnsi="宋体" w:eastAsia="宋体"/>
                <w:bCs/>
                <w:color w:val="auto"/>
                <w:sz w:val="24"/>
                <w:szCs w:val="20"/>
                <w:highlight w:val="none"/>
                <w:u w:val="single"/>
              </w:rPr>
              <w:t xml:space="preserve"> /</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rPr>
              <w:t>月</w:t>
            </w:r>
            <w:r>
              <w:rPr>
                <w:rFonts w:hint="eastAsia" w:ascii="宋体" w:hAnsi="宋体" w:eastAsia="宋体"/>
                <w:bCs/>
                <w:color w:val="auto"/>
                <w:sz w:val="24"/>
                <w:szCs w:val="20"/>
                <w:highlight w:val="none"/>
                <w:u w:val="single"/>
              </w:rPr>
              <w:t xml:space="preserve"> /</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rPr>
              <w:t>日</w:t>
            </w:r>
            <w:r>
              <w:rPr>
                <w:rFonts w:hint="eastAsia" w:ascii="宋体" w:hAnsi="宋体" w:eastAsia="宋体"/>
                <w:bCs/>
                <w:color w:val="auto"/>
                <w:sz w:val="24"/>
                <w:szCs w:val="20"/>
                <w:highlight w:val="none"/>
                <w:u w:val="single"/>
              </w:rPr>
              <w:t xml:space="preserve"> /</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rPr>
              <w:t>时</w:t>
            </w:r>
            <w:r>
              <w:rPr>
                <w:rFonts w:hint="eastAsia" w:ascii="宋体" w:hAnsi="宋体" w:eastAsia="宋体"/>
                <w:bCs/>
                <w:color w:val="auto"/>
                <w:sz w:val="24"/>
                <w:szCs w:val="20"/>
                <w:highlight w:val="none"/>
                <w:u w:val="single"/>
              </w:rPr>
              <w:t xml:space="preserve"> /</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rPr>
              <w:t>分</w:t>
            </w:r>
          </w:p>
          <w:p w14:paraId="3EEA9B1D">
            <w:pPr>
              <w:keepNext w:val="0"/>
              <w:keepLines w:val="0"/>
              <w:suppressLineNumbers w:val="0"/>
              <w:spacing w:before="0" w:beforeAutospacing="0" w:after="0" w:afterAutospacing="0" w:line="360" w:lineRule="auto"/>
              <w:ind w:left="0" w:right="0"/>
              <w:rPr>
                <w:rFonts w:hint="eastAsia" w:ascii="宋体" w:hAnsi="宋体" w:eastAsia="宋体"/>
                <w:bCs/>
                <w:color w:val="auto"/>
                <w:sz w:val="24"/>
                <w:szCs w:val="20"/>
                <w:highlight w:val="none"/>
                <w:u w:val="single"/>
              </w:rPr>
            </w:pPr>
            <w:r>
              <w:rPr>
                <w:rFonts w:hint="eastAsia" w:ascii="宋体" w:hAnsi="宋体" w:eastAsia="宋体"/>
                <w:bCs/>
                <w:color w:val="auto"/>
                <w:sz w:val="24"/>
                <w:szCs w:val="20"/>
                <w:highlight w:val="none"/>
              </w:rPr>
              <w:t>地点：</w:t>
            </w:r>
            <w:r>
              <w:rPr>
                <w:rFonts w:hint="eastAsia" w:ascii="宋体" w:hAnsi="宋体" w:eastAsia="宋体"/>
                <w:bCs/>
                <w:color w:val="auto"/>
                <w:sz w:val="24"/>
                <w:szCs w:val="20"/>
                <w:highlight w:val="none"/>
                <w:u w:val="single"/>
              </w:rPr>
              <w:t xml:space="preserve"> </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u w:val="single"/>
              </w:rPr>
              <w:t>/</w:t>
            </w:r>
            <w:r>
              <w:rPr>
                <w:rFonts w:hint="default" w:ascii="宋体" w:hAnsi="宋体" w:eastAsia="宋体"/>
                <w:bCs/>
                <w:color w:val="auto"/>
                <w:sz w:val="24"/>
                <w:szCs w:val="20"/>
                <w:highlight w:val="none"/>
                <w:u w:val="single"/>
              </w:rPr>
              <w:t xml:space="preserve">                  </w:t>
            </w:r>
          </w:p>
          <w:p w14:paraId="1F238843">
            <w:pPr>
              <w:keepNext w:val="0"/>
              <w:keepLines w:val="0"/>
              <w:suppressLineNumbers w:val="0"/>
              <w:spacing w:before="0" w:beforeAutospacing="0" w:after="0" w:afterAutospacing="0" w:line="360" w:lineRule="auto"/>
              <w:ind w:left="0" w:right="0"/>
              <w:rPr>
                <w:rFonts w:hint="eastAsia" w:ascii="宋体" w:hAnsi="宋体" w:eastAsia="宋体"/>
                <w:bCs/>
                <w:color w:val="auto"/>
                <w:sz w:val="24"/>
                <w:szCs w:val="20"/>
                <w:highlight w:val="none"/>
                <w:u w:val="single"/>
              </w:rPr>
            </w:pPr>
            <w:r>
              <w:rPr>
                <w:rFonts w:hint="eastAsia" w:ascii="宋体" w:hAnsi="宋体" w:eastAsia="宋体"/>
                <w:bCs/>
                <w:color w:val="auto"/>
                <w:sz w:val="24"/>
                <w:szCs w:val="20"/>
                <w:highlight w:val="none"/>
              </w:rPr>
              <w:t>联系人及联系电话：</w:t>
            </w:r>
            <w:r>
              <w:rPr>
                <w:rFonts w:hint="eastAsia"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u w:val="single"/>
                <w:lang w:val="en-US" w:eastAsia="zh-CN"/>
              </w:rPr>
              <w:t xml:space="preserve">/        </w:t>
            </w:r>
            <w:r>
              <w:rPr>
                <w:rFonts w:hint="default" w:ascii="宋体" w:hAnsi="宋体" w:eastAsia="宋体"/>
                <w:bCs/>
                <w:color w:val="auto"/>
                <w:sz w:val="24"/>
                <w:szCs w:val="20"/>
                <w:highlight w:val="none"/>
                <w:u w:val="single"/>
              </w:rPr>
              <w:t xml:space="preserve">  </w:t>
            </w:r>
          </w:p>
          <w:p w14:paraId="6148DBB8">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Cs w:val="0"/>
                <w:color w:val="auto"/>
                <w:sz w:val="24"/>
                <w:highlight w:val="none"/>
              </w:rPr>
              <w:t>注：如投标人未参加采购人统一组织的现场考察或采购人统一召开的标前答疑会，视同放弃现场考察或标前答疑会，由此引起的一切责任由投标人自行承担。</w:t>
            </w:r>
          </w:p>
        </w:tc>
      </w:tr>
      <w:tr w14:paraId="4D6ED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noWrap w:val="0"/>
            <w:vAlign w:val="center"/>
          </w:tcPr>
          <w:p w14:paraId="7929D228">
            <w:pPr>
              <w:pStyle w:val="53"/>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6</w:t>
            </w:r>
            <w:r>
              <w:rPr>
                <w:rFonts w:hint="default" w:ascii="宋体" w:hAnsi="宋体" w:eastAsia="宋体"/>
                <w:bCs/>
                <w:color w:val="auto"/>
                <w:kern w:val="2"/>
                <w:highlight w:val="none"/>
              </w:rPr>
              <w:t>.1</w:t>
            </w:r>
          </w:p>
        </w:tc>
        <w:tc>
          <w:tcPr>
            <w:tcW w:w="1174" w:type="pct"/>
            <w:noWrap w:val="0"/>
            <w:vAlign w:val="center"/>
          </w:tcPr>
          <w:p w14:paraId="600601BB">
            <w:pPr>
              <w:pStyle w:val="52"/>
              <w:keepNext w:val="0"/>
              <w:keepLines w:val="0"/>
              <w:widowControl w:val="0"/>
              <w:suppressLineNumbers w:val="0"/>
              <w:spacing w:before="0" w:beforeAutospacing="0" w:after="0" w:afterAutospacing="0"/>
              <w:ind w:left="0" w:right="0"/>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网上询问截止时间</w:t>
            </w:r>
          </w:p>
        </w:tc>
        <w:tc>
          <w:tcPr>
            <w:tcW w:w="3244" w:type="pct"/>
            <w:noWrap w:val="0"/>
            <w:vAlign w:val="center"/>
          </w:tcPr>
          <w:p w14:paraId="7579315B">
            <w:pPr>
              <w:pStyle w:val="52"/>
              <w:keepNext w:val="0"/>
              <w:keepLines w:val="0"/>
              <w:widowControl w:val="0"/>
              <w:suppressLineNumbers w:val="0"/>
              <w:spacing w:before="0" w:beforeAutospacing="0" w:after="0" w:afterAutospacing="0"/>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u w:val="single"/>
              </w:rPr>
              <w:t>2025</w:t>
            </w:r>
            <w:r>
              <w:rPr>
                <w:rFonts w:hint="default" w:ascii="宋体" w:hAnsi="宋体" w:eastAsia="宋体"/>
                <w:b w:val="0"/>
                <w:color w:val="auto"/>
                <w:sz w:val="24"/>
                <w:highlight w:val="none"/>
                <w:u w:val="single"/>
              </w:rPr>
              <w:t xml:space="preserve"> </w:t>
            </w:r>
            <w:r>
              <w:rPr>
                <w:rFonts w:hint="default" w:ascii="宋体" w:hAnsi="宋体" w:eastAsia="宋体"/>
                <w:b w:val="0"/>
                <w:color w:val="auto"/>
                <w:sz w:val="24"/>
                <w:highlight w:val="none"/>
              </w:rPr>
              <w:t>年</w:t>
            </w:r>
            <w:r>
              <w:rPr>
                <w:rFonts w:hint="default"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10</w:t>
            </w:r>
            <w:r>
              <w:rPr>
                <w:rFonts w:hint="default" w:ascii="宋体" w:hAnsi="宋体" w:eastAsia="宋体"/>
                <w:b w:val="0"/>
                <w:color w:val="auto"/>
                <w:sz w:val="24"/>
                <w:highlight w:val="none"/>
                <w:u w:val="single"/>
              </w:rPr>
              <w:t xml:space="preserve"> </w:t>
            </w:r>
            <w:r>
              <w:rPr>
                <w:rFonts w:hint="default" w:ascii="宋体" w:hAnsi="宋体" w:eastAsia="宋体"/>
                <w:b w:val="0"/>
                <w:color w:val="auto"/>
                <w:sz w:val="24"/>
                <w:highlight w:val="none"/>
              </w:rPr>
              <w:t>月</w:t>
            </w:r>
            <w:r>
              <w:rPr>
                <w:rFonts w:hint="default"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10</w:t>
            </w:r>
            <w:r>
              <w:rPr>
                <w:rFonts w:hint="default" w:ascii="宋体" w:hAnsi="宋体" w:eastAsia="宋体"/>
                <w:b w:val="0"/>
                <w:color w:val="auto"/>
                <w:sz w:val="24"/>
                <w:highlight w:val="none"/>
                <w:u w:val="single"/>
              </w:rPr>
              <w:t xml:space="preserve"> </w:t>
            </w:r>
            <w:r>
              <w:rPr>
                <w:rFonts w:hint="default" w:ascii="宋体" w:hAnsi="宋体" w:eastAsia="宋体"/>
                <w:b w:val="0"/>
                <w:color w:val="auto"/>
                <w:sz w:val="24"/>
                <w:highlight w:val="none"/>
              </w:rPr>
              <w:t>日</w:t>
            </w:r>
            <w:r>
              <w:rPr>
                <w:rFonts w:hint="default"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rPr>
              <w:t>17</w:t>
            </w:r>
            <w:r>
              <w:rPr>
                <w:rFonts w:hint="default" w:ascii="宋体" w:hAnsi="宋体" w:eastAsia="宋体"/>
                <w:b w:val="0"/>
                <w:color w:val="auto"/>
                <w:sz w:val="24"/>
                <w:highlight w:val="none"/>
                <w:u w:val="single"/>
              </w:rPr>
              <w:t xml:space="preserve"> </w:t>
            </w:r>
            <w:r>
              <w:rPr>
                <w:rFonts w:hint="default" w:ascii="宋体" w:hAnsi="宋体" w:eastAsia="宋体"/>
                <w:b w:val="0"/>
                <w:color w:val="auto"/>
                <w:sz w:val="24"/>
                <w:highlight w:val="none"/>
              </w:rPr>
              <w:t>时</w:t>
            </w:r>
            <w:r>
              <w:rPr>
                <w:rFonts w:hint="default"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rPr>
              <w:t>30</w:t>
            </w:r>
            <w:r>
              <w:rPr>
                <w:rFonts w:hint="default" w:ascii="宋体" w:hAnsi="宋体" w:eastAsia="宋体"/>
                <w:b w:val="0"/>
                <w:color w:val="auto"/>
                <w:sz w:val="24"/>
                <w:highlight w:val="none"/>
                <w:u w:val="single"/>
              </w:rPr>
              <w:t xml:space="preserve"> </w:t>
            </w:r>
            <w:r>
              <w:rPr>
                <w:rFonts w:hint="eastAsia" w:ascii="宋体" w:hAnsi="宋体" w:eastAsia="宋体"/>
                <w:b w:val="0"/>
                <w:color w:val="auto"/>
                <w:sz w:val="24"/>
                <w:highlight w:val="none"/>
              </w:rPr>
              <w:t>分</w:t>
            </w:r>
          </w:p>
        </w:tc>
      </w:tr>
      <w:tr w14:paraId="3F7E5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noWrap w:val="0"/>
            <w:vAlign w:val="center"/>
          </w:tcPr>
          <w:p w14:paraId="2B85D480">
            <w:pPr>
              <w:pStyle w:val="53"/>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7</w:t>
            </w:r>
            <w:r>
              <w:rPr>
                <w:rFonts w:hint="default" w:ascii="宋体" w:hAnsi="宋体" w:eastAsia="宋体"/>
                <w:bCs/>
                <w:color w:val="auto"/>
                <w:kern w:val="2"/>
                <w:highlight w:val="none"/>
              </w:rPr>
              <w:t>.1</w:t>
            </w:r>
          </w:p>
        </w:tc>
        <w:tc>
          <w:tcPr>
            <w:tcW w:w="1174" w:type="pct"/>
            <w:noWrap w:val="0"/>
            <w:vAlign w:val="center"/>
          </w:tcPr>
          <w:p w14:paraId="533C481B">
            <w:pPr>
              <w:pStyle w:val="52"/>
              <w:keepNext w:val="0"/>
              <w:keepLines w:val="0"/>
              <w:widowControl w:val="0"/>
              <w:suppressLineNumbers w:val="0"/>
              <w:spacing w:before="0" w:beforeAutospacing="0" w:after="0" w:afterAutospacing="0"/>
              <w:ind w:left="0" w:right="0"/>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包别划分</w:t>
            </w:r>
          </w:p>
        </w:tc>
        <w:tc>
          <w:tcPr>
            <w:tcW w:w="3244" w:type="pct"/>
            <w:noWrap w:val="0"/>
            <w:vAlign w:val="center"/>
          </w:tcPr>
          <w:p w14:paraId="51798D05">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default" w:ascii="Segoe UI Symbol" w:hAnsi="Segoe UI Symbol" w:eastAsia="宋体" w:cs="Segoe UI Symbol"/>
                <w:b w:val="0"/>
                <w:bCs w:val="0"/>
                <w:color w:val="auto"/>
                <w:sz w:val="24"/>
                <w:szCs w:val="24"/>
                <w:highlight w:val="none"/>
              </w:rPr>
              <w:t>☑</w:t>
            </w:r>
            <w:r>
              <w:rPr>
                <w:rFonts w:hint="default" w:ascii="宋体" w:hAnsi="宋体" w:eastAsia="宋体"/>
                <w:b w:val="0"/>
                <w:color w:val="auto"/>
                <w:sz w:val="24"/>
                <w:highlight w:val="none"/>
              </w:rPr>
              <w:t>不分包     □分为</w:t>
            </w:r>
            <w:r>
              <w:rPr>
                <w:rFonts w:hint="default"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rPr>
              <w:t>/</w:t>
            </w:r>
            <w:r>
              <w:rPr>
                <w:rFonts w:hint="default" w:ascii="宋体" w:hAnsi="宋体" w:eastAsia="宋体"/>
                <w:b w:val="0"/>
                <w:color w:val="auto"/>
                <w:sz w:val="24"/>
                <w:highlight w:val="none"/>
                <w:u w:val="single"/>
              </w:rPr>
              <w:t xml:space="preserve"> </w:t>
            </w:r>
            <w:r>
              <w:rPr>
                <w:rFonts w:hint="default" w:ascii="宋体" w:hAnsi="宋体" w:eastAsia="宋体"/>
                <w:b w:val="0"/>
                <w:color w:val="auto"/>
                <w:sz w:val="24"/>
                <w:highlight w:val="none"/>
              </w:rPr>
              <w:t>个包</w:t>
            </w:r>
          </w:p>
          <w:p w14:paraId="4C7D05D7">
            <w:pPr>
              <w:pStyle w:val="52"/>
              <w:keepNext w:val="0"/>
              <w:keepLines w:val="0"/>
              <w:widowControl w:val="0"/>
              <w:suppressLineNumbers w:val="0"/>
              <w:spacing w:before="0" w:beforeAutospacing="0" w:after="0" w:afterAutospacing="0"/>
              <w:ind w:left="0" w:right="0"/>
              <w:jc w:val="both"/>
              <w:rPr>
                <w:rFonts w:hint="eastAsia" w:ascii="宋体" w:hAnsi="宋体" w:eastAsia="宋体"/>
                <w:b w:val="0"/>
                <w:color w:val="auto"/>
                <w:sz w:val="24"/>
                <w:highlight w:val="none"/>
                <w:u w:val="single"/>
              </w:rPr>
            </w:pPr>
            <w:r>
              <w:rPr>
                <w:rFonts w:hint="eastAsia" w:ascii="宋体" w:hAnsi="宋体" w:eastAsia="宋体"/>
                <w:b w:val="0"/>
                <w:color w:val="auto"/>
                <w:sz w:val="24"/>
                <w:highlight w:val="none"/>
              </w:rPr>
              <w:t>投标人对多个包进行投标的中标</w:t>
            </w:r>
            <w:r>
              <w:rPr>
                <w:rFonts w:hint="default" w:ascii="宋体" w:hAnsi="宋体" w:eastAsia="宋体"/>
                <w:b w:val="0"/>
                <w:color w:val="auto"/>
                <w:sz w:val="24"/>
                <w:highlight w:val="none"/>
              </w:rPr>
              <w:t>包</w:t>
            </w:r>
            <w:r>
              <w:rPr>
                <w:rFonts w:hint="eastAsia" w:ascii="宋体" w:hAnsi="宋体" w:eastAsia="宋体"/>
                <w:b w:val="0"/>
                <w:color w:val="auto"/>
                <w:sz w:val="24"/>
                <w:highlight w:val="none"/>
              </w:rPr>
              <w:t>数规定：</w:t>
            </w:r>
            <w:r>
              <w:rPr>
                <w:rFonts w:hint="eastAsia" w:ascii="宋体" w:hAnsi="宋体" w:eastAsia="宋体"/>
                <w:b w:val="0"/>
                <w:bCs w:val="0"/>
                <w:color w:val="auto"/>
                <w:sz w:val="24"/>
                <w:szCs w:val="18"/>
                <w:highlight w:val="none"/>
                <w:u w:val="single"/>
              </w:rPr>
              <w:t xml:space="preserve"> </w:t>
            </w:r>
            <w:r>
              <w:rPr>
                <w:rFonts w:hint="default" w:ascii="宋体" w:hAnsi="宋体" w:eastAsia="宋体"/>
                <w:b w:val="0"/>
                <w:bCs w:val="0"/>
                <w:color w:val="auto"/>
                <w:sz w:val="24"/>
                <w:szCs w:val="18"/>
                <w:highlight w:val="none"/>
                <w:u w:val="single"/>
              </w:rPr>
              <w:t xml:space="preserve"> </w:t>
            </w:r>
            <w:r>
              <w:rPr>
                <w:rFonts w:hint="eastAsia" w:ascii="宋体" w:hAnsi="宋体" w:eastAsia="宋体"/>
                <w:b w:val="0"/>
                <w:bCs w:val="0"/>
                <w:color w:val="auto"/>
                <w:sz w:val="24"/>
                <w:szCs w:val="18"/>
                <w:highlight w:val="none"/>
                <w:u w:val="single"/>
              </w:rPr>
              <w:t>/</w:t>
            </w:r>
            <w:r>
              <w:rPr>
                <w:rFonts w:hint="default" w:ascii="宋体" w:hAnsi="宋体" w:eastAsia="宋体"/>
                <w:b w:val="0"/>
                <w:bCs w:val="0"/>
                <w:color w:val="auto"/>
                <w:sz w:val="24"/>
                <w:szCs w:val="18"/>
                <w:highlight w:val="none"/>
                <w:u w:val="single"/>
              </w:rPr>
              <w:t xml:space="preserve">    </w:t>
            </w:r>
          </w:p>
        </w:tc>
      </w:tr>
      <w:tr w14:paraId="671C2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81" w:type="pct"/>
            <w:noWrap w:val="0"/>
            <w:vAlign w:val="center"/>
          </w:tcPr>
          <w:p w14:paraId="163DCD6D">
            <w:pPr>
              <w:pStyle w:val="53"/>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10</w:t>
            </w:r>
            <w:r>
              <w:rPr>
                <w:rFonts w:hint="default" w:ascii="宋体" w:hAnsi="宋体" w:eastAsia="宋体"/>
                <w:bCs/>
                <w:color w:val="auto"/>
                <w:kern w:val="2"/>
                <w:highlight w:val="none"/>
              </w:rPr>
              <w:t>.1</w:t>
            </w:r>
          </w:p>
        </w:tc>
        <w:tc>
          <w:tcPr>
            <w:tcW w:w="1174" w:type="pct"/>
            <w:noWrap w:val="0"/>
            <w:vAlign w:val="center"/>
          </w:tcPr>
          <w:p w14:paraId="249074CE">
            <w:pPr>
              <w:pStyle w:val="52"/>
              <w:keepNext w:val="0"/>
              <w:keepLines w:val="0"/>
              <w:widowControl w:val="0"/>
              <w:suppressLineNumbers w:val="0"/>
              <w:spacing w:before="0" w:beforeAutospacing="0" w:after="0" w:afterAutospacing="0" w:line="360" w:lineRule="auto"/>
              <w:ind w:left="0" w:right="0"/>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投标保证金</w:t>
            </w:r>
          </w:p>
        </w:tc>
        <w:tc>
          <w:tcPr>
            <w:tcW w:w="3244" w:type="pct"/>
            <w:noWrap w:val="0"/>
            <w:vAlign w:val="center"/>
          </w:tcPr>
          <w:p w14:paraId="63E0DB5D">
            <w:pPr>
              <w:keepNext w:val="0"/>
              <w:keepLines w:val="0"/>
              <w:suppressLineNumbers w:val="0"/>
              <w:spacing w:before="0" w:beforeAutospacing="0" w:after="0" w:afterAutospacing="0" w:line="360" w:lineRule="auto"/>
              <w:ind w:left="0" w:right="0"/>
              <w:rPr>
                <w:rFonts w:hint="eastAsia"/>
                <w:color w:val="auto"/>
                <w:szCs w:val="20"/>
                <w:highlight w:val="none"/>
              </w:rPr>
            </w:pPr>
            <w:r>
              <w:rPr>
                <w:rFonts w:hint="eastAsia" w:ascii="宋体" w:hAnsi="宋体" w:eastAsia="宋体"/>
                <w:bCs/>
                <w:color w:val="auto"/>
                <w:kern w:val="0"/>
                <w:sz w:val="24"/>
                <w:szCs w:val="28"/>
                <w:highlight w:val="none"/>
              </w:rPr>
              <w:t>不收取</w:t>
            </w:r>
          </w:p>
        </w:tc>
      </w:tr>
      <w:tr w14:paraId="444A2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noWrap w:val="0"/>
            <w:vAlign w:val="center"/>
          </w:tcPr>
          <w:p w14:paraId="6AD4C641">
            <w:pPr>
              <w:pStyle w:val="53"/>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11</w:t>
            </w:r>
            <w:r>
              <w:rPr>
                <w:rFonts w:hint="default" w:ascii="宋体" w:hAnsi="宋体" w:eastAsia="宋体"/>
                <w:bCs/>
                <w:color w:val="auto"/>
                <w:kern w:val="2"/>
                <w:highlight w:val="none"/>
              </w:rPr>
              <w:t>.1</w:t>
            </w:r>
          </w:p>
        </w:tc>
        <w:tc>
          <w:tcPr>
            <w:tcW w:w="1174" w:type="pct"/>
            <w:noWrap w:val="0"/>
            <w:vAlign w:val="center"/>
          </w:tcPr>
          <w:p w14:paraId="1CEFAFC5">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投标有效期</w:t>
            </w:r>
          </w:p>
        </w:tc>
        <w:tc>
          <w:tcPr>
            <w:tcW w:w="3244" w:type="pct"/>
            <w:noWrap w:val="0"/>
            <w:vAlign w:val="center"/>
          </w:tcPr>
          <w:p w14:paraId="4B08A070">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u w:val="single"/>
              </w:rPr>
              <w:t xml:space="preserve"> 90 </w:t>
            </w:r>
            <w:r>
              <w:rPr>
                <w:rFonts w:hint="eastAsia" w:ascii="宋体" w:hAnsi="宋体" w:eastAsia="宋体"/>
                <w:b w:val="0"/>
                <w:color w:val="auto"/>
                <w:sz w:val="24"/>
                <w:highlight w:val="none"/>
              </w:rPr>
              <w:t>日历日</w:t>
            </w:r>
          </w:p>
        </w:tc>
      </w:tr>
      <w:tr w14:paraId="584CA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noWrap w:val="0"/>
            <w:vAlign w:val="center"/>
          </w:tcPr>
          <w:p w14:paraId="65196AEE">
            <w:pPr>
              <w:pStyle w:val="53"/>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13</w:t>
            </w:r>
            <w:r>
              <w:rPr>
                <w:rFonts w:hint="default" w:ascii="宋体" w:hAnsi="宋体" w:eastAsia="宋体"/>
                <w:bCs/>
                <w:color w:val="auto"/>
                <w:kern w:val="2"/>
                <w:highlight w:val="none"/>
              </w:rPr>
              <w:t>.</w:t>
            </w:r>
            <w:r>
              <w:rPr>
                <w:rFonts w:hint="eastAsia" w:ascii="宋体" w:hAnsi="宋体" w:eastAsia="宋体"/>
                <w:bCs/>
                <w:color w:val="auto"/>
                <w:kern w:val="2"/>
                <w:highlight w:val="none"/>
              </w:rPr>
              <w:t>1</w:t>
            </w:r>
          </w:p>
        </w:tc>
        <w:tc>
          <w:tcPr>
            <w:tcW w:w="1174" w:type="pct"/>
            <w:noWrap w:val="0"/>
            <w:vAlign w:val="center"/>
          </w:tcPr>
          <w:p w14:paraId="356D557D">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投标文件解密时间</w:t>
            </w:r>
          </w:p>
        </w:tc>
        <w:tc>
          <w:tcPr>
            <w:tcW w:w="3244" w:type="pct"/>
            <w:noWrap w:val="0"/>
            <w:vAlign w:val="center"/>
          </w:tcPr>
          <w:p w14:paraId="77B22885">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u w:val="single"/>
              </w:rPr>
            </w:pPr>
            <w:r>
              <w:rPr>
                <w:rFonts w:hint="eastAsia" w:ascii="宋体" w:hAnsi="宋体" w:eastAsia="宋体"/>
                <w:b w:val="0"/>
                <w:color w:val="auto"/>
                <w:sz w:val="24"/>
                <w:highlight w:val="none"/>
              </w:rPr>
              <w:t>投标截止时间后</w:t>
            </w:r>
            <w:r>
              <w:rPr>
                <w:rFonts w:hint="eastAsia" w:ascii="宋体" w:hAnsi="宋体" w:eastAsia="宋体"/>
                <w:b w:val="0"/>
                <w:color w:val="auto"/>
                <w:sz w:val="24"/>
                <w:highlight w:val="none"/>
                <w:u w:val="single"/>
              </w:rPr>
              <w:t xml:space="preserve"> 60 </w:t>
            </w:r>
            <w:r>
              <w:rPr>
                <w:rFonts w:hint="eastAsia" w:ascii="宋体" w:hAnsi="宋体" w:eastAsia="宋体"/>
                <w:b w:val="0"/>
                <w:color w:val="auto"/>
                <w:sz w:val="24"/>
                <w:highlight w:val="none"/>
              </w:rPr>
              <w:t>分钟内</w:t>
            </w:r>
          </w:p>
        </w:tc>
      </w:tr>
      <w:tr w14:paraId="732AA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noWrap w:val="0"/>
            <w:vAlign w:val="center"/>
          </w:tcPr>
          <w:p w14:paraId="104F16C4">
            <w:pPr>
              <w:pStyle w:val="53"/>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14.1</w:t>
            </w:r>
          </w:p>
        </w:tc>
        <w:tc>
          <w:tcPr>
            <w:tcW w:w="1174" w:type="pct"/>
            <w:noWrap w:val="0"/>
            <w:vAlign w:val="center"/>
          </w:tcPr>
          <w:p w14:paraId="55B9A2AA">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资格审查</w:t>
            </w:r>
          </w:p>
        </w:tc>
        <w:tc>
          <w:tcPr>
            <w:tcW w:w="3244" w:type="pct"/>
            <w:noWrap w:val="0"/>
            <w:vAlign w:val="center"/>
          </w:tcPr>
          <w:p w14:paraId="3DFBD101">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bCs w:val="0"/>
                <w:color w:val="auto"/>
                <w:sz w:val="24"/>
                <w:highlight w:val="none"/>
              </w:rPr>
            </w:pPr>
            <w:r>
              <w:rPr>
                <w:rFonts w:hint="default" w:ascii="Segoe UI Symbol" w:hAnsi="Segoe UI Symbol" w:eastAsia="宋体" w:cs="Segoe UI Symbol"/>
                <w:b w:val="0"/>
                <w:bCs w:val="0"/>
                <w:color w:val="auto"/>
                <w:sz w:val="24"/>
                <w:szCs w:val="24"/>
                <w:highlight w:val="none"/>
              </w:rPr>
              <w:t>☑</w:t>
            </w:r>
            <w:r>
              <w:rPr>
                <w:rFonts w:hint="eastAsia" w:ascii="宋体" w:hAnsi="宋体" w:eastAsia="宋体"/>
                <w:b w:val="0"/>
                <w:bCs w:val="0"/>
                <w:color w:val="auto"/>
                <w:sz w:val="24"/>
                <w:highlight w:val="none"/>
              </w:rPr>
              <w:t>采购人审查</w:t>
            </w:r>
          </w:p>
          <w:p w14:paraId="52D78076">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u w:val="single"/>
              </w:rPr>
            </w:pPr>
            <w:r>
              <w:rPr>
                <w:rFonts w:hint="default" w:ascii="宋体" w:hAnsi="宋体" w:eastAsia="宋体"/>
                <w:b w:val="0"/>
                <w:bCs w:val="0"/>
                <w:color w:val="auto"/>
                <w:sz w:val="24"/>
                <w:szCs w:val="24"/>
                <w:highlight w:val="none"/>
              </w:rPr>
              <w:t>□</w:t>
            </w:r>
            <w:r>
              <w:rPr>
                <w:rFonts w:hint="eastAsia" w:ascii="宋体" w:hAnsi="宋体" w:eastAsia="宋体"/>
                <w:b w:val="0"/>
                <w:bCs w:val="0"/>
                <w:color w:val="auto"/>
                <w:sz w:val="24"/>
                <w:highlight w:val="none"/>
              </w:rPr>
              <w:t>采购人出具委托函委托采购代理机构进行审查</w:t>
            </w:r>
          </w:p>
        </w:tc>
      </w:tr>
      <w:tr w14:paraId="77A0D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noWrap w:val="0"/>
            <w:vAlign w:val="center"/>
          </w:tcPr>
          <w:p w14:paraId="488016B5">
            <w:pPr>
              <w:pStyle w:val="53"/>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17</w:t>
            </w:r>
            <w:r>
              <w:rPr>
                <w:rFonts w:hint="default" w:ascii="宋体" w:hAnsi="宋体" w:eastAsia="宋体"/>
                <w:bCs/>
                <w:color w:val="auto"/>
                <w:kern w:val="2"/>
                <w:highlight w:val="none"/>
              </w:rPr>
              <w:t>.2</w:t>
            </w:r>
          </w:p>
        </w:tc>
        <w:tc>
          <w:tcPr>
            <w:tcW w:w="1174" w:type="pct"/>
            <w:noWrap w:val="0"/>
            <w:vAlign w:val="center"/>
          </w:tcPr>
          <w:p w14:paraId="007157E1">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评标方法</w:t>
            </w:r>
          </w:p>
        </w:tc>
        <w:tc>
          <w:tcPr>
            <w:tcW w:w="3244" w:type="pct"/>
            <w:noWrap w:val="0"/>
            <w:vAlign w:val="center"/>
          </w:tcPr>
          <w:p w14:paraId="01AE3134">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default" w:ascii="宋体" w:hAnsi="宋体" w:eastAsia="宋体"/>
                <w:b w:val="0"/>
                <w:bCs w:val="0"/>
                <w:color w:val="auto"/>
                <w:sz w:val="24"/>
                <w:szCs w:val="24"/>
                <w:highlight w:val="none"/>
              </w:rPr>
              <w:t>□</w:t>
            </w:r>
            <w:r>
              <w:rPr>
                <w:rFonts w:hint="eastAsia" w:ascii="宋体" w:hAnsi="宋体" w:eastAsia="宋体"/>
                <w:b w:val="0"/>
                <w:color w:val="auto"/>
                <w:sz w:val="24"/>
                <w:highlight w:val="none"/>
              </w:rPr>
              <w:t>最低评标价法</w:t>
            </w:r>
          </w:p>
          <w:p w14:paraId="2B5D2314">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default" w:ascii="Segoe UI Symbol" w:hAnsi="Segoe UI Symbol" w:eastAsia="宋体" w:cs="Segoe UI Symbol"/>
                <w:b w:val="0"/>
                <w:bCs w:val="0"/>
                <w:color w:val="auto"/>
                <w:sz w:val="24"/>
                <w:szCs w:val="24"/>
                <w:highlight w:val="none"/>
              </w:rPr>
              <w:t>☑</w:t>
            </w:r>
            <w:r>
              <w:rPr>
                <w:rFonts w:hint="eastAsia" w:ascii="宋体" w:hAnsi="宋体" w:eastAsia="宋体"/>
                <w:b w:val="0"/>
                <w:color w:val="auto"/>
                <w:sz w:val="24"/>
                <w:highlight w:val="none"/>
              </w:rPr>
              <w:t>综合评分法</w:t>
            </w:r>
          </w:p>
        </w:tc>
      </w:tr>
      <w:tr w14:paraId="26A7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noWrap w:val="0"/>
            <w:vAlign w:val="center"/>
          </w:tcPr>
          <w:p w14:paraId="652919D4">
            <w:pPr>
              <w:pStyle w:val="53"/>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17</w:t>
            </w:r>
            <w:r>
              <w:rPr>
                <w:rFonts w:hint="default" w:ascii="宋体" w:hAnsi="宋体" w:eastAsia="宋体"/>
                <w:bCs/>
                <w:color w:val="auto"/>
                <w:kern w:val="2"/>
                <w:highlight w:val="none"/>
              </w:rPr>
              <w:t>.3</w:t>
            </w:r>
          </w:p>
        </w:tc>
        <w:tc>
          <w:tcPr>
            <w:tcW w:w="1174" w:type="pct"/>
            <w:noWrap w:val="0"/>
            <w:vAlign w:val="center"/>
          </w:tcPr>
          <w:p w14:paraId="73274991">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报价扣除</w:t>
            </w:r>
          </w:p>
          <w:p w14:paraId="10FC6877">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i/>
                <w:color w:val="auto"/>
                <w:sz w:val="24"/>
                <w:highlight w:val="none"/>
              </w:rPr>
            </w:pPr>
          </w:p>
        </w:tc>
        <w:tc>
          <w:tcPr>
            <w:tcW w:w="3244" w:type="pct"/>
            <w:noWrap w:val="0"/>
            <w:vAlign w:val="center"/>
          </w:tcPr>
          <w:p w14:paraId="3E5E1C8B">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（1）</w:t>
            </w:r>
            <w:r>
              <w:rPr>
                <w:rFonts w:hint="default" w:ascii="宋体" w:hAnsi="宋体" w:eastAsia="宋体"/>
                <w:b w:val="0"/>
                <w:color w:val="auto"/>
                <w:sz w:val="24"/>
                <w:highlight w:val="none"/>
              </w:rPr>
              <w:t>小型和微型</w:t>
            </w:r>
            <w:r>
              <w:rPr>
                <w:rFonts w:hint="eastAsia" w:ascii="宋体" w:hAnsi="宋体" w:eastAsia="宋体"/>
                <w:b w:val="0"/>
                <w:color w:val="auto"/>
                <w:sz w:val="24"/>
                <w:highlight w:val="none"/>
              </w:rPr>
              <w:t>企业价格扣除：</w:t>
            </w:r>
            <w:r>
              <w:rPr>
                <w:rFonts w:hint="eastAsia" w:ascii="宋体" w:hAnsi="宋体" w:eastAsia="宋体"/>
                <w:b w:val="0"/>
                <w:color w:val="auto"/>
                <w:sz w:val="24"/>
                <w:highlight w:val="none"/>
                <w:u w:val="single"/>
              </w:rPr>
              <w:t>对小型和微型企业产品的价格给予10%的扣除后参与评审；其评审价=投标报价*90%</w:t>
            </w:r>
            <w:r>
              <w:rPr>
                <w:rFonts w:hint="eastAsia" w:ascii="宋体" w:hAnsi="宋体" w:eastAsia="宋体"/>
                <w:b w:val="0"/>
                <w:color w:val="auto"/>
                <w:sz w:val="24"/>
                <w:highlight w:val="none"/>
              </w:rPr>
              <w:t>。</w:t>
            </w:r>
          </w:p>
          <w:p w14:paraId="726FAD57">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（2）监狱企业价格扣除：同</w:t>
            </w:r>
            <w:r>
              <w:rPr>
                <w:rFonts w:hint="default" w:ascii="宋体" w:hAnsi="宋体" w:eastAsia="宋体"/>
                <w:b w:val="0"/>
                <w:color w:val="auto"/>
                <w:sz w:val="24"/>
                <w:highlight w:val="none"/>
              </w:rPr>
              <w:t>小型和微型企业</w:t>
            </w:r>
            <w:r>
              <w:rPr>
                <w:rFonts w:hint="eastAsia" w:ascii="宋体" w:hAnsi="宋体" w:eastAsia="宋体"/>
                <w:b w:val="0"/>
                <w:color w:val="auto"/>
                <w:sz w:val="24"/>
                <w:highlight w:val="none"/>
              </w:rPr>
              <w:t>。</w:t>
            </w:r>
          </w:p>
          <w:p w14:paraId="7BC64221">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（3）残疾人福利性单位价格扣除：同</w:t>
            </w:r>
            <w:r>
              <w:rPr>
                <w:rFonts w:hint="default" w:ascii="宋体" w:hAnsi="宋体" w:eastAsia="宋体"/>
                <w:b w:val="0"/>
                <w:color w:val="auto"/>
                <w:sz w:val="24"/>
                <w:highlight w:val="none"/>
              </w:rPr>
              <w:t>小型和微型企业</w:t>
            </w:r>
            <w:r>
              <w:rPr>
                <w:rFonts w:hint="eastAsia" w:ascii="宋体" w:hAnsi="宋体" w:eastAsia="宋体"/>
                <w:b w:val="0"/>
                <w:color w:val="auto"/>
                <w:sz w:val="24"/>
                <w:highlight w:val="none"/>
              </w:rPr>
              <w:t>。</w:t>
            </w:r>
          </w:p>
          <w:p w14:paraId="65CE7728">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（4）符合条件的联合体价格扣除：</w:t>
            </w:r>
            <w:r>
              <w:rPr>
                <w:rFonts w:hint="eastAsia" w:ascii="宋体" w:hAnsi="宋体" w:eastAsia="宋体"/>
                <w:b w:val="0"/>
                <w:color w:val="auto"/>
                <w:sz w:val="24"/>
                <w:highlight w:val="none"/>
                <w:u w:val="single"/>
              </w:rPr>
              <w:t>联合体投标的，小型、微型企业的协议合同金额占联合体协议合同总金额30%以上的，价格给予联合体</w:t>
            </w:r>
            <w:r>
              <w:rPr>
                <w:rFonts w:hint="eastAsia" w:ascii="宋体" w:hAnsi="宋体" w:eastAsia="宋体"/>
                <w:b w:val="0"/>
                <w:color w:val="auto"/>
                <w:sz w:val="24"/>
                <w:highlight w:val="none"/>
                <w:u w:val="single"/>
                <w:lang w:val="en-US" w:eastAsia="zh-CN"/>
              </w:rPr>
              <w:t>6</w:t>
            </w:r>
            <w:r>
              <w:rPr>
                <w:rFonts w:hint="eastAsia" w:ascii="宋体" w:hAnsi="宋体" w:eastAsia="宋体"/>
                <w:b w:val="0"/>
                <w:color w:val="auto"/>
                <w:sz w:val="24"/>
                <w:highlight w:val="none"/>
                <w:u w:val="single"/>
              </w:rPr>
              <w:t>%的扣除后参与评审；其评审价=投标报价*9</w:t>
            </w:r>
            <w:r>
              <w:rPr>
                <w:rFonts w:hint="eastAsia" w:ascii="宋体" w:hAnsi="宋体" w:eastAsia="宋体"/>
                <w:b w:val="0"/>
                <w:color w:val="auto"/>
                <w:sz w:val="24"/>
                <w:highlight w:val="none"/>
                <w:u w:val="single"/>
                <w:lang w:val="en-US" w:eastAsia="zh-CN"/>
              </w:rPr>
              <w:t>4</w:t>
            </w:r>
            <w:r>
              <w:rPr>
                <w:rFonts w:hint="eastAsia" w:ascii="宋体" w:hAnsi="宋体" w:eastAsia="宋体"/>
                <w:b w:val="0"/>
                <w:color w:val="auto"/>
                <w:sz w:val="24"/>
                <w:highlight w:val="none"/>
                <w:u w:val="single"/>
              </w:rPr>
              <w:t>%；联合体各方均为小型、微型企业的，联合体视同为小型、微型企业，其评审价按（1）款执行</w:t>
            </w:r>
            <w:r>
              <w:rPr>
                <w:rFonts w:hint="eastAsia" w:ascii="宋体" w:hAnsi="宋体" w:eastAsia="宋体"/>
                <w:b w:val="0"/>
                <w:color w:val="auto"/>
                <w:sz w:val="24"/>
                <w:highlight w:val="none"/>
              </w:rPr>
              <w:t>。</w:t>
            </w:r>
          </w:p>
          <w:p w14:paraId="0E0B993F">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（5）符合条件的向小微企业分包的大中型企业价格扣除：</w:t>
            </w:r>
            <w:r>
              <w:rPr>
                <w:rFonts w:hint="eastAsia" w:ascii="宋体" w:hAnsi="宋体" w:eastAsia="宋体"/>
                <w:b w:val="0"/>
                <w:color w:val="auto"/>
                <w:sz w:val="24"/>
                <w:highlight w:val="none"/>
                <w:u w:val="single"/>
              </w:rPr>
              <w:t>允许大中型企业向一家或者多家小微企业分包的，对于分包意向协议约定小微企业的合同份额占到合同总金额30%以上的，给予大中型企业的投标报价按照</w:t>
            </w:r>
            <w:r>
              <w:rPr>
                <w:rFonts w:hint="eastAsia" w:ascii="宋体" w:hAnsi="宋体" w:eastAsia="宋体"/>
                <w:b w:val="0"/>
                <w:color w:val="auto"/>
                <w:sz w:val="24"/>
                <w:highlight w:val="none"/>
                <w:u w:val="single"/>
                <w:lang w:val="en-US" w:eastAsia="zh-CN"/>
              </w:rPr>
              <w:t>6</w:t>
            </w:r>
            <w:r>
              <w:rPr>
                <w:rFonts w:hint="eastAsia" w:ascii="宋体" w:hAnsi="宋体" w:eastAsia="宋体"/>
                <w:b w:val="0"/>
                <w:color w:val="auto"/>
                <w:sz w:val="24"/>
                <w:highlight w:val="none"/>
                <w:u w:val="single"/>
              </w:rPr>
              <w:t>%标准扣除后的价格参与评审；其评审价=投标报价*9</w:t>
            </w:r>
            <w:r>
              <w:rPr>
                <w:rFonts w:hint="eastAsia" w:ascii="宋体" w:hAnsi="宋体" w:eastAsia="宋体"/>
                <w:b w:val="0"/>
                <w:color w:val="auto"/>
                <w:sz w:val="24"/>
                <w:highlight w:val="none"/>
                <w:u w:val="single"/>
                <w:lang w:val="en-US" w:eastAsia="zh-CN"/>
              </w:rPr>
              <w:t>4</w:t>
            </w:r>
            <w:r>
              <w:rPr>
                <w:rFonts w:hint="eastAsia" w:ascii="宋体" w:hAnsi="宋体" w:eastAsia="宋体"/>
                <w:b w:val="0"/>
                <w:color w:val="auto"/>
                <w:sz w:val="24"/>
                <w:highlight w:val="none"/>
                <w:u w:val="single"/>
              </w:rPr>
              <w:t>%</w:t>
            </w:r>
            <w:r>
              <w:rPr>
                <w:rFonts w:hint="eastAsia" w:ascii="宋体" w:hAnsi="宋体" w:eastAsia="宋体"/>
                <w:b w:val="0"/>
                <w:color w:val="auto"/>
                <w:sz w:val="24"/>
                <w:highlight w:val="none"/>
              </w:rPr>
              <w:t>。</w:t>
            </w:r>
            <w:r>
              <w:rPr>
                <w:rFonts w:hint="eastAsia" w:ascii="宋体" w:hAnsi="宋体" w:eastAsia="宋体"/>
                <w:b w:val="0"/>
                <w:i/>
                <w:color w:val="auto"/>
                <w:sz w:val="24"/>
                <w:highlight w:val="none"/>
              </w:rPr>
              <w:t>（允许大中型企业向小微企业分包的项目适用）</w:t>
            </w:r>
          </w:p>
        </w:tc>
      </w:tr>
      <w:tr w14:paraId="29399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noWrap w:val="0"/>
            <w:vAlign w:val="center"/>
          </w:tcPr>
          <w:p w14:paraId="140A6BD1">
            <w:pPr>
              <w:pStyle w:val="53"/>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21</w:t>
            </w:r>
            <w:r>
              <w:rPr>
                <w:rFonts w:hint="default" w:ascii="宋体" w:hAnsi="宋体" w:eastAsia="宋体"/>
                <w:bCs/>
                <w:color w:val="auto"/>
                <w:kern w:val="2"/>
                <w:highlight w:val="none"/>
              </w:rPr>
              <w:t>.</w:t>
            </w:r>
            <w:r>
              <w:rPr>
                <w:rFonts w:hint="eastAsia" w:ascii="宋体" w:hAnsi="宋体" w:eastAsia="宋体"/>
                <w:bCs/>
                <w:color w:val="auto"/>
                <w:kern w:val="2"/>
                <w:highlight w:val="none"/>
              </w:rPr>
              <w:t>1</w:t>
            </w:r>
          </w:p>
        </w:tc>
        <w:tc>
          <w:tcPr>
            <w:tcW w:w="1174" w:type="pct"/>
            <w:noWrap w:val="0"/>
            <w:vAlign w:val="center"/>
          </w:tcPr>
          <w:p w14:paraId="5B797ED0">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评标委员会推荐</w:t>
            </w:r>
            <w:r>
              <w:rPr>
                <w:rFonts w:hint="default" w:ascii="宋体" w:hAnsi="宋体" w:eastAsia="宋体"/>
                <w:b w:val="0"/>
                <w:color w:val="auto"/>
                <w:sz w:val="24"/>
                <w:highlight w:val="none"/>
              </w:rPr>
              <w:t>中标候选</w:t>
            </w:r>
            <w:r>
              <w:rPr>
                <w:rFonts w:hint="eastAsia" w:ascii="宋体" w:hAnsi="宋体" w:eastAsia="宋体"/>
                <w:b w:val="0"/>
                <w:color w:val="auto"/>
                <w:sz w:val="24"/>
                <w:highlight w:val="none"/>
              </w:rPr>
              <w:t>人的</w:t>
            </w:r>
            <w:r>
              <w:rPr>
                <w:rFonts w:hint="default" w:ascii="宋体" w:hAnsi="宋体" w:eastAsia="宋体"/>
                <w:b w:val="0"/>
                <w:color w:val="auto"/>
                <w:sz w:val="24"/>
                <w:highlight w:val="none"/>
              </w:rPr>
              <w:t>数量</w:t>
            </w:r>
          </w:p>
        </w:tc>
        <w:tc>
          <w:tcPr>
            <w:tcW w:w="3244" w:type="pct"/>
            <w:noWrap w:val="0"/>
            <w:vAlign w:val="center"/>
          </w:tcPr>
          <w:p w14:paraId="4EFC0587">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u w:val="single"/>
              </w:rPr>
            </w:pPr>
            <w:r>
              <w:rPr>
                <w:rFonts w:hint="eastAsia" w:ascii="宋体" w:hAnsi="宋体" w:eastAsia="宋体"/>
                <w:b w:val="0"/>
                <w:color w:val="auto"/>
                <w:sz w:val="24"/>
                <w:highlight w:val="none"/>
                <w:u w:val="single"/>
              </w:rPr>
              <w:t>推荐3名中标候选人</w:t>
            </w:r>
          </w:p>
        </w:tc>
      </w:tr>
      <w:tr w14:paraId="5D800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noWrap w:val="0"/>
            <w:vAlign w:val="center"/>
          </w:tcPr>
          <w:p w14:paraId="17A8ECDC">
            <w:pPr>
              <w:pStyle w:val="53"/>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21</w:t>
            </w:r>
            <w:r>
              <w:rPr>
                <w:rFonts w:hint="default" w:ascii="宋体" w:hAnsi="宋体" w:eastAsia="宋体"/>
                <w:bCs/>
                <w:color w:val="auto"/>
                <w:kern w:val="2"/>
                <w:highlight w:val="none"/>
              </w:rPr>
              <w:t>.</w:t>
            </w:r>
            <w:r>
              <w:rPr>
                <w:rFonts w:hint="eastAsia" w:ascii="宋体" w:hAnsi="宋体" w:eastAsia="宋体"/>
                <w:bCs/>
                <w:color w:val="auto"/>
                <w:kern w:val="2"/>
                <w:highlight w:val="none"/>
              </w:rPr>
              <w:t>2</w:t>
            </w:r>
          </w:p>
        </w:tc>
        <w:tc>
          <w:tcPr>
            <w:tcW w:w="1174" w:type="pct"/>
            <w:noWrap w:val="0"/>
            <w:vAlign w:val="center"/>
          </w:tcPr>
          <w:p w14:paraId="663E495F">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确定中标人</w:t>
            </w:r>
          </w:p>
        </w:tc>
        <w:tc>
          <w:tcPr>
            <w:tcW w:w="3244" w:type="pct"/>
            <w:noWrap w:val="0"/>
            <w:vAlign w:val="center"/>
          </w:tcPr>
          <w:p w14:paraId="548084D5">
            <w:pPr>
              <w:keepNext w:val="0"/>
              <w:keepLines w:val="0"/>
              <w:suppressLineNumbers w:val="0"/>
              <w:spacing w:before="0" w:beforeAutospacing="0" w:after="0" w:afterAutospacing="0" w:line="360" w:lineRule="auto"/>
              <w:ind w:left="0" w:right="0"/>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□采购人委托评标委员会确定</w:t>
            </w:r>
          </w:p>
          <w:p w14:paraId="51212BB0">
            <w:pPr>
              <w:keepNext w:val="0"/>
              <w:keepLines w:val="0"/>
              <w:suppressLineNumbers w:val="0"/>
              <w:spacing w:before="0" w:beforeAutospacing="0" w:after="0" w:afterAutospacing="0" w:line="360" w:lineRule="auto"/>
              <w:ind w:left="0" w:right="0"/>
              <w:rPr>
                <w:rFonts w:hint="eastAsia" w:ascii="宋体" w:hAnsi="宋体" w:eastAsia="宋体"/>
                <w:color w:val="auto"/>
                <w:sz w:val="24"/>
                <w:szCs w:val="20"/>
                <w:highlight w:val="none"/>
              </w:rPr>
            </w:pPr>
            <w:r>
              <w:rPr>
                <w:rFonts w:hint="eastAsia" w:ascii="宋体" w:hAnsi="宋体" w:eastAsia="宋体"/>
                <w:color w:val="auto"/>
                <w:kern w:val="0"/>
                <w:sz w:val="24"/>
                <w:szCs w:val="24"/>
                <w:highlight w:val="none"/>
              </w:rPr>
              <w:sym w:font="Wingdings" w:char="00FE"/>
            </w:r>
            <w:r>
              <w:rPr>
                <w:rFonts w:hint="eastAsia" w:ascii="宋体" w:hAnsi="宋体" w:eastAsia="宋体"/>
                <w:color w:val="auto"/>
                <w:kern w:val="0"/>
                <w:sz w:val="24"/>
                <w:szCs w:val="24"/>
                <w:highlight w:val="none"/>
              </w:rPr>
              <w:t>采购人确定</w:t>
            </w:r>
          </w:p>
        </w:tc>
      </w:tr>
      <w:tr w14:paraId="4C8E6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noWrap w:val="0"/>
            <w:vAlign w:val="center"/>
          </w:tcPr>
          <w:p w14:paraId="37DEAE05">
            <w:pPr>
              <w:pStyle w:val="53"/>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default" w:ascii="宋体" w:hAnsi="宋体" w:eastAsia="宋体"/>
                <w:bCs/>
                <w:color w:val="auto"/>
                <w:kern w:val="2"/>
                <w:highlight w:val="none"/>
              </w:rPr>
              <w:t>2</w:t>
            </w:r>
            <w:r>
              <w:rPr>
                <w:rFonts w:hint="eastAsia" w:ascii="宋体" w:hAnsi="宋体" w:eastAsia="宋体"/>
                <w:bCs/>
                <w:color w:val="auto"/>
                <w:kern w:val="2"/>
                <w:highlight w:val="none"/>
              </w:rPr>
              <w:t>3</w:t>
            </w:r>
            <w:r>
              <w:rPr>
                <w:rFonts w:hint="default" w:ascii="宋体" w:hAnsi="宋体" w:eastAsia="宋体"/>
                <w:bCs/>
                <w:color w:val="auto"/>
                <w:kern w:val="2"/>
                <w:highlight w:val="none"/>
              </w:rPr>
              <w:t>.3</w:t>
            </w:r>
          </w:p>
        </w:tc>
        <w:tc>
          <w:tcPr>
            <w:tcW w:w="1174" w:type="pct"/>
            <w:noWrap w:val="0"/>
            <w:vAlign w:val="center"/>
          </w:tcPr>
          <w:p w14:paraId="6851800B">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随中标结果公告同时公告的内容</w:t>
            </w:r>
          </w:p>
        </w:tc>
        <w:tc>
          <w:tcPr>
            <w:tcW w:w="3244" w:type="pct"/>
            <w:noWrap w:val="0"/>
            <w:vAlign w:val="center"/>
          </w:tcPr>
          <w:p w14:paraId="0EDA1668">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（1）中小企业声明函；</w:t>
            </w:r>
            <w:r>
              <w:rPr>
                <w:rFonts w:hint="eastAsia" w:ascii="宋体" w:hAnsi="宋体" w:eastAsia="宋体"/>
                <w:b w:val="0"/>
                <w:i/>
                <w:iCs/>
                <w:color w:val="auto"/>
                <w:sz w:val="24"/>
                <w:highlight w:val="none"/>
              </w:rPr>
              <w:t>（如有）</w:t>
            </w:r>
          </w:p>
          <w:p w14:paraId="7159266E">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i/>
                <w:color w:val="auto"/>
                <w:sz w:val="24"/>
                <w:highlight w:val="none"/>
              </w:rPr>
            </w:pPr>
            <w:r>
              <w:rPr>
                <w:rFonts w:hint="eastAsia" w:ascii="宋体" w:hAnsi="宋体" w:eastAsia="宋体"/>
                <w:b w:val="0"/>
                <w:color w:val="auto"/>
                <w:sz w:val="24"/>
                <w:highlight w:val="none"/>
              </w:rPr>
              <w:t>（2）残疾人福利性单位声明函；</w:t>
            </w:r>
            <w:r>
              <w:rPr>
                <w:rFonts w:hint="eastAsia" w:ascii="宋体" w:hAnsi="宋体" w:eastAsia="宋体"/>
                <w:b w:val="0"/>
                <w:i/>
                <w:iCs/>
                <w:color w:val="auto"/>
                <w:sz w:val="24"/>
                <w:highlight w:val="none"/>
              </w:rPr>
              <w:t>（如有）</w:t>
            </w:r>
          </w:p>
          <w:p w14:paraId="4B16D922">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i/>
                <w:iCs/>
                <w:color w:val="auto"/>
                <w:sz w:val="24"/>
                <w:highlight w:val="none"/>
                <w:lang w:eastAsia="zh-CN"/>
              </w:rPr>
            </w:pPr>
            <w:r>
              <w:rPr>
                <w:rFonts w:hint="eastAsia" w:ascii="宋体" w:hAnsi="宋体" w:eastAsia="宋体"/>
                <w:b w:val="0"/>
                <w:color w:val="auto"/>
                <w:sz w:val="24"/>
                <w:highlight w:val="none"/>
              </w:rPr>
              <w:t>（3）中标（成交）供应商的评审总得分</w:t>
            </w:r>
            <w:r>
              <w:rPr>
                <w:rFonts w:hint="eastAsia" w:ascii="宋体" w:hAnsi="宋体" w:eastAsia="宋体"/>
                <w:b w:val="0"/>
                <w:color w:val="auto"/>
                <w:sz w:val="24"/>
                <w:highlight w:val="none"/>
                <w:lang w:eastAsia="zh-CN"/>
              </w:rPr>
              <w:t>；</w:t>
            </w:r>
          </w:p>
          <w:p w14:paraId="501310A2">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bCs w:val="0"/>
                <w:color w:val="auto"/>
                <w:sz w:val="24"/>
                <w:szCs w:val="24"/>
                <w:highlight w:val="none"/>
              </w:rPr>
            </w:pPr>
            <w:r>
              <w:rPr>
                <w:rFonts w:hint="eastAsia" w:ascii="宋体" w:hAnsi="宋体" w:eastAsia="宋体"/>
                <w:b w:val="0"/>
                <w:color w:val="auto"/>
                <w:sz w:val="24"/>
                <w:highlight w:val="none"/>
              </w:rPr>
              <w:t>（</w:t>
            </w:r>
            <w:r>
              <w:rPr>
                <w:rFonts w:hint="eastAsia" w:ascii="宋体" w:hAnsi="宋体" w:eastAsia="宋体"/>
                <w:b w:val="0"/>
                <w:color w:val="auto"/>
                <w:sz w:val="24"/>
                <w:highlight w:val="none"/>
                <w:lang w:val="en-US" w:eastAsia="zh-CN"/>
              </w:rPr>
              <w:t>4</w:t>
            </w:r>
            <w:r>
              <w:rPr>
                <w:rFonts w:hint="eastAsia" w:ascii="宋体" w:hAnsi="宋体" w:eastAsia="宋体"/>
                <w:b w:val="0"/>
                <w:color w:val="auto"/>
                <w:sz w:val="24"/>
                <w:highlight w:val="none"/>
              </w:rPr>
              <w:t>）</w:t>
            </w:r>
            <w:r>
              <w:rPr>
                <w:rFonts w:hint="eastAsia" w:ascii="宋体" w:hAnsi="宋体" w:eastAsia="宋体"/>
                <w:b w:val="0"/>
                <w:color w:val="auto"/>
                <w:sz w:val="24"/>
                <w:highlight w:val="none"/>
                <w:lang w:val="en-US" w:eastAsia="zh-CN"/>
              </w:rPr>
              <w:t>中标（成交）供应商的</w:t>
            </w:r>
            <w:r>
              <w:rPr>
                <w:rFonts w:hint="eastAsia" w:ascii="宋体" w:hAnsi="宋体" w:eastAsia="宋体"/>
                <w:b w:val="0"/>
                <w:color w:val="auto"/>
                <w:sz w:val="24"/>
                <w:highlight w:val="none"/>
                <w:u w:val="single"/>
              </w:rPr>
              <w:t>投标分项报价表。</w:t>
            </w:r>
            <w:r>
              <w:rPr>
                <w:rFonts w:hint="eastAsia" w:ascii="宋体" w:hAnsi="宋体" w:eastAsia="宋体"/>
                <w:b w:val="0"/>
                <w:i/>
                <w:iCs/>
                <w:color w:val="auto"/>
                <w:sz w:val="24"/>
                <w:highlight w:val="none"/>
              </w:rPr>
              <w:t>（如有）</w:t>
            </w:r>
          </w:p>
        </w:tc>
      </w:tr>
      <w:tr w14:paraId="599AE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noWrap w:val="0"/>
            <w:vAlign w:val="center"/>
          </w:tcPr>
          <w:p w14:paraId="4C79FB4C">
            <w:pPr>
              <w:pStyle w:val="53"/>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24</w:t>
            </w:r>
            <w:r>
              <w:rPr>
                <w:rFonts w:hint="default" w:ascii="宋体" w:hAnsi="宋体" w:eastAsia="宋体"/>
                <w:bCs/>
                <w:color w:val="auto"/>
                <w:kern w:val="2"/>
                <w:highlight w:val="none"/>
              </w:rPr>
              <w:t>.1</w:t>
            </w:r>
          </w:p>
        </w:tc>
        <w:tc>
          <w:tcPr>
            <w:tcW w:w="1174" w:type="pct"/>
            <w:noWrap w:val="0"/>
            <w:vAlign w:val="center"/>
          </w:tcPr>
          <w:p w14:paraId="6D9019CC">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中标通知书发出的形式</w:t>
            </w:r>
          </w:p>
        </w:tc>
        <w:tc>
          <w:tcPr>
            <w:tcW w:w="3244" w:type="pct"/>
            <w:noWrap w:val="0"/>
            <w:vAlign w:val="center"/>
          </w:tcPr>
          <w:p w14:paraId="55451C68">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rPr>
              <w:t xml:space="preserve">□书面 </w:t>
            </w:r>
            <w:r>
              <w:rPr>
                <w:rFonts w:hint="default" w:ascii="宋体" w:hAnsi="宋体" w:eastAsia="宋体"/>
                <w:b w:val="0"/>
                <w:bCs w:val="0"/>
                <w:color w:val="auto"/>
                <w:sz w:val="24"/>
                <w:szCs w:val="24"/>
                <w:highlight w:val="none"/>
              </w:rPr>
              <w:t xml:space="preserve">    </w:t>
            </w:r>
            <w:r>
              <w:rPr>
                <w:rFonts w:hint="eastAsia" w:ascii="宋体" w:hAnsi="宋体" w:eastAsia="宋体"/>
                <w:b w:val="0"/>
                <w:bCs w:val="0"/>
                <w:color w:val="auto"/>
                <w:sz w:val="24"/>
                <w:szCs w:val="24"/>
                <w:highlight w:val="none"/>
              </w:rPr>
              <w:sym w:font="Wingdings" w:char="00FE"/>
            </w:r>
            <w:r>
              <w:rPr>
                <w:rFonts w:hint="eastAsia" w:ascii="宋体" w:hAnsi="宋体" w:eastAsia="宋体"/>
                <w:b w:val="0"/>
                <w:bCs w:val="0"/>
                <w:color w:val="auto"/>
                <w:sz w:val="24"/>
                <w:szCs w:val="24"/>
                <w:highlight w:val="none"/>
              </w:rPr>
              <w:t>数据电文</w:t>
            </w:r>
          </w:p>
        </w:tc>
      </w:tr>
      <w:tr w14:paraId="4F2B9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noWrap w:val="0"/>
            <w:vAlign w:val="center"/>
          </w:tcPr>
          <w:p w14:paraId="385F760E">
            <w:pPr>
              <w:pStyle w:val="53"/>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25</w:t>
            </w:r>
            <w:r>
              <w:rPr>
                <w:rFonts w:hint="default" w:ascii="宋体" w:hAnsi="宋体" w:eastAsia="宋体"/>
                <w:bCs/>
                <w:color w:val="auto"/>
                <w:kern w:val="2"/>
                <w:highlight w:val="none"/>
              </w:rPr>
              <w:t>.1</w:t>
            </w:r>
          </w:p>
        </w:tc>
        <w:tc>
          <w:tcPr>
            <w:tcW w:w="1174" w:type="pct"/>
            <w:noWrap w:val="0"/>
            <w:vAlign w:val="center"/>
          </w:tcPr>
          <w:p w14:paraId="43E3A6A3">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告知招标结果的形式</w:t>
            </w:r>
          </w:p>
        </w:tc>
        <w:tc>
          <w:tcPr>
            <w:tcW w:w="3244" w:type="pct"/>
            <w:noWrap w:val="0"/>
            <w:vAlign w:val="center"/>
          </w:tcPr>
          <w:p w14:paraId="162E29B6">
            <w:pPr>
              <w:keepNext w:val="0"/>
              <w:keepLines w:val="0"/>
              <w:suppressLineNumbers w:val="0"/>
              <w:spacing w:before="0" w:beforeAutospacing="0" w:after="0" w:afterAutospacing="0" w:line="360" w:lineRule="auto"/>
              <w:ind w:left="0" w:right="0"/>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sym w:font="Wingdings" w:char="00FE"/>
            </w:r>
            <w:r>
              <w:rPr>
                <w:rFonts w:hint="eastAsia" w:ascii="宋体" w:hAnsi="宋体" w:eastAsia="宋体"/>
                <w:color w:val="auto"/>
                <w:kern w:val="0"/>
                <w:sz w:val="24"/>
                <w:szCs w:val="24"/>
                <w:highlight w:val="none"/>
              </w:rPr>
              <w:t>投标人自行登录电子</w:t>
            </w:r>
            <w:r>
              <w:rPr>
                <w:rFonts w:hint="eastAsia" w:ascii="宋体" w:hAnsi="宋体" w:eastAsia="宋体" w:cs="宋体"/>
                <w:color w:val="auto"/>
                <w:sz w:val="24"/>
                <w:szCs w:val="24"/>
                <w:highlight w:val="none"/>
              </w:rPr>
              <w:t>交易</w:t>
            </w:r>
            <w:r>
              <w:rPr>
                <w:rFonts w:hint="eastAsia" w:ascii="宋体" w:hAnsi="宋体" w:eastAsia="宋体"/>
                <w:color w:val="auto"/>
                <w:kern w:val="0"/>
                <w:sz w:val="24"/>
                <w:szCs w:val="24"/>
                <w:highlight w:val="none"/>
              </w:rPr>
              <w:t>系统查看</w:t>
            </w:r>
          </w:p>
          <w:p w14:paraId="2853E625">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bCs w:val="0"/>
                <w:color w:val="auto"/>
                <w:kern w:val="2"/>
                <w:sz w:val="24"/>
                <w:szCs w:val="24"/>
                <w:highlight w:val="none"/>
              </w:rPr>
            </w:pPr>
            <w:r>
              <w:rPr>
                <w:rFonts w:hint="eastAsia" w:ascii="宋体" w:hAnsi="宋体" w:eastAsia="宋体"/>
                <w:b w:val="0"/>
                <w:bCs w:val="0"/>
                <w:color w:val="auto"/>
                <w:kern w:val="2"/>
                <w:sz w:val="24"/>
                <w:szCs w:val="24"/>
                <w:highlight w:val="none"/>
              </w:rPr>
              <w:t>□评标现场告知</w:t>
            </w:r>
          </w:p>
        </w:tc>
      </w:tr>
      <w:tr w14:paraId="6531E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81" w:type="pct"/>
            <w:noWrap w:val="0"/>
            <w:vAlign w:val="center"/>
          </w:tcPr>
          <w:p w14:paraId="384D8B69">
            <w:pPr>
              <w:pStyle w:val="53"/>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26</w:t>
            </w:r>
            <w:r>
              <w:rPr>
                <w:rFonts w:hint="default" w:ascii="宋体" w:hAnsi="宋体" w:eastAsia="宋体"/>
                <w:bCs/>
                <w:color w:val="auto"/>
                <w:kern w:val="2"/>
                <w:highlight w:val="none"/>
              </w:rPr>
              <w:t>.1</w:t>
            </w:r>
          </w:p>
        </w:tc>
        <w:tc>
          <w:tcPr>
            <w:tcW w:w="1174" w:type="pct"/>
            <w:noWrap w:val="0"/>
            <w:vAlign w:val="center"/>
          </w:tcPr>
          <w:p w14:paraId="19E14C6B">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履约保证金</w:t>
            </w:r>
          </w:p>
        </w:tc>
        <w:tc>
          <w:tcPr>
            <w:tcW w:w="3244" w:type="pct"/>
            <w:noWrap w:val="0"/>
            <w:vAlign w:val="top"/>
          </w:tcPr>
          <w:p w14:paraId="4AB81CD8">
            <w:pPr>
              <w:keepNext w:val="0"/>
              <w:keepLines w:val="0"/>
              <w:suppressLineNumbers w:val="0"/>
              <w:spacing w:before="0" w:beforeAutospacing="0" w:after="0" w:afterAutospacing="0" w:line="360" w:lineRule="auto"/>
              <w:ind w:left="0" w:right="0"/>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（1）金额：</w:t>
            </w:r>
          </w:p>
          <w:p w14:paraId="62407CDB">
            <w:pPr>
              <w:keepNext w:val="0"/>
              <w:keepLines w:val="0"/>
              <w:suppressLineNumbers w:val="0"/>
              <w:spacing w:before="0" w:beforeAutospacing="0" w:after="0" w:afterAutospacing="0" w:line="360" w:lineRule="auto"/>
              <w:ind w:left="0" w:right="0"/>
              <w:rPr>
                <w:rFonts w:hint="eastAsia" w:ascii="宋体" w:hAnsi="宋体" w:eastAsia="宋体"/>
                <w:bCs/>
                <w:color w:val="auto"/>
                <w:kern w:val="0"/>
                <w:sz w:val="24"/>
                <w:szCs w:val="28"/>
                <w:highlight w:val="none"/>
              </w:rPr>
            </w:pPr>
            <w:r>
              <w:rPr>
                <w:rFonts w:hint="default"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免收</w:t>
            </w:r>
          </w:p>
          <w:p w14:paraId="0D6223C3">
            <w:pPr>
              <w:keepNext w:val="0"/>
              <w:keepLines w:val="0"/>
              <w:suppressLineNumbers w:val="0"/>
              <w:spacing w:before="0" w:beforeAutospacing="0" w:after="0" w:afterAutospacing="0" w:line="360" w:lineRule="auto"/>
              <w:ind w:left="0" w:right="0"/>
              <w:rPr>
                <w:rFonts w:hint="eastAsia" w:ascii="宋体" w:hAnsi="宋体" w:eastAsia="宋体"/>
                <w:bCs/>
                <w:color w:val="auto"/>
                <w:kern w:val="0"/>
                <w:sz w:val="24"/>
                <w:szCs w:val="28"/>
                <w:highlight w:val="none"/>
              </w:rPr>
            </w:pPr>
            <w:r>
              <w:rPr>
                <w:rFonts w:hint="default" w:ascii="Segoe UI Symbol" w:hAnsi="Segoe UI Symbol" w:eastAsia="宋体" w:cs="Segoe UI Symbol"/>
                <w:bCs/>
                <w:color w:val="auto"/>
                <w:kern w:val="0"/>
                <w:sz w:val="24"/>
                <w:szCs w:val="28"/>
                <w:highlight w:val="none"/>
              </w:rPr>
              <w:t>☑</w:t>
            </w:r>
            <w:r>
              <w:rPr>
                <w:rFonts w:hint="eastAsia" w:ascii="宋体" w:hAnsi="宋体" w:eastAsia="宋体"/>
                <w:bCs/>
                <w:color w:val="auto"/>
                <w:kern w:val="0"/>
                <w:sz w:val="24"/>
                <w:szCs w:val="28"/>
                <w:highlight w:val="none"/>
              </w:rPr>
              <w:t>合同价的</w:t>
            </w:r>
            <w:r>
              <w:rPr>
                <w:rFonts w:hint="default"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u w:val="single"/>
              </w:rPr>
              <w:t>2.5</w:t>
            </w:r>
            <w:r>
              <w:rPr>
                <w:rFonts w:hint="default" w:ascii="宋体" w:hAnsi="宋体" w:eastAsia="宋体"/>
                <w:bCs/>
                <w:color w:val="auto"/>
                <w:kern w:val="0"/>
                <w:sz w:val="24"/>
                <w:szCs w:val="28"/>
                <w:highlight w:val="none"/>
                <w:u w:val="single"/>
              </w:rPr>
              <w:t xml:space="preserve"> </w:t>
            </w:r>
            <w:r>
              <w:rPr>
                <w:rFonts w:hint="default" w:ascii="宋体" w:hAnsi="宋体" w:eastAsia="宋体"/>
                <w:bCs/>
                <w:color w:val="auto"/>
                <w:kern w:val="0"/>
                <w:sz w:val="24"/>
                <w:szCs w:val="28"/>
                <w:highlight w:val="none"/>
              </w:rPr>
              <w:t>%</w:t>
            </w:r>
          </w:p>
          <w:p w14:paraId="2F32DC63">
            <w:pPr>
              <w:keepNext w:val="0"/>
              <w:keepLines w:val="0"/>
              <w:suppressLineNumbers w:val="0"/>
              <w:spacing w:before="0" w:beforeAutospacing="0" w:after="0" w:afterAutospacing="0" w:line="360" w:lineRule="auto"/>
              <w:ind w:left="0" w:right="0"/>
              <w:rPr>
                <w:rFonts w:hint="eastAsia" w:ascii="宋体" w:hAnsi="宋体" w:eastAsia="宋体"/>
                <w:bCs/>
                <w:color w:val="auto"/>
                <w:kern w:val="0"/>
                <w:sz w:val="24"/>
                <w:szCs w:val="28"/>
                <w:highlight w:val="none"/>
              </w:rPr>
            </w:pPr>
            <w:r>
              <w:rPr>
                <w:rFonts w:hint="default"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定额收取：人民币</w:t>
            </w:r>
            <w:r>
              <w:rPr>
                <w:rFonts w:hint="eastAsia" w:ascii="宋体" w:hAnsi="宋体" w:eastAsia="宋体"/>
                <w:bCs/>
                <w:color w:val="auto"/>
                <w:kern w:val="0"/>
                <w:sz w:val="24"/>
                <w:szCs w:val="28"/>
                <w:highlight w:val="none"/>
                <w:u w:val="single"/>
              </w:rPr>
              <w:t xml:space="preserve">       /     </w:t>
            </w:r>
            <w:r>
              <w:rPr>
                <w:rFonts w:hint="eastAsia" w:ascii="宋体" w:hAnsi="宋体" w:eastAsia="宋体"/>
                <w:bCs/>
                <w:color w:val="auto"/>
                <w:kern w:val="0"/>
                <w:sz w:val="24"/>
                <w:szCs w:val="28"/>
                <w:highlight w:val="none"/>
              </w:rPr>
              <w:t>元</w:t>
            </w:r>
          </w:p>
          <w:p w14:paraId="643C0226">
            <w:pPr>
              <w:keepNext w:val="0"/>
              <w:keepLines w:val="0"/>
              <w:suppressLineNumbers w:val="0"/>
              <w:spacing w:before="0" w:beforeAutospacing="0" w:after="0" w:afterAutospacing="0" w:line="360" w:lineRule="auto"/>
              <w:ind w:left="0" w:right="0"/>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（2）支付方式：</w:t>
            </w:r>
          </w:p>
          <w:p w14:paraId="239C5E8A">
            <w:pPr>
              <w:keepNext w:val="0"/>
              <w:keepLines w:val="0"/>
              <w:suppressLineNumbers w:val="0"/>
              <w:spacing w:before="0" w:beforeAutospacing="0" w:after="0" w:afterAutospacing="0" w:line="360" w:lineRule="auto"/>
              <w:ind w:left="0" w:right="0"/>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sym w:font="Wingdings" w:char="00FE"/>
            </w:r>
            <w:r>
              <w:rPr>
                <w:rFonts w:hint="default" w:ascii="宋体" w:hAnsi="宋体" w:eastAsia="宋体"/>
                <w:bCs/>
                <w:color w:val="auto"/>
                <w:kern w:val="0"/>
                <w:sz w:val="24"/>
                <w:szCs w:val="28"/>
                <w:highlight w:val="none"/>
              </w:rPr>
              <w:t>转账/电汇</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FE"/>
            </w:r>
            <w:r>
              <w:rPr>
                <w:rFonts w:hint="default" w:ascii="宋体" w:hAnsi="宋体" w:eastAsia="宋体"/>
                <w:bCs/>
                <w:color w:val="auto"/>
                <w:kern w:val="0"/>
                <w:sz w:val="24"/>
                <w:szCs w:val="28"/>
                <w:highlight w:val="none"/>
              </w:rPr>
              <w:t xml:space="preserve">支票 </w:t>
            </w:r>
            <w:r>
              <w:rPr>
                <w:rFonts w:hint="eastAsia" w:ascii="宋体" w:hAnsi="宋体" w:eastAsia="宋体"/>
                <w:bCs/>
                <w:color w:val="auto"/>
                <w:kern w:val="0"/>
                <w:sz w:val="24"/>
                <w:szCs w:val="28"/>
                <w:highlight w:val="none"/>
              </w:rPr>
              <w:sym w:font="Wingdings" w:char="00FE"/>
            </w:r>
            <w:r>
              <w:rPr>
                <w:rFonts w:hint="default" w:ascii="宋体" w:hAnsi="宋体" w:eastAsia="宋体"/>
                <w:bCs/>
                <w:color w:val="auto"/>
                <w:kern w:val="0"/>
                <w:sz w:val="24"/>
                <w:szCs w:val="28"/>
                <w:highlight w:val="none"/>
              </w:rPr>
              <w:t>汇票</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FE"/>
            </w:r>
            <w:r>
              <w:rPr>
                <w:rFonts w:hint="eastAsia" w:ascii="宋体" w:hAnsi="宋体" w:eastAsia="宋体"/>
                <w:bCs/>
                <w:color w:val="auto"/>
                <w:kern w:val="0"/>
                <w:sz w:val="24"/>
                <w:szCs w:val="28"/>
                <w:highlight w:val="none"/>
              </w:rPr>
              <w:t xml:space="preserve">本票 </w:t>
            </w:r>
            <w:r>
              <w:rPr>
                <w:rFonts w:hint="eastAsia" w:ascii="宋体" w:hAnsi="宋体" w:eastAsia="宋体"/>
                <w:bCs/>
                <w:color w:val="auto"/>
                <w:kern w:val="0"/>
                <w:sz w:val="24"/>
                <w:szCs w:val="28"/>
                <w:highlight w:val="none"/>
              </w:rPr>
              <w:sym w:font="Wingdings" w:char="00FE"/>
            </w:r>
            <w:r>
              <w:rPr>
                <w:rFonts w:hint="default" w:ascii="宋体" w:hAnsi="宋体" w:eastAsia="宋体"/>
                <w:bCs/>
                <w:color w:val="auto"/>
                <w:kern w:val="0"/>
                <w:sz w:val="24"/>
                <w:szCs w:val="28"/>
                <w:highlight w:val="none"/>
              </w:rPr>
              <w:t>保</w:t>
            </w:r>
            <w:r>
              <w:rPr>
                <w:rFonts w:hint="eastAsia" w:ascii="宋体" w:hAnsi="宋体" w:eastAsia="宋体"/>
                <w:bCs/>
                <w:color w:val="auto"/>
                <w:kern w:val="0"/>
                <w:sz w:val="24"/>
                <w:szCs w:val="28"/>
                <w:highlight w:val="none"/>
              </w:rPr>
              <w:t xml:space="preserve">险 </w:t>
            </w:r>
            <w:r>
              <w:rPr>
                <w:rFonts w:hint="eastAsia" w:ascii="宋体" w:hAnsi="宋体" w:eastAsia="宋体"/>
                <w:bCs/>
                <w:color w:val="auto"/>
                <w:kern w:val="0"/>
                <w:sz w:val="24"/>
                <w:szCs w:val="28"/>
                <w:highlight w:val="none"/>
              </w:rPr>
              <w:sym w:font="Wingdings" w:char="00FE"/>
            </w:r>
            <w:r>
              <w:rPr>
                <w:rFonts w:hint="eastAsia" w:ascii="宋体" w:hAnsi="宋体" w:eastAsia="宋体"/>
                <w:bCs/>
                <w:color w:val="auto"/>
                <w:kern w:val="0"/>
                <w:sz w:val="24"/>
                <w:szCs w:val="28"/>
                <w:highlight w:val="none"/>
              </w:rPr>
              <w:t>保</w:t>
            </w:r>
            <w:r>
              <w:rPr>
                <w:rFonts w:hint="default" w:ascii="宋体" w:hAnsi="宋体" w:eastAsia="宋体"/>
                <w:bCs/>
                <w:color w:val="auto"/>
                <w:kern w:val="0"/>
                <w:sz w:val="24"/>
                <w:szCs w:val="28"/>
                <w:highlight w:val="none"/>
              </w:rPr>
              <w:t>函</w:t>
            </w:r>
          </w:p>
          <w:p w14:paraId="3C34C249">
            <w:pPr>
              <w:keepNext w:val="0"/>
              <w:keepLines w:val="0"/>
              <w:suppressLineNumbers w:val="0"/>
              <w:spacing w:before="0" w:beforeAutospacing="0" w:after="0" w:afterAutospacing="0" w:line="360" w:lineRule="auto"/>
              <w:ind w:left="0" w:right="0"/>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（3）收取单位：</w:t>
            </w:r>
            <w:r>
              <w:rPr>
                <w:rFonts w:hint="eastAsia" w:ascii="宋体" w:hAnsi="宋体" w:eastAsia="宋体"/>
                <w:bCs/>
                <w:color w:val="auto"/>
                <w:kern w:val="0"/>
                <w:sz w:val="24"/>
                <w:szCs w:val="28"/>
                <w:highlight w:val="none"/>
                <w:u w:val="single"/>
              </w:rPr>
              <w:t xml:space="preserve"> 另行通知   </w:t>
            </w:r>
            <w:r>
              <w:rPr>
                <w:rFonts w:hint="eastAsia" w:ascii="宋体" w:hAnsi="宋体" w:eastAsia="宋体"/>
                <w:bCs/>
                <w:color w:val="auto"/>
                <w:kern w:val="0"/>
                <w:sz w:val="24"/>
                <w:szCs w:val="28"/>
                <w:highlight w:val="none"/>
              </w:rPr>
              <w:t xml:space="preserve">              </w:t>
            </w:r>
          </w:p>
          <w:p w14:paraId="652B63A9">
            <w:pPr>
              <w:keepNext w:val="0"/>
              <w:keepLines w:val="0"/>
              <w:suppressLineNumbers w:val="0"/>
              <w:spacing w:before="0" w:beforeAutospacing="0" w:after="0" w:afterAutospacing="0" w:line="360" w:lineRule="auto"/>
              <w:ind w:left="0" w:right="0"/>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（4）收取账号：</w:t>
            </w:r>
            <w:r>
              <w:rPr>
                <w:rFonts w:hint="eastAsia" w:ascii="宋体" w:hAnsi="宋体" w:eastAsia="宋体"/>
                <w:bCs/>
                <w:color w:val="auto"/>
                <w:kern w:val="0"/>
                <w:sz w:val="24"/>
                <w:szCs w:val="28"/>
                <w:highlight w:val="none"/>
                <w:u w:val="single"/>
              </w:rPr>
              <w:t xml:space="preserve"> 另行通知   </w:t>
            </w:r>
          </w:p>
          <w:p w14:paraId="75B540CE">
            <w:pPr>
              <w:keepNext w:val="0"/>
              <w:keepLines w:val="0"/>
              <w:suppressLineNumbers w:val="0"/>
              <w:spacing w:before="0" w:beforeAutospacing="0" w:after="0" w:afterAutospacing="0" w:line="360" w:lineRule="auto"/>
              <w:ind w:left="0" w:right="0"/>
              <w:rPr>
                <w:rFonts w:hint="eastAsia" w:ascii="宋体" w:hAnsi="宋体" w:eastAsia="宋体"/>
                <w:color w:val="auto"/>
                <w:sz w:val="24"/>
                <w:szCs w:val="20"/>
                <w:highlight w:val="none"/>
              </w:rPr>
            </w:pPr>
            <w:r>
              <w:rPr>
                <w:rFonts w:hint="eastAsia" w:ascii="宋体" w:hAnsi="宋体" w:eastAsia="宋体"/>
                <w:bCs/>
                <w:color w:val="auto"/>
                <w:kern w:val="0"/>
                <w:sz w:val="24"/>
                <w:szCs w:val="28"/>
                <w:highlight w:val="none"/>
              </w:rPr>
              <w:t>（5）</w:t>
            </w:r>
            <w:r>
              <w:rPr>
                <w:rFonts w:hint="eastAsia" w:ascii="宋体" w:hAnsi="宋体" w:eastAsia="宋体"/>
                <w:color w:val="auto"/>
                <w:sz w:val="24"/>
                <w:szCs w:val="20"/>
                <w:highlight w:val="none"/>
              </w:rPr>
              <w:t>退还时间：</w:t>
            </w:r>
            <w:r>
              <w:rPr>
                <w:rFonts w:hint="eastAsia" w:ascii="宋体" w:hAnsi="宋体" w:eastAsia="宋体"/>
                <w:bCs/>
                <w:color w:val="auto"/>
                <w:kern w:val="0"/>
                <w:sz w:val="24"/>
                <w:szCs w:val="28"/>
                <w:highlight w:val="none"/>
                <w:u w:val="single"/>
              </w:rPr>
              <w:t>①采用银行转账方式：政府采购验收合格后，一次性退还；②采用支票、汇票、本票、保函等方式：有效期为自合同签订之日起至供货期满后止。</w:t>
            </w:r>
          </w:p>
          <w:p w14:paraId="5A090931">
            <w:pPr>
              <w:keepNext w:val="0"/>
              <w:keepLines w:val="0"/>
              <w:suppressLineNumbers w:val="0"/>
              <w:spacing w:before="0" w:beforeAutospacing="0" w:after="0" w:afterAutospacing="0" w:line="360" w:lineRule="auto"/>
              <w:ind w:left="0" w:right="0"/>
              <w:rPr>
                <w:rFonts w:hint="eastAsia"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注意事项：</w:t>
            </w:r>
          </w:p>
          <w:p w14:paraId="607194C3">
            <w:pPr>
              <w:keepNext w:val="0"/>
              <w:keepLines w:val="0"/>
              <w:suppressLineNumbers w:val="0"/>
              <w:spacing w:before="0" w:beforeAutospacing="0" w:after="0" w:afterAutospacing="0" w:line="360" w:lineRule="auto"/>
              <w:ind w:left="0" w:right="0"/>
              <w:rPr>
                <w:rFonts w:hint="eastAsia"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（1）以上各类机构出具的以担保函、保证保险承担责任的方式均须满足无条件见索即付条件。</w:t>
            </w:r>
          </w:p>
          <w:p w14:paraId="51D1D84C">
            <w:pPr>
              <w:keepNext w:val="0"/>
              <w:keepLines w:val="0"/>
              <w:suppressLineNumbers w:val="0"/>
              <w:spacing w:before="0" w:beforeAutospacing="0" w:after="0" w:afterAutospacing="0" w:line="360" w:lineRule="auto"/>
              <w:ind w:left="0" w:right="0"/>
              <w:rPr>
                <w:rFonts w:hint="eastAsia"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（2）以担保函、保证保险形式缴纳履约保证金的，受益人和收取单位须为采购人。</w:t>
            </w:r>
          </w:p>
        </w:tc>
      </w:tr>
      <w:tr w14:paraId="00563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81" w:type="pct"/>
            <w:noWrap w:val="0"/>
            <w:vAlign w:val="center"/>
          </w:tcPr>
          <w:p w14:paraId="4893700D">
            <w:pPr>
              <w:pStyle w:val="53"/>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27</w:t>
            </w:r>
            <w:r>
              <w:rPr>
                <w:rFonts w:hint="default" w:ascii="宋体" w:hAnsi="宋体" w:eastAsia="宋体"/>
                <w:bCs/>
                <w:color w:val="auto"/>
                <w:kern w:val="2"/>
                <w:highlight w:val="none"/>
              </w:rPr>
              <w:t>.1</w:t>
            </w:r>
          </w:p>
        </w:tc>
        <w:tc>
          <w:tcPr>
            <w:tcW w:w="1174" w:type="pct"/>
            <w:noWrap w:val="0"/>
            <w:vAlign w:val="center"/>
          </w:tcPr>
          <w:p w14:paraId="4895D160">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签订合同和合同公告时间</w:t>
            </w:r>
          </w:p>
        </w:tc>
        <w:tc>
          <w:tcPr>
            <w:tcW w:w="3244" w:type="pct"/>
            <w:noWrap w:val="0"/>
            <w:vAlign w:val="top"/>
          </w:tcPr>
          <w:p w14:paraId="1A4E264E">
            <w:pPr>
              <w:pStyle w:val="20"/>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Cs w:val="24"/>
                <w:highlight w:val="none"/>
              </w:rPr>
            </w:pPr>
            <w:r>
              <w:rPr>
                <w:rFonts w:hint="eastAsia" w:ascii="宋体" w:hAnsi="宋体" w:eastAsia="宋体" w:cs="宋体"/>
                <w:color w:val="auto"/>
                <w:szCs w:val="24"/>
                <w:highlight w:val="none"/>
              </w:rPr>
              <w:t>（1）采购人与中标人应当自发出中标通知书之日起7个工作日内签订合同，采购合同签订之日起2个工作日内完成政府采购合同公开。</w:t>
            </w:r>
          </w:p>
          <w:p w14:paraId="777BFCF8">
            <w:pPr>
              <w:pStyle w:val="20"/>
              <w:keepNext w:val="0"/>
              <w:keepLines w:val="0"/>
              <w:widowControl/>
              <w:suppressLineNumbers w:val="0"/>
              <w:spacing w:before="0" w:beforeAutospacing="0" w:after="0" w:afterAutospacing="0" w:line="360" w:lineRule="auto"/>
              <w:ind w:left="0" w:right="0"/>
              <w:rPr>
                <w:rFonts w:hint="eastAsia" w:ascii="宋体" w:hAnsi="宋体" w:eastAsia="宋体"/>
                <w:b/>
                <w:bCs/>
                <w:color w:val="auto"/>
                <w:szCs w:val="24"/>
                <w:highlight w:val="none"/>
              </w:rPr>
            </w:pPr>
            <w:r>
              <w:rPr>
                <w:rFonts w:hint="eastAsia" w:ascii="宋体" w:hAnsi="宋体" w:eastAsia="宋体" w:cs="宋体"/>
                <w:color w:val="auto"/>
                <w:szCs w:val="24"/>
                <w:highlight w:val="none"/>
              </w:rPr>
              <w:t>（2）采购人与中标人</w:t>
            </w:r>
            <w:r>
              <w:rPr>
                <w:rFonts w:hint="default" w:ascii="宋体" w:hAnsi="宋体" w:eastAsia="宋体" w:cs="宋体"/>
                <w:color w:val="auto"/>
                <w:szCs w:val="24"/>
                <w:highlight w:val="none"/>
              </w:rPr>
              <w:t>不得擅自变更合同，依照政府采购法确需变更政府采购合同内容的，采购人应当自合同变更之日起2个工作日内</w:t>
            </w:r>
            <w:r>
              <w:rPr>
                <w:rFonts w:hint="eastAsia" w:ascii="宋体" w:hAnsi="宋体" w:eastAsia="宋体" w:cs="宋体"/>
                <w:color w:val="auto"/>
                <w:szCs w:val="24"/>
                <w:highlight w:val="none"/>
              </w:rPr>
              <w:t>在安徽省政府采购网和滁州市公共资源交易中心网</w:t>
            </w:r>
            <w:r>
              <w:rPr>
                <w:rFonts w:hint="default" w:ascii="宋体" w:hAnsi="宋体" w:eastAsia="宋体" w:cs="宋体"/>
                <w:color w:val="auto"/>
                <w:szCs w:val="24"/>
                <w:highlight w:val="none"/>
              </w:rPr>
              <w:t>发布政府采购合同变更公告</w:t>
            </w:r>
            <w:r>
              <w:rPr>
                <w:rFonts w:hint="eastAsia" w:ascii="宋体" w:hAnsi="宋体" w:eastAsia="宋体" w:cs="宋体"/>
                <w:color w:val="auto"/>
                <w:szCs w:val="24"/>
                <w:highlight w:val="none"/>
              </w:rPr>
              <w:t>，</w:t>
            </w:r>
            <w:r>
              <w:rPr>
                <w:rFonts w:hint="default" w:ascii="宋体" w:hAnsi="宋体" w:eastAsia="宋体" w:cs="宋体"/>
                <w:color w:val="auto"/>
                <w:szCs w:val="24"/>
                <w:highlight w:val="none"/>
              </w:rPr>
              <w:t>但涉及国家秘密、商业秘密的信息和其他依法不得公开的信息除外。</w:t>
            </w:r>
          </w:p>
        </w:tc>
      </w:tr>
      <w:tr w14:paraId="44BB7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noWrap w:val="0"/>
            <w:vAlign w:val="center"/>
          </w:tcPr>
          <w:p w14:paraId="0C2A0699">
            <w:pPr>
              <w:pStyle w:val="53"/>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28</w:t>
            </w:r>
            <w:r>
              <w:rPr>
                <w:rFonts w:hint="default" w:ascii="宋体" w:hAnsi="宋体" w:eastAsia="宋体"/>
                <w:bCs/>
                <w:color w:val="auto"/>
                <w:kern w:val="2"/>
                <w:highlight w:val="none"/>
              </w:rPr>
              <w:t>.1</w:t>
            </w:r>
          </w:p>
        </w:tc>
        <w:tc>
          <w:tcPr>
            <w:tcW w:w="1174" w:type="pct"/>
            <w:noWrap w:val="0"/>
            <w:vAlign w:val="center"/>
          </w:tcPr>
          <w:p w14:paraId="4775F2D3">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代理费用</w:t>
            </w:r>
          </w:p>
        </w:tc>
        <w:tc>
          <w:tcPr>
            <w:tcW w:w="3244" w:type="pct"/>
            <w:noWrap w:val="0"/>
            <w:vAlign w:val="center"/>
          </w:tcPr>
          <w:p w14:paraId="47D17C3A">
            <w:pPr>
              <w:keepNext w:val="0"/>
              <w:keepLines w:val="0"/>
              <w:suppressLineNumbers w:val="0"/>
              <w:spacing w:before="39"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bCs/>
                <w:color w:val="auto"/>
                <w:kern w:val="0"/>
                <w:sz w:val="24"/>
                <w:szCs w:val="28"/>
                <w:highlight w:val="none"/>
              </w:rPr>
              <w:t>（1）</w:t>
            </w:r>
            <w:r>
              <w:rPr>
                <w:rFonts w:hint="default" w:ascii="宋体" w:hAnsi="宋体" w:eastAsia="宋体"/>
                <w:bCs/>
                <w:color w:val="auto"/>
                <w:kern w:val="0"/>
                <w:sz w:val="24"/>
                <w:szCs w:val="28"/>
                <w:highlight w:val="none"/>
              </w:rPr>
              <w:t>收费对象</w:t>
            </w:r>
            <w:r>
              <w:rPr>
                <w:rFonts w:hint="default" w:ascii="宋体" w:hAnsi="宋体" w:eastAsia="宋体" w:cs="宋体"/>
                <w:color w:val="auto"/>
                <w:spacing w:val="-12"/>
                <w:sz w:val="24"/>
                <w:szCs w:val="24"/>
                <w:highlight w:val="none"/>
              </w:rPr>
              <w:t>：</w:t>
            </w:r>
            <w:r>
              <w:rPr>
                <w:rFonts w:hint="eastAsia" w:ascii="宋体" w:hAnsi="宋体" w:eastAsia="宋体"/>
                <w:bCs/>
                <w:color w:val="auto"/>
                <w:kern w:val="0"/>
                <w:sz w:val="24"/>
                <w:szCs w:val="28"/>
                <w:highlight w:val="none"/>
              </w:rPr>
              <w:sym w:font="Wingdings" w:char="00A8"/>
            </w:r>
            <w:r>
              <w:rPr>
                <w:rFonts w:hint="default" w:ascii="宋体" w:hAnsi="宋体" w:eastAsia="宋体" w:cs="宋体"/>
                <w:color w:val="auto"/>
                <w:spacing w:val="14"/>
                <w:sz w:val="24"/>
                <w:szCs w:val="24"/>
                <w:highlight w:val="none"/>
              </w:rPr>
              <w:t>采购人</w:t>
            </w:r>
            <w:r>
              <w:rPr>
                <w:rFonts w:hint="eastAsia" w:ascii="宋体" w:hAnsi="宋体" w:eastAsia="宋体" w:cs="宋体"/>
                <w:color w:val="auto"/>
                <w:spacing w:val="14"/>
                <w:sz w:val="24"/>
                <w:szCs w:val="24"/>
                <w:highlight w:val="none"/>
              </w:rPr>
              <w:t xml:space="preserve">   </w:t>
            </w:r>
            <w:r>
              <w:rPr>
                <w:rFonts w:hint="eastAsia" w:ascii="宋体" w:hAnsi="宋体" w:eastAsia="宋体"/>
                <w:bCs/>
                <w:color w:val="auto"/>
                <w:kern w:val="0"/>
                <w:sz w:val="24"/>
                <w:szCs w:val="28"/>
                <w:highlight w:val="none"/>
              </w:rPr>
              <w:sym w:font="Wingdings" w:char="00FE"/>
            </w:r>
            <w:r>
              <w:rPr>
                <w:rFonts w:hint="default" w:ascii="宋体" w:hAnsi="宋体" w:eastAsia="宋体" w:cs="宋体"/>
                <w:color w:val="auto"/>
                <w:spacing w:val="14"/>
                <w:sz w:val="24"/>
                <w:szCs w:val="24"/>
                <w:highlight w:val="none"/>
              </w:rPr>
              <w:t>中标人</w:t>
            </w:r>
          </w:p>
          <w:p w14:paraId="730F3B71">
            <w:pPr>
              <w:keepNext w:val="0"/>
              <w:keepLines w:val="0"/>
              <w:suppressLineNumbers w:val="0"/>
              <w:spacing w:before="24" w:beforeAutospacing="0" w:after="0" w:afterAutospacing="0" w:line="360" w:lineRule="auto"/>
              <w:ind w:left="0" w:right="0"/>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hint="default" w:ascii="宋体" w:hAnsi="宋体" w:eastAsia="宋体"/>
                <w:bCs/>
                <w:color w:val="auto"/>
                <w:kern w:val="0"/>
                <w:sz w:val="24"/>
                <w:szCs w:val="28"/>
                <w:highlight w:val="none"/>
              </w:rPr>
              <w:t>收取方式</w:t>
            </w: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中标单位在获取中标通知书时一次性支付给代理机构。</w:t>
            </w:r>
          </w:p>
          <w:p w14:paraId="54EBCC16">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bCs w:val="0"/>
                <w:color w:val="auto"/>
                <w:sz w:val="24"/>
                <w:highlight w:val="none"/>
              </w:rPr>
              <w:t>（3）</w:t>
            </w:r>
            <w:r>
              <w:rPr>
                <w:rFonts w:hint="default" w:ascii="宋体" w:hAnsi="宋体" w:eastAsia="宋体"/>
                <w:b w:val="0"/>
                <w:color w:val="auto"/>
                <w:sz w:val="24"/>
                <w:highlight w:val="none"/>
              </w:rPr>
              <w:t>收费标准：</w:t>
            </w:r>
            <w:r>
              <w:rPr>
                <w:rFonts w:hint="eastAsia" w:ascii="宋体" w:hAnsi="宋体" w:eastAsia="宋体" w:cs="宋体"/>
                <w:b w:val="0"/>
                <w:bCs w:val="0"/>
                <w:color w:val="auto"/>
                <w:kern w:val="2"/>
                <w:sz w:val="24"/>
                <w:szCs w:val="24"/>
                <w:highlight w:val="none"/>
                <w:u w:val="single"/>
                <w:lang w:val="en-US" w:eastAsia="zh-CN"/>
              </w:rPr>
              <w:t>13550</w:t>
            </w:r>
            <w:r>
              <w:rPr>
                <w:rFonts w:hint="eastAsia" w:ascii="宋体" w:hAnsi="宋体" w:eastAsia="宋体" w:cs="宋体"/>
                <w:b w:val="0"/>
                <w:bCs w:val="0"/>
                <w:color w:val="auto"/>
                <w:kern w:val="2"/>
                <w:sz w:val="24"/>
                <w:szCs w:val="24"/>
                <w:highlight w:val="none"/>
                <w:u w:val="single"/>
              </w:rPr>
              <w:t>元，</w:t>
            </w:r>
            <w:r>
              <w:rPr>
                <w:rFonts w:hint="eastAsia" w:ascii="宋体" w:hAnsi="宋体" w:eastAsia="宋体" w:cs="宋体"/>
                <w:b w:val="0"/>
                <w:bCs w:val="0"/>
                <w:color w:val="auto"/>
                <w:kern w:val="2"/>
                <w:sz w:val="24"/>
                <w:szCs w:val="24"/>
                <w:highlight w:val="none"/>
                <w:u w:val="single"/>
                <w:lang w:val="en-US" w:eastAsia="zh-CN"/>
              </w:rPr>
              <w:t>参考</w:t>
            </w:r>
            <w:r>
              <w:rPr>
                <w:rFonts w:hint="eastAsia" w:ascii="宋体" w:hAnsi="宋体" w:eastAsia="宋体" w:cs="宋体"/>
                <w:b w:val="0"/>
                <w:bCs w:val="0"/>
                <w:color w:val="auto"/>
                <w:kern w:val="2"/>
                <w:sz w:val="24"/>
                <w:szCs w:val="24"/>
                <w:highlight w:val="none"/>
                <w:u w:val="single"/>
              </w:rPr>
              <w:t>《滁州市公共资源交易代理机构及从业人员管理办法》(滁公管〔2025〕1 号)</w:t>
            </w:r>
            <w:r>
              <w:rPr>
                <w:rFonts w:hint="eastAsia" w:ascii="宋体" w:hAnsi="宋体" w:eastAsia="宋体" w:cs="宋体"/>
                <w:b w:val="0"/>
                <w:bCs w:val="0"/>
                <w:color w:val="auto"/>
                <w:kern w:val="2"/>
                <w:sz w:val="24"/>
                <w:szCs w:val="24"/>
                <w:highlight w:val="none"/>
                <w:u w:val="single"/>
                <w:lang w:val="en-US" w:eastAsia="zh-CN"/>
              </w:rPr>
              <w:t>以及《关于进一步明确代理费计取标准的通知》（滁公管综〔2023〕19号）文件</w:t>
            </w:r>
            <w:r>
              <w:rPr>
                <w:rFonts w:hint="eastAsia" w:ascii="宋体" w:hAnsi="宋体" w:eastAsia="宋体" w:cs="宋体"/>
                <w:b w:val="0"/>
                <w:bCs w:val="0"/>
                <w:color w:val="auto"/>
                <w:kern w:val="2"/>
                <w:sz w:val="24"/>
                <w:szCs w:val="24"/>
                <w:highlight w:val="none"/>
                <w:u w:val="single"/>
                <w:lang w:eastAsia="zh-CN"/>
              </w:rPr>
              <w:t>，</w:t>
            </w:r>
            <w:r>
              <w:rPr>
                <w:rFonts w:hint="eastAsia" w:ascii="宋体" w:hAnsi="宋体" w:eastAsia="宋体" w:cs="宋体"/>
                <w:b w:val="0"/>
                <w:bCs w:val="0"/>
                <w:color w:val="auto"/>
                <w:kern w:val="2"/>
                <w:sz w:val="24"/>
                <w:szCs w:val="24"/>
                <w:highlight w:val="none"/>
                <w:u w:val="single"/>
                <w:lang w:val="en-US" w:eastAsia="zh-CN"/>
              </w:rPr>
              <w:t>以最高限价（控制价）计算</w:t>
            </w:r>
            <w:r>
              <w:rPr>
                <w:rFonts w:hint="eastAsia" w:ascii="宋体" w:hAnsi="宋体" w:eastAsia="宋体" w:cs="宋体"/>
                <w:b w:val="0"/>
                <w:bCs w:val="0"/>
                <w:color w:val="auto"/>
                <w:kern w:val="2"/>
                <w:sz w:val="24"/>
                <w:szCs w:val="24"/>
                <w:highlight w:val="none"/>
                <w:u w:val="single"/>
              </w:rPr>
              <w:t>。</w:t>
            </w:r>
          </w:p>
        </w:tc>
      </w:tr>
      <w:tr w14:paraId="5E8CB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noWrap w:val="0"/>
            <w:vAlign w:val="center"/>
          </w:tcPr>
          <w:p w14:paraId="774BC0F3">
            <w:pPr>
              <w:pStyle w:val="53"/>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31</w:t>
            </w:r>
            <w:r>
              <w:rPr>
                <w:rFonts w:hint="default" w:ascii="宋体" w:hAnsi="宋体" w:eastAsia="宋体"/>
                <w:bCs/>
                <w:color w:val="auto"/>
                <w:kern w:val="2"/>
                <w:highlight w:val="none"/>
              </w:rPr>
              <w:t>.</w:t>
            </w:r>
            <w:r>
              <w:rPr>
                <w:rFonts w:hint="eastAsia" w:ascii="宋体" w:hAnsi="宋体" w:eastAsia="宋体"/>
                <w:bCs/>
                <w:color w:val="auto"/>
                <w:kern w:val="2"/>
                <w:highlight w:val="none"/>
              </w:rPr>
              <w:t>3</w:t>
            </w:r>
          </w:p>
        </w:tc>
        <w:tc>
          <w:tcPr>
            <w:tcW w:w="1174" w:type="pct"/>
            <w:noWrap w:val="0"/>
            <w:vAlign w:val="center"/>
          </w:tcPr>
          <w:p w14:paraId="01B4C7DC">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质疑函递交方式、接收部门、联系电话和通讯地址</w:t>
            </w:r>
          </w:p>
        </w:tc>
        <w:tc>
          <w:tcPr>
            <w:tcW w:w="3244" w:type="pct"/>
            <w:noWrap w:val="0"/>
            <w:vAlign w:val="center"/>
          </w:tcPr>
          <w:p w14:paraId="6D7748C1">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递交方式：</w:t>
            </w:r>
            <w:r>
              <w:rPr>
                <w:rFonts w:hint="eastAsia" w:ascii="宋体" w:hAnsi="宋体" w:eastAsia="宋体"/>
                <w:color w:val="auto"/>
                <w:sz w:val="24"/>
                <w:highlight w:val="none"/>
                <w:u w:val="single"/>
              </w:rPr>
              <w:t>如投标人对招标文件有质疑，可以依据中华人民共和国财政部令第94号《政府采购质疑和投诉办法》规定，以书面形式向采购人、采购代理机构提出质疑，也可以在滁州市公共资源交易中心网电子交易系统中进行质疑，具体操作步骤和程序请参见服务指南&gt;交易须知&gt;在线异议、质疑和投诉操作手册；</w:t>
            </w:r>
          </w:p>
          <w:p w14:paraId="7EAA3051">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bCs w:val="0"/>
                <w:color w:val="auto"/>
                <w:sz w:val="24"/>
                <w:szCs w:val="18"/>
                <w:highlight w:val="none"/>
              </w:rPr>
            </w:pPr>
            <w:r>
              <w:rPr>
                <w:rFonts w:hint="eastAsia" w:ascii="宋体" w:hAnsi="宋体" w:eastAsia="宋体"/>
                <w:b w:val="0"/>
                <w:color w:val="auto"/>
                <w:sz w:val="24"/>
                <w:highlight w:val="none"/>
              </w:rPr>
              <w:t>接收部门：</w:t>
            </w:r>
            <w:r>
              <w:rPr>
                <w:rFonts w:hint="eastAsia" w:ascii="宋体" w:hAnsi="宋体" w:eastAsia="宋体"/>
                <w:color w:val="auto"/>
                <w:sz w:val="24"/>
                <w:highlight w:val="none"/>
                <w:u w:val="single"/>
                <w:lang w:eastAsia="zh-CN"/>
              </w:rPr>
              <w:t>滁州职业技术学院</w:t>
            </w:r>
            <w:r>
              <w:rPr>
                <w:rFonts w:hint="eastAsia" w:ascii="宋体" w:hAnsi="宋体" w:eastAsia="宋体"/>
                <w:color w:val="auto"/>
                <w:sz w:val="24"/>
                <w:highlight w:val="none"/>
                <w:u w:val="single"/>
              </w:rPr>
              <w:t>、滁州市城投工程咨询管理有限公司；</w:t>
            </w:r>
          </w:p>
          <w:p w14:paraId="79B1F1F3">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bCs w:val="0"/>
                <w:color w:val="auto"/>
                <w:sz w:val="24"/>
                <w:szCs w:val="18"/>
                <w:highlight w:val="none"/>
              </w:rPr>
            </w:pPr>
            <w:r>
              <w:rPr>
                <w:rFonts w:hint="default" w:ascii="宋体" w:hAnsi="宋体" w:eastAsia="宋体"/>
                <w:b w:val="0"/>
                <w:color w:val="auto"/>
                <w:sz w:val="24"/>
                <w:highlight w:val="none"/>
              </w:rPr>
              <w:t>联系电话：</w:t>
            </w:r>
            <w:r>
              <w:rPr>
                <w:rFonts w:hint="eastAsia" w:ascii="宋体" w:hAnsi="宋体" w:eastAsia="宋体"/>
                <w:color w:val="auto"/>
                <w:sz w:val="24"/>
                <w:highlight w:val="none"/>
                <w:u w:val="single"/>
                <w:lang w:eastAsia="zh-CN"/>
              </w:rPr>
              <w:t>0550-3854662</w:t>
            </w:r>
            <w:r>
              <w:rPr>
                <w:rFonts w:hint="eastAsia" w:ascii="宋体" w:hAnsi="宋体" w:eastAsia="宋体"/>
                <w:color w:val="auto"/>
                <w:sz w:val="24"/>
                <w:highlight w:val="none"/>
                <w:u w:val="single"/>
              </w:rPr>
              <w:t>、0550-3519517；</w:t>
            </w:r>
          </w:p>
          <w:p w14:paraId="03EC460B">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通讯地址：</w:t>
            </w:r>
            <w:r>
              <w:rPr>
                <w:rFonts w:hint="eastAsia" w:ascii="宋体" w:hAnsi="宋体" w:eastAsia="宋体"/>
                <w:color w:val="auto"/>
                <w:sz w:val="24"/>
                <w:highlight w:val="none"/>
                <w:u w:val="single"/>
                <w:lang w:eastAsia="zh-CN"/>
              </w:rPr>
              <w:t>安徽省滁州市丰乐大道2188号</w:t>
            </w:r>
            <w:r>
              <w:rPr>
                <w:rFonts w:hint="eastAsia" w:ascii="宋体" w:hAnsi="宋体" w:eastAsia="宋体"/>
                <w:color w:val="auto"/>
                <w:sz w:val="24"/>
                <w:highlight w:val="none"/>
                <w:u w:val="single"/>
              </w:rPr>
              <w:t>、滁州市龙蟠大道109号房产商务大厦6楼605室。</w:t>
            </w:r>
          </w:p>
        </w:tc>
      </w:tr>
      <w:tr w14:paraId="7D9A9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noWrap w:val="0"/>
            <w:vAlign w:val="center"/>
          </w:tcPr>
          <w:p w14:paraId="6654BA52">
            <w:pPr>
              <w:pStyle w:val="53"/>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32</w:t>
            </w:r>
          </w:p>
        </w:tc>
        <w:tc>
          <w:tcPr>
            <w:tcW w:w="1174" w:type="pct"/>
            <w:noWrap w:val="0"/>
            <w:vAlign w:val="center"/>
          </w:tcPr>
          <w:p w14:paraId="22F51EEF">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其他内容</w:t>
            </w:r>
          </w:p>
        </w:tc>
        <w:tc>
          <w:tcPr>
            <w:tcW w:w="3244" w:type="pct"/>
            <w:noWrap w:val="0"/>
            <w:vAlign w:val="center"/>
          </w:tcPr>
          <w:p w14:paraId="0575084E">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1.解释权：</w:t>
            </w:r>
          </w:p>
          <w:p w14:paraId="4808647F">
            <w:pPr>
              <w:keepNext w:val="0"/>
              <w:keepLines w:val="0"/>
              <w:suppressLineNumbers w:val="0"/>
              <w:spacing w:before="0" w:beforeAutospacing="0" w:after="0" w:afterAutospacing="0" w:line="360" w:lineRule="auto"/>
              <w:ind w:left="0" w:right="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（1）</w:t>
            </w:r>
            <w:r>
              <w:rPr>
                <w:rFonts w:hint="default" w:ascii="宋体" w:hAnsi="宋体" w:eastAsia="宋体"/>
                <w:bCs/>
                <w:color w:val="auto"/>
                <w:sz w:val="24"/>
                <w:szCs w:val="24"/>
                <w:highlight w:val="none"/>
              </w:rPr>
              <w:t>构成本招标文件的各个组成文件应互为解释，互为说明；</w:t>
            </w:r>
          </w:p>
          <w:p w14:paraId="5D60CED8">
            <w:pPr>
              <w:keepNext w:val="0"/>
              <w:keepLines w:val="0"/>
              <w:suppressLineNumbers w:val="0"/>
              <w:spacing w:before="0" w:beforeAutospacing="0" w:after="0" w:afterAutospacing="0" w:line="360" w:lineRule="auto"/>
              <w:ind w:left="0" w:right="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（2）</w:t>
            </w:r>
            <w:r>
              <w:rPr>
                <w:rFonts w:hint="default" w:ascii="宋体" w:hAnsi="宋体" w:eastAsia="宋体"/>
                <w:bCs/>
                <w:color w:val="auto"/>
                <w:sz w:val="24"/>
                <w:szCs w:val="24"/>
                <w:highlight w:val="none"/>
              </w:rPr>
              <w:t>同一组成文件中就同一事项的规定或约定不一致的，以编排顺序在后者为准；</w:t>
            </w:r>
          </w:p>
          <w:p w14:paraId="63A7BE58">
            <w:pPr>
              <w:keepNext w:val="0"/>
              <w:keepLines w:val="0"/>
              <w:suppressLineNumbers w:val="0"/>
              <w:spacing w:before="0" w:beforeAutospacing="0" w:after="0" w:afterAutospacing="0" w:line="360" w:lineRule="auto"/>
              <w:ind w:left="0" w:right="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（3）</w:t>
            </w:r>
            <w:r>
              <w:rPr>
                <w:rFonts w:hint="default" w:ascii="宋体" w:hAnsi="宋体" w:eastAsia="宋体"/>
                <w:bCs/>
                <w:color w:val="auto"/>
                <w:sz w:val="24"/>
                <w:szCs w:val="24"/>
                <w:highlight w:val="none"/>
              </w:rPr>
              <w:t>如有不明确或不一致，构成合同文件组成内容的，以合同文件约定内容为准，且以专用合同条款约定的合同文件优先顺序解释；</w:t>
            </w:r>
          </w:p>
          <w:p w14:paraId="01270A73">
            <w:pPr>
              <w:keepNext w:val="0"/>
              <w:keepLines w:val="0"/>
              <w:suppressLineNumbers w:val="0"/>
              <w:spacing w:before="0" w:beforeAutospacing="0" w:after="0" w:afterAutospacing="0" w:line="360" w:lineRule="auto"/>
              <w:ind w:left="0" w:right="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（4）</w:t>
            </w:r>
            <w:r>
              <w:rPr>
                <w:rFonts w:hint="default" w:ascii="宋体" w:hAnsi="宋体" w:eastAsia="宋体"/>
                <w:bCs/>
                <w:color w:val="auto"/>
                <w:sz w:val="24"/>
                <w:szCs w:val="24"/>
                <w:highlight w:val="none"/>
              </w:rPr>
              <w:t>除招标文件中有特别规定外，仅适用于招标投标阶段的规定，按招标公告、</w:t>
            </w:r>
            <w:r>
              <w:rPr>
                <w:rFonts w:hint="eastAsia" w:ascii="宋体" w:hAnsi="宋体" w:eastAsia="宋体"/>
                <w:bCs/>
                <w:color w:val="auto"/>
                <w:sz w:val="24"/>
                <w:szCs w:val="24"/>
                <w:highlight w:val="none"/>
              </w:rPr>
              <w:t>投标邀请、</w:t>
            </w:r>
            <w:r>
              <w:rPr>
                <w:rFonts w:hint="default" w:ascii="宋体" w:hAnsi="宋体" w:eastAsia="宋体"/>
                <w:bCs/>
                <w:color w:val="auto"/>
                <w:sz w:val="24"/>
                <w:szCs w:val="24"/>
                <w:highlight w:val="none"/>
              </w:rPr>
              <w:t>投标人须知、评标</w:t>
            </w:r>
            <w:r>
              <w:rPr>
                <w:rFonts w:hint="eastAsia" w:ascii="宋体" w:hAnsi="宋体" w:eastAsia="宋体"/>
                <w:bCs/>
                <w:color w:val="auto"/>
                <w:sz w:val="24"/>
                <w:szCs w:val="24"/>
                <w:highlight w:val="none"/>
              </w:rPr>
              <w:t>方</w:t>
            </w:r>
            <w:r>
              <w:rPr>
                <w:rFonts w:hint="default" w:ascii="宋体" w:hAnsi="宋体" w:eastAsia="宋体"/>
                <w:bCs/>
                <w:color w:val="auto"/>
                <w:sz w:val="24"/>
                <w:szCs w:val="24"/>
                <w:highlight w:val="none"/>
              </w:rPr>
              <w:t>法</w:t>
            </w:r>
            <w:r>
              <w:rPr>
                <w:rFonts w:hint="eastAsia" w:ascii="宋体" w:hAnsi="宋体" w:eastAsia="宋体"/>
                <w:bCs/>
                <w:color w:val="auto"/>
                <w:sz w:val="24"/>
                <w:szCs w:val="24"/>
                <w:highlight w:val="none"/>
              </w:rPr>
              <w:t>和标准</w:t>
            </w:r>
            <w:r>
              <w:rPr>
                <w:rFonts w:hint="default" w:ascii="宋体" w:hAnsi="宋体" w:eastAsia="宋体"/>
                <w:bCs/>
                <w:color w:val="auto"/>
                <w:sz w:val="24"/>
                <w:szCs w:val="24"/>
                <w:highlight w:val="none"/>
              </w:rPr>
              <w:t>、投标文件格式的先后顺序解释；</w:t>
            </w:r>
          </w:p>
          <w:p w14:paraId="79BD126D">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kern w:val="2"/>
                <w:sz w:val="24"/>
                <w:szCs w:val="24"/>
                <w:highlight w:val="none"/>
              </w:rPr>
            </w:pPr>
            <w:r>
              <w:rPr>
                <w:rFonts w:hint="eastAsia" w:ascii="宋体" w:hAnsi="宋体" w:eastAsia="宋体"/>
                <w:b w:val="0"/>
                <w:color w:val="auto"/>
                <w:kern w:val="2"/>
                <w:sz w:val="24"/>
                <w:szCs w:val="24"/>
                <w:highlight w:val="none"/>
              </w:rPr>
              <w:t>（5）</w:t>
            </w:r>
            <w:r>
              <w:rPr>
                <w:rFonts w:hint="default" w:ascii="宋体" w:hAnsi="宋体" w:eastAsia="宋体"/>
                <w:b w:val="0"/>
                <w:color w:val="auto"/>
                <w:kern w:val="2"/>
                <w:sz w:val="24"/>
                <w:szCs w:val="24"/>
                <w:highlight w:val="none"/>
              </w:rPr>
              <w:t>按本款前述规定仍不能形成结论的，由</w:t>
            </w:r>
            <w:r>
              <w:rPr>
                <w:rFonts w:hint="eastAsia" w:ascii="宋体" w:hAnsi="宋体" w:eastAsia="宋体"/>
                <w:b w:val="0"/>
                <w:color w:val="auto"/>
                <w:kern w:val="2"/>
                <w:sz w:val="24"/>
                <w:szCs w:val="24"/>
                <w:highlight w:val="none"/>
              </w:rPr>
              <w:t>采购</w:t>
            </w:r>
            <w:r>
              <w:rPr>
                <w:rFonts w:hint="default" w:ascii="宋体" w:hAnsi="宋体" w:eastAsia="宋体"/>
                <w:b w:val="0"/>
                <w:color w:val="auto"/>
                <w:kern w:val="2"/>
                <w:sz w:val="24"/>
                <w:szCs w:val="24"/>
                <w:highlight w:val="none"/>
              </w:rPr>
              <w:t>人负责解释。</w:t>
            </w:r>
          </w:p>
          <w:p w14:paraId="1B5663EF">
            <w:pPr>
              <w:keepNext w:val="0"/>
              <w:keepLines w:val="0"/>
              <w:suppressLineNumbers w:val="0"/>
              <w:spacing w:before="0" w:beforeAutospacing="0" w:after="0" w:afterAutospacing="0" w:line="360" w:lineRule="auto"/>
              <w:ind w:left="0" w:right="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2.“政采贷”融资指引：有融资需求的</w:t>
            </w:r>
            <w:r>
              <w:rPr>
                <w:rFonts w:hint="eastAsia" w:ascii="宋体" w:hAnsi="宋体" w:eastAsia="宋体" w:cs="宋体"/>
                <w:color w:val="auto"/>
                <w:sz w:val="24"/>
                <w:szCs w:val="24"/>
                <w:highlight w:val="none"/>
              </w:rPr>
              <w:t>中</w:t>
            </w:r>
            <w:r>
              <w:rPr>
                <w:rFonts w:hint="default" w:ascii="宋体" w:hAnsi="宋体" w:eastAsia="宋体" w:cs="宋体"/>
                <w:color w:val="auto"/>
                <w:sz w:val="24"/>
                <w:szCs w:val="24"/>
                <w:highlight w:val="none"/>
              </w:rPr>
              <w:t>标人</w:t>
            </w:r>
            <w:r>
              <w:rPr>
                <w:rFonts w:hint="eastAsia" w:ascii="宋体" w:hAnsi="宋体" w:eastAsia="宋体"/>
                <w:bCs/>
                <w:color w:val="auto"/>
                <w:sz w:val="24"/>
                <w:szCs w:val="24"/>
                <w:highlight w:val="none"/>
              </w:rPr>
              <w:t>在取得政府采购中标或成交通知书后，可访问安徽省政府采购网“政采贷”栏目，查看和联系第三方平台或者金融机构，商洽融资事项，确定融资意向。</w:t>
            </w:r>
            <w:r>
              <w:rPr>
                <w:rFonts w:hint="eastAsia" w:ascii="宋体" w:hAnsi="宋体" w:eastAsia="宋体" w:cs="宋体"/>
                <w:color w:val="auto"/>
                <w:sz w:val="24"/>
                <w:szCs w:val="24"/>
                <w:highlight w:val="none"/>
              </w:rPr>
              <w:t>中</w:t>
            </w:r>
            <w:r>
              <w:rPr>
                <w:rFonts w:hint="default" w:ascii="宋体" w:hAnsi="宋体" w:eastAsia="宋体" w:cs="宋体"/>
                <w:color w:val="auto"/>
                <w:sz w:val="24"/>
                <w:szCs w:val="24"/>
                <w:highlight w:val="none"/>
              </w:rPr>
              <w:t>标人</w:t>
            </w:r>
            <w:r>
              <w:rPr>
                <w:rFonts w:hint="eastAsia" w:ascii="宋体" w:hAnsi="宋体" w:eastAsia="宋体"/>
                <w:bCs/>
                <w:color w:val="auto"/>
                <w:sz w:val="24"/>
                <w:szCs w:val="24"/>
                <w:highlight w:val="none"/>
              </w:rPr>
              <w:t>签署政府采购中标（成交）合同后，登录“徽采云”金融服务模块，选择意向产品进行申请，并填写相关信息，“徽采云”金融服务模块将</w:t>
            </w:r>
            <w:r>
              <w:rPr>
                <w:rFonts w:hint="eastAsia" w:ascii="宋体" w:hAnsi="宋体" w:eastAsia="宋体" w:cs="宋体"/>
                <w:color w:val="auto"/>
                <w:sz w:val="24"/>
                <w:szCs w:val="24"/>
                <w:highlight w:val="none"/>
              </w:rPr>
              <w:t>中</w:t>
            </w:r>
            <w:r>
              <w:rPr>
                <w:rFonts w:hint="default" w:ascii="宋体" w:hAnsi="宋体" w:eastAsia="宋体" w:cs="宋体"/>
                <w:color w:val="auto"/>
                <w:sz w:val="24"/>
                <w:szCs w:val="24"/>
                <w:highlight w:val="none"/>
              </w:rPr>
              <w:t>标人</w:t>
            </w:r>
            <w:r>
              <w:rPr>
                <w:rFonts w:hint="eastAsia" w:ascii="宋体" w:hAnsi="宋体" w:eastAsia="宋体"/>
                <w:bCs/>
                <w:color w:val="auto"/>
                <w:sz w:val="24"/>
                <w:szCs w:val="24"/>
                <w:highlight w:val="none"/>
              </w:rPr>
              <w:t>融资申请信息推送第三方平台、意向金融机构。</w:t>
            </w:r>
          </w:p>
          <w:p w14:paraId="58A748C4">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kern w:val="2"/>
                <w:sz w:val="24"/>
                <w:szCs w:val="24"/>
                <w:highlight w:val="none"/>
              </w:rPr>
            </w:pPr>
            <w:r>
              <w:rPr>
                <w:rFonts w:hint="eastAsia" w:ascii="宋体" w:hAnsi="宋体" w:eastAsia="宋体"/>
                <w:b w:val="0"/>
                <w:color w:val="auto"/>
                <w:kern w:val="2"/>
                <w:sz w:val="24"/>
                <w:szCs w:val="24"/>
                <w:highlight w:val="none"/>
              </w:rPr>
              <w:t>3.电子保函指引：中标人可访问安徽省政府采购网“融资/保函”栏目，申请办理电子保函（包括：履约保函、预付款保函）。</w:t>
            </w:r>
          </w:p>
          <w:p w14:paraId="5F2A6BAB">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kern w:val="2"/>
                <w:sz w:val="24"/>
                <w:szCs w:val="24"/>
                <w:highlight w:val="none"/>
              </w:rPr>
            </w:pPr>
            <w:r>
              <w:rPr>
                <w:rFonts w:hint="eastAsia" w:ascii="宋体" w:hAnsi="宋体" w:eastAsia="宋体"/>
                <w:b w:val="0"/>
                <w:color w:val="auto"/>
                <w:kern w:val="2"/>
                <w:sz w:val="24"/>
                <w:szCs w:val="24"/>
                <w:highlight w:val="none"/>
              </w:rPr>
              <w:t>4.部分可提供线下政采贷的金融机构：</w:t>
            </w:r>
          </w:p>
          <w:p w14:paraId="465EC5F3">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kern w:val="2"/>
                <w:sz w:val="24"/>
                <w:szCs w:val="24"/>
                <w:highlight w:val="none"/>
              </w:rPr>
            </w:pPr>
            <w:r>
              <w:rPr>
                <w:rFonts w:hint="eastAsia" w:ascii="宋体" w:hAnsi="宋体" w:eastAsia="宋体"/>
                <w:b w:val="0"/>
                <w:color w:val="auto"/>
                <w:kern w:val="2"/>
                <w:sz w:val="24"/>
                <w:szCs w:val="24"/>
                <w:highlight w:val="none"/>
              </w:rPr>
              <w:t>市本级</w:t>
            </w:r>
          </w:p>
          <w:p w14:paraId="288545ED">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kern w:val="2"/>
                <w:sz w:val="24"/>
                <w:szCs w:val="24"/>
                <w:highlight w:val="none"/>
              </w:rPr>
            </w:pPr>
            <w:r>
              <w:rPr>
                <w:rFonts w:hint="eastAsia" w:ascii="宋体" w:hAnsi="宋体" w:eastAsia="宋体"/>
                <w:b w:val="0"/>
                <w:color w:val="auto"/>
                <w:kern w:val="2"/>
                <w:sz w:val="24"/>
                <w:szCs w:val="24"/>
                <w:highlight w:val="none"/>
              </w:rPr>
              <w:t>金融机构名称：兴业银行滁州分行</w:t>
            </w:r>
          </w:p>
          <w:p w14:paraId="118E93CD">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kern w:val="2"/>
                <w:sz w:val="24"/>
                <w:szCs w:val="24"/>
                <w:highlight w:val="none"/>
              </w:rPr>
            </w:pPr>
            <w:r>
              <w:rPr>
                <w:rFonts w:hint="eastAsia" w:ascii="宋体" w:hAnsi="宋体" w:eastAsia="宋体"/>
                <w:b w:val="0"/>
                <w:color w:val="auto"/>
                <w:kern w:val="2"/>
                <w:sz w:val="24"/>
                <w:szCs w:val="24"/>
                <w:highlight w:val="none"/>
              </w:rPr>
              <w:t>安徽省滁州市琅琊区丰乐大道1090号</w:t>
            </w:r>
          </w:p>
          <w:p w14:paraId="5D1B5551">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kern w:val="2"/>
                <w:sz w:val="24"/>
                <w:szCs w:val="24"/>
                <w:highlight w:val="none"/>
              </w:rPr>
            </w:pPr>
            <w:r>
              <w:rPr>
                <w:rFonts w:hint="eastAsia" w:ascii="宋体" w:hAnsi="宋体" w:eastAsia="宋体"/>
                <w:b w:val="0"/>
                <w:color w:val="auto"/>
                <w:kern w:val="2"/>
                <w:sz w:val="24"/>
                <w:szCs w:val="24"/>
                <w:highlight w:val="none"/>
              </w:rPr>
              <w:t>伏庚：17755080811。</w:t>
            </w:r>
          </w:p>
          <w:p w14:paraId="7C506512">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kern w:val="2"/>
                <w:sz w:val="24"/>
                <w:szCs w:val="24"/>
                <w:highlight w:val="none"/>
              </w:rPr>
            </w:pPr>
            <w:r>
              <w:rPr>
                <w:rFonts w:hint="eastAsia" w:ascii="宋体" w:hAnsi="宋体" w:eastAsia="宋体"/>
                <w:b w:val="0"/>
                <w:color w:val="auto"/>
                <w:kern w:val="2"/>
                <w:sz w:val="24"/>
                <w:szCs w:val="24"/>
                <w:highlight w:val="none"/>
              </w:rPr>
              <w:t>5.特别提示：</w:t>
            </w:r>
          </w:p>
          <w:p w14:paraId="7F42E04E">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kern w:val="2"/>
                <w:sz w:val="24"/>
                <w:szCs w:val="24"/>
                <w:highlight w:val="none"/>
              </w:rPr>
            </w:pPr>
            <w:r>
              <w:rPr>
                <w:rFonts w:hint="eastAsia" w:ascii="宋体" w:hAnsi="宋体" w:eastAsia="宋体"/>
                <w:b w:val="0"/>
                <w:color w:val="auto"/>
                <w:kern w:val="2"/>
                <w:sz w:val="24"/>
                <w:szCs w:val="24"/>
                <w:highlight w:val="none"/>
              </w:rPr>
              <w:t>（1）投标人应填写投标信息并下载招标文件，否则无法上传投标文件。</w:t>
            </w:r>
          </w:p>
          <w:p w14:paraId="785CACB6">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kern w:val="2"/>
                <w:sz w:val="24"/>
                <w:szCs w:val="24"/>
                <w:highlight w:val="none"/>
              </w:rPr>
            </w:pPr>
            <w:r>
              <w:rPr>
                <w:rFonts w:hint="eastAsia" w:ascii="宋体" w:hAnsi="宋体" w:eastAsia="宋体"/>
                <w:b w:val="0"/>
                <w:color w:val="auto"/>
                <w:kern w:val="2"/>
                <w:sz w:val="24"/>
                <w:szCs w:val="24"/>
                <w:highlight w:val="none"/>
              </w:rPr>
              <w:t>注：投标人如为联合体的，牵头人必须完善投标人信息，并在上传投标文件环节添加联合体投标信息。</w:t>
            </w:r>
          </w:p>
          <w:p w14:paraId="5A46926F">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kern w:val="2"/>
                <w:sz w:val="24"/>
                <w:szCs w:val="24"/>
                <w:highlight w:val="none"/>
              </w:rPr>
            </w:pPr>
            <w:r>
              <w:rPr>
                <w:rFonts w:hint="eastAsia" w:ascii="宋体" w:hAnsi="宋体" w:eastAsia="宋体"/>
                <w:b w:val="0"/>
                <w:color w:val="auto"/>
                <w:kern w:val="2"/>
                <w:sz w:val="24"/>
                <w:szCs w:val="24"/>
                <w:highlight w:val="none"/>
              </w:rPr>
              <w:t>（2）本项目采用电子招标投标，请投标人在滁州市公共资源交易中心网&gt;服务指南&gt;软件下载栏目点击下载投标文件制作工具。投标人需采用最新版投标文件制作工具。软件运行需在国际互联网络通畅状态，投标人需注意更新，以免造成投标文件制作错误，如因此导致评标委员会否决其投标，责任自负。如有技术问题请联系0550-3801701，0512-58188516。</w:t>
            </w:r>
          </w:p>
          <w:p w14:paraId="6CB700BE">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kern w:val="2"/>
                <w:sz w:val="24"/>
                <w:szCs w:val="24"/>
                <w:highlight w:val="none"/>
              </w:rPr>
            </w:pPr>
            <w:r>
              <w:rPr>
                <w:rFonts w:hint="eastAsia" w:ascii="宋体" w:hAnsi="宋体" w:eastAsia="宋体"/>
                <w:b w:val="0"/>
                <w:color w:val="auto"/>
                <w:kern w:val="2"/>
                <w:sz w:val="24"/>
                <w:szCs w:val="24"/>
                <w:highlight w:val="none"/>
              </w:rPr>
              <w:t>（3）如果过程中出现招标文件更改，应以最后发布的招标答疑澄清文件中的模板制作本项目最新投标文件。</w:t>
            </w:r>
          </w:p>
          <w:p w14:paraId="21C1B919">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kern w:val="2"/>
                <w:sz w:val="24"/>
                <w:szCs w:val="24"/>
                <w:highlight w:val="none"/>
              </w:rPr>
            </w:pPr>
            <w:r>
              <w:rPr>
                <w:rFonts w:hint="eastAsia" w:ascii="宋体" w:hAnsi="宋体" w:eastAsia="宋体"/>
                <w:b w:val="0"/>
                <w:color w:val="auto"/>
                <w:kern w:val="2"/>
                <w:sz w:val="24"/>
                <w:szCs w:val="24"/>
                <w:highlight w:val="none"/>
              </w:rPr>
              <w:t xml:space="preserve">（4）投标人应当用本单位CA数字证书制作投标文件，制作成功后进行投标文件上传。 </w:t>
            </w:r>
          </w:p>
          <w:p w14:paraId="0DDFFD72">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kern w:val="2"/>
                <w:sz w:val="24"/>
                <w:szCs w:val="24"/>
                <w:highlight w:val="none"/>
              </w:rPr>
            </w:pPr>
            <w:r>
              <w:rPr>
                <w:rFonts w:hint="eastAsia" w:ascii="宋体" w:hAnsi="宋体" w:eastAsia="宋体"/>
                <w:b w:val="0"/>
                <w:color w:val="auto"/>
                <w:kern w:val="2"/>
                <w:sz w:val="24"/>
                <w:szCs w:val="24"/>
                <w:highlight w:val="none"/>
              </w:rPr>
              <w:t>（5）投标人须用CA数字证书盖章和加密投标文件，建议使用主锁。（如未办理CA数字证书请及时办理，网上办理和窗口办理均可。查看办理所需资料请登录滁州市公共资源交易中心网&gt;服务指南&gt;办事指南&gt;CA数字证书和电子签章。因未及时办理CA数字证书手续导致无法投标的，责任自负。</w:t>
            </w:r>
          </w:p>
          <w:p w14:paraId="57CC3396">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kern w:val="2"/>
                <w:sz w:val="24"/>
                <w:szCs w:val="24"/>
                <w:highlight w:val="none"/>
              </w:rPr>
            </w:pPr>
            <w:r>
              <w:rPr>
                <w:rFonts w:hint="eastAsia" w:ascii="宋体" w:hAnsi="宋体" w:eastAsia="宋体"/>
                <w:b w:val="0"/>
                <w:color w:val="auto"/>
                <w:kern w:val="2"/>
                <w:sz w:val="24"/>
                <w:szCs w:val="24"/>
                <w:highlight w:val="none"/>
              </w:rPr>
              <w:t>（6）请投标人注意加密投标文件CA数字证书的有效期，不在有效期的CA数字证书无法解密投标文件。</w:t>
            </w:r>
          </w:p>
          <w:p w14:paraId="1F0A040C">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kern w:val="2"/>
                <w:sz w:val="24"/>
                <w:szCs w:val="24"/>
                <w:highlight w:val="none"/>
              </w:rPr>
            </w:pPr>
            <w:r>
              <w:rPr>
                <w:rFonts w:hint="eastAsia" w:ascii="宋体" w:hAnsi="宋体" w:eastAsia="宋体"/>
                <w:b w:val="0"/>
                <w:color w:val="auto"/>
                <w:kern w:val="2"/>
                <w:sz w:val="24"/>
                <w:szCs w:val="24"/>
                <w:highlight w:val="none"/>
              </w:rPr>
              <w:t>（7）投标人投标MAC地址或投标人联系人或联系电话相同的，由评标委员会否决其投标，并报告监管部门作不良行为处理和进一步调查。</w:t>
            </w:r>
          </w:p>
          <w:p w14:paraId="1A6F68CB">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kern w:val="2"/>
                <w:sz w:val="24"/>
                <w:szCs w:val="24"/>
                <w:highlight w:val="none"/>
              </w:rPr>
            </w:pPr>
            <w:r>
              <w:rPr>
                <w:rFonts w:hint="eastAsia" w:ascii="宋体" w:hAnsi="宋体" w:eastAsia="宋体"/>
                <w:b w:val="0"/>
                <w:color w:val="auto"/>
                <w:kern w:val="2"/>
                <w:sz w:val="24"/>
                <w:szCs w:val="24"/>
                <w:highlight w:val="none"/>
              </w:rPr>
              <w:t>（8）投标人单方面出现其他投标人材料的，由评标委员会否决其投标。</w:t>
            </w:r>
          </w:p>
          <w:p w14:paraId="34ADE398">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kern w:val="2"/>
                <w:sz w:val="24"/>
                <w:szCs w:val="24"/>
                <w:highlight w:val="none"/>
              </w:rPr>
            </w:pPr>
            <w:r>
              <w:rPr>
                <w:rFonts w:hint="eastAsia" w:ascii="宋体" w:hAnsi="宋体" w:eastAsia="宋体"/>
                <w:b w:val="0"/>
                <w:color w:val="auto"/>
                <w:kern w:val="2"/>
                <w:sz w:val="24"/>
                <w:szCs w:val="24"/>
                <w:highlight w:val="none"/>
              </w:rPr>
              <w:t>（9）评标时查询投标文件制作机器码、文件创建标识码及造价软件加密锁号。若存在投标文件制作机器码或创建标识码或造价软件加密锁号信息与其他投标人雷同的，由评标委员会否决其投标，依法依规予以处理。</w:t>
            </w:r>
          </w:p>
          <w:p w14:paraId="69F02EB7">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kern w:val="2"/>
                <w:sz w:val="24"/>
                <w:szCs w:val="24"/>
                <w:highlight w:val="none"/>
              </w:rPr>
            </w:pPr>
            <w:r>
              <w:rPr>
                <w:rFonts w:hint="eastAsia" w:ascii="宋体" w:hAnsi="宋体" w:eastAsia="宋体"/>
                <w:b w:val="0"/>
                <w:color w:val="auto"/>
                <w:kern w:val="2"/>
                <w:sz w:val="24"/>
                <w:szCs w:val="24"/>
                <w:highlight w:val="none"/>
              </w:rPr>
              <w:t>（10）电子加密投标文件上传到系统后，需要投标企业和招标代理公司到开标截止时间后共同解锁，不存在商务报价等投标信息通过系统泄密的风险；投标截止时间前，已上传的投标文件也可以撤回修改。集中到开标截止时间前上传电子加密投标文件，可能出现由于投标企业制作电子投标文件不熟练、网络拥堵等不可预知的情况而且无法及时解决，丧失投标机会，请各投标企业提前制作、上传电子加密投标文件，否则由于无法及时上传电子加密投标文件而废标或无效投标的情况，责任自负！</w:t>
            </w:r>
          </w:p>
          <w:p w14:paraId="0943E4D6">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kern w:val="2"/>
                <w:sz w:val="24"/>
                <w:szCs w:val="24"/>
                <w:highlight w:val="none"/>
              </w:rPr>
            </w:pPr>
            <w:r>
              <w:rPr>
                <w:rFonts w:hint="eastAsia" w:ascii="宋体" w:hAnsi="宋体" w:eastAsia="宋体"/>
                <w:b w:val="0"/>
                <w:color w:val="auto"/>
                <w:kern w:val="2"/>
                <w:sz w:val="24"/>
                <w:szCs w:val="24"/>
                <w:highlight w:val="none"/>
              </w:rPr>
              <w:t>6.评标过程中的澄清、说明或补正：</w:t>
            </w:r>
          </w:p>
          <w:p w14:paraId="5C493705">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kern w:val="2"/>
                <w:sz w:val="24"/>
                <w:szCs w:val="24"/>
                <w:highlight w:val="none"/>
              </w:rPr>
            </w:pPr>
            <w:r>
              <w:rPr>
                <w:rFonts w:hint="eastAsia" w:ascii="宋体" w:hAnsi="宋体" w:eastAsia="宋体"/>
                <w:b w:val="0"/>
                <w:color w:val="auto"/>
                <w:kern w:val="2"/>
                <w:sz w:val="24"/>
                <w:szCs w:val="24"/>
                <w:highlight w:val="none"/>
              </w:rPr>
              <w:t>（1）评标委员会通过网上招投标系统将需要澄清、说明或补正的内容以询标函的形式发送给投标人，投标人应安排专人登录网上招投标系统并保持在线状态，以便及时接收评标委员会可能发出的询标函。</w:t>
            </w:r>
          </w:p>
          <w:p w14:paraId="37F61F28">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kern w:val="2"/>
                <w:sz w:val="24"/>
                <w:szCs w:val="24"/>
                <w:highlight w:val="none"/>
              </w:rPr>
            </w:pPr>
            <w:r>
              <w:rPr>
                <w:rFonts w:hint="eastAsia" w:ascii="宋体" w:hAnsi="宋体" w:eastAsia="宋体"/>
                <w:b w:val="0"/>
                <w:color w:val="auto"/>
                <w:kern w:val="2"/>
                <w:sz w:val="24"/>
                <w:szCs w:val="24"/>
                <w:highlight w:val="none"/>
              </w:rPr>
              <w:t>（2）因投标人未登录网上招投标系统导致无法及时接收询标函（远程网上询标）或未在规定时间内按评标委员会要求进行澄清、说明或补正内容的视同投标人放弃澄清、说明或补正内容的权利，评标委员会可按对投标人不利的解释进行判定。</w:t>
            </w:r>
          </w:p>
          <w:p w14:paraId="67CDE1F2">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kern w:val="2"/>
                <w:sz w:val="24"/>
                <w:szCs w:val="24"/>
                <w:highlight w:val="none"/>
              </w:rPr>
            </w:pPr>
            <w:r>
              <w:rPr>
                <w:rFonts w:hint="eastAsia" w:ascii="宋体" w:hAnsi="宋体" w:eastAsia="宋体"/>
                <w:b w:val="0"/>
                <w:color w:val="auto"/>
                <w:kern w:val="2"/>
                <w:sz w:val="24"/>
                <w:szCs w:val="24"/>
                <w:highlight w:val="none"/>
              </w:rPr>
              <w:t>7.同义词语：</w:t>
            </w:r>
          </w:p>
          <w:p w14:paraId="0A2840B6">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kern w:val="2"/>
                <w:sz w:val="24"/>
                <w:szCs w:val="24"/>
                <w:highlight w:val="none"/>
              </w:rPr>
            </w:pPr>
            <w:r>
              <w:rPr>
                <w:rFonts w:hint="eastAsia" w:ascii="宋体" w:hAnsi="宋体" w:eastAsia="宋体"/>
                <w:b w:val="0"/>
                <w:color w:val="auto"/>
                <w:kern w:val="2"/>
                <w:sz w:val="24"/>
                <w:szCs w:val="24"/>
                <w:highlight w:val="none"/>
              </w:rPr>
              <w:t>招标文件第六章  投标文件格式、附件1“关于联合惩戒失信行为 加强信用查询管理的通知”等章节中 “招标人”、“供应商”，等同于“采购人”、“投标人”。</w:t>
            </w:r>
          </w:p>
          <w:p w14:paraId="24E2C84A">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kern w:val="2"/>
                <w:sz w:val="24"/>
                <w:szCs w:val="24"/>
                <w:highlight w:val="none"/>
              </w:rPr>
            </w:pPr>
            <w:r>
              <w:rPr>
                <w:rFonts w:hint="eastAsia" w:ascii="宋体" w:hAnsi="宋体" w:eastAsia="宋体"/>
                <w:b w:val="0"/>
                <w:color w:val="auto"/>
                <w:kern w:val="2"/>
                <w:sz w:val="24"/>
                <w:szCs w:val="24"/>
                <w:highlight w:val="none"/>
              </w:rPr>
              <w:t>8.落实政府采购支持节能产品、环境标志产品政策。</w:t>
            </w:r>
          </w:p>
          <w:p w14:paraId="601BC9F7">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kern w:val="2"/>
                <w:sz w:val="24"/>
                <w:szCs w:val="24"/>
                <w:highlight w:val="none"/>
              </w:rPr>
            </w:pPr>
            <w:r>
              <w:rPr>
                <w:rFonts w:hint="eastAsia" w:ascii="宋体" w:hAnsi="宋体" w:eastAsia="宋体"/>
                <w:b w:val="0"/>
                <w:color w:val="auto"/>
                <w:kern w:val="2"/>
                <w:sz w:val="24"/>
                <w:szCs w:val="24"/>
                <w:highlight w:val="none"/>
              </w:rPr>
              <w:t>9.系统中提供的表格与采购文件中不一致时，以采购文件中提供的表格格式为准。</w:t>
            </w:r>
          </w:p>
        </w:tc>
      </w:tr>
    </w:tbl>
    <w:p w14:paraId="3CBB9131">
      <w:pPr>
        <w:spacing w:line="360" w:lineRule="auto"/>
        <w:jc w:val="center"/>
        <w:outlineLvl w:val="1"/>
        <w:rPr>
          <w:rFonts w:hint="eastAsia" w:ascii="宋体" w:hAnsi="宋体" w:eastAsia="宋体"/>
          <w:b/>
          <w:color w:val="auto"/>
          <w:sz w:val="24"/>
          <w:highlight w:val="none"/>
        </w:rPr>
      </w:pPr>
      <w:r>
        <w:rPr>
          <w:rFonts w:ascii="宋体" w:hAnsi="宋体" w:eastAsia="宋体"/>
          <w:b/>
          <w:color w:val="auto"/>
          <w:sz w:val="28"/>
          <w:highlight w:val="none"/>
        </w:rPr>
        <w:br w:type="page"/>
      </w:r>
      <w:bookmarkStart w:id="10" w:name="_Toc14880"/>
      <w:bookmarkStart w:id="11" w:name="_Toc24882"/>
      <w:r>
        <w:rPr>
          <w:rFonts w:hint="eastAsia" w:ascii="宋体" w:hAnsi="宋体" w:eastAsia="宋体"/>
          <w:b/>
          <w:color w:val="auto"/>
          <w:sz w:val="24"/>
          <w:szCs w:val="24"/>
          <w:highlight w:val="none"/>
        </w:rPr>
        <w:t>二、</w:t>
      </w:r>
      <w:r>
        <w:rPr>
          <w:rFonts w:ascii="宋体" w:hAnsi="宋体" w:eastAsia="宋体"/>
          <w:b/>
          <w:color w:val="auto"/>
          <w:sz w:val="24"/>
          <w:szCs w:val="24"/>
          <w:highlight w:val="none"/>
        </w:rPr>
        <w:t>投标人须知</w:t>
      </w:r>
      <w:r>
        <w:rPr>
          <w:rFonts w:hint="eastAsia" w:ascii="宋体" w:hAnsi="宋体" w:eastAsia="宋体"/>
          <w:b/>
          <w:color w:val="auto"/>
          <w:sz w:val="24"/>
          <w:szCs w:val="24"/>
          <w:highlight w:val="none"/>
        </w:rPr>
        <w:t>正文</w:t>
      </w:r>
      <w:bookmarkEnd w:id="10"/>
      <w:bookmarkEnd w:id="11"/>
    </w:p>
    <w:p w14:paraId="45EF4078">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1.采购人、采购代理机构及投标人</w:t>
      </w:r>
    </w:p>
    <w:p w14:paraId="2B62B61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.1采购人：是指依法开展政府采购活动的国家机关、事业单位、团体组织。</w:t>
      </w:r>
    </w:p>
    <w:p w14:paraId="1A7BA6F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.2采购代理机构：是指集中采购机构或从事采购代理业务的社会中介机构。</w:t>
      </w:r>
    </w:p>
    <w:p w14:paraId="19DC45E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.3政府采购监督管理部门：</w:t>
      </w:r>
      <w:r>
        <w:rPr>
          <w:rFonts w:hint="eastAsia" w:ascii="宋体" w:hAnsi="宋体" w:eastAsia="宋体"/>
          <w:color w:val="auto"/>
          <w:sz w:val="24"/>
          <w:highlight w:val="none"/>
        </w:rPr>
        <w:t>各级人民政府指定的有关部门依法履行与政府采购活动有关的监督管理职责。</w:t>
      </w:r>
    </w:p>
    <w:p w14:paraId="2A17088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.4投标人：是指向采购人提供货物、工程或者服务的法人、</w:t>
      </w:r>
      <w:r>
        <w:rPr>
          <w:rFonts w:hint="eastAsia" w:ascii="宋体" w:hAnsi="宋体" w:eastAsia="宋体"/>
          <w:color w:val="auto"/>
          <w:sz w:val="24"/>
          <w:highlight w:val="none"/>
        </w:rPr>
        <w:t>其他</w:t>
      </w:r>
      <w:r>
        <w:rPr>
          <w:rFonts w:ascii="宋体" w:hAnsi="宋体" w:eastAsia="宋体"/>
          <w:color w:val="auto"/>
          <w:sz w:val="24"/>
          <w:highlight w:val="none"/>
        </w:rPr>
        <w:t>组织或者自然人。</w:t>
      </w:r>
      <w:r>
        <w:rPr>
          <w:rFonts w:hint="eastAsia" w:ascii="宋体" w:hAnsi="宋体" w:eastAsia="宋体"/>
          <w:color w:val="auto"/>
          <w:sz w:val="24"/>
          <w:highlight w:val="none"/>
        </w:rPr>
        <w:t>分支机构不得参加政府采购活动，但银行、保险、石油石化、电力、电信等特殊行业除外。</w:t>
      </w:r>
      <w:r>
        <w:rPr>
          <w:rFonts w:ascii="宋体" w:hAnsi="宋体" w:eastAsia="宋体"/>
          <w:color w:val="auto"/>
          <w:sz w:val="24"/>
          <w:highlight w:val="none"/>
        </w:rPr>
        <w:t>本项目的投标人须满足以下条件：</w:t>
      </w:r>
    </w:p>
    <w:p w14:paraId="311E62EC">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w:t>
      </w:r>
      <w:r>
        <w:rPr>
          <w:rFonts w:hint="eastAsia" w:ascii="宋体" w:hAnsi="宋体" w:eastAsia="宋体"/>
          <w:color w:val="auto"/>
          <w:sz w:val="24"/>
          <w:highlight w:val="none"/>
        </w:rPr>
        <w:t>1</w:t>
      </w:r>
      <w:r>
        <w:rPr>
          <w:rFonts w:ascii="宋体" w:hAnsi="宋体" w:eastAsia="宋体"/>
          <w:color w:val="auto"/>
          <w:sz w:val="24"/>
          <w:highlight w:val="none"/>
        </w:rPr>
        <w:t>具备《中华人民共和国政府采购法》第二十二条关于供应商条件的规定，遵守本项目采购人本级和上级财政部门政府采购的有关规定。</w:t>
      </w:r>
    </w:p>
    <w:p w14:paraId="291469C8">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w:t>
      </w:r>
      <w:r>
        <w:rPr>
          <w:rFonts w:hint="eastAsia" w:ascii="宋体" w:hAnsi="宋体" w:eastAsia="宋体"/>
          <w:color w:val="auto"/>
          <w:sz w:val="24"/>
          <w:highlight w:val="none"/>
        </w:rPr>
        <w:t>2</w:t>
      </w:r>
      <w:r>
        <w:rPr>
          <w:rFonts w:ascii="宋体" w:hAnsi="宋体" w:eastAsia="宋体"/>
          <w:color w:val="auto"/>
          <w:sz w:val="24"/>
          <w:highlight w:val="none"/>
        </w:rPr>
        <w:t>以采购代理机构认可的方式获得了本项目的招标文件。</w:t>
      </w:r>
    </w:p>
    <w:p w14:paraId="74E6A7C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w:t>
      </w:r>
      <w:r>
        <w:rPr>
          <w:rFonts w:hint="eastAsia" w:ascii="宋体" w:hAnsi="宋体" w:eastAsia="宋体"/>
          <w:color w:val="auto"/>
          <w:sz w:val="24"/>
          <w:highlight w:val="none"/>
        </w:rPr>
        <w:t>3</w:t>
      </w:r>
      <w:r>
        <w:rPr>
          <w:rFonts w:ascii="宋体" w:hAnsi="宋体" w:eastAsia="宋体"/>
          <w:color w:val="auto"/>
          <w:sz w:val="24"/>
          <w:highlight w:val="none"/>
        </w:rPr>
        <w:t>若</w:t>
      </w:r>
      <w:r>
        <w:rPr>
          <w:rFonts w:hint="eastAsia" w:ascii="宋体" w:hAnsi="宋体" w:eastAsia="宋体"/>
          <w:color w:val="auto"/>
          <w:sz w:val="24"/>
          <w:highlight w:val="none"/>
        </w:rPr>
        <w:t>采购需求</w:t>
      </w:r>
      <w:r>
        <w:rPr>
          <w:rFonts w:ascii="宋体" w:hAnsi="宋体" w:eastAsia="宋体"/>
          <w:color w:val="auto"/>
          <w:sz w:val="24"/>
          <w:highlight w:val="none"/>
        </w:rPr>
        <w:t>中写明允许采购进口产品，投标人应保证所投产品可履行合法报通关手续进入中国关境内。</w:t>
      </w:r>
    </w:p>
    <w:p w14:paraId="231721D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若采购需求中未写明允许采购进口产品，如投标人所投产品为进口产品，其投标将被认定为</w:t>
      </w:r>
      <w:r>
        <w:rPr>
          <w:rFonts w:hint="eastAsia" w:ascii="宋体" w:hAnsi="宋体" w:eastAsia="宋体"/>
          <w:b/>
          <w:color w:val="auto"/>
          <w:sz w:val="24"/>
          <w:highlight w:val="none"/>
        </w:rPr>
        <w:t>投标无效</w:t>
      </w:r>
      <w:r>
        <w:rPr>
          <w:rFonts w:hint="eastAsia" w:ascii="宋体" w:hAnsi="宋体" w:eastAsia="宋体"/>
          <w:color w:val="auto"/>
          <w:sz w:val="24"/>
          <w:highlight w:val="none"/>
        </w:rPr>
        <w:t>。</w:t>
      </w:r>
    </w:p>
    <w:p w14:paraId="4C2A033F">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w:t>
      </w:r>
      <w:r>
        <w:rPr>
          <w:rFonts w:hint="eastAsia" w:ascii="宋体" w:hAnsi="宋体" w:eastAsia="宋体"/>
          <w:color w:val="auto"/>
          <w:sz w:val="24"/>
          <w:highlight w:val="none"/>
        </w:rPr>
        <w:t>若招标公告</w:t>
      </w:r>
      <w:r>
        <w:rPr>
          <w:rFonts w:ascii="宋体" w:hAnsi="宋体" w:eastAsia="宋体"/>
          <w:color w:val="auto"/>
          <w:sz w:val="24"/>
          <w:highlight w:val="none"/>
        </w:rPr>
        <w:t>中允许联合体投标，对联合体规定如下：</w:t>
      </w:r>
    </w:p>
    <w:p w14:paraId="5A95B6C6">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5.1两个以上供应商可以组成一个投标联合体，以一个投标人的身份投标。联合体投标的，</w:t>
      </w:r>
      <w:r>
        <w:rPr>
          <w:rFonts w:hint="eastAsia" w:ascii="宋体" w:hAnsi="宋体" w:eastAsia="宋体"/>
          <w:color w:val="auto"/>
          <w:sz w:val="24"/>
          <w:highlight w:val="none"/>
        </w:rPr>
        <w:t>招标文件获取</w:t>
      </w:r>
      <w:r>
        <w:rPr>
          <w:rFonts w:ascii="宋体" w:hAnsi="宋体" w:eastAsia="宋体"/>
          <w:color w:val="auto"/>
          <w:sz w:val="24"/>
          <w:highlight w:val="none"/>
        </w:rPr>
        <w:t>手续由联合体</w:t>
      </w:r>
      <w:r>
        <w:rPr>
          <w:rFonts w:hint="eastAsia" w:ascii="宋体" w:hAnsi="宋体" w:eastAsia="宋体"/>
          <w:color w:val="auto"/>
          <w:sz w:val="24"/>
          <w:highlight w:val="none"/>
        </w:rPr>
        <w:t>中</w:t>
      </w:r>
      <w:r>
        <w:rPr>
          <w:rFonts w:ascii="宋体" w:hAnsi="宋体" w:eastAsia="宋体"/>
          <w:color w:val="auto"/>
          <w:sz w:val="24"/>
          <w:highlight w:val="none"/>
        </w:rPr>
        <w:t>任</w:t>
      </w:r>
      <w:r>
        <w:rPr>
          <w:rFonts w:hint="eastAsia" w:ascii="宋体" w:hAnsi="宋体" w:eastAsia="宋体"/>
          <w:color w:val="auto"/>
          <w:sz w:val="24"/>
          <w:highlight w:val="none"/>
        </w:rPr>
        <w:t>一成员单位</w:t>
      </w:r>
      <w:r>
        <w:rPr>
          <w:rFonts w:ascii="宋体" w:hAnsi="宋体" w:eastAsia="宋体"/>
          <w:color w:val="auto"/>
          <w:sz w:val="24"/>
          <w:highlight w:val="none"/>
        </w:rPr>
        <w:t>办理均可。</w:t>
      </w:r>
    </w:p>
    <w:p w14:paraId="1D3B7E0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5.2联合体各方均应符合《中华人民共和国政府采购法》第二十二条规定的条件。</w:t>
      </w:r>
    </w:p>
    <w:p w14:paraId="4C50938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5.3采购人根据采购项目对投标人的特殊要求，联合体中至少应当有一方符合相关规定。</w:t>
      </w:r>
    </w:p>
    <w:p w14:paraId="779FFC4F">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5.4联合体各方应签订</w:t>
      </w:r>
      <w:r>
        <w:rPr>
          <w:rFonts w:hint="eastAsia" w:ascii="宋体" w:hAnsi="宋体" w:eastAsia="宋体"/>
          <w:color w:val="auto"/>
          <w:sz w:val="24"/>
          <w:highlight w:val="none"/>
        </w:rPr>
        <w:t>联合协议</w:t>
      </w:r>
      <w:r>
        <w:rPr>
          <w:rFonts w:ascii="宋体" w:hAnsi="宋体" w:eastAsia="宋体"/>
          <w:color w:val="auto"/>
          <w:sz w:val="24"/>
          <w:highlight w:val="none"/>
        </w:rPr>
        <w:t>，明确约定联合体各方承担的工作和相应的责任，并将</w:t>
      </w:r>
      <w:r>
        <w:rPr>
          <w:rFonts w:hint="eastAsia" w:ascii="宋体" w:hAnsi="宋体" w:eastAsia="宋体"/>
          <w:color w:val="auto"/>
          <w:sz w:val="24"/>
          <w:highlight w:val="none"/>
        </w:rPr>
        <w:t>联合协议</w:t>
      </w:r>
      <w:r>
        <w:rPr>
          <w:rFonts w:ascii="宋体" w:hAnsi="宋体" w:eastAsia="宋体"/>
          <w:color w:val="auto"/>
          <w:sz w:val="24"/>
          <w:highlight w:val="none"/>
        </w:rPr>
        <w:t>作为投标文件</w:t>
      </w:r>
      <w:r>
        <w:rPr>
          <w:rFonts w:hint="eastAsia" w:ascii="宋体" w:hAnsi="宋体" w:eastAsia="宋体"/>
          <w:color w:val="auto"/>
          <w:sz w:val="24"/>
          <w:highlight w:val="none"/>
        </w:rPr>
        <w:t>的</w:t>
      </w:r>
      <w:r>
        <w:rPr>
          <w:rFonts w:ascii="宋体" w:hAnsi="宋体" w:eastAsia="宋体"/>
          <w:color w:val="auto"/>
          <w:sz w:val="24"/>
          <w:highlight w:val="none"/>
        </w:rPr>
        <w:t>一部分提交。</w:t>
      </w:r>
    </w:p>
    <w:p w14:paraId="778BBB3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5.5大中型企业、其他自然人、法人或者非法人组织与小型、微型企业组成联合体共同参加投标，</w:t>
      </w:r>
      <w:r>
        <w:rPr>
          <w:rFonts w:hint="eastAsia" w:ascii="宋体" w:hAnsi="宋体" w:eastAsia="宋体"/>
          <w:color w:val="auto"/>
          <w:sz w:val="24"/>
          <w:highlight w:val="none"/>
        </w:rPr>
        <w:t>联合协议中</w:t>
      </w:r>
      <w:r>
        <w:rPr>
          <w:rFonts w:ascii="宋体" w:hAnsi="宋体" w:eastAsia="宋体"/>
          <w:color w:val="auto"/>
          <w:sz w:val="24"/>
          <w:highlight w:val="none"/>
        </w:rPr>
        <w:t>应写明小型、微型企业的协议合同金额占到</w:t>
      </w:r>
      <w:r>
        <w:rPr>
          <w:rFonts w:hint="eastAsia" w:ascii="宋体" w:hAnsi="宋体" w:eastAsia="宋体"/>
          <w:color w:val="auto"/>
          <w:sz w:val="24"/>
          <w:highlight w:val="none"/>
        </w:rPr>
        <w:t>联合协议</w:t>
      </w:r>
      <w:r>
        <w:rPr>
          <w:rFonts w:ascii="宋体" w:hAnsi="宋体" w:eastAsia="宋体"/>
          <w:color w:val="auto"/>
          <w:sz w:val="24"/>
          <w:highlight w:val="none"/>
        </w:rPr>
        <w:t>投标总金额的比例。</w:t>
      </w:r>
    </w:p>
    <w:p w14:paraId="32777C7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5.6</w:t>
      </w:r>
      <w:r>
        <w:rPr>
          <w:rFonts w:hint="eastAsia" w:ascii="宋体" w:hAnsi="宋体" w:eastAsia="宋体"/>
          <w:color w:val="auto"/>
          <w:sz w:val="24"/>
          <w:highlight w:val="none"/>
        </w:rPr>
        <w:t>联合体中有同类资质的供应商按照联合体分工承担相同工作的，</w:t>
      </w:r>
      <w:r>
        <w:rPr>
          <w:rFonts w:ascii="宋体" w:hAnsi="宋体" w:eastAsia="宋体"/>
          <w:color w:val="auto"/>
          <w:sz w:val="24"/>
          <w:highlight w:val="none"/>
        </w:rPr>
        <w:t>应当按照</w:t>
      </w:r>
      <w:r>
        <w:rPr>
          <w:rFonts w:hint="eastAsia" w:ascii="宋体" w:hAnsi="宋体" w:eastAsia="宋体"/>
          <w:color w:val="auto"/>
          <w:sz w:val="24"/>
          <w:highlight w:val="none"/>
        </w:rPr>
        <w:t>资质等级较低的供应商确定资质等级。</w:t>
      </w:r>
    </w:p>
    <w:p w14:paraId="272CB6C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5.7以联合体形式参加政府采购活动的，联合体各方不得再单独参加或者与其他供应商另外组成联合体参加本项目投标，否则相关投标将被认定为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07664A78">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5.8对联合体投标的其他资格要求见</w:t>
      </w:r>
      <w:r>
        <w:rPr>
          <w:rFonts w:hint="eastAsia" w:ascii="宋体" w:hAnsi="宋体" w:eastAsia="宋体"/>
          <w:color w:val="auto"/>
          <w:sz w:val="24"/>
          <w:highlight w:val="none"/>
        </w:rPr>
        <w:t>申请人的资格要求</w:t>
      </w:r>
      <w:r>
        <w:rPr>
          <w:rFonts w:ascii="宋体" w:hAnsi="宋体" w:eastAsia="宋体"/>
          <w:color w:val="auto"/>
          <w:sz w:val="24"/>
          <w:highlight w:val="none"/>
        </w:rPr>
        <w:t>。</w:t>
      </w:r>
    </w:p>
    <w:p w14:paraId="464A554C">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2.资金落实情况</w:t>
      </w:r>
    </w:p>
    <w:p w14:paraId="6FBD6C1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.1</w:t>
      </w:r>
      <w:r>
        <w:rPr>
          <w:rFonts w:hint="eastAsia" w:ascii="宋体" w:hAnsi="宋体" w:eastAsia="宋体"/>
          <w:color w:val="auto"/>
          <w:sz w:val="24"/>
          <w:highlight w:val="none"/>
        </w:rPr>
        <w:t>本项目的采购人已获得足以支付本次招标后所签订的合同项下的资金。</w:t>
      </w:r>
    </w:p>
    <w:p w14:paraId="598262D4">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3.投标费用</w:t>
      </w:r>
    </w:p>
    <w:p w14:paraId="33EB907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不论投标的结果如何，投标人应承担所有与准备和参加投标有关的费用。</w:t>
      </w:r>
    </w:p>
    <w:p w14:paraId="7B3353C9">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4.适用法律</w:t>
      </w:r>
    </w:p>
    <w:p w14:paraId="03D81BD8">
      <w:pPr>
        <w:spacing w:line="360" w:lineRule="auto"/>
        <w:ind w:firstLine="435"/>
        <w:rPr>
          <w:rFonts w:hint="eastAsia" w:ascii="宋体" w:hAnsi="宋体" w:eastAsia="宋体"/>
          <w:b/>
          <w:color w:val="auto"/>
          <w:sz w:val="24"/>
          <w:highlight w:val="none"/>
        </w:rPr>
      </w:pPr>
      <w:r>
        <w:rPr>
          <w:rFonts w:hint="eastAsia" w:ascii="宋体" w:hAnsi="宋体" w:eastAsia="宋体"/>
          <w:color w:val="auto"/>
          <w:sz w:val="24"/>
          <w:highlight w:val="none"/>
        </w:rPr>
        <w:t>本项目采购人、采购代理机构、投标人、评标委员会的相关行为均受《中华人民共和国政府采购法》、《中华人民共和国政府采购法实施条例》及本项目本级和上级财政部门、政府采购监督管理部门的政府采购有关规定的约束，其权利受到上述法律法规的保护。</w:t>
      </w:r>
    </w:p>
    <w:p w14:paraId="0C44C735">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5.招标文件构成</w:t>
      </w:r>
    </w:p>
    <w:p w14:paraId="4FDC977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5.1招标文件包括下列内容：</w:t>
      </w:r>
    </w:p>
    <w:p w14:paraId="4AE9B87B">
      <w:pPr>
        <w:spacing w:line="360" w:lineRule="auto"/>
        <w:ind w:firstLine="840" w:firstLineChars="350"/>
        <w:rPr>
          <w:rFonts w:hint="eastAsia" w:ascii="宋体" w:hAnsi="宋体" w:eastAsia="宋体"/>
          <w:color w:val="auto"/>
          <w:sz w:val="24"/>
          <w:highlight w:val="none"/>
        </w:rPr>
      </w:pPr>
      <w:r>
        <w:rPr>
          <w:rFonts w:hint="eastAsia" w:ascii="宋体" w:hAnsi="宋体" w:eastAsia="宋体"/>
          <w:color w:val="auto"/>
          <w:sz w:val="24"/>
          <w:highlight w:val="none"/>
        </w:rPr>
        <w:t>第一章</w:t>
      </w:r>
      <w:r>
        <w:rPr>
          <w:rFonts w:ascii="宋体" w:hAnsi="宋体" w:eastAsia="宋体"/>
          <w:color w:val="auto"/>
          <w:sz w:val="24"/>
          <w:highlight w:val="none"/>
        </w:rPr>
        <w:t xml:space="preserve">  投标邀请</w:t>
      </w:r>
    </w:p>
    <w:p w14:paraId="11A71693">
      <w:pPr>
        <w:spacing w:line="360" w:lineRule="auto"/>
        <w:ind w:firstLine="840" w:firstLineChars="350"/>
        <w:rPr>
          <w:rFonts w:hint="eastAsia" w:ascii="宋体" w:hAnsi="宋体" w:eastAsia="宋体"/>
          <w:color w:val="auto"/>
          <w:sz w:val="24"/>
          <w:highlight w:val="none"/>
        </w:rPr>
      </w:pPr>
      <w:r>
        <w:rPr>
          <w:rFonts w:hint="eastAsia" w:ascii="宋体" w:hAnsi="宋体" w:eastAsia="宋体"/>
          <w:color w:val="auto"/>
          <w:sz w:val="24"/>
          <w:highlight w:val="none"/>
        </w:rPr>
        <w:t>第二章</w:t>
      </w:r>
      <w:r>
        <w:rPr>
          <w:rFonts w:ascii="宋体" w:hAnsi="宋体" w:eastAsia="宋体"/>
          <w:color w:val="auto"/>
          <w:sz w:val="24"/>
          <w:highlight w:val="none"/>
        </w:rPr>
        <w:t xml:space="preserve">  投标人须知</w:t>
      </w:r>
    </w:p>
    <w:p w14:paraId="12B85B52">
      <w:pPr>
        <w:spacing w:line="360" w:lineRule="auto"/>
        <w:ind w:firstLine="840" w:firstLineChars="350"/>
        <w:rPr>
          <w:rFonts w:hint="eastAsia" w:ascii="宋体" w:hAnsi="宋体" w:eastAsia="宋体"/>
          <w:color w:val="auto"/>
          <w:sz w:val="24"/>
          <w:highlight w:val="none"/>
        </w:rPr>
      </w:pPr>
      <w:r>
        <w:rPr>
          <w:rFonts w:hint="eastAsia" w:ascii="宋体" w:hAnsi="宋体" w:eastAsia="宋体"/>
          <w:color w:val="auto"/>
          <w:sz w:val="24"/>
          <w:highlight w:val="none"/>
        </w:rPr>
        <w:t>第三章</w:t>
      </w:r>
      <w:r>
        <w:rPr>
          <w:rFonts w:ascii="宋体" w:hAnsi="宋体" w:eastAsia="宋体"/>
          <w:color w:val="auto"/>
          <w:sz w:val="24"/>
          <w:highlight w:val="none"/>
        </w:rPr>
        <w:t xml:space="preserve">  采购需求</w:t>
      </w:r>
    </w:p>
    <w:p w14:paraId="12CB0478">
      <w:pPr>
        <w:spacing w:line="360" w:lineRule="auto"/>
        <w:ind w:firstLine="840" w:firstLineChars="350"/>
        <w:rPr>
          <w:rFonts w:hint="eastAsia" w:ascii="宋体" w:hAnsi="宋体" w:eastAsia="宋体"/>
          <w:color w:val="auto"/>
          <w:sz w:val="24"/>
          <w:highlight w:val="none"/>
        </w:rPr>
      </w:pPr>
      <w:r>
        <w:rPr>
          <w:rFonts w:hint="eastAsia" w:ascii="宋体" w:hAnsi="宋体" w:eastAsia="宋体"/>
          <w:color w:val="auto"/>
          <w:sz w:val="24"/>
          <w:highlight w:val="none"/>
        </w:rPr>
        <w:t>第四章</w:t>
      </w:r>
      <w:r>
        <w:rPr>
          <w:rFonts w:ascii="宋体" w:hAnsi="宋体" w:eastAsia="宋体"/>
          <w:color w:val="auto"/>
          <w:sz w:val="24"/>
          <w:highlight w:val="none"/>
        </w:rPr>
        <w:t xml:space="preserve">  评标</w:t>
      </w:r>
      <w:r>
        <w:rPr>
          <w:rFonts w:hint="eastAsia" w:ascii="宋体" w:hAnsi="宋体" w:eastAsia="宋体"/>
          <w:color w:val="auto"/>
          <w:sz w:val="24"/>
          <w:highlight w:val="none"/>
        </w:rPr>
        <w:t>方法</w:t>
      </w:r>
      <w:r>
        <w:rPr>
          <w:rFonts w:ascii="宋体" w:hAnsi="宋体" w:eastAsia="宋体"/>
          <w:color w:val="auto"/>
          <w:sz w:val="24"/>
          <w:highlight w:val="none"/>
        </w:rPr>
        <w:t>和标准</w:t>
      </w:r>
    </w:p>
    <w:p w14:paraId="1B165614">
      <w:pPr>
        <w:spacing w:line="360" w:lineRule="auto"/>
        <w:ind w:firstLine="840" w:firstLineChars="350"/>
        <w:rPr>
          <w:rFonts w:hint="eastAsia" w:ascii="宋体" w:hAnsi="宋体" w:eastAsia="宋体"/>
          <w:color w:val="auto"/>
          <w:sz w:val="24"/>
          <w:highlight w:val="none"/>
        </w:rPr>
      </w:pPr>
      <w:r>
        <w:rPr>
          <w:rFonts w:hint="eastAsia" w:ascii="宋体" w:hAnsi="宋体" w:eastAsia="宋体"/>
          <w:color w:val="auto"/>
          <w:sz w:val="24"/>
          <w:highlight w:val="none"/>
        </w:rPr>
        <w:t>第五章</w:t>
      </w:r>
      <w:r>
        <w:rPr>
          <w:rFonts w:ascii="宋体" w:hAnsi="宋体" w:eastAsia="宋体"/>
          <w:color w:val="auto"/>
          <w:sz w:val="24"/>
          <w:highlight w:val="none"/>
        </w:rPr>
        <w:t xml:space="preserve">  政府采购合同</w:t>
      </w:r>
    </w:p>
    <w:p w14:paraId="2538BFD9">
      <w:pPr>
        <w:spacing w:line="360" w:lineRule="auto"/>
        <w:ind w:firstLine="840" w:firstLineChars="350"/>
        <w:rPr>
          <w:rFonts w:hint="eastAsia" w:ascii="宋体" w:hAnsi="宋体" w:eastAsia="宋体"/>
          <w:color w:val="auto"/>
          <w:sz w:val="24"/>
          <w:highlight w:val="none"/>
        </w:rPr>
      </w:pPr>
      <w:r>
        <w:rPr>
          <w:rFonts w:hint="eastAsia" w:ascii="宋体" w:hAnsi="宋体" w:eastAsia="宋体"/>
          <w:color w:val="auto"/>
          <w:sz w:val="24"/>
          <w:highlight w:val="none"/>
        </w:rPr>
        <w:t>第六章</w:t>
      </w:r>
      <w:r>
        <w:rPr>
          <w:rFonts w:ascii="宋体" w:hAnsi="宋体" w:eastAsia="宋体"/>
          <w:color w:val="auto"/>
          <w:sz w:val="24"/>
          <w:highlight w:val="none"/>
        </w:rPr>
        <w:t xml:space="preserve">  投标文件格式</w:t>
      </w:r>
    </w:p>
    <w:p w14:paraId="0ADD7103">
      <w:pPr>
        <w:spacing w:line="360" w:lineRule="auto"/>
        <w:ind w:firstLine="840" w:firstLineChars="350"/>
        <w:rPr>
          <w:rFonts w:hint="eastAsia" w:ascii="宋体" w:hAnsi="宋体" w:eastAsia="宋体"/>
          <w:color w:val="auto"/>
          <w:sz w:val="24"/>
          <w:highlight w:val="none"/>
        </w:rPr>
      </w:pPr>
      <w:r>
        <w:rPr>
          <w:rFonts w:hint="eastAsia" w:ascii="宋体" w:hAnsi="宋体" w:eastAsia="宋体"/>
          <w:color w:val="auto"/>
          <w:sz w:val="24"/>
          <w:highlight w:val="none"/>
        </w:rPr>
        <w:t>第七章</w:t>
      </w:r>
      <w:r>
        <w:rPr>
          <w:rFonts w:ascii="宋体" w:hAnsi="宋体" w:eastAsia="宋体"/>
          <w:color w:val="auto"/>
          <w:sz w:val="24"/>
          <w:highlight w:val="none"/>
        </w:rPr>
        <w:t xml:space="preserve">  政府采购</w:t>
      </w:r>
      <w:r>
        <w:rPr>
          <w:rFonts w:hint="eastAsia" w:ascii="宋体" w:hAnsi="宋体" w:eastAsia="宋体"/>
          <w:color w:val="auto"/>
          <w:sz w:val="24"/>
          <w:highlight w:val="none"/>
        </w:rPr>
        <w:t>询问函和</w:t>
      </w:r>
      <w:r>
        <w:rPr>
          <w:rFonts w:ascii="宋体" w:hAnsi="宋体" w:eastAsia="宋体"/>
          <w:color w:val="auto"/>
          <w:sz w:val="24"/>
          <w:highlight w:val="none"/>
        </w:rPr>
        <w:t>质疑函范本</w:t>
      </w:r>
    </w:p>
    <w:p w14:paraId="6C23332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5</w:t>
      </w: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现场</w:t>
      </w:r>
      <w:r>
        <w:rPr>
          <w:rFonts w:hint="eastAsia" w:ascii="宋体" w:hAnsi="宋体" w:eastAsia="宋体"/>
          <w:color w:val="auto"/>
          <w:sz w:val="24"/>
          <w:highlight w:val="none"/>
        </w:rPr>
        <w:t>考察（标前答疑会）</w:t>
      </w:r>
      <w:r>
        <w:rPr>
          <w:rFonts w:ascii="宋体" w:hAnsi="宋体" w:eastAsia="宋体"/>
          <w:color w:val="auto"/>
          <w:sz w:val="24"/>
          <w:highlight w:val="none"/>
        </w:rPr>
        <w:t>及相关事项见</w:t>
      </w:r>
      <w:r>
        <w:rPr>
          <w:rFonts w:ascii="宋体" w:hAnsi="宋体" w:eastAsia="宋体"/>
          <w:color w:val="auto"/>
          <w:sz w:val="24"/>
          <w:highlight w:val="none"/>
          <w:u w:val="single"/>
        </w:rPr>
        <w:t>投标</w:t>
      </w:r>
      <w:r>
        <w:rPr>
          <w:rFonts w:hint="eastAsia" w:ascii="宋体" w:hAnsi="宋体" w:eastAsia="宋体"/>
          <w:color w:val="auto"/>
          <w:sz w:val="24"/>
          <w:highlight w:val="none"/>
          <w:u w:val="single"/>
        </w:rPr>
        <w:t>人</w:t>
      </w:r>
      <w:r>
        <w:rPr>
          <w:rFonts w:ascii="宋体" w:hAnsi="宋体" w:eastAsia="宋体"/>
          <w:color w:val="auto"/>
          <w:sz w:val="24"/>
          <w:highlight w:val="none"/>
          <w:u w:val="single"/>
        </w:rPr>
        <w:t>须知前附表</w:t>
      </w:r>
      <w:r>
        <w:rPr>
          <w:rFonts w:ascii="宋体" w:hAnsi="宋体" w:eastAsia="宋体"/>
          <w:color w:val="auto"/>
          <w:sz w:val="24"/>
          <w:highlight w:val="none"/>
        </w:rPr>
        <w:t>。</w:t>
      </w:r>
    </w:p>
    <w:p w14:paraId="2E333770">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5</w:t>
      </w:r>
      <w:r>
        <w:rPr>
          <w:rFonts w:ascii="宋体" w:hAnsi="宋体" w:eastAsia="宋体"/>
          <w:color w:val="auto"/>
          <w:sz w:val="24"/>
          <w:highlight w:val="none"/>
        </w:rPr>
        <w:t>.</w:t>
      </w:r>
      <w:r>
        <w:rPr>
          <w:rFonts w:hint="eastAsia" w:ascii="宋体" w:hAnsi="宋体" w:eastAsia="宋体"/>
          <w:color w:val="auto"/>
          <w:sz w:val="24"/>
          <w:highlight w:val="none"/>
        </w:rPr>
        <w:t>3</w:t>
      </w:r>
      <w:r>
        <w:rPr>
          <w:rFonts w:ascii="宋体" w:hAnsi="宋体" w:eastAsia="宋体"/>
          <w:color w:val="auto"/>
          <w:sz w:val="24"/>
          <w:highlight w:val="none"/>
        </w:rPr>
        <w:t>原则上采购人、采购代理机构不要求投标人提供样品。仅凭书面方式不能准确描述采购需求，或者需要对样品进行主观判断以确认是否满足采购需求等特殊情况除外。</w:t>
      </w:r>
    </w:p>
    <w:p w14:paraId="2FD3E932">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如需提供样品，对样品相关要求见</w:t>
      </w:r>
      <w:r>
        <w:rPr>
          <w:rFonts w:hint="eastAsia" w:ascii="宋体" w:hAnsi="宋体" w:eastAsia="宋体"/>
          <w:color w:val="auto"/>
          <w:sz w:val="24"/>
          <w:highlight w:val="none"/>
        </w:rPr>
        <w:t>采购需求</w:t>
      </w:r>
      <w:r>
        <w:rPr>
          <w:rFonts w:ascii="宋体" w:hAnsi="宋体" w:eastAsia="宋体"/>
          <w:color w:val="auto"/>
          <w:sz w:val="24"/>
          <w:highlight w:val="none"/>
        </w:rPr>
        <w:t>，对样品的评审方法及评审标准见招标文件第</w:t>
      </w:r>
      <w:r>
        <w:rPr>
          <w:rFonts w:hint="eastAsia" w:ascii="宋体" w:hAnsi="宋体" w:eastAsia="宋体"/>
          <w:color w:val="auto"/>
          <w:sz w:val="24"/>
          <w:highlight w:val="none"/>
        </w:rPr>
        <w:t>四</w:t>
      </w:r>
      <w:r>
        <w:rPr>
          <w:rFonts w:ascii="宋体" w:hAnsi="宋体" w:eastAsia="宋体"/>
          <w:color w:val="auto"/>
          <w:sz w:val="24"/>
          <w:highlight w:val="none"/>
        </w:rPr>
        <w:t>章。</w:t>
      </w:r>
    </w:p>
    <w:p w14:paraId="62868F5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5</w:t>
      </w: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投标人应认真阅读招标文件所有的事项、格式、条款和技术规范等。</w:t>
      </w:r>
    </w:p>
    <w:p w14:paraId="3CA40877">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6.招标文件的澄清与修改</w:t>
      </w:r>
    </w:p>
    <w:p w14:paraId="3CB9A7D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6</w:t>
      </w:r>
      <w:r>
        <w:rPr>
          <w:rFonts w:ascii="宋体" w:hAnsi="宋体" w:eastAsia="宋体"/>
          <w:color w:val="auto"/>
          <w:sz w:val="24"/>
          <w:highlight w:val="none"/>
        </w:rPr>
        <w:t>.</w:t>
      </w:r>
      <w:r>
        <w:rPr>
          <w:rFonts w:hint="eastAsia" w:ascii="宋体" w:hAnsi="宋体" w:eastAsia="宋体"/>
          <w:color w:val="auto"/>
          <w:sz w:val="24"/>
          <w:highlight w:val="none"/>
        </w:rPr>
        <w:t>1</w:t>
      </w:r>
      <w:r>
        <w:rPr>
          <w:rFonts w:ascii="宋体" w:hAnsi="宋体" w:eastAsia="宋体"/>
          <w:color w:val="auto"/>
          <w:sz w:val="24"/>
          <w:highlight w:val="none"/>
        </w:rPr>
        <w:t>投标人如对招标文件内容有疑问，</w:t>
      </w:r>
      <w:r>
        <w:rPr>
          <w:rFonts w:hint="eastAsia" w:ascii="宋体" w:hAnsi="宋体" w:eastAsia="宋体"/>
          <w:color w:val="auto"/>
          <w:sz w:val="24"/>
          <w:highlight w:val="none"/>
        </w:rPr>
        <w:t>可</w:t>
      </w:r>
      <w:r>
        <w:rPr>
          <w:rFonts w:ascii="宋体" w:hAnsi="宋体" w:eastAsia="宋体"/>
          <w:color w:val="auto"/>
          <w:sz w:val="24"/>
          <w:highlight w:val="none"/>
        </w:rPr>
        <w:t>在</w:t>
      </w:r>
      <w:r>
        <w:rPr>
          <w:rFonts w:ascii="宋体" w:hAnsi="宋体" w:eastAsia="宋体"/>
          <w:color w:val="auto"/>
          <w:sz w:val="24"/>
          <w:highlight w:val="none"/>
          <w:u w:val="single"/>
        </w:rPr>
        <w:t>投标人须知前附表</w:t>
      </w:r>
      <w:r>
        <w:rPr>
          <w:rFonts w:ascii="宋体" w:hAnsi="宋体" w:eastAsia="宋体"/>
          <w:color w:val="auto"/>
          <w:sz w:val="24"/>
          <w:highlight w:val="none"/>
        </w:rPr>
        <w:t>规定的</w:t>
      </w:r>
      <w:r>
        <w:rPr>
          <w:rFonts w:hint="eastAsia" w:ascii="宋体" w:hAnsi="宋体" w:eastAsia="宋体"/>
          <w:color w:val="auto"/>
          <w:sz w:val="24"/>
          <w:highlight w:val="none"/>
        </w:rPr>
        <w:t>网上询问</w:t>
      </w:r>
      <w:r>
        <w:rPr>
          <w:rFonts w:ascii="宋体" w:hAnsi="宋体" w:eastAsia="宋体"/>
          <w:color w:val="auto"/>
          <w:sz w:val="24"/>
          <w:highlight w:val="none"/>
        </w:rPr>
        <w:t>截止时间前提交给采购代理机构。</w:t>
      </w:r>
    </w:p>
    <w:p w14:paraId="28A165D8">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6</w:t>
      </w:r>
      <w:r>
        <w:rPr>
          <w:rFonts w:ascii="宋体" w:hAnsi="宋体" w:eastAsia="宋体"/>
          <w:color w:val="auto"/>
          <w:sz w:val="24"/>
          <w:highlight w:val="none"/>
        </w:rPr>
        <w:t>.</w:t>
      </w:r>
      <w:r>
        <w:rPr>
          <w:rFonts w:hint="eastAsia" w:ascii="宋体" w:hAnsi="宋体" w:eastAsia="宋体"/>
          <w:color w:val="auto"/>
          <w:sz w:val="24"/>
          <w:highlight w:val="none"/>
        </w:rPr>
        <w:t>2采购人可主动地或在答复投标人提出的询问时对招标文件进行澄清与修改。</w:t>
      </w:r>
      <w:r>
        <w:rPr>
          <w:rFonts w:ascii="宋体" w:hAnsi="宋体" w:eastAsia="宋体"/>
          <w:color w:val="auto"/>
          <w:sz w:val="24"/>
          <w:highlight w:val="none"/>
        </w:rPr>
        <w:t>采购代理机构将</w:t>
      </w:r>
      <w:r>
        <w:rPr>
          <w:rFonts w:hint="eastAsia" w:ascii="宋体" w:hAnsi="宋体" w:eastAsia="宋体"/>
          <w:color w:val="auto"/>
          <w:sz w:val="24"/>
          <w:highlight w:val="none"/>
        </w:rPr>
        <w:t>在安徽省政府采购网和滁州市公共资源交易中心网以发布更正公告的方式</w:t>
      </w:r>
      <w:r>
        <w:rPr>
          <w:rFonts w:ascii="宋体" w:hAnsi="宋体" w:eastAsia="宋体"/>
          <w:color w:val="auto"/>
          <w:sz w:val="24"/>
          <w:highlight w:val="none"/>
        </w:rPr>
        <w:t>，</w:t>
      </w:r>
      <w:r>
        <w:rPr>
          <w:rFonts w:hint="eastAsia" w:ascii="宋体" w:hAnsi="宋体" w:eastAsia="宋体"/>
          <w:color w:val="auto"/>
          <w:sz w:val="24"/>
          <w:highlight w:val="none"/>
        </w:rPr>
        <w:t>澄清或修改招标文件，更正公告的</w:t>
      </w:r>
      <w:r>
        <w:rPr>
          <w:rFonts w:ascii="宋体" w:hAnsi="宋体" w:eastAsia="宋体"/>
          <w:color w:val="auto"/>
          <w:sz w:val="24"/>
          <w:highlight w:val="none"/>
        </w:rPr>
        <w:t>内容</w:t>
      </w:r>
      <w:r>
        <w:rPr>
          <w:rFonts w:hint="eastAsia" w:ascii="宋体" w:hAnsi="宋体" w:eastAsia="宋体"/>
          <w:color w:val="auto"/>
          <w:sz w:val="24"/>
          <w:highlight w:val="none"/>
        </w:rPr>
        <w:t>作</w:t>
      </w:r>
      <w:r>
        <w:rPr>
          <w:rFonts w:ascii="宋体" w:hAnsi="宋体" w:eastAsia="宋体"/>
          <w:color w:val="auto"/>
          <w:sz w:val="24"/>
          <w:highlight w:val="none"/>
        </w:rPr>
        <w:t>为招标文件</w:t>
      </w:r>
      <w:r>
        <w:rPr>
          <w:rFonts w:hint="eastAsia" w:ascii="宋体" w:hAnsi="宋体" w:eastAsia="宋体"/>
          <w:color w:val="auto"/>
          <w:sz w:val="24"/>
          <w:highlight w:val="none"/>
        </w:rPr>
        <w:t>的</w:t>
      </w:r>
      <w:r>
        <w:rPr>
          <w:rFonts w:ascii="宋体" w:hAnsi="宋体" w:eastAsia="宋体"/>
          <w:color w:val="auto"/>
          <w:sz w:val="24"/>
          <w:highlight w:val="none"/>
        </w:rPr>
        <w:t>组成部分，对投标人起约束作用</w:t>
      </w:r>
      <w:r>
        <w:rPr>
          <w:rFonts w:hint="eastAsia" w:ascii="宋体" w:hAnsi="宋体" w:eastAsia="宋体"/>
          <w:color w:val="auto"/>
          <w:sz w:val="24"/>
          <w:highlight w:val="none"/>
        </w:rPr>
        <w:t>。投标人应主动上网查询。采购代理机构不承担投标人未及时关注相关信息引发的相关责任。</w:t>
      </w:r>
    </w:p>
    <w:p w14:paraId="0521C1E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1D695552">
      <w:pPr>
        <w:spacing w:line="360" w:lineRule="auto"/>
        <w:ind w:firstLine="435"/>
        <w:rPr>
          <w:rFonts w:hint="eastAsia" w:ascii="宋体" w:hAnsi="宋体" w:eastAsia="宋体"/>
          <w:i/>
          <w:iCs/>
          <w:color w:val="auto"/>
          <w:sz w:val="24"/>
          <w:highlight w:val="none"/>
        </w:rPr>
      </w:pPr>
      <w:r>
        <w:rPr>
          <w:rFonts w:hint="eastAsia" w:ascii="宋体" w:hAnsi="宋体" w:eastAsia="宋体"/>
          <w:color w:val="auto"/>
          <w:sz w:val="24"/>
          <w:highlight w:val="none"/>
        </w:rPr>
        <w:t>6</w:t>
      </w: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对于没有提出</w:t>
      </w:r>
      <w:r>
        <w:rPr>
          <w:rFonts w:hint="eastAsia" w:ascii="宋体" w:hAnsi="宋体" w:eastAsia="宋体"/>
          <w:color w:val="auto"/>
          <w:sz w:val="24"/>
          <w:highlight w:val="none"/>
        </w:rPr>
        <w:t>疑问</w:t>
      </w:r>
      <w:r>
        <w:rPr>
          <w:rFonts w:ascii="宋体" w:hAnsi="宋体" w:eastAsia="宋体"/>
          <w:color w:val="auto"/>
          <w:sz w:val="24"/>
          <w:highlight w:val="none"/>
        </w:rPr>
        <w:t>又参与了</w:t>
      </w:r>
      <w:r>
        <w:rPr>
          <w:rFonts w:hint="eastAsia" w:ascii="宋体" w:hAnsi="宋体" w:eastAsia="宋体"/>
          <w:color w:val="auto"/>
          <w:sz w:val="24"/>
          <w:highlight w:val="none"/>
        </w:rPr>
        <w:t>本</w:t>
      </w:r>
      <w:r>
        <w:rPr>
          <w:rFonts w:ascii="宋体" w:hAnsi="宋体" w:eastAsia="宋体"/>
          <w:color w:val="auto"/>
          <w:sz w:val="24"/>
          <w:highlight w:val="none"/>
        </w:rPr>
        <w:t>项目投标的</w:t>
      </w:r>
      <w:r>
        <w:rPr>
          <w:rFonts w:hint="eastAsia" w:ascii="宋体" w:hAnsi="宋体" w:eastAsia="宋体"/>
          <w:color w:val="auto"/>
          <w:sz w:val="24"/>
          <w:highlight w:val="none"/>
        </w:rPr>
        <w:t>投标人</w:t>
      </w:r>
      <w:r>
        <w:rPr>
          <w:rFonts w:ascii="宋体" w:hAnsi="宋体" w:eastAsia="宋体"/>
          <w:color w:val="auto"/>
          <w:sz w:val="24"/>
          <w:highlight w:val="none"/>
        </w:rPr>
        <w:t>将被视为完全认同</w:t>
      </w:r>
      <w:r>
        <w:rPr>
          <w:rFonts w:hint="eastAsia" w:ascii="宋体" w:hAnsi="宋体" w:eastAsia="宋体"/>
          <w:color w:val="auto"/>
          <w:sz w:val="24"/>
          <w:highlight w:val="none"/>
        </w:rPr>
        <w:t>本</w:t>
      </w:r>
      <w:r>
        <w:rPr>
          <w:rFonts w:ascii="宋体" w:hAnsi="宋体" w:eastAsia="宋体"/>
          <w:color w:val="auto"/>
          <w:sz w:val="24"/>
          <w:highlight w:val="none"/>
        </w:rPr>
        <w:t>招标文件（含</w:t>
      </w:r>
      <w:r>
        <w:rPr>
          <w:rFonts w:hint="eastAsia" w:ascii="宋体" w:hAnsi="宋体" w:eastAsia="宋体"/>
          <w:color w:val="auto"/>
          <w:sz w:val="24"/>
          <w:highlight w:val="none"/>
        </w:rPr>
        <w:t>更正公告的</w:t>
      </w:r>
      <w:r>
        <w:rPr>
          <w:rFonts w:ascii="宋体" w:hAnsi="宋体" w:eastAsia="宋体"/>
          <w:color w:val="auto"/>
          <w:sz w:val="24"/>
          <w:highlight w:val="none"/>
        </w:rPr>
        <w:t>内容）</w:t>
      </w:r>
      <w:r>
        <w:rPr>
          <w:rFonts w:hint="eastAsia" w:ascii="宋体" w:hAnsi="宋体" w:eastAsia="宋体"/>
          <w:i/>
          <w:color w:val="auto"/>
          <w:sz w:val="24"/>
          <w:highlight w:val="none"/>
        </w:rPr>
        <w:t>。</w:t>
      </w:r>
    </w:p>
    <w:p w14:paraId="0D396EDC">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7.投标范围及投标文件中标准和计量单位的使用</w:t>
      </w:r>
    </w:p>
    <w:p w14:paraId="00693AF0">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7</w:t>
      </w:r>
      <w:r>
        <w:rPr>
          <w:rFonts w:ascii="宋体" w:hAnsi="宋体" w:eastAsia="宋体"/>
          <w:color w:val="auto"/>
          <w:sz w:val="24"/>
          <w:highlight w:val="none"/>
        </w:rPr>
        <w:t>.1项目有分包的，投标人可对招标文件其中某一个或几个分包进行投标，除非在</w:t>
      </w:r>
      <w:r>
        <w:rPr>
          <w:rFonts w:ascii="宋体" w:hAnsi="宋体" w:eastAsia="宋体"/>
          <w:color w:val="auto"/>
          <w:sz w:val="24"/>
          <w:highlight w:val="none"/>
          <w:u w:val="single"/>
        </w:rPr>
        <w:t>投标人须知前附表</w:t>
      </w:r>
      <w:r>
        <w:rPr>
          <w:rFonts w:ascii="宋体" w:hAnsi="宋体" w:eastAsia="宋体"/>
          <w:color w:val="auto"/>
          <w:sz w:val="24"/>
          <w:highlight w:val="none"/>
        </w:rPr>
        <w:t>中另有规定。</w:t>
      </w:r>
    </w:p>
    <w:p w14:paraId="23C97C8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7</w:t>
      </w:r>
      <w:r>
        <w:rPr>
          <w:rFonts w:ascii="宋体" w:hAnsi="宋体" w:eastAsia="宋体"/>
          <w:color w:val="auto"/>
          <w:sz w:val="24"/>
          <w:highlight w:val="none"/>
        </w:rPr>
        <w:t>.2投标人应当对所投分包招标文件中“</w:t>
      </w:r>
      <w:r>
        <w:rPr>
          <w:rFonts w:hint="eastAsia" w:ascii="宋体" w:hAnsi="宋体" w:eastAsia="宋体"/>
          <w:color w:val="auto"/>
          <w:sz w:val="24"/>
          <w:highlight w:val="none"/>
        </w:rPr>
        <w:t>采购</w:t>
      </w:r>
      <w:r>
        <w:rPr>
          <w:rFonts w:ascii="宋体" w:hAnsi="宋体" w:eastAsia="宋体"/>
          <w:color w:val="auto"/>
          <w:sz w:val="24"/>
          <w:highlight w:val="none"/>
        </w:rPr>
        <w:t>需求”所列的所有内容进行投标，如仅响应</w:t>
      </w:r>
      <w:r>
        <w:rPr>
          <w:rFonts w:hint="eastAsia" w:ascii="宋体" w:hAnsi="宋体" w:eastAsia="宋体"/>
          <w:color w:val="auto"/>
          <w:sz w:val="24"/>
          <w:highlight w:val="none"/>
        </w:rPr>
        <w:t>所投包别</w:t>
      </w:r>
      <w:r>
        <w:rPr>
          <w:rFonts w:ascii="宋体" w:hAnsi="宋体" w:eastAsia="宋体"/>
          <w:color w:val="auto"/>
          <w:sz w:val="24"/>
          <w:highlight w:val="none"/>
        </w:rPr>
        <w:t>中的部分内容，其</w:t>
      </w:r>
      <w:r>
        <w:rPr>
          <w:rFonts w:hint="eastAsia" w:ascii="宋体" w:hAnsi="宋体" w:eastAsia="宋体"/>
          <w:color w:val="auto"/>
          <w:sz w:val="24"/>
          <w:highlight w:val="none"/>
        </w:rPr>
        <w:t>所投包别的</w:t>
      </w:r>
      <w:r>
        <w:rPr>
          <w:rFonts w:ascii="宋体" w:hAnsi="宋体" w:eastAsia="宋体"/>
          <w:color w:val="auto"/>
          <w:sz w:val="24"/>
          <w:highlight w:val="none"/>
        </w:rPr>
        <w:t>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4E7685DD">
      <w:pPr>
        <w:spacing w:line="360" w:lineRule="auto"/>
        <w:ind w:firstLine="435"/>
        <w:rPr>
          <w:rFonts w:hint="eastAsia" w:ascii="宋体" w:hAnsi="宋体" w:eastAsia="宋体"/>
          <w:color w:val="auto"/>
          <w:sz w:val="24"/>
          <w:highlight w:val="none"/>
        </w:rPr>
      </w:pPr>
      <w:bookmarkStart w:id="12" w:name="_Hlk16458980"/>
      <w:r>
        <w:rPr>
          <w:rFonts w:hint="eastAsia" w:ascii="宋体" w:hAnsi="宋体" w:eastAsia="宋体"/>
          <w:color w:val="auto"/>
          <w:sz w:val="24"/>
          <w:highlight w:val="none"/>
        </w:rPr>
        <w:t>7</w:t>
      </w:r>
      <w:r>
        <w:rPr>
          <w:rFonts w:ascii="宋体" w:hAnsi="宋体" w:eastAsia="宋体"/>
          <w:color w:val="auto"/>
          <w:sz w:val="24"/>
          <w:highlight w:val="none"/>
        </w:rPr>
        <w:t>.3无论招标文件中是否要求，</w:t>
      </w:r>
      <w:r>
        <w:rPr>
          <w:rFonts w:hint="eastAsia" w:ascii="宋体" w:hAnsi="宋体" w:eastAsia="宋体"/>
          <w:color w:val="auto"/>
          <w:sz w:val="24"/>
          <w:highlight w:val="none"/>
        </w:rPr>
        <w:t>投标人所投货物及伴随的服务和工程均应符合国家强制性标准。</w:t>
      </w:r>
    </w:p>
    <w:bookmarkEnd w:id="12"/>
    <w:p w14:paraId="5A0CC11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7</w:t>
      </w: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投标人与采购</w:t>
      </w:r>
      <w:r>
        <w:rPr>
          <w:rFonts w:hint="eastAsia" w:ascii="宋体" w:hAnsi="宋体" w:eastAsia="宋体"/>
          <w:color w:val="auto"/>
          <w:sz w:val="24"/>
          <w:highlight w:val="none"/>
        </w:rPr>
        <w:t>代理</w:t>
      </w:r>
      <w:r>
        <w:rPr>
          <w:rFonts w:ascii="宋体" w:hAnsi="宋体" w:eastAsia="宋体"/>
          <w:color w:val="auto"/>
          <w:sz w:val="24"/>
          <w:highlight w:val="none"/>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385DCA0C">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7</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除招标文件中有特殊要求外，投标文件中所使用的计量单位，应采用中华人民共和国法定计量单位。</w:t>
      </w:r>
    </w:p>
    <w:p w14:paraId="4D25755D">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8</w:t>
      </w:r>
      <w:r>
        <w:rPr>
          <w:rFonts w:ascii="宋体" w:hAnsi="宋体" w:eastAsia="宋体"/>
          <w:b/>
          <w:color w:val="auto"/>
          <w:sz w:val="24"/>
          <w:highlight w:val="none"/>
        </w:rPr>
        <w:t>.</w:t>
      </w:r>
      <w:r>
        <w:rPr>
          <w:rFonts w:hint="eastAsia" w:ascii="宋体" w:hAnsi="宋体" w:eastAsia="宋体"/>
          <w:b/>
          <w:color w:val="auto"/>
          <w:sz w:val="24"/>
          <w:highlight w:val="none"/>
        </w:rPr>
        <w:t>投标文件构成</w:t>
      </w:r>
    </w:p>
    <w:p w14:paraId="3AD29A1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8</w:t>
      </w:r>
      <w:r>
        <w:rPr>
          <w:rFonts w:ascii="宋体" w:hAnsi="宋体" w:eastAsia="宋体"/>
          <w:color w:val="auto"/>
          <w:sz w:val="24"/>
          <w:highlight w:val="none"/>
        </w:rPr>
        <w:t>.1投标人应完整地按招标文件提供的投标文件格式及要求</w:t>
      </w:r>
      <w:r>
        <w:rPr>
          <w:rFonts w:hint="eastAsia" w:ascii="宋体" w:hAnsi="宋体" w:eastAsia="宋体"/>
          <w:color w:val="auto"/>
          <w:sz w:val="24"/>
          <w:highlight w:val="none"/>
        </w:rPr>
        <w:t>编</w:t>
      </w:r>
      <w:r>
        <w:rPr>
          <w:rFonts w:ascii="宋体" w:hAnsi="宋体" w:eastAsia="宋体"/>
          <w:color w:val="auto"/>
          <w:sz w:val="24"/>
          <w:highlight w:val="none"/>
        </w:rPr>
        <w:t>写投标文件，</w:t>
      </w:r>
      <w:r>
        <w:rPr>
          <w:rFonts w:hint="eastAsia" w:ascii="宋体" w:hAnsi="宋体" w:eastAsia="宋体"/>
          <w:color w:val="auto"/>
          <w:sz w:val="24"/>
          <w:highlight w:val="none"/>
        </w:rPr>
        <w:t>具体内容详见本项目投标文件格式的相关内容。</w:t>
      </w:r>
    </w:p>
    <w:p w14:paraId="4FF05C5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8.2</w:t>
      </w:r>
      <w:r>
        <w:rPr>
          <w:rFonts w:ascii="宋体" w:hAnsi="宋体" w:eastAsia="宋体"/>
          <w:color w:val="auto"/>
          <w:sz w:val="24"/>
          <w:highlight w:val="none"/>
        </w:rPr>
        <w:t>投标人应提交</w:t>
      </w:r>
      <w:r>
        <w:rPr>
          <w:rFonts w:hint="eastAsia" w:ascii="宋体" w:hAnsi="宋体" w:eastAsia="宋体"/>
          <w:color w:val="auto"/>
          <w:sz w:val="24"/>
          <w:highlight w:val="none"/>
        </w:rPr>
        <w:t>招标文件要求的</w:t>
      </w:r>
      <w:r>
        <w:rPr>
          <w:rFonts w:ascii="宋体" w:hAnsi="宋体" w:eastAsia="宋体"/>
          <w:color w:val="auto"/>
          <w:sz w:val="24"/>
          <w:highlight w:val="none"/>
        </w:rPr>
        <w:t>证明文件，证明其投标内容符合招标文件规定</w:t>
      </w:r>
      <w:r>
        <w:rPr>
          <w:rFonts w:hint="eastAsia" w:ascii="宋体" w:hAnsi="宋体" w:eastAsia="宋体"/>
          <w:color w:val="auto"/>
          <w:sz w:val="24"/>
          <w:highlight w:val="none"/>
        </w:rPr>
        <w:t>，</w:t>
      </w:r>
      <w:r>
        <w:rPr>
          <w:rFonts w:ascii="宋体" w:hAnsi="宋体" w:eastAsia="宋体"/>
          <w:color w:val="auto"/>
          <w:sz w:val="24"/>
          <w:highlight w:val="none"/>
        </w:rPr>
        <w:t>该证明文件是投标文件的一部分</w:t>
      </w:r>
      <w:r>
        <w:rPr>
          <w:rFonts w:hint="eastAsia" w:ascii="宋体" w:hAnsi="宋体" w:eastAsia="宋体"/>
          <w:color w:val="auto"/>
          <w:sz w:val="24"/>
          <w:highlight w:val="none"/>
        </w:rPr>
        <w:t>。</w:t>
      </w:r>
      <w:r>
        <w:rPr>
          <w:rFonts w:ascii="宋体" w:hAnsi="宋体" w:eastAsia="宋体"/>
          <w:color w:val="auto"/>
          <w:sz w:val="24"/>
          <w:highlight w:val="none"/>
        </w:rPr>
        <w:t>证明文件</w:t>
      </w:r>
      <w:r>
        <w:rPr>
          <w:rFonts w:hint="eastAsia" w:ascii="宋体" w:hAnsi="宋体" w:eastAsia="宋体"/>
          <w:color w:val="auto"/>
          <w:sz w:val="24"/>
          <w:highlight w:val="none"/>
        </w:rPr>
        <w:t>形式</w:t>
      </w:r>
      <w:r>
        <w:rPr>
          <w:rFonts w:ascii="宋体" w:hAnsi="宋体" w:eastAsia="宋体"/>
          <w:color w:val="auto"/>
          <w:sz w:val="24"/>
          <w:highlight w:val="none"/>
        </w:rPr>
        <w:t>可以是文字资料、图纸和数据</w:t>
      </w:r>
      <w:bookmarkStart w:id="13" w:name="_Hlk11703583"/>
      <w:r>
        <w:rPr>
          <w:rFonts w:hint="eastAsia" w:ascii="宋体" w:hAnsi="宋体" w:eastAsia="宋体"/>
          <w:color w:val="auto"/>
          <w:sz w:val="24"/>
          <w:highlight w:val="none"/>
        </w:rPr>
        <w:t>等。</w:t>
      </w:r>
    </w:p>
    <w:bookmarkEnd w:id="13"/>
    <w:p w14:paraId="606EBE7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8.3</w:t>
      </w:r>
      <w:r>
        <w:rPr>
          <w:rFonts w:ascii="宋体" w:hAnsi="宋体" w:eastAsia="宋体"/>
          <w:color w:val="auto"/>
          <w:sz w:val="24"/>
          <w:highlight w:val="none"/>
        </w:rPr>
        <w:t>为保证公平公正，除非另有规定或说明，投标人对同一项目投标时，不得同时提供</w:t>
      </w:r>
      <w:r>
        <w:rPr>
          <w:rFonts w:hint="eastAsia" w:ascii="宋体" w:hAnsi="宋体" w:eastAsia="宋体"/>
          <w:color w:val="auto"/>
          <w:sz w:val="24"/>
          <w:highlight w:val="none"/>
        </w:rPr>
        <w:t>备选</w:t>
      </w:r>
      <w:r>
        <w:rPr>
          <w:rFonts w:ascii="宋体" w:hAnsi="宋体" w:eastAsia="宋体"/>
          <w:color w:val="auto"/>
          <w:sz w:val="24"/>
          <w:highlight w:val="none"/>
        </w:rPr>
        <w:t>投标方案。</w:t>
      </w:r>
    </w:p>
    <w:p w14:paraId="4CC4AECC">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9</w:t>
      </w:r>
      <w:r>
        <w:rPr>
          <w:rFonts w:ascii="宋体" w:hAnsi="宋体" w:eastAsia="宋体"/>
          <w:b/>
          <w:color w:val="auto"/>
          <w:sz w:val="24"/>
          <w:highlight w:val="none"/>
        </w:rPr>
        <w:t>.</w:t>
      </w:r>
      <w:r>
        <w:rPr>
          <w:rFonts w:hint="eastAsia" w:ascii="宋体" w:hAnsi="宋体" w:eastAsia="宋体"/>
          <w:b/>
          <w:color w:val="auto"/>
          <w:sz w:val="24"/>
          <w:highlight w:val="none"/>
        </w:rPr>
        <w:t>投标报价</w:t>
      </w:r>
    </w:p>
    <w:p w14:paraId="0A46D17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9</w:t>
      </w:r>
      <w:r>
        <w:rPr>
          <w:rFonts w:ascii="宋体" w:hAnsi="宋体" w:eastAsia="宋体"/>
          <w:color w:val="auto"/>
          <w:sz w:val="24"/>
          <w:highlight w:val="none"/>
        </w:rPr>
        <w:t>.1投标人的报价应当包括满足本次招标全部采购需求</w:t>
      </w:r>
      <w:r>
        <w:rPr>
          <w:rFonts w:hint="eastAsia" w:ascii="宋体" w:hAnsi="宋体" w:eastAsia="宋体"/>
          <w:color w:val="auto"/>
          <w:sz w:val="24"/>
          <w:highlight w:val="none"/>
        </w:rPr>
        <w:t>。除招标文件另有规定外，所有投标均应以人民币报价。投标人的投标报价应遵守《中华人民共和国价格法》。</w:t>
      </w:r>
    </w:p>
    <w:p w14:paraId="4438982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9</w:t>
      </w:r>
      <w:r>
        <w:rPr>
          <w:rFonts w:ascii="宋体" w:hAnsi="宋体" w:eastAsia="宋体"/>
          <w:color w:val="auto"/>
          <w:sz w:val="24"/>
          <w:highlight w:val="none"/>
        </w:rPr>
        <w:t>.2投标人报价超过招标文件规定的预算金额或者分项、分包最高限价，其投标将被认定为</w:t>
      </w:r>
      <w:r>
        <w:rPr>
          <w:rFonts w:ascii="宋体" w:hAnsi="宋体" w:eastAsia="宋体"/>
          <w:b/>
          <w:bCs/>
          <w:color w:val="auto"/>
          <w:sz w:val="24"/>
          <w:highlight w:val="none"/>
        </w:rPr>
        <w:t>投标无效</w:t>
      </w:r>
      <w:r>
        <w:rPr>
          <w:rFonts w:ascii="宋体" w:hAnsi="宋体" w:eastAsia="宋体"/>
          <w:color w:val="auto"/>
          <w:sz w:val="24"/>
          <w:highlight w:val="none"/>
        </w:rPr>
        <w:t>。</w:t>
      </w:r>
    </w:p>
    <w:p w14:paraId="710AE96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9</w:t>
      </w:r>
      <w:r>
        <w:rPr>
          <w:rFonts w:ascii="宋体" w:hAnsi="宋体" w:eastAsia="宋体"/>
          <w:color w:val="auto"/>
          <w:sz w:val="24"/>
          <w:highlight w:val="none"/>
        </w:rPr>
        <w:t>.</w:t>
      </w:r>
      <w:r>
        <w:rPr>
          <w:rFonts w:hint="eastAsia" w:ascii="宋体" w:hAnsi="宋体" w:eastAsia="宋体"/>
          <w:color w:val="auto"/>
          <w:sz w:val="24"/>
          <w:highlight w:val="none"/>
        </w:rPr>
        <w:t>3投标报价</w:t>
      </w:r>
      <w:r>
        <w:rPr>
          <w:rFonts w:ascii="宋体" w:hAnsi="宋体" w:eastAsia="宋体"/>
          <w:color w:val="auto"/>
          <w:sz w:val="24"/>
          <w:highlight w:val="none"/>
        </w:rPr>
        <w:t>在合同履行过程中是固定不变的，不得以任何理由予以变更。任何包含价格调整要求的投标，其投标将被认定为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2FCDACC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9</w:t>
      </w:r>
      <w:r>
        <w:rPr>
          <w:rFonts w:ascii="宋体" w:hAnsi="宋体" w:eastAsia="宋体"/>
          <w:color w:val="auto"/>
          <w:sz w:val="24"/>
          <w:highlight w:val="none"/>
        </w:rPr>
        <w:t>.</w:t>
      </w:r>
      <w:r>
        <w:rPr>
          <w:rFonts w:hint="eastAsia" w:ascii="宋体" w:hAnsi="宋体" w:eastAsia="宋体"/>
          <w:color w:val="auto"/>
          <w:sz w:val="24"/>
          <w:highlight w:val="none"/>
        </w:rPr>
        <w:t>4评标委员会认为投标人的报价明显低于其他通过符合性审查投标人的报价，有可能影响产品质量或者不能诚信履约的，应当要求其在合理的时间内提供书面说明，</w:t>
      </w:r>
      <w:r>
        <w:rPr>
          <w:rFonts w:ascii="宋体" w:hAnsi="宋体" w:eastAsia="宋体"/>
          <w:color w:val="auto"/>
          <w:sz w:val="24"/>
          <w:highlight w:val="none"/>
        </w:rPr>
        <w:t>必要时提交相关证明材料；投标人不能证明其报价合理性的，其投标将被认定为</w:t>
      </w:r>
      <w:r>
        <w:rPr>
          <w:rFonts w:ascii="宋体" w:hAnsi="宋体" w:eastAsia="宋体"/>
          <w:b/>
          <w:color w:val="auto"/>
          <w:sz w:val="24"/>
          <w:highlight w:val="none"/>
        </w:rPr>
        <w:t>投标无效</w:t>
      </w:r>
      <w:r>
        <w:rPr>
          <w:rFonts w:hint="eastAsia" w:ascii="宋体" w:hAnsi="宋体" w:eastAsia="宋体"/>
          <w:color w:val="auto"/>
          <w:sz w:val="24"/>
          <w:highlight w:val="none"/>
        </w:rPr>
        <w:t>。</w:t>
      </w:r>
    </w:p>
    <w:p w14:paraId="40ACCBF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9</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采购人不接受具有附加条件的报价。</w:t>
      </w:r>
    </w:p>
    <w:p w14:paraId="2FBD2A8F">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10</w:t>
      </w:r>
      <w:r>
        <w:rPr>
          <w:rFonts w:ascii="宋体" w:hAnsi="宋体" w:eastAsia="宋体"/>
          <w:b/>
          <w:color w:val="auto"/>
          <w:sz w:val="24"/>
          <w:highlight w:val="none"/>
        </w:rPr>
        <w:t>.</w:t>
      </w:r>
      <w:r>
        <w:rPr>
          <w:rFonts w:hint="eastAsia" w:ascii="宋体" w:hAnsi="宋体" w:eastAsia="宋体"/>
          <w:b/>
          <w:color w:val="auto"/>
          <w:sz w:val="24"/>
          <w:highlight w:val="none"/>
        </w:rPr>
        <w:t>投标保证金</w:t>
      </w:r>
    </w:p>
    <w:p w14:paraId="0248FC2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10.1本项目不收取投标保证金。</w:t>
      </w:r>
    </w:p>
    <w:p w14:paraId="3CC45544">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11</w:t>
      </w:r>
      <w:r>
        <w:rPr>
          <w:rFonts w:ascii="宋体" w:hAnsi="宋体" w:eastAsia="宋体"/>
          <w:b/>
          <w:color w:val="auto"/>
          <w:sz w:val="24"/>
          <w:highlight w:val="none"/>
        </w:rPr>
        <w:t>.</w:t>
      </w:r>
      <w:r>
        <w:rPr>
          <w:rFonts w:hint="eastAsia" w:ascii="宋体" w:hAnsi="宋体" w:eastAsia="宋体"/>
          <w:b/>
          <w:color w:val="auto"/>
          <w:sz w:val="24"/>
          <w:highlight w:val="none"/>
        </w:rPr>
        <w:t>投标有效期</w:t>
      </w:r>
    </w:p>
    <w:p w14:paraId="3385853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11.1投标有效期为从投标截止之日算起的日历天数，投标有效期详见</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w:t>
      </w:r>
    </w:p>
    <w:p w14:paraId="6EC0505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11.2在投标有效期内，投标人的投标保持有效，投标人不得要求撤销或修改其投标文件。投标有效期不满足要求的投标，其投标将被认定为</w:t>
      </w:r>
      <w:r>
        <w:rPr>
          <w:rFonts w:hint="eastAsia" w:ascii="宋体" w:hAnsi="宋体" w:eastAsia="宋体"/>
          <w:b/>
          <w:color w:val="auto"/>
          <w:sz w:val="24"/>
          <w:highlight w:val="none"/>
        </w:rPr>
        <w:t>投标无效</w:t>
      </w:r>
      <w:r>
        <w:rPr>
          <w:rFonts w:hint="eastAsia" w:ascii="宋体" w:hAnsi="宋体" w:eastAsia="宋体"/>
          <w:color w:val="auto"/>
          <w:sz w:val="24"/>
          <w:highlight w:val="none"/>
        </w:rPr>
        <w:t>。</w:t>
      </w:r>
    </w:p>
    <w:p w14:paraId="5F59ACA5">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rPr>
        <w:t>1</w:t>
      </w:r>
      <w:r>
        <w:rPr>
          <w:rFonts w:ascii="宋体" w:hAnsi="宋体" w:eastAsia="宋体"/>
          <w:color w:val="auto"/>
          <w:sz w:val="24"/>
          <w:highlight w:val="none"/>
        </w:rPr>
        <w:t>.3</w:t>
      </w:r>
      <w:r>
        <w:rPr>
          <w:rFonts w:hint="eastAsia" w:ascii="宋体" w:hAnsi="宋体" w:eastAsia="宋体"/>
          <w:color w:val="auto"/>
          <w:sz w:val="24"/>
          <w:highlight w:val="none"/>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54DBCF21">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12</w:t>
      </w:r>
      <w:r>
        <w:rPr>
          <w:rFonts w:ascii="宋体" w:hAnsi="宋体" w:eastAsia="宋体"/>
          <w:b/>
          <w:color w:val="auto"/>
          <w:sz w:val="24"/>
          <w:highlight w:val="none"/>
        </w:rPr>
        <w:t>.</w:t>
      </w:r>
      <w:r>
        <w:rPr>
          <w:rFonts w:hint="eastAsia" w:ascii="宋体" w:hAnsi="宋体" w:eastAsia="宋体"/>
          <w:b/>
          <w:color w:val="auto"/>
          <w:sz w:val="24"/>
          <w:highlight w:val="none"/>
        </w:rPr>
        <w:t>投标文件的递交、修改与撤回</w:t>
      </w:r>
    </w:p>
    <w:p w14:paraId="0DF262D4">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rPr>
        <w:t>2.1投标人应当在招标公告规定的投标截止时间前</w:t>
      </w:r>
      <w:r>
        <w:rPr>
          <w:rFonts w:ascii="宋体" w:hAnsi="宋体" w:eastAsia="宋体"/>
          <w:color w:val="auto"/>
          <w:sz w:val="24"/>
          <w:highlight w:val="none"/>
        </w:rPr>
        <w:t>，将加密的投标文件</w:t>
      </w:r>
      <w:r>
        <w:rPr>
          <w:rFonts w:hint="eastAsia" w:ascii="宋体" w:hAnsi="宋体" w:eastAsia="宋体"/>
          <w:color w:val="auto"/>
          <w:sz w:val="24"/>
          <w:highlight w:val="none"/>
        </w:rPr>
        <w:t>在电子交易系统</w:t>
      </w:r>
      <w:r>
        <w:rPr>
          <w:rFonts w:ascii="宋体" w:hAnsi="宋体" w:eastAsia="宋体"/>
          <w:color w:val="auto"/>
          <w:sz w:val="24"/>
          <w:highlight w:val="none"/>
        </w:rPr>
        <w:t>上传。</w:t>
      </w:r>
    </w:p>
    <w:p w14:paraId="0C1AA3A0">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rPr>
        <w:t>2.2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5982499F">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13</w:t>
      </w:r>
      <w:r>
        <w:rPr>
          <w:rFonts w:ascii="宋体" w:hAnsi="宋体" w:eastAsia="宋体"/>
          <w:b/>
          <w:color w:val="auto"/>
          <w:sz w:val="24"/>
          <w:highlight w:val="none"/>
        </w:rPr>
        <w:t>.</w:t>
      </w:r>
      <w:r>
        <w:rPr>
          <w:rFonts w:hint="eastAsia" w:ascii="宋体" w:hAnsi="宋体" w:eastAsia="宋体"/>
          <w:b/>
          <w:color w:val="auto"/>
          <w:sz w:val="24"/>
          <w:highlight w:val="none"/>
        </w:rPr>
        <w:t>开标</w:t>
      </w:r>
    </w:p>
    <w:p w14:paraId="621E1DB0">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13</w:t>
      </w:r>
      <w:r>
        <w:rPr>
          <w:rFonts w:ascii="宋体" w:hAnsi="宋体" w:eastAsia="宋体"/>
          <w:color w:val="auto"/>
          <w:sz w:val="24"/>
          <w:highlight w:val="none"/>
        </w:rPr>
        <w:t>.</w:t>
      </w:r>
      <w:r>
        <w:rPr>
          <w:rFonts w:hint="eastAsia" w:ascii="宋体" w:hAnsi="宋体" w:eastAsia="宋体"/>
          <w:color w:val="auto"/>
          <w:sz w:val="24"/>
          <w:highlight w:val="none"/>
        </w:rPr>
        <w:t>1</w:t>
      </w:r>
      <w:r>
        <w:rPr>
          <w:rFonts w:ascii="宋体" w:hAnsi="宋体" w:eastAsia="宋体"/>
          <w:color w:val="auto"/>
          <w:sz w:val="24"/>
          <w:highlight w:val="none"/>
        </w:rPr>
        <w:t>开标时，</w:t>
      </w:r>
      <w:r>
        <w:rPr>
          <w:rFonts w:ascii="宋体" w:hAnsi="宋体" w:eastAsia="宋体" w:cs="宋体"/>
          <w:color w:val="auto"/>
          <w:sz w:val="24"/>
          <w:szCs w:val="24"/>
          <w:highlight w:val="none"/>
        </w:rPr>
        <w:t>各投标人应在</w:t>
      </w:r>
      <w:r>
        <w:rPr>
          <w:rFonts w:ascii="宋体" w:hAnsi="宋体" w:eastAsia="宋体" w:cs="宋体"/>
          <w:color w:val="auto"/>
          <w:sz w:val="24"/>
          <w:szCs w:val="24"/>
          <w:highlight w:val="none"/>
          <w:u w:val="single"/>
        </w:rPr>
        <w:t>投标人须知前附表</w:t>
      </w:r>
      <w:r>
        <w:rPr>
          <w:rFonts w:ascii="宋体" w:hAnsi="宋体" w:eastAsia="宋体" w:cs="宋体"/>
          <w:color w:val="auto"/>
          <w:sz w:val="24"/>
          <w:szCs w:val="24"/>
          <w:highlight w:val="none"/>
        </w:rPr>
        <w:t>规定的解密时间前</w:t>
      </w:r>
      <w:r>
        <w:rPr>
          <w:rFonts w:ascii="宋体" w:hAnsi="宋体" w:eastAsia="宋体"/>
          <w:color w:val="auto"/>
          <w:sz w:val="24"/>
          <w:highlight w:val="none"/>
        </w:rPr>
        <w:t>对</w:t>
      </w:r>
      <w:r>
        <w:rPr>
          <w:rFonts w:hint="eastAsia" w:ascii="宋体" w:hAnsi="宋体" w:eastAsia="宋体" w:cs="宋体"/>
          <w:color w:val="auto"/>
          <w:sz w:val="24"/>
          <w:szCs w:val="24"/>
          <w:highlight w:val="none"/>
        </w:rPr>
        <w:t>其</w:t>
      </w:r>
      <w:r>
        <w:rPr>
          <w:rFonts w:ascii="宋体" w:hAnsi="宋体" w:eastAsia="宋体"/>
          <w:color w:val="auto"/>
          <w:sz w:val="24"/>
          <w:highlight w:val="none"/>
        </w:rPr>
        <w:t>投标文件</w:t>
      </w:r>
      <w:r>
        <w:rPr>
          <w:rFonts w:hint="eastAsia" w:ascii="宋体" w:hAnsi="宋体" w:eastAsia="宋体"/>
          <w:color w:val="auto"/>
          <w:sz w:val="24"/>
          <w:highlight w:val="none"/>
        </w:rPr>
        <w:t>进行</w:t>
      </w:r>
      <w:r>
        <w:rPr>
          <w:rFonts w:ascii="宋体" w:hAnsi="宋体" w:eastAsia="宋体"/>
          <w:color w:val="auto"/>
          <w:sz w:val="24"/>
          <w:highlight w:val="none"/>
        </w:rPr>
        <w:t>解密。</w:t>
      </w:r>
    </w:p>
    <w:p w14:paraId="1F49750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13</w:t>
      </w: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开标时，采购代理机构将通过网上开标系统公布</w:t>
      </w:r>
      <w:r>
        <w:rPr>
          <w:rFonts w:hint="eastAsia" w:ascii="宋体" w:hAnsi="宋体" w:eastAsia="宋体"/>
          <w:color w:val="auto"/>
          <w:sz w:val="24"/>
          <w:highlight w:val="none"/>
        </w:rPr>
        <w:t>开标结果，公布内容包括投标人名称、投标价格及招标文件规定的内容。</w:t>
      </w:r>
    </w:p>
    <w:p w14:paraId="6048286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13.3采购人或采购代理机构将对开标过程进行记录，，并存档备查。</w:t>
      </w:r>
    </w:p>
    <w:p w14:paraId="5FF64AF2">
      <w:pPr>
        <w:spacing w:line="360" w:lineRule="auto"/>
        <w:ind w:firstLine="435"/>
        <w:rPr>
          <w:rFonts w:hint="eastAsia" w:ascii="宋体" w:hAnsi="宋体" w:eastAsia="宋体"/>
          <w:color w:val="auto"/>
          <w:sz w:val="28"/>
          <w:highlight w:val="none"/>
        </w:rPr>
      </w:pPr>
      <w:r>
        <w:rPr>
          <w:rFonts w:hint="eastAsia" w:ascii="宋体" w:hAnsi="宋体" w:eastAsia="宋体"/>
          <w:color w:val="auto"/>
          <w:sz w:val="24"/>
          <w:highlight w:val="none"/>
        </w:rPr>
        <w:t>13.4投标人代表对开标过程和开标记录有疑义，以及认为采购人、采购代理机构相关工作人员有需要回避的情形的，应当场提出询问或者回避申请。</w:t>
      </w:r>
    </w:p>
    <w:p w14:paraId="62FB1DB0">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14</w:t>
      </w:r>
      <w:r>
        <w:rPr>
          <w:rFonts w:ascii="宋体" w:hAnsi="宋体" w:eastAsia="宋体"/>
          <w:b/>
          <w:color w:val="auto"/>
          <w:sz w:val="24"/>
          <w:highlight w:val="none"/>
        </w:rPr>
        <w:t>.</w:t>
      </w:r>
      <w:r>
        <w:rPr>
          <w:rFonts w:hint="eastAsia" w:ascii="宋体" w:hAnsi="宋体" w:eastAsia="宋体"/>
          <w:b/>
          <w:color w:val="auto"/>
          <w:sz w:val="24"/>
          <w:highlight w:val="none"/>
        </w:rPr>
        <w:t>资格审查及组建评标委员会</w:t>
      </w:r>
    </w:p>
    <w:p w14:paraId="7B70D7CF">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14.1采购人或采购代理机构依据法律法规和招标文件中规定的内</w:t>
      </w:r>
      <w:r>
        <w:rPr>
          <w:rFonts w:ascii="宋体" w:hAnsi="宋体" w:eastAsia="宋体"/>
          <w:color w:val="auto"/>
          <w:sz w:val="24"/>
          <w:highlight w:val="none"/>
        </w:rPr>
        <w:t>容</w:t>
      </w:r>
      <w:r>
        <w:rPr>
          <w:rFonts w:hint="eastAsia" w:ascii="宋体" w:hAnsi="宋体" w:eastAsia="宋体"/>
          <w:color w:val="auto"/>
          <w:sz w:val="24"/>
          <w:highlight w:val="none"/>
        </w:rPr>
        <w:t>，对投标人资格进行审查，未</w:t>
      </w:r>
      <w:r>
        <w:rPr>
          <w:rFonts w:ascii="宋体" w:hAnsi="宋体" w:eastAsia="宋体"/>
          <w:color w:val="auto"/>
          <w:sz w:val="24"/>
          <w:highlight w:val="none"/>
        </w:rPr>
        <w:t>通过资格审查的投标人</w:t>
      </w:r>
      <w:r>
        <w:rPr>
          <w:rFonts w:hint="eastAsia" w:ascii="宋体" w:hAnsi="宋体" w:eastAsia="宋体"/>
          <w:color w:val="auto"/>
          <w:sz w:val="24"/>
          <w:highlight w:val="none"/>
        </w:rPr>
        <w:t>不</w:t>
      </w:r>
      <w:r>
        <w:rPr>
          <w:rFonts w:ascii="宋体" w:hAnsi="宋体" w:eastAsia="宋体"/>
          <w:color w:val="auto"/>
          <w:sz w:val="24"/>
          <w:highlight w:val="none"/>
        </w:rPr>
        <w:t>进入评标</w:t>
      </w:r>
      <w:r>
        <w:rPr>
          <w:rFonts w:hint="eastAsia" w:ascii="宋体" w:hAnsi="宋体" w:eastAsia="宋体"/>
          <w:color w:val="auto"/>
          <w:sz w:val="24"/>
          <w:highlight w:val="none"/>
        </w:rPr>
        <w:t>。</w:t>
      </w:r>
    </w:p>
    <w:p w14:paraId="00D00B0C">
      <w:pPr>
        <w:spacing w:line="360" w:lineRule="auto"/>
        <w:ind w:firstLine="435"/>
        <w:rPr>
          <w:rFonts w:hint="eastAsia" w:ascii="宋体" w:hAnsi="宋体" w:eastAsia="宋体" w:cs="宋体"/>
          <w:color w:val="auto"/>
          <w:sz w:val="24"/>
          <w:szCs w:val="24"/>
          <w:highlight w:val="none"/>
        </w:rPr>
      </w:pPr>
      <w:bookmarkStart w:id="14" w:name="_Hlk24663244"/>
      <w:r>
        <w:rPr>
          <w:rFonts w:hint="eastAsia" w:ascii="宋体" w:hAnsi="宋体" w:eastAsia="宋体" w:cs="宋体"/>
          <w:color w:val="auto"/>
          <w:sz w:val="24"/>
          <w:szCs w:val="24"/>
          <w:highlight w:val="none"/>
        </w:rPr>
        <w:t>14.2采购人或采购代理机构将在投标截止时间后至评审结束前通过“信用中国”网站(www.creditchina.gov.cn)、中国政府采购网(www.ccgp.gov.cn)查询相关投标人信用记录，并对投标人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25410557">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以联合体形式参加投标的，联合体成员存在以上不良信用记录的，联合体投标将被认定为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161E5599">
      <w:pPr>
        <w:spacing w:line="360" w:lineRule="auto"/>
        <w:ind w:firstLine="435"/>
        <w:rPr>
          <w:rFonts w:hint="eastAsia" w:ascii="宋体" w:hAnsi="宋体" w:eastAsia="宋体"/>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14"/>
    <w:p w14:paraId="56B4852C">
      <w:pPr>
        <w:spacing w:line="360" w:lineRule="auto"/>
        <w:ind w:firstLine="435"/>
        <w:rPr>
          <w:rFonts w:hint="eastAsia" w:ascii="宋体" w:hAnsi="宋体" w:eastAsia="宋体"/>
          <w:b/>
          <w:color w:val="auto"/>
          <w:sz w:val="24"/>
          <w:highlight w:val="none"/>
        </w:rPr>
      </w:pPr>
      <w:r>
        <w:rPr>
          <w:rFonts w:hint="eastAsia" w:ascii="宋体" w:hAnsi="宋体" w:eastAsia="宋体"/>
          <w:color w:val="auto"/>
          <w:sz w:val="24"/>
          <w:highlight w:val="none"/>
        </w:rPr>
        <w:t>14.3按照《</w:t>
      </w:r>
      <w:r>
        <w:rPr>
          <w:rFonts w:ascii="宋体" w:hAnsi="宋体" w:eastAsia="宋体"/>
          <w:color w:val="auto"/>
          <w:sz w:val="24"/>
          <w:highlight w:val="none"/>
        </w:rPr>
        <w:t>中华人民共和国政府采购法》</w:t>
      </w:r>
      <w:r>
        <w:rPr>
          <w:rFonts w:hint="eastAsia" w:ascii="宋体" w:hAnsi="宋体" w:eastAsia="宋体"/>
          <w:color w:val="auto"/>
          <w:sz w:val="24"/>
          <w:highlight w:val="none"/>
        </w:rPr>
        <w:t>、</w:t>
      </w:r>
      <w:r>
        <w:rPr>
          <w:rFonts w:ascii="宋体" w:hAnsi="宋体" w:eastAsia="宋体"/>
          <w:color w:val="auto"/>
          <w:sz w:val="24"/>
          <w:highlight w:val="none"/>
        </w:rPr>
        <w:t>《中华人民共和国政府采购</w:t>
      </w:r>
      <w:r>
        <w:rPr>
          <w:rFonts w:hint="eastAsia" w:ascii="宋体" w:hAnsi="宋体" w:eastAsia="宋体"/>
          <w:color w:val="auto"/>
          <w:sz w:val="24"/>
          <w:highlight w:val="none"/>
        </w:rPr>
        <w:t>法</w:t>
      </w:r>
      <w:r>
        <w:rPr>
          <w:rFonts w:ascii="宋体" w:hAnsi="宋体" w:eastAsia="宋体"/>
          <w:color w:val="auto"/>
          <w:sz w:val="24"/>
          <w:highlight w:val="none"/>
        </w:rPr>
        <w:t>实施条例》</w:t>
      </w:r>
      <w:r>
        <w:rPr>
          <w:rFonts w:hint="eastAsia" w:ascii="宋体" w:hAnsi="宋体" w:eastAsia="宋体"/>
          <w:color w:val="auto"/>
          <w:sz w:val="24"/>
          <w:highlight w:val="none"/>
        </w:rPr>
        <w:t>及本项目本级</w:t>
      </w:r>
      <w:r>
        <w:rPr>
          <w:rFonts w:ascii="宋体" w:hAnsi="宋体" w:eastAsia="宋体"/>
          <w:color w:val="auto"/>
          <w:sz w:val="24"/>
          <w:highlight w:val="none"/>
        </w:rPr>
        <w:t>和上级财政部门</w:t>
      </w:r>
      <w:r>
        <w:rPr>
          <w:rFonts w:hint="eastAsia" w:ascii="宋体" w:hAnsi="宋体" w:eastAsia="宋体"/>
          <w:color w:val="auto"/>
          <w:sz w:val="24"/>
          <w:highlight w:val="none"/>
        </w:rPr>
        <w:t>、政府采购监督管理部门的有关规定依法组建的</w:t>
      </w:r>
      <w:r>
        <w:rPr>
          <w:rFonts w:ascii="宋体" w:hAnsi="宋体" w:eastAsia="宋体"/>
          <w:color w:val="auto"/>
          <w:sz w:val="24"/>
          <w:highlight w:val="none"/>
        </w:rPr>
        <w:t>评标委员会</w:t>
      </w:r>
      <w:r>
        <w:rPr>
          <w:rFonts w:hint="eastAsia" w:ascii="宋体" w:hAnsi="宋体" w:eastAsia="宋体"/>
          <w:color w:val="auto"/>
          <w:sz w:val="24"/>
          <w:highlight w:val="none"/>
        </w:rPr>
        <w:t>，负责本项目评标工作。</w:t>
      </w:r>
    </w:p>
    <w:p w14:paraId="1B4A4183">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15</w:t>
      </w:r>
      <w:r>
        <w:rPr>
          <w:rFonts w:ascii="宋体" w:hAnsi="宋体" w:eastAsia="宋体"/>
          <w:b/>
          <w:color w:val="auto"/>
          <w:sz w:val="24"/>
          <w:highlight w:val="none"/>
        </w:rPr>
        <w:t>.</w:t>
      </w:r>
      <w:r>
        <w:rPr>
          <w:rFonts w:hint="eastAsia" w:ascii="宋体" w:hAnsi="宋体" w:eastAsia="宋体"/>
          <w:b/>
          <w:color w:val="auto"/>
          <w:sz w:val="24"/>
          <w:highlight w:val="none"/>
        </w:rPr>
        <w:t>投标文件符合性审查与澄清</w:t>
      </w:r>
    </w:p>
    <w:p w14:paraId="48F5854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.1符合性审查是指依据招标文件的规定，从投标文件的有效性和完整性对招标文件的响应程度进行审查，以确定是否对招标文件的实质性要求做出响应。</w:t>
      </w:r>
    </w:p>
    <w:p w14:paraId="1ADD51A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.2如一个分包内只有一种产品，不同投标人所投产品为同一品牌的，按如下方式处理：</w:t>
      </w:r>
    </w:p>
    <w:p w14:paraId="661B8F2C">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.2.1如本项目使用最低评标价法，提供相同品牌产品的不同投标人以其中通过资格审查、符合性审查且报价最低的参加评标；报价相同的，由采购人或者采购人委托评标委员会按照招标文件中评标</w:t>
      </w:r>
      <w:r>
        <w:rPr>
          <w:rFonts w:hint="eastAsia" w:ascii="宋体" w:hAnsi="宋体" w:eastAsia="宋体"/>
          <w:color w:val="auto"/>
          <w:sz w:val="24"/>
          <w:highlight w:val="none"/>
        </w:rPr>
        <w:t>方</w:t>
      </w:r>
      <w:r>
        <w:rPr>
          <w:rFonts w:ascii="宋体" w:hAnsi="宋体" w:eastAsia="宋体"/>
          <w:color w:val="auto"/>
          <w:sz w:val="24"/>
          <w:highlight w:val="none"/>
        </w:rPr>
        <w:t>法</w:t>
      </w:r>
      <w:r>
        <w:rPr>
          <w:rFonts w:hint="eastAsia" w:ascii="宋体" w:hAnsi="宋体" w:eastAsia="宋体"/>
          <w:color w:val="auto"/>
          <w:sz w:val="24"/>
          <w:highlight w:val="none"/>
        </w:rPr>
        <w:t>和标准</w:t>
      </w:r>
      <w:r>
        <w:rPr>
          <w:rFonts w:ascii="宋体" w:hAnsi="宋体" w:eastAsia="宋体"/>
          <w:color w:val="auto"/>
          <w:sz w:val="24"/>
          <w:highlight w:val="none"/>
        </w:rPr>
        <w:t>规定的方式确定一个参加评标的投标人；未规定的采取随机抽取方式确定，其他投标将被认定为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7296257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2.2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w:t>
      </w:r>
      <w:r>
        <w:rPr>
          <w:rFonts w:hint="eastAsia" w:ascii="宋体" w:hAnsi="宋体" w:eastAsia="宋体"/>
          <w:color w:val="auto"/>
          <w:sz w:val="24"/>
          <w:highlight w:val="none"/>
        </w:rPr>
        <w:t>方</w:t>
      </w:r>
      <w:r>
        <w:rPr>
          <w:rFonts w:ascii="宋体" w:hAnsi="宋体" w:eastAsia="宋体"/>
          <w:color w:val="auto"/>
          <w:sz w:val="24"/>
          <w:highlight w:val="none"/>
        </w:rPr>
        <w:t>法</w:t>
      </w:r>
      <w:r>
        <w:rPr>
          <w:rFonts w:hint="eastAsia" w:ascii="宋体" w:hAnsi="宋体" w:eastAsia="宋体"/>
          <w:color w:val="auto"/>
          <w:sz w:val="24"/>
          <w:highlight w:val="none"/>
        </w:rPr>
        <w:t>和标准</w:t>
      </w:r>
      <w:r>
        <w:rPr>
          <w:rFonts w:ascii="宋体" w:hAnsi="宋体" w:eastAsia="宋体"/>
          <w:color w:val="auto"/>
          <w:sz w:val="24"/>
          <w:highlight w:val="none"/>
        </w:rPr>
        <w:t>规定的方式确定一个投标人获得中标人推荐资格；未规定的采取随机抽取方式确定，其他同品牌投标人不作为中标候选人。</w:t>
      </w:r>
    </w:p>
    <w:p w14:paraId="2EBDC84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.3如一个分包内包含多种产品的，采购人或采购代理机构将在</w:t>
      </w:r>
      <w:r>
        <w:rPr>
          <w:rFonts w:hint="eastAsia" w:ascii="宋体" w:hAnsi="宋体" w:eastAsia="宋体"/>
          <w:color w:val="auto"/>
          <w:sz w:val="24"/>
          <w:highlight w:val="none"/>
        </w:rPr>
        <w:t>采购需求</w:t>
      </w:r>
      <w:r>
        <w:rPr>
          <w:rFonts w:ascii="宋体" w:hAnsi="宋体" w:eastAsia="宋体"/>
          <w:color w:val="auto"/>
          <w:sz w:val="24"/>
          <w:highlight w:val="none"/>
        </w:rPr>
        <w:t>中载明核心产品，多家投标人提供的核心产品品牌相同的，按第</w:t>
      </w:r>
      <w:r>
        <w:rPr>
          <w:rFonts w:hint="eastAsia" w:ascii="宋体" w:hAnsi="宋体" w:eastAsia="宋体"/>
          <w:color w:val="auto"/>
          <w:sz w:val="24"/>
          <w:highlight w:val="none"/>
        </w:rPr>
        <w:t>15</w:t>
      </w:r>
      <w:r>
        <w:rPr>
          <w:rFonts w:ascii="宋体" w:hAnsi="宋体" w:eastAsia="宋体"/>
          <w:color w:val="auto"/>
          <w:sz w:val="24"/>
          <w:highlight w:val="none"/>
        </w:rPr>
        <w:t>.2</w:t>
      </w:r>
      <w:r>
        <w:rPr>
          <w:rFonts w:hint="eastAsia" w:ascii="宋体" w:hAnsi="宋体" w:eastAsia="宋体"/>
          <w:color w:val="auto"/>
          <w:sz w:val="24"/>
          <w:highlight w:val="none"/>
        </w:rPr>
        <w:t>款</w:t>
      </w:r>
      <w:r>
        <w:rPr>
          <w:rFonts w:ascii="宋体" w:hAnsi="宋体" w:eastAsia="宋体"/>
          <w:color w:val="auto"/>
          <w:sz w:val="24"/>
          <w:highlight w:val="none"/>
        </w:rPr>
        <w:t>规定处理。</w:t>
      </w:r>
    </w:p>
    <w:p w14:paraId="1FC5F58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.4</w:t>
      </w:r>
      <w:r>
        <w:rPr>
          <w:rFonts w:hint="eastAsia" w:ascii="宋体" w:hAnsi="宋体" w:eastAsia="宋体"/>
          <w:color w:val="auto"/>
          <w:sz w:val="24"/>
          <w:highlight w:val="none"/>
        </w:rPr>
        <w:t>投标文件的澄清</w:t>
      </w:r>
    </w:p>
    <w:p w14:paraId="1A36BE60">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.4.1为有助于投标</w:t>
      </w:r>
      <w:r>
        <w:rPr>
          <w:rFonts w:hint="eastAsia" w:ascii="宋体" w:hAnsi="宋体" w:eastAsia="宋体"/>
          <w:color w:val="auto"/>
          <w:sz w:val="24"/>
          <w:highlight w:val="none"/>
        </w:rPr>
        <w:t>文件</w:t>
      </w:r>
      <w:r>
        <w:rPr>
          <w:rFonts w:ascii="宋体" w:hAnsi="宋体" w:eastAsia="宋体"/>
          <w:color w:val="auto"/>
          <w:sz w:val="24"/>
          <w:highlight w:val="none"/>
        </w:rPr>
        <w:t>的审查、评价和比较，在评标期间，评标委员会将以书面</w:t>
      </w:r>
      <w:r>
        <w:rPr>
          <w:rFonts w:hint="eastAsia" w:ascii="宋体" w:hAnsi="宋体" w:eastAsia="宋体"/>
          <w:color w:val="auto"/>
          <w:sz w:val="24"/>
          <w:highlight w:val="none"/>
        </w:rPr>
        <w:t>方式（询标）</w:t>
      </w:r>
      <w:r>
        <w:rPr>
          <w:rFonts w:ascii="宋体" w:hAnsi="宋体" w:eastAsia="宋体"/>
          <w:color w:val="auto"/>
          <w:sz w:val="24"/>
          <w:highlight w:val="none"/>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color w:val="auto"/>
          <w:sz w:val="24"/>
          <w:highlight w:val="none"/>
        </w:rPr>
        <w:t>审</w:t>
      </w:r>
      <w:r>
        <w:rPr>
          <w:rFonts w:ascii="宋体" w:hAnsi="宋体" w:eastAsia="宋体"/>
          <w:color w:val="auto"/>
          <w:sz w:val="24"/>
          <w:highlight w:val="none"/>
        </w:rPr>
        <w:t>查投标人的报价，有可能影响履约的情况作必要的澄清、说明或补正。投标人的澄清、说明或补正应在评标委员会规定的时间内以书面</w:t>
      </w:r>
      <w:r>
        <w:rPr>
          <w:rFonts w:hint="eastAsia" w:ascii="宋体" w:hAnsi="宋体" w:eastAsia="宋体"/>
          <w:color w:val="auto"/>
          <w:sz w:val="24"/>
          <w:highlight w:val="none"/>
        </w:rPr>
        <w:t>方式</w:t>
      </w:r>
      <w:r>
        <w:rPr>
          <w:rFonts w:ascii="宋体" w:hAnsi="宋体" w:eastAsia="宋体"/>
          <w:color w:val="auto"/>
          <w:sz w:val="24"/>
          <w:highlight w:val="none"/>
        </w:rPr>
        <w:t>进行，并不得超出投标文件范围或者改变投标文件的实质性内容。</w:t>
      </w:r>
    </w:p>
    <w:p w14:paraId="6C9B5CB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r>
        <w:rPr>
          <w:rFonts w:hint="eastAsia" w:ascii="宋体" w:hAnsi="宋体" w:eastAsia="宋体"/>
          <w:b/>
          <w:bCs/>
          <w:color w:val="auto"/>
          <w:sz w:val="24"/>
          <w:highlight w:val="none"/>
        </w:rPr>
        <w:t>本项目采用远程开标，具体操作方法详见服务指南&gt;交易须知&gt;开标大厅远程解密、质疑(异议)及回复以及评标过程中询标流程操作手册。</w:t>
      </w:r>
    </w:p>
    <w:p w14:paraId="6504309F">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4.2</w:t>
      </w:r>
      <w:r>
        <w:rPr>
          <w:rFonts w:hint="eastAsia" w:ascii="宋体" w:hAnsi="宋体" w:eastAsia="宋体"/>
          <w:color w:val="auto"/>
          <w:sz w:val="24"/>
          <w:highlight w:val="none"/>
        </w:rPr>
        <w:t>投标人的澄清、说明或补正将作为投标文件的一部分。</w:t>
      </w:r>
    </w:p>
    <w:p w14:paraId="650CEA8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4.3评标委员会对投标人提交的澄清、说明或补正有疑问的，可以要求投标人进一步澄清、说明或补正，直至满足评标委员会的要求。</w:t>
      </w:r>
    </w:p>
    <w:p w14:paraId="63AD767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5投标文件报价出现前后不一致的，按照下列规定修正：</w:t>
      </w:r>
    </w:p>
    <w:p w14:paraId="70BA547F">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1</w:t>
      </w:r>
      <w:r>
        <w:rPr>
          <w:rFonts w:ascii="宋体" w:hAnsi="宋体" w:eastAsia="宋体"/>
          <w:color w:val="auto"/>
          <w:sz w:val="24"/>
          <w:highlight w:val="none"/>
        </w:rPr>
        <w:t>）投标文件中开标一览表内容与投标文件中相应内容不一致的，以开标一览表为准；</w:t>
      </w:r>
    </w:p>
    <w:p w14:paraId="03A48D16">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）大写金额和小写金额不一致的，以大写金额为准；</w:t>
      </w:r>
    </w:p>
    <w:p w14:paraId="3FA7C53C">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3</w:t>
      </w:r>
      <w:r>
        <w:rPr>
          <w:rFonts w:ascii="宋体" w:hAnsi="宋体" w:eastAsia="宋体"/>
          <w:color w:val="auto"/>
          <w:sz w:val="24"/>
          <w:highlight w:val="none"/>
        </w:rPr>
        <w:t>）单价金额小数点或者百分比有明显错位的，以开标一览表的总价为准，并修改单价；</w:t>
      </w:r>
    </w:p>
    <w:p w14:paraId="5786F61F">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）总价金额与按单价汇总金额不一致的，以单价金额计算结果为准。</w:t>
      </w:r>
    </w:p>
    <w:p w14:paraId="18E050FD">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同时出现两种以上不一致的，按照前款规定的顺序修正。修正后的报价按照第</w:t>
      </w:r>
      <w:r>
        <w:rPr>
          <w:rFonts w:hint="eastAsia" w:ascii="宋体" w:hAnsi="宋体" w:eastAsia="宋体"/>
          <w:color w:val="auto"/>
          <w:sz w:val="24"/>
          <w:highlight w:val="none"/>
        </w:rPr>
        <w:t>15.</w:t>
      </w:r>
      <w:r>
        <w:rPr>
          <w:rFonts w:ascii="宋体" w:hAnsi="宋体" w:eastAsia="宋体"/>
          <w:color w:val="auto"/>
          <w:sz w:val="24"/>
          <w:highlight w:val="none"/>
        </w:rPr>
        <w:t>4条的规定经投标人确认后产生约束力，</w:t>
      </w:r>
      <w:r>
        <w:rPr>
          <w:rFonts w:hint="eastAsia" w:ascii="宋体" w:hAnsi="宋体" w:eastAsia="宋体"/>
          <w:color w:val="auto"/>
          <w:sz w:val="24"/>
          <w:highlight w:val="none"/>
        </w:rPr>
        <w:t>无论投标人是接受或是拒绝调整后的价格，都应当由投标人在系统中确认。投标人拒绝对投标文件出现的错漏按上述原则进行修正、澄清、说明，</w:t>
      </w:r>
      <w:r>
        <w:rPr>
          <w:rFonts w:ascii="宋体" w:hAnsi="宋体" w:eastAsia="宋体"/>
          <w:color w:val="auto"/>
          <w:sz w:val="24"/>
          <w:highlight w:val="none"/>
        </w:rPr>
        <w:t>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0CD55718">
      <w:pPr>
        <w:spacing w:line="360" w:lineRule="auto"/>
        <w:ind w:firstLine="435"/>
        <w:rPr>
          <w:rFonts w:hint="eastAsia" w:ascii="宋体" w:hAnsi="宋体" w:eastAsia="宋体"/>
          <w:b/>
          <w:color w:val="auto"/>
          <w:sz w:val="24"/>
          <w:highlight w:val="none"/>
        </w:rPr>
      </w:pPr>
      <w:r>
        <w:rPr>
          <w:rFonts w:hint="eastAsia" w:ascii="宋体" w:hAnsi="宋体" w:eastAsia="宋体"/>
          <w:color w:val="auto"/>
          <w:sz w:val="24"/>
          <w:highlight w:val="none"/>
        </w:rPr>
        <w:t>对不同文字文本投标文件的解释发生异议的，以中文文本为准。</w:t>
      </w:r>
    </w:p>
    <w:p w14:paraId="4F1D050A">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16.投标无效</w:t>
      </w:r>
    </w:p>
    <w:p w14:paraId="3E3AE38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16.</w:t>
      </w:r>
      <w:r>
        <w:rPr>
          <w:rFonts w:ascii="宋体" w:hAnsi="宋体" w:eastAsia="宋体"/>
          <w:color w:val="auto"/>
          <w:sz w:val="24"/>
          <w:highlight w:val="none"/>
        </w:rPr>
        <w:t>1根据本</w:t>
      </w:r>
      <w:r>
        <w:rPr>
          <w:rFonts w:hint="eastAsia" w:ascii="宋体" w:hAnsi="宋体" w:eastAsia="宋体"/>
          <w:color w:val="auto"/>
          <w:sz w:val="24"/>
          <w:highlight w:val="none"/>
        </w:rPr>
        <w:t>招标文件</w:t>
      </w:r>
      <w:r>
        <w:rPr>
          <w:rFonts w:ascii="宋体" w:hAnsi="宋体" w:eastAsia="宋体"/>
          <w:color w:val="auto"/>
          <w:sz w:val="24"/>
          <w:highlight w:val="none"/>
        </w:rPr>
        <w:t>的规定，评标委员会要审查每份投标文件是否实质上响应了招标文件的要求。投标人不得通过修正或撤销不符合要求的偏离，从而使其投标成为实质上响应的投标。</w:t>
      </w:r>
    </w:p>
    <w:p w14:paraId="18795F2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评标委员会决定投标的响应性只根据招标文件要求和投标文件内容。</w:t>
      </w:r>
    </w:p>
    <w:p w14:paraId="27603B1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无论何种原因，即使投标人投标时携带了证书材料的原件，但投标文件中未提供与之内容完全一致的扫描件的，评标委员会视同其未提供。</w:t>
      </w:r>
    </w:p>
    <w:p w14:paraId="72AF725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16.</w:t>
      </w:r>
      <w:r>
        <w:rPr>
          <w:rFonts w:ascii="宋体" w:hAnsi="宋体" w:eastAsia="宋体"/>
          <w:color w:val="auto"/>
          <w:sz w:val="24"/>
          <w:highlight w:val="none"/>
        </w:rPr>
        <w:t>2如发现下列情况之一的，其投标将被认定为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38B0E24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1）投标文件未按照招标文件规定要求签署、盖章的；</w:t>
      </w:r>
    </w:p>
    <w:p w14:paraId="7337263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2）不具备招标文件中规定的资格要求的；</w:t>
      </w:r>
    </w:p>
    <w:p w14:paraId="5B3741B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3）报价超过招标文件中规定的预算金额或者最高限价的；</w:t>
      </w:r>
    </w:p>
    <w:p w14:paraId="12C489F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4）投标文件含有采购人不能接受的附加条件的；</w:t>
      </w:r>
    </w:p>
    <w:p w14:paraId="343A70A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5）法律、法规和招标文件规定的其他无效情形。</w:t>
      </w:r>
    </w:p>
    <w:p w14:paraId="4262CCD2">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17.比较与评价</w:t>
      </w:r>
    </w:p>
    <w:p w14:paraId="76566E6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17.1经符合性审查合格的投标文件，评标委员会将根据招标文件确定的评标方法和标准，对其投标文件作进一步的比较与评价。</w:t>
      </w:r>
    </w:p>
    <w:p w14:paraId="1F30EFD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17.2评标严格按照招标文件的要求和条件进行。根据实际情况，在</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中规定采用下列一种评标方法，详细评标方法和标准见招标文件第四章：</w:t>
      </w:r>
    </w:p>
    <w:p w14:paraId="01E5BB8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（1）最低评标价法，是指</w:t>
      </w:r>
      <w:r>
        <w:rPr>
          <w:rFonts w:ascii="宋体" w:hAnsi="宋体" w:eastAsia="宋体"/>
          <w:color w:val="auto"/>
          <w:sz w:val="24"/>
          <w:highlight w:val="none"/>
        </w:rPr>
        <w:t>投标文件满足招标文件全部实质性要求</w:t>
      </w:r>
      <w:r>
        <w:rPr>
          <w:rFonts w:hint="eastAsia" w:ascii="宋体" w:hAnsi="宋体" w:eastAsia="宋体"/>
          <w:color w:val="auto"/>
          <w:sz w:val="24"/>
          <w:highlight w:val="none"/>
        </w:rPr>
        <w:t>，</w:t>
      </w:r>
      <w:r>
        <w:rPr>
          <w:rFonts w:ascii="宋体" w:hAnsi="宋体" w:eastAsia="宋体"/>
          <w:color w:val="auto"/>
          <w:sz w:val="24"/>
          <w:highlight w:val="none"/>
        </w:rPr>
        <w:t>且投标报价最低的</w:t>
      </w:r>
      <w:r>
        <w:rPr>
          <w:rFonts w:hint="eastAsia" w:ascii="宋体" w:hAnsi="宋体" w:eastAsia="宋体"/>
          <w:color w:val="auto"/>
          <w:sz w:val="24"/>
          <w:highlight w:val="none"/>
        </w:rPr>
        <w:t>投标人</w:t>
      </w:r>
      <w:r>
        <w:rPr>
          <w:rFonts w:ascii="宋体" w:hAnsi="宋体" w:eastAsia="宋体"/>
          <w:color w:val="auto"/>
          <w:sz w:val="24"/>
          <w:highlight w:val="none"/>
        </w:rPr>
        <w:t>为中标</w:t>
      </w:r>
      <w:r>
        <w:rPr>
          <w:rFonts w:hint="eastAsia" w:ascii="宋体" w:hAnsi="宋体" w:eastAsia="宋体"/>
          <w:color w:val="auto"/>
          <w:sz w:val="24"/>
          <w:highlight w:val="none"/>
        </w:rPr>
        <w:t>候选</w:t>
      </w:r>
      <w:r>
        <w:rPr>
          <w:rFonts w:ascii="宋体" w:hAnsi="宋体" w:eastAsia="宋体"/>
          <w:color w:val="auto"/>
          <w:sz w:val="24"/>
          <w:highlight w:val="none"/>
        </w:rPr>
        <w:t>人的评标方法</w:t>
      </w:r>
      <w:r>
        <w:rPr>
          <w:rFonts w:hint="eastAsia" w:ascii="宋体" w:hAnsi="宋体" w:eastAsia="宋体"/>
          <w:color w:val="auto"/>
          <w:sz w:val="24"/>
          <w:highlight w:val="none"/>
        </w:rPr>
        <w:t>。</w:t>
      </w:r>
    </w:p>
    <w:p w14:paraId="3A90244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（2）综合评分法，是</w:t>
      </w:r>
      <w:r>
        <w:rPr>
          <w:rFonts w:ascii="宋体" w:hAnsi="宋体" w:eastAsia="宋体"/>
          <w:color w:val="auto"/>
          <w:sz w:val="24"/>
          <w:highlight w:val="none"/>
        </w:rPr>
        <w:t>指投标文件满足招标</w:t>
      </w:r>
      <w:r>
        <w:rPr>
          <w:rFonts w:hint="eastAsia" w:ascii="宋体" w:hAnsi="宋体" w:eastAsia="宋体"/>
          <w:color w:val="auto"/>
          <w:sz w:val="24"/>
          <w:highlight w:val="none"/>
        </w:rPr>
        <w:t>文件</w:t>
      </w:r>
      <w:r>
        <w:rPr>
          <w:rFonts w:ascii="宋体" w:hAnsi="宋体" w:eastAsia="宋体"/>
          <w:color w:val="auto"/>
          <w:sz w:val="24"/>
          <w:highlight w:val="none"/>
        </w:rPr>
        <w:t>全部实质性要求</w:t>
      </w:r>
      <w:r>
        <w:rPr>
          <w:rFonts w:hint="eastAsia" w:ascii="宋体" w:hAnsi="宋体" w:eastAsia="宋体"/>
          <w:color w:val="auto"/>
          <w:sz w:val="24"/>
          <w:highlight w:val="none"/>
        </w:rPr>
        <w:t>，</w:t>
      </w:r>
      <w:r>
        <w:rPr>
          <w:rFonts w:ascii="宋体" w:hAnsi="宋体" w:eastAsia="宋体"/>
          <w:color w:val="auto"/>
          <w:sz w:val="24"/>
          <w:highlight w:val="none"/>
        </w:rPr>
        <w:t>且按照评审因素的</w:t>
      </w:r>
      <w:r>
        <w:rPr>
          <w:rFonts w:hint="eastAsia" w:ascii="宋体" w:hAnsi="宋体" w:eastAsia="宋体"/>
          <w:color w:val="auto"/>
          <w:sz w:val="24"/>
          <w:highlight w:val="none"/>
        </w:rPr>
        <w:t>量化</w:t>
      </w:r>
      <w:r>
        <w:rPr>
          <w:rFonts w:ascii="宋体" w:hAnsi="宋体" w:eastAsia="宋体"/>
          <w:color w:val="auto"/>
          <w:sz w:val="24"/>
          <w:highlight w:val="none"/>
        </w:rPr>
        <w:t>指标评审得分最高的</w:t>
      </w:r>
      <w:r>
        <w:rPr>
          <w:rFonts w:hint="eastAsia" w:ascii="宋体" w:hAnsi="宋体" w:eastAsia="宋体"/>
          <w:color w:val="auto"/>
          <w:sz w:val="24"/>
          <w:highlight w:val="none"/>
        </w:rPr>
        <w:t>投标人</w:t>
      </w:r>
      <w:r>
        <w:rPr>
          <w:rFonts w:ascii="宋体" w:hAnsi="宋体" w:eastAsia="宋体"/>
          <w:color w:val="auto"/>
          <w:sz w:val="24"/>
          <w:highlight w:val="none"/>
        </w:rPr>
        <w:t>为中标候选人的评标方法。</w:t>
      </w:r>
    </w:p>
    <w:p w14:paraId="75A799C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17.</w:t>
      </w:r>
      <w:r>
        <w:rPr>
          <w:rFonts w:ascii="宋体" w:hAnsi="宋体" w:eastAsia="宋体"/>
          <w:color w:val="auto"/>
          <w:sz w:val="24"/>
          <w:highlight w:val="none"/>
        </w:rPr>
        <w:t>3根据《政府采购促进中小企业发展管理办法》（财库〔2020〕46号）、《三部门联合发布关于促进残疾人就业政府采购政策的通知》（财库〔2017〕141号）和《财政部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ascii="宋体" w:hAnsi="宋体" w:eastAsia="宋体"/>
          <w:color w:val="auto"/>
          <w:sz w:val="24"/>
          <w:highlight w:val="none"/>
          <w:u w:val="single"/>
        </w:rPr>
        <w:t>投标人须知前附表</w:t>
      </w:r>
      <w:r>
        <w:rPr>
          <w:rFonts w:ascii="宋体" w:hAnsi="宋体" w:eastAsia="宋体"/>
          <w:color w:val="auto"/>
          <w:sz w:val="24"/>
          <w:highlight w:val="none"/>
        </w:rPr>
        <w:t>中规定的标准扣除后的价格参与评审。对于同时属于小微企</w:t>
      </w:r>
      <w:r>
        <w:rPr>
          <w:rFonts w:hint="eastAsia" w:ascii="宋体" w:hAnsi="宋体" w:eastAsia="宋体"/>
          <w:color w:val="auto"/>
          <w:sz w:val="24"/>
          <w:highlight w:val="none"/>
        </w:rPr>
        <w:t>业、监狱企业或残疾人福利性单位的，不重复进行投标报价扣除。</w:t>
      </w:r>
    </w:p>
    <w:p w14:paraId="7BA1074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color w:val="auto"/>
          <w:sz w:val="24"/>
          <w:highlight w:val="none"/>
        </w:rPr>
        <w:t>30%以上的，可给予联合体或者大中型企业的投标报价按照</w:t>
      </w:r>
      <w:r>
        <w:rPr>
          <w:rFonts w:ascii="宋体" w:hAnsi="宋体" w:eastAsia="宋体"/>
          <w:color w:val="auto"/>
          <w:sz w:val="24"/>
          <w:highlight w:val="none"/>
          <w:u w:val="single"/>
        </w:rPr>
        <w:t>投标人须知前附表</w:t>
      </w:r>
      <w:r>
        <w:rPr>
          <w:rFonts w:ascii="宋体" w:hAnsi="宋体" w:eastAsia="宋体"/>
          <w:color w:val="auto"/>
          <w:sz w:val="24"/>
          <w:highlight w:val="none"/>
        </w:rPr>
        <w:t>中规定的标准扣除后的价格参与评审。组成联合体或者接受分包的小微企业与联合体内其他企业、分包企业之间存在直接控股、管理关系的，不享受价格扣除优惠政策。</w:t>
      </w:r>
    </w:p>
    <w:p w14:paraId="52E19CC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以联合体形式参加政府采购活动，联合体各方均为中小企业的，联合体视同中小企业。其中，联合体各方均为小微企业的，联合体视同小微企业。</w:t>
      </w:r>
    </w:p>
    <w:p w14:paraId="0830EFDE">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18</w:t>
      </w:r>
      <w:r>
        <w:rPr>
          <w:rFonts w:ascii="宋体" w:hAnsi="宋体" w:eastAsia="宋体"/>
          <w:b/>
          <w:color w:val="auto"/>
          <w:sz w:val="24"/>
          <w:highlight w:val="none"/>
        </w:rPr>
        <w:t>.</w:t>
      </w:r>
      <w:r>
        <w:rPr>
          <w:rFonts w:hint="eastAsia" w:ascii="宋体" w:hAnsi="宋体" w:eastAsia="宋体"/>
          <w:b/>
          <w:color w:val="auto"/>
          <w:sz w:val="24"/>
          <w:highlight w:val="none"/>
        </w:rPr>
        <w:t>废标、重新招标与变更采购方式</w:t>
      </w:r>
    </w:p>
    <w:p w14:paraId="3B3FD4F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18.1出现下列情形之一，将导致项目废标：</w:t>
      </w:r>
    </w:p>
    <w:p w14:paraId="1BE77EF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（1）符合专业条件的供应商或者对招标文件做实质性响应的供应商不足规定数量的；</w:t>
      </w:r>
    </w:p>
    <w:p w14:paraId="054FB4C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（2）出现影响采购公正的违法、违规行为的；</w:t>
      </w:r>
    </w:p>
    <w:p w14:paraId="4BB4238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（3）投标人的报价均超过了采购预算，采购人不能支付的；</w:t>
      </w:r>
    </w:p>
    <w:p w14:paraId="53635FE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（4）因重大变故，采购任务取消的。</w:t>
      </w:r>
    </w:p>
    <w:p w14:paraId="074F006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18.2公开招标数额标准以上的采购项目，投标截止后投标人不足</w:t>
      </w:r>
      <w:r>
        <w:rPr>
          <w:rFonts w:ascii="宋体" w:hAnsi="宋体" w:eastAsia="宋体"/>
          <w:color w:val="auto"/>
          <w:sz w:val="24"/>
          <w:highlight w:val="none"/>
        </w:rPr>
        <w:t>3家或者通过</w:t>
      </w:r>
      <w:r>
        <w:rPr>
          <w:rFonts w:hint="eastAsia" w:ascii="宋体" w:hAnsi="宋体" w:eastAsia="宋体"/>
          <w:color w:val="auto"/>
          <w:sz w:val="24"/>
          <w:highlight w:val="none"/>
        </w:rPr>
        <w:t>资格审查或符合性审查的投标人不足</w:t>
      </w:r>
      <w:r>
        <w:rPr>
          <w:rFonts w:ascii="宋体" w:hAnsi="宋体" w:eastAsia="宋体"/>
          <w:color w:val="auto"/>
          <w:sz w:val="24"/>
          <w:highlight w:val="none"/>
        </w:rPr>
        <w:t>3家的，除采购任务取消情形外，按照以下方式处理：</w:t>
      </w:r>
    </w:p>
    <w:p w14:paraId="0BE80C8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（1）招标文件存在不合理条款或者招标程序不符合规定的，采购人、采购代理机构改正后依法重新招标；</w:t>
      </w:r>
    </w:p>
    <w:p w14:paraId="22F9FA7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（2）招标文件没有不合理条款、招标程序符合规定，需要采用其他采购方式采购的，采购人应当依法报</w:t>
      </w:r>
      <w:r>
        <w:rPr>
          <w:rFonts w:hint="eastAsia" w:ascii="宋体" w:hAnsi="宋体" w:eastAsia="宋体" w:cs="宋体"/>
          <w:color w:val="auto"/>
          <w:sz w:val="24"/>
          <w:szCs w:val="24"/>
          <w:highlight w:val="none"/>
        </w:rPr>
        <w:t>政府采购监督管理部门</w:t>
      </w:r>
      <w:r>
        <w:rPr>
          <w:rFonts w:hint="eastAsia" w:ascii="宋体" w:hAnsi="宋体" w:eastAsia="宋体"/>
          <w:color w:val="auto"/>
          <w:sz w:val="24"/>
          <w:highlight w:val="none"/>
        </w:rPr>
        <w:t>批准。</w:t>
      </w:r>
    </w:p>
    <w:p w14:paraId="754C0C3F">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19</w:t>
      </w:r>
      <w:r>
        <w:rPr>
          <w:rFonts w:ascii="宋体" w:hAnsi="宋体" w:eastAsia="宋体"/>
          <w:b/>
          <w:color w:val="auto"/>
          <w:sz w:val="24"/>
          <w:highlight w:val="none"/>
        </w:rPr>
        <w:t>.</w:t>
      </w:r>
      <w:r>
        <w:rPr>
          <w:rFonts w:hint="eastAsia" w:ascii="宋体" w:hAnsi="宋体" w:eastAsia="宋体"/>
          <w:b/>
          <w:color w:val="auto"/>
          <w:sz w:val="24"/>
          <w:highlight w:val="none"/>
        </w:rPr>
        <w:t>保密要求</w:t>
      </w:r>
    </w:p>
    <w:p w14:paraId="3D70C3F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19.1评标将在严格保密的情况下进行。</w:t>
      </w:r>
    </w:p>
    <w:p w14:paraId="671730F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19.2有关人员</w:t>
      </w:r>
      <w:r>
        <w:rPr>
          <w:rFonts w:ascii="宋体" w:hAnsi="宋体" w:eastAsia="宋体"/>
          <w:color w:val="auto"/>
          <w:sz w:val="24"/>
          <w:highlight w:val="none"/>
        </w:rPr>
        <w:t>应当</w:t>
      </w:r>
      <w:r>
        <w:rPr>
          <w:rFonts w:hint="eastAsia" w:ascii="宋体" w:hAnsi="宋体" w:eastAsia="宋体"/>
          <w:color w:val="auto"/>
          <w:sz w:val="24"/>
          <w:highlight w:val="none"/>
        </w:rPr>
        <w:t>遵</w:t>
      </w:r>
      <w:r>
        <w:rPr>
          <w:rFonts w:ascii="宋体" w:hAnsi="宋体" w:eastAsia="宋体"/>
          <w:color w:val="auto"/>
          <w:sz w:val="24"/>
          <w:highlight w:val="none"/>
        </w:rPr>
        <w:t>守评</w:t>
      </w:r>
      <w:r>
        <w:rPr>
          <w:rFonts w:hint="eastAsia" w:ascii="宋体" w:hAnsi="宋体" w:eastAsia="宋体"/>
          <w:color w:val="auto"/>
          <w:sz w:val="24"/>
          <w:highlight w:val="none"/>
        </w:rPr>
        <w:t>标</w:t>
      </w:r>
      <w:r>
        <w:rPr>
          <w:rFonts w:ascii="宋体" w:hAnsi="宋体" w:eastAsia="宋体"/>
          <w:color w:val="auto"/>
          <w:sz w:val="24"/>
          <w:highlight w:val="none"/>
        </w:rPr>
        <w:t>工作纪律，不得</w:t>
      </w:r>
      <w:r>
        <w:rPr>
          <w:rFonts w:hint="eastAsia" w:ascii="宋体" w:hAnsi="宋体" w:eastAsia="宋体"/>
          <w:color w:val="auto"/>
          <w:sz w:val="24"/>
          <w:highlight w:val="none"/>
        </w:rPr>
        <w:t>泄露</w:t>
      </w:r>
      <w:r>
        <w:rPr>
          <w:rFonts w:ascii="宋体" w:hAnsi="宋体" w:eastAsia="宋体"/>
          <w:color w:val="auto"/>
          <w:sz w:val="24"/>
          <w:highlight w:val="none"/>
        </w:rPr>
        <w:t>评</w:t>
      </w:r>
      <w:r>
        <w:rPr>
          <w:rFonts w:hint="eastAsia" w:ascii="宋体" w:hAnsi="宋体" w:eastAsia="宋体"/>
          <w:color w:val="auto"/>
          <w:sz w:val="24"/>
          <w:highlight w:val="none"/>
        </w:rPr>
        <w:t>标文件</w:t>
      </w:r>
      <w:r>
        <w:rPr>
          <w:rFonts w:ascii="宋体" w:hAnsi="宋体" w:eastAsia="宋体"/>
          <w:color w:val="auto"/>
          <w:sz w:val="24"/>
          <w:highlight w:val="none"/>
        </w:rPr>
        <w:t>、评</w:t>
      </w:r>
      <w:r>
        <w:rPr>
          <w:rFonts w:hint="eastAsia" w:ascii="宋体" w:hAnsi="宋体" w:eastAsia="宋体"/>
          <w:color w:val="auto"/>
          <w:sz w:val="24"/>
          <w:highlight w:val="none"/>
        </w:rPr>
        <w:t>标</w:t>
      </w:r>
      <w:r>
        <w:rPr>
          <w:rFonts w:ascii="宋体" w:hAnsi="宋体" w:eastAsia="宋体"/>
          <w:color w:val="auto"/>
          <w:sz w:val="24"/>
          <w:highlight w:val="none"/>
        </w:rPr>
        <w:t>情况和评</w:t>
      </w:r>
      <w:r>
        <w:rPr>
          <w:rFonts w:hint="eastAsia" w:ascii="宋体" w:hAnsi="宋体" w:eastAsia="宋体"/>
          <w:color w:val="auto"/>
          <w:sz w:val="24"/>
          <w:highlight w:val="none"/>
        </w:rPr>
        <w:t>标</w:t>
      </w:r>
      <w:r>
        <w:rPr>
          <w:rFonts w:ascii="宋体" w:hAnsi="宋体" w:eastAsia="宋体"/>
          <w:color w:val="auto"/>
          <w:sz w:val="24"/>
          <w:highlight w:val="none"/>
        </w:rPr>
        <w:t>中获悉的</w:t>
      </w:r>
      <w:r>
        <w:rPr>
          <w:rFonts w:hint="eastAsia" w:ascii="宋体" w:hAnsi="宋体" w:eastAsia="宋体"/>
          <w:color w:val="auto"/>
          <w:sz w:val="24"/>
          <w:highlight w:val="none"/>
        </w:rPr>
        <w:t>国家秘密、</w:t>
      </w:r>
      <w:r>
        <w:rPr>
          <w:rFonts w:ascii="宋体" w:hAnsi="宋体" w:eastAsia="宋体"/>
          <w:color w:val="auto"/>
          <w:sz w:val="24"/>
          <w:highlight w:val="none"/>
        </w:rPr>
        <w:t>商业秘密。</w:t>
      </w:r>
    </w:p>
    <w:p w14:paraId="79C739D0">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20</w:t>
      </w:r>
      <w:r>
        <w:rPr>
          <w:rFonts w:ascii="宋体" w:hAnsi="宋体" w:eastAsia="宋体"/>
          <w:b/>
          <w:color w:val="auto"/>
          <w:sz w:val="24"/>
          <w:highlight w:val="none"/>
        </w:rPr>
        <w:t>.</w:t>
      </w:r>
      <w:r>
        <w:rPr>
          <w:rFonts w:hint="eastAsia" w:ascii="宋体" w:hAnsi="宋体" w:eastAsia="宋体"/>
          <w:b/>
          <w:color w:val="auto"/>
          <w:sz w:val="24"/>
          <w:highlight w:val="none"/>
        </w:rPr>
        <w:t>中标候选人的确定原则及标准</w:t>
      </w:r>
    </w:p>
    <w:p w14:paraId="4C00D02B">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0</w:t>
      </w:r>
      <w:r>
        <w:rPr>
          <w:rFonts w:ascii="宋体" w:hAnsi="宋体" w:eastAsia="宋体"/>
          <w:color w:val="auto"/>
          <w:sz w:val="24"/>
          <w:highlight w:val="none"/>
        </w:rPr>
        <w:t>.1评</w:t>
      </w:r>
      <w:r>
        <w:rPr>
          <w:rFonts w:hint="eastAsia" w:ascii="宋体" w:hAnsi="宋体" w:eastAsia="宋体"/>
          <w:color w:val="auto"/>
          <w:sz w:val="24"/>
          <w:highlight w:val="none"/>
        </w:rPr>
        <w:t>标</w:t>
      </w:r>
      <w:r>
        <w:rPr>
          <w:rFonts w:ascii="宋体" w:hAnsi="宋体" w:eastAsia="宋体"/>
          <w:color w:val="auto"/>
          <w:sz w:val="24"/>
          <w:highlight w:val="none"/>
        </w:rPr>
        <w:t>委员会依据本项目招标文件所约定的评标方法，对实质上响应招标文件的投标人按下列方法进行排序</w:t>
      </w:r>
      <w:r>
        <w:rPr>
          <w:rFonts w:hint="eastAsia" w:ascii="宋体" w:hAnsi="宋体" w:eastAsia="宋体"/>
          <w:color w:val="auto"/>
          <w:sz w:val="24"/>
          <w:highlight w:val="none"/>
        </w:rPr>
        <w:t>，确定中标候选人</w:t>
      </w:r>
      <w:r>
        <w:rPr>
          <w:rFonts w:ascii="宋体" w:hAnsi="宋体" w:eastAsia="宋体"/>
          <w:color w:val="auto"/>
          <w:sz w:val="24"/>
          <w:highlight w:val="none"/>
        </w:rPr>
        <w:t>：</w:t>
      </w:r>
    </w:p>
    <w:p w14:paraId="0D99215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1）采用最低评标价法的，除了算术修正和落实政府采购政策需进行的价格扣除外，不对投标人的投标价格进行任何调整。评标结果按修正和扣除后的投标报价由低到高顺序排列。修正和扣除后的投标报价</w:t>
      </w:r>
      <w:r>
        <w:rPr>
          <w:rFonts w:hint="eastAsia" w:ascii="宋体" w:hAnsi="宋体" w:eastAsia="宋体"/>
          <w:color w:val="auto"/>
          <w:sz w:val="24"/>
          <w:highlight w:val="none"/>
        </w:rPr>
        <w:t>出现两家或两家以上相同者，则所投产品为节能产品、环境标志产品、不发达地区或少数民族地区产品者优先；若报价相同且所投产品同为节能产品、环境标志产品、不发达地区或少数民族地区产品的，则采取评标委员会随机抽取的方式确定中标候选顺序。</w:t>
      </w:r>
    </w:p>
    <w:p w14:paraId="2618F4C8">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2）采用综合评分法的，评标结果按评审后得分由高到低顺序排列。得分相同的，按投标报价由低到高顺序排列。得分与投标报价均相同的</w:t>
      </w:r>
      <w:r>
        <w:rPr>
          <w:rFonts w:hint="eastAsia" w:ascii="宋体" w:hAnsi="宋体" w:eastAsia="宋体"/>
          <w:color w:val="auto"/>
          <w:sz w:val="24"/>
          <w:highlight w:val="none"/>
        </w:rPr>
        <w:t>，则所投产品为节能产品、环境标志产品、不发达地区或少数民族地区产品者优先；若</w:t>
      </w:r>
      <w:r>
        <w:rPr>
          <w:rFonts w:ascii="宋体" w:hAnsi="宋体" w:eastAsia="宋体"/>
          <w:color w:val="auto"/>
          <w:sz w:val="24"/>
          <w:highlight w:val="none"/>
        </w:rPr>
        <w:t>得分与投标报价均相同</w:t>
      </w:r>
      <w:r>
        <w:rPr>
          <w:rFonts w:hint="eastAsia" w:ascii="宋体" w:hAnsi="宋体" w:eastAsia="宋体"/>
          <w:color w:val="auto"/>
          <w:sz w:val="24"/>
          <w:highlight w:val="none"/>
        </w:rPr>
        <w:t>且所投产品同为节能产品、环境标志产品、不发达地区或少数民族地区产品的，则采取评标委员会随机抽取的方式确定中标候选顺序。</w:t>
      </w:r>
    </w:p>
    <w:p w14:paraId="48429258">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21</w:t>
      </w:r>
      <w:r>
        <w:rPr>
          <w:rFonts w:ascii="宋体" w:hAnsi="宋体" w:eastAsia="宋体"/>
          <w:b/>
          <w:color w:val="auto"/>
          <w:sz w:val="24"/>
          <w:highlight w:val="none"/>
        </w:rPr>
        <w:t>.</w:t>
      </w:r>
      <w:r>
        <w:rPr>
          <w:rFonts w:hint="eastAsia" w:ascii="宋体" w:hAnsi="宋体" w:eastAsia="宋体"/>
          <w:b/>
          <w:color w:val="auto"/>
          <w:sz w:val="24"/>
          <w:highlight w:val="none"/>
        </w:rPr>
        <w:t>确定中标候选人和中标人</w:t>
      </w:r>
    </w:p>
    <w:p w14:paraId="296776DC">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1</w:t>
      </w:r>
      <w:r>
        <w:rPr>
          <w:rFonts w:ascii="宋体" w:hAnsi="宋体" w:eastAsia="宋体"/>
          <w:color w:val="auto"/>
          <w:sz w:val="24"/>
          <w:highlight w:val="none"/>
        </w:rPr>
        <w:t>.1评标委员会将根据评标标准，按</w:t>
      </w:r>
      <w:r>
        <w:rPr>
          <w:rFonts w:ascii="宋体" w:hAnsi="宋体" w:eastAsia="宋体"/>
          <w:color w:val="auto"/>
          <w:sz w:val="24"/>
          <w:highlight w:val="none"/>
          <w:u w:val="single"/>
        </w:rPr>
        <w:t>投标</w:t>
      </w:r>
      <w:r>
        <w:rPr>
          <w:rFonts w:hint="eastAsia" w:ascii="宋体" w:hAnsi="宋体" w:eastAsia="宋体"/>
          <w:color w:val="auto"/>
          <w:sz w:val="24"/>
          <w:highlight w:val="none"/>
          <w:u w:val="single"/>
        </w:rPr>
        <w:t>人</w:t>
      </w:r>
      <w:r>
        <w:rPr>
          <w:rFonts w:ascii="宋体" w:hAnsi="宋体" w:eastAsia="宋体"/>
          <w:color w:val="auto"/>
          <w:sz w:val="24"/>
          <w:highlight w:val="none"/>
          <w:u w:val="single"/>
        </w:rPr>
        <w:t>须知前附表</w:t>
      </w:r>
      <w:r>
        <w:rPr>
          <w:rFonts w:ascii="宋体" w:hAnsi="宋体" w:eastAsia="宋体"/>
          <w:color w:val="auto"/>
          <w:sz w:val="24"/>
          <w:highlight w:val="none"/>
        </w:rPr>
        <w:t>中规定数量推荐中标候选人。</w:t>
      </w:r>
    </w:p>
    <w:p w14:paraId="5351C4E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21.2按</w:t>
      </w:r>
      <w:r>
        <w:rPr>
          <w:rFonts w:ascii="宋体" w:hAnsi="宋体" w:eastAsia="宋体"/>
          <w:color w:val="auto"/>
          <w:sz w:val="24"/>
          <w:highlight w:val="none"/>
          <w:u w:val="single"/>
        </w:rPr>
        <w:t>投标</w:t>
      </w:r>
      <w:r>
        <w:rPr>
          <w:rFonts w:hint="eastAsia" w:ascii="宋体" w:hAnsi="宋体" w:eastAsia="宋体"/>
          <w:color w:val="auto"/>
          <w:sz w:val="24"/>
          <w:highlight w:val="none"/>
          <w:u w:val="single"/>
        </w:rPr>
        <w:t>人</w:t>
      </w:r>
      <w:r>
        <w:rPr>
          <w:rFonts w:ascii="宋体" w:hAnsi="宋体" w:eastAsia="宋体"/>
          <w:color w:val="auto"/>
          <w:sz w:val="24"/>
          <w:highlight w:val="none"/>
          <w:u w:val="single"/>
        </w:rPr>
        <w:t>须知前附表</w:t>
      </w:r>
      <w:r>
        <w:rPr>
          <w:rFonts w:hint="eastAsia" w:ascii="宋体" w:hAnsi="宋体" w:eastAsia="宋体"/>
          <w:color w:val="auto"/>
          <w:sz w:val="24"/>
          <w:highlight w:val="none"/>
        </w:rPr>
        <w:t>中规定，</w:t>
      </w:r>
      <w:r>
        <w:rPr>
          <w:rFonts w:ascii="宋体" w:hAnsi="宋体" w:eastAsia="宋体"/>
          <w:color w:val="auto"/>
          <w:sz w:val="24"/>
          <w:highlight w:val="none"/>
        </w:rPr>
        <w:t>由评标委员会或采购人确定中标人。</w:t>
      </w:r>
    </w:p>
    <w:p w14:paraId="7112A8C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21</w:t>
      </w:r>
      <w:r>
        <w:rPr>
          <w:rFonts w:ascii="宋体" w:hAnsi="宋体" w:eastAsia="宋体"/>
          <w:color w:val="auto"/>
          <w:sz w:val="24"/>
          <w:highlight w:val="none"/>
        </w:rPr>
        <w:t>.3</w:t>
      </w:r>
      <w:r>
        <w:rPr>
          <w:rFonts w:hint="eastAsia" w:ascii="宋体" w:hAnsi="宋体" w:eastAsia="宋体"/>
          <w:color w:val="auto"/>
          <w:sz w:val="24"/>
          <w:highlight w:val="none"/>
        </w:rPr>
        <w:t>因重大变故采购任务取消时，采购人有权拒绝任何投标人中标，且对受影响的投标人不承担任何责任。</w:t>
      </w:r>
    </w:p>
    <w:p w14:paraId="24650561">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22</w:t>
      </w:r>
      <w:r>
        <w:rPr>
          <w:rFonts w:ascii="宋体" w:hAnsi="宋体" w:eastAsia="宋体"/>
          <w:b/>
          <w:color w:val="auto"/>
          <w:sz w:val="24"/>
          <w:highlight w:val="none"/>
        </w:rPr>
        <w:t>.</w:t>
      </w:r>
      <w:r>
        <w:rPr>
          <w:rFonts w:hint="eastAsia" w:ascii="宋体" w:hAnsi="宋体" w:eastAsia="宋体"/>
          <w:b/>
          <w:color w:val="auto"/>
          <w:sz w:val="24"/>
          <w:highlight w:val="none"/>
        </w:rPr>
        <w:t>编写评标报告</w:t>
      </w:r>
    </w:p>
    <w:p w14:paraId="3A051F0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0AB73318">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23</w:t>
      </w:r>
      <w:r>
        <w:rPr>
          <w:rFonts w:ascii="宋体" w:hAnsi="宋体" w:eastAsia="宋体"/>
          <w:b/>
          <w:color w:val="auto"/>
          <w:sz w:val="24"/>
          <w:highlight w:val="none"/>
        </w:rPr>
        <w:t>.</w:t>
      </w:r>
      <w:r>
        <w:rPr>
          <w:rFonts w:hint="eastAsia" w:ascii="宋体" w:hAnsi="宋体" w:eastAsia="宋体"/>
          <w:b/>
          <w:color w:val="auto"/>
          <w:sz w:val="24"/>
          <w:highlight w:val="none"/>
        </w:rPr>
        <w:t>中标结果公告</w:t>
      </w:r>
    </w:p>
    <w:p w14:paraId="276FDA0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23</w:t>
      </w:r>
      <w:r>
        <w:rPr>
          <w:rFonts w:ascii="宋体" w:hAnsi="宋体" w:eastAsia="宋体"/>
          <w:color w:val="auto"/>
          <w:sz w:val="24"/>
          <w:highlight w:val="none"/>
        </w:rPr>
        <w:t>.1</w:t>
      </w:r>
      <w:r>
        <w:rPr>
          <w:rFonts w:hint="eastAsia" w:ascii="宋体" w:hAnsi="宋体" w:eastAsia="宋体"/>
          <w:color w:val="auto"/>
          <w:sz w:val="24"/>
          <w:highlight w:val="none"/>
        </w:rPr>
        <w:t>除</w:t>
      </w:r>
      <w:r>
        <w:rPr>
          <w:rFonts w:ascii="宋体" w:hAnsi="宋体" w:eastAsia="宋体"/>
          <w:color w:val="auto"/>
          <w:sz w:val="24"/>
          <w:highlight w:val="none"/>
          <w:u w:val="single"/>
        </w:rPr>
        <w:t>投标</w:t>
      </w:r>
      <w:r>
        <w:rPr>
          <w:rFonts w:hint="eastAsia" w:ascii="宋体" w:hAnsi="宋体" w:eastAsia="宋体"/>
          <w:color w:val="auto"/>
          <w:sz w:val="24"/>
          <w:highlight w:val="none"/>
          <w:u w:val="single"/>
        </w:rPr>
        <w:t>人</w:t>
      </w:r>
      <w:r>
        <w:rPr>
          <w:rFonts w:ascii="宋体" w:hAnsi="宋体" w:eastAsia="宋体"/>
          <w:color w:val="auto"/>
          <w:sz w:val="24"/>
          <w:highlight w:val="none"/>
          <w:u w:val="single"/>
        </w:rPr>
        <w:t>须知前附表</w:t>
      </w:r>
      <w:r>
        <w:rPr>
          <w:rFonts w:ascii="宋体" w:hAnsi="宋体" w:eastAsia="宋体"/>
          <w:color w:val="auto"/>
          <w:sz w:val="24"/>
          <w:highlight w:val="none"/>
        </w:rPr>
        <w:t>规定由评标委员会直接确定中标</w:t>
      </w:r>
      <w:r>
        <w:rPr>
          <w:rFonts w:hint="eastAsia" w:ascii="宋体" w:hAnsi="宋体" w:eastAsia="宋体"/>
          <w:color w:val="auto"/>
          <w:sz w:val="24"/>
          <w:highlight w:val="none"/>
        </w:rPr>
        <w:t>人外，</w:t>
      </w:r>
      <w:r>
        <w:rPr>
          <w:rFonts w:ascii="宋体" w:hAnsi="宋体" w:eastAsia="宋体"/>
          <w:color w:val="auto"/>
          <w:sz w:val="24"/>
          <w:highlight w:val="none"/>
        </w:rPr>
        <w:t>在评标结束后2个工作日内</w:t>
      </w:r>
      <w:r>
        <w:rPr>
          <w:rFonts w:hint="eastAsia" w:ascii="宋体" w:hAnsi="宋体" w:eastAsia="宋体"/>
          <w:color w:val="auto"/>
          <w:sz w:val="24"/>
          <w:highlight w:val="none"/>
        </w:rPr>
        <w:t>，</w:t>
      </w:r>
      <w:r>
        <w:rPr>
          <w:rFonts w:ascii="宋体" w:hAnsi="宋体" w:eastAsia="宋体"/>
          <w:color w:val="auto"/>
          <w:sz w:val="24"/>
          <w:highlight w:val="none"/>
        </w:rPr>
        <w:t>采购代理机构将评标报告送采购人。采购人应当自收到评标报告之日起</w:t>
      </w:r>
      <w:r>
        <w:rPr>
          <w:rFonts w:hint="eastAsia" w:ascii="宋体" w:hAnsi="宋体" w:eastAsia="宋体"/>
          <w:color w:val="auto"/>
          <w:sz w:val="24"/>
          <w:highlight w:val="none"/>
        </w:rPr>
        <w:t>5</w:t>
      </w:r>
      <w:r>
        <w:rPr>
          <w:rFonts w:ascii="宋体" w:hAnsi="宋体" w:eastAsia="宋体"/>
          <w:color w:val="auto"/>
          <w:sz w:val="24"/>
          <w:highlight w:val="none"/>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163EE6FA">
      <w:pPr>
        <w:spacing w:line="360" w:lineRule="auto"/>
        <w:ind w:firstLine="435"/>
        <w:rPr>
          <w:rFonts w:hint="eastAsia" w:ascii="宋体" w:hAnsi="宋体" w:eastAsia="宋体"/>
          <w:color w:val="auto"/>
          <w:sz w:val="24"/>
          <w:szCs w:val="18"/>
          <w:highlight w:val="none"/>
        </w:rPr>
      </w:pPr>
      <w:r>
        <w:rPr>
          <w:rFonts w:hint="eastAsia" w:ascii="宋体" w:hAnsi="宋体" w:eastAsia="宋体"/>
          <w:color w:val="auto"/>
          <w:sz w:val="24"/>
          <w:highlight w:val="none"/>
        </w:rPr>
        <w:t>23</w:t>
      </w:r>
      <w:r>
        <w:rPr>
          <w:rFonts w:ascii="宋体" w:hAnsi="宋体" w:eastAsia="宋体"/>
          <w:color w:val="auto"/>
          <w:sz w:val="24"/>
          <w:highlight w:val="none"/>
        </w:rPr>
        <w:t>.2</w:t>
      </w:r>
      <w:r>
        <w:rPr>
          <w:rFonts w:hint="eastAsia" w:ascii="宋体" w:hAnsi="宋体" w:eastAsia="宋体"/>
          <w:color w:val="auto"/>
          <w:sz w:val="24"/>
          <w:szCs w:val="18"/>
          <w:highlight w:val="none"/>
        </w:rPr>
        <w:t>自中标人确定之日起2个工作日内，采购代理机构将在安徽省政府采购网（www.ccgp-anhui.gov.cn）和滁州市公共资源交易中心网上发布中标结果公告。</w:t>
      </w:r>
    </w:p>
    <w:p w14:paraId="763E122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23.3</w:t>
      </w:r>
      <w:r>
        <w:rPr>
          <w:rFonts w:ascii="宋体" w:hAnsi="宋体" w:eastAsia="宋体"/>
          <w:color w:val="auto"/>
          <w:sz w:val="24"/>
          <w:highlight w:val="none"/>
        </w:rPr>
        <w:t>中标结果公告内容应当包括采购人及其委托的采购代理机构的名称、地址、联系方式，项目名称和项目编号，中标人名称、地址和中标金额，主要中标标的的名称、</w:t>
      </w:r>
      <w:r>
        <w:rPr>
          <w:rFonts w:hint="eastAsia" w:ascii="宋体" w:hAnsi="宋体" w:eastAsia="宋体"/>
          <w:color w:val="auto"/>
          <w:sz w:val="24"/>
          <w:highlight w:val="none"/>
        </w:rPr>
        <w:t>品牌（如有）、规格型号、数量、单价</w:t>
      </w:r>
      <w:r>
        <w:rPr>
          <w:rFonts w:ascii="宋体" w:hAnsi="宋体" w:eastAsia="宋体"/>
          <w:color w:val="auto"/>
          <w:sz w:val="24"/>
          <w:highlight w:val="none"/>
        </w:rPr>
        <w:t>，中标公告期限、评审专家名单以及</w:t>
      </w:r>
      <w:r>
        <w:rPr>
          <w:rFonts w:hint="eastAsia" w:ascii="宋体" w:hAnsi="宋体" w:eastAsia="宋体"/>
          <w:color w:val="auto"/>
          <w:sz w:val="24"/>
          <w:highlight w:val="none"/>
          <w:u w:val="single"/>
        </w:rPr>
        <w:t>投标人须知前附表</w:t>
      </w:r>
      <w:r>
        <w:rPr>
          <w:rFonts w:ascii="宋体" w:hAnsi="宋体" w:eastAsia="宋体"/>
          <w:color w:val="auto"/>
          <w:sz w:val="24"/>
          <w:highlight w:val="none"/>
        </w:rPr>
        <w:t>中约定进行公告的内容。中标公告期限为1个工作日。</w:t>
      </w:r>
    </w:p>
    <w:p w14:paraId="2F95B90C">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24</w:t>
      </w:r>
      <w:r>
        <w:rPr>
          <w:rFonts w:ascii="宋体" w:hAnsi="宋体" w:eastAsia="宋体"/>
          <w:b/>
          <w:color w:val="auto"/>
          <w:sz w:val="24"/>
          <w:highlight w:val="none"/>
        </w:rPr>
        <w:t>.</w:t>
      </w:r>
      <w:r>
        <w:rPr>
          <w:rFonts w:hint="eastAsia" w:ascii="宋体" w:hAnsi="宋体" w:eastAsia="宋体"/>
          <w:b/>
          <w:color w:val="auto"/>
          <w:sz w:val="24"/>
          <w:highlight w:val="none"/>
        </w:rPr>
        <w:t>中标通知书</w:t>
      </w:r>
    </w:p>
    <w:p w14:paraId="604B8FBF">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4</w:t>
      </w:r>
      <w:r>
        <w:rPr>
          <w:rFonts w:ascii="宋体" w:hAnsi="宋体" w:eastAsia="宋体"/>
          <w:color w:val="auto"/>
          <w:sz w:val="24"/>
          <w:highlight w:val="none"/>
        </w:rPr>
        <w:t>.1采购代理机构发布中标结果公告</w:t>
      </w:r>
      <w:r>
        <w:rPr>
          <w:rFonts w:hint="eastAsia" w:ascii="宋体" w:hAnsi="宋体" w:eastAsia="宋体"/>
          <w:iCs/>
          <w:color w:val="auto"/>
          <w:sz w:val="24"/>
          <w:highlight w:val="none"/>
        </w:rPr>
        <w:t>的</w:t>
      </w:r>
      <w:r>
        <w:rPr>
          <w:rFonts w:ascii="宋体" w:hAnsi="宋体" w:eastAsia="宋体"/>
          <w:color w:val="auto"/>
          <w:sz w:val="24"/>
          <w:highlight w:val="none"/>
        </w:rPr>
        <w:t>同时以</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规定的</w:t>
      </w:r>
      <w:r>
        <w:rPr>
          <w:rFonts w:ascii="宋体" w:hAnsi="宋体" w:eastAsia="宋体"/>
          <w:color w:val="auto"/>
          <w:sz w:val="24"/>
          <w:highlight w:val="none"/>
        </w:rPr>
        <w:t>形式向中标人发出中标通知书。</w:t>
      </w:r>
      <w:r>
        <w:rPr>
          <w:rFonts w:hint="eastAsia" w:ascii="宋体" w:hAnsi="宋体" w:eastAsia="宋体"/>
          <w:color w:val="auto"/>
          <w:sz w:val="24"/>
          <w:highlight w:val="none"/>
        </w:rPr>
        <w:t>中标通知书须加盖采购人、采购代理机构公章并经公共资源交易中心加盖见证章后，方可发出。</w:t>
      </w:r>
    </w:p>
    <w:p w14:paraId="15852A92">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4</w:t>
      </w:r>
      <w:r>
        <w:rPr>
          <w:rFonts w:ascii="宋体" w:hAnsi="宋体" w:eastAsia="宋体"/>
          <w:color w:val="auto"/>
          <w:sz w:val="24"/>
          <w:highlight w:val="none"/>
        </w:rPr>
        <w:t>.2中标通知书对采购人和中标</w:t>
      </w:r>
      <w:r>
        <w:rPr>
          <w:rFonts w:hint="eastAsia" w:ascii="宋体" w:hAnsi="宋体" w:eastAsia="宋体"/>
          <w:color w:val="auto"/>
          <w:sz w:val="24"/>
          <w:highlight w:val="none"/>
        </w:rPr>
        <w:t>人</w:t>
      </w:r>
      <w:r>
        <w:rPr>
          <w:rFonts w:ascii="宋体" w:hAnsi="宋体" w:eastAsia="宋体"/>
          <w:color w:val="auto"/>
          <w:sz w:val="24"/>
          <w:highlight w:val="none"/>
        </w:rPr>
        <w:t>具有同等法律效力。中标通知书发出以后，采购人改变中标结果或者中标</w:t>
      </w:r>
      <w:r>
        <w:rPr>
          <w:rFonts w:hint="eastAsia" w:ascii="宋体" w:hAnsi="宋体" w:eastAsia="宋体"/>
          <w:color w:val="auto"/>
          <w:sz w:val="24"/>
          <w:highlight w:val="none"/>
        </w:rPr>
        <w:t>人</w:t>
      </w:r>
      <w:r>
        <w:rPr>
          <w:rFonts w:ascii="宋体" w:hAnsi="宋体" w:eastAsia="宋体"/>
          <w:color w:val="auto"/>
          <w:sz w:val="24"/>
          <w:highlight w:val="none"/>
        </w:rPr>
        <w:t>放弃中标，应当承担相应的法律责任。</w:t>
      </w:r>
    </w:p>
    <w:p w14:paraId="1699A296">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4</w:t>
      </w:r>
      <w:r>
        <w:rPr>
          <w:rFonts w:ascii="宋体" w:hAnsi="宋体" w:eastAsia="宋体"/>
          <w:color w:val="auto"/>
          <w:sz w:val="24"/>
          <w:highlight w:val="none"/>
        </w:rPr>
        <w:t>.3中标通知书是合同的组成部分。</w:t>
      </w:r>
    </w:p>
    <w:p w14:paraId="1518F103">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25</w:t>
      </w:r>
      <w:r>
        <w:rPr>
          <w:rFonts w:ascii="宋体" w:hAnsi="宋体" w:eastAsia="宋体"/>
          <w:b/>
          <w:color w:val="auto"/>
          <w:sz w:val="24"/>
          <w:highlight w:val="none"/>
        </w:rPr>
        <w:t>.</w:t>
      </w:r>
      <w:r>
        <w:rPr>
          <w:rFonts w:hint="eastAsia" w:ascii="宋体" w:hAnsi="宋体" w:eastAsia="宋体"/>
          <w:b/>
          <w:color w:val="auto"/>
          <w:sz w:val="24"/>
          <w:highlight w:val="none"/>
        </w:rPr>
        <w:t>告知招标结果</w:t>
      </w:r>
    </w:p>
    <w:p w14:paraId="6310AB1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25</w:t>
      </w:r>
      <w:r>
        <w:rPr>
          <w:rFonts w:ascii="宋体" w:hAnsi="宋体" w:eastAsia="宋体"/>
          <w:color w:val="auto"/>
          <w:sz w:val="24"/>
          <w:highlight w:val="none"/>
        </w:rPr>
        <w:t>.1</w:t>
      </w:r>
      <w:r>
        <w:rPr>
          <w:rFonts w:hint="eastAsia" w:ascii="宋体" w:hAnsi="宋体" w:eastAsia="宋体"/>
          <w:color w:val="auto"/>
          <w:sz w:val="24"/>
          <w:highlight w:val="none"/>
        </w:rPr>
        <w:t>在公告</w:t>
      </w:r>
      <w:r>
        <w:rPr>
          <w:rFonts w:ascii="宋体" w:hAnsi="宋体" w:eastAsia="宋体"/>
          <w:color w:val="auto"/>
          <w:sz w:val="24"/>
          <w:highlight w:val="none"/>
        </w:rPr>
        <w:t>中标结果的同时，采购代理机构同时以</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规定的</w:t>
      </w:r>
      <w:r>
        <w:rPr>
          <w:rFonts w:ascii="宋体" w:hAnsi="宋体" w:eastAsia="宋体"/>
          <w:color w:val="auto"/>
          <w:sz w:val="24"/>
          <w:highlight w:val="none"/>
        </w:rPr>
        <w:t>形式</w:t>
      </w:r>
      <w:r>
        <w:rPr>
          <w:rFonts w:hint="eastAsia" w:ascii="宋体" w:hAnsi="宋体" w:eastAsia="宋体"/>
          <w:color w:val="auto"/>
          <w:sz w:val="24"/>
          <w:highlight w:val="none"/>
        </w:rPr>
        <w:t>告知未通过资格审查的投标人未通过的原因；采用综合评分法评审的，还将告知未中标人本人的评审得分和排序。</w:t>
      </w:r>
    </w:p>
    <w:p w14:paraId="7B458CF6">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26</w:t>
      </w:r>
      <w:r>
        <w:rPr>
          <w:rFonts w:ascii="宋体" w:hAnsi="宋体" w:eastAsia="宋体"/>
          <w:b/>
          <w:color w:val="auto"/>
          <w:sz w:val="24"/>
          <w:highlight w:val="none"/>
        </w:rPr>
        <w:t>.</w:t>
      </w:r>
      <w:r>
        <w:rPr>
          <w:rFonts w:hint="eastAsia" w:ascii="宋体" w:hAnsi="宋体" w:eastAsia="宋体"/>
          <w:b/>
          <w:color w:val="auto"/>
          <w:sz w:val="24"/>
          <w:highlight w:val="none"/>
        </w:rPr>
        <w:t>履约保证金</w:t>
      </w:r>
    </w:p>
    <w:p w14:paraId="24F83EF0">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26.1中标人应按照</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规定缴纳履约保证金。</w:t>
      </w:r>
    </w:p>
    <w:p w14:paraId="5AB0258A">
      <w:pPr>
        <w:spacing w:line="360" w:lineRule="auto"/>
        <w:ind w:firstLine="435"/>
        <w:rPr>
          <w:rFonts w:hint="eastAsia" w:ascii="宋体" w:hAnsi="宋体" w:eastAsia="宋体"/>
          <w:b/>
          <w:color w:val="auto"/>
          <w:sz w:val="24"/>
          <w:highlight w:val="none"/>
        </w:rPr>
      </w:pPr>
      <w:r>
        <w:rPr>
          <w:rFonts w:hint="eastAsia" w:ascii="宋体" w:hAnsi="宋体" w:eastAsia="宋体"/>
          <w:color w:val="auto"/>
          <w:sz w:val="24"/>
          <w:highlight w:val="none"/>
        </w:rPr>
        <w:t>26.</w:t>
      </w:r>
      <w:r>
        <w:rPr>
          <w:rFonts w:ascii="宋体" w:hAnsi="宋体" w:eastAsia="宋体"/>
          <w:color w:val="auto"/>
          <w:sz w:val="24"/>
          <w:highlight w:val="none"/>
        </w:rPr>
        <w:t>2</w:t>
      </w:r>
      <w:r>
        <w:rPr>
          <w:rFonts w:hint="eastAsia" w:ascii="宋体" w:hAnsi="宋体" w:eastAsia="宋体"/>
          <w:color w:val="auto"/>
          <w:sz w:val="24"/>
          <w:highlight w:val="none"/>
        </w:rPr>
        <w:t>如果中标人没有按照上述履约保证金的规定执行，将视为放弃中标资格。在此情况下，采购人可</w:t>
      </w:r>
      <w:r>
        <w:rPr>
          <w:rFonts w:ascii="宋体" w:hAnsi="宋体" w:eastAsia="宋体"/>
          <w:color w:val="auto"/>
          <w:sz w:val="24"/>
          <w:highlight w:val="none"/>
        </w:rPr>
        <w:t>确定下一</w:t>
      </w:r>
      <w:r>
        <w:rPr>
          <w:rFonts w:hint="eastAsia" w:ascii="宋体" w:hAnsi="宋体" w:eastAsia="宋体"/>
          <w:color w:val="auto"/>
          <w:sz w:val="24"/>
          <w:highlight w:val="none"/>
        </w:rPr>
        <w:t>中标候选</w:t>
      </w:r>
      <w:r>
        <w:rPr>
          <w:rFonts w:ascii="宋体" w:hAnsi="宋体" w:eastAsia="宋体"/>
          <w:color w:val="auto"/>
          <w:sz w:val="24"/>
          <w:highlight w:val="none"/>
        </w:rPr>
        <w:t>人为中标</w:t>
      </w:r>
      <w:r>
        <w:rPr>
          <w:rFonts w:hint="eastAsia" w:ascii="宋体" w:hAnsi="宋体" w:eastAsia="宋体"/>
          <w:color w:val="auto"/>
          <w:sz w:val="24"/>
          <w:highlight w:val="none"/>
        </w:rPr>
        <w:t>人</w:t>
      </w:r>
      <w:r>
        <w:rPr>
          <w:rFonts w:ascii="宋体" w:hAnsi="宋体" w:eastAsia="宋体"/>
          <w:color w:val="auto"/>
          <w:sz w:val="24"/>
          <w:highlight w:val="none"/>
        </w:rPr>
        <w:t>，也可以重新开展采购活动。</w:t>
      </w:r>
    </w:p>
    <w:p w14:paraId="4D05BD0E">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27</w:t>
      </w:r>
      <w:r>
        <w:rPr>
          <w:rFonts w:ascii="宋体" w:hAnsi="宋体" w:eastAsia="宋体"/>
          <w:b/>
          <w:color w:val="auto"/>
          <w:sz w:val="24"/>
          <w:highlight w:val="none"/>
        </w:rPr>
        <w:t>.</w:t>
      </w:r>
      <w:r>
        <w:rPr>
          <w:rFonts w:hint="eastAsia" w:ascii="宋体" w:hAnsi="宋体" w:eastAsia="宋体"/>
          <w:b/>
          <w:color w:val="auto"/>
          <w:sz w:val="24"/>
          <w:highlight w:val="none"/>
        </w:rPr>
        <w:t>签订合同</w:t>
      </w:r>
    </w:p>
    <w:p w14:paraId="2398B4F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27.1</w:t>
      </w:r>
      <w:r>
        <w:rPr>
          <w:rFonts w:hint="eastAsia" w:ascii="宋体" w:hAnsi="宋体" w:eastAsia="宋体" w:cs="宋体"/>
          <w:color w:val="auto"/>
          <w:sz w:val="24"/>
          <w:szCs w:val="24"/>
          <w:highlight w:val="none"/>
        </w:rPr>
        <w:t>采购人与中标人应当按照</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rPr>
        <w:t>规定的时间内完成政府采购合同签订及合同公告。</w:t>
      </w:r>
    </w:p>
    <w:p w14:paraId="5854499F">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27.2招标文件、中标人的投标文件及其澄清文件等，均为签订合同的依据。</w:t>
      </w:r>
    </w:p>
    <w:p w14:paraId="0BC4B7E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27.3中</w:t>
      </w:r>
      <w:r>
        <w:rPr>
          <w:rFonts w:ascii="宋体" w:hAnsi="宋体" w:eastAsia="宋体"/>
          <w:color w:val="auto"/>
          <w:sz w:val="24"/>
          <w:highlight w:val="none"/>
        </w:rPr>
        <w:t>标</w:t>
      </w:r>
      <w:r>
        <w:rPr>
          <w:rFonts w:hint="eastAsia" w:ascii="宋体" w:hAnsi="宋体" w:eastAsia="宋体"/>
          <w:color w:val="auto"/>
          <w:sz w:val="24"/>
          <w:highlight w:val="none"/>
        </w:rPr>
        <w:t>人</w:t>
      </w:r>
      <w:r>
        <w:rPr>
          <w:rFonts w:ascii="宋体" w:hAnsi="宋体" w:eastAsia="宋体"/>
          <w:color w:val="auto"/>
          <w:sz w:val="24"/>
          <w:highlight w:val="none"/>
        </w:rPr>
        <w:t>拒绝与采购人签订合同的，采购人可以按照评审报告推荐的中标候选人</w:t>
      </w:r>
      <w:r>
        <w:rPr>
          <w:rFonts w:hint="eastAsia" w:ascii="宋体" w:hAnsi="宋体" w:eastAsia="宋体"/>
          <w:color w:val="auto"/>
          <w:sz w:val="24"/>
          <w:highlight w:val="none"/>
        </w:rPr>
        <w:t>名单</w:t>
      </w:r>
      <w:r>
        <w:rPr>
          <w:rFonts w:ascii="宋体" w:hAnsi="宋体" w:eastAsia="宋体"/>
          <w:color w:val="auto"/>
          <w:sz w:val="24"/>
          <w:highlight w:val="none"/>
        </w:rPr>
        <w:t>排序</w:t>
      </w:r>
      <w:r>
        <w:rPr>
          <w:rFonts w:hint="eastAsia" w:ascii="宋体" w:hAnsi="宋体" w:eastAsia="宋体"/>
          <w:color w:val="auto"/>
          <w:sz w:val="24"/>
          <w:highlight w:val="none"/>
        </w:rPr>
        <w:t>，</w:t>
      </w:r>
      <w:r>
        <w:rPr>
          <w:rFonts w:ascii="宋体" w:hAnsi="宋体" w:eastAsia="宋体"/>
          <w:color w:val="auto"/>
          <w:sz w:val="24"/>
          <w:highlight w:val="none"/>
        </w:rPr>
        <w:t>确定下一</w:t>
      </w:r>
      <w:r>
        <w:rPr>
          <w:rFonts w:hint="eastAsia" w:ascii="宋体" w:hAnsi="宋体" w:eastAsia="宋体"/>
          <w:color w:val="auto"/>
          <w:sz w:val="24"/>
          <w:highlight w:val="none"/>
        </w:rPr>
        <w:t>中标候选</w:t>
      </w:r>
      <w:r>
        <w:rPr>
          <w:rFonts w:ascii="宋体" w:hAnsi="宋体" w:eastAsia="宋体"/>
          <w:color w:val="auto"/>
          <w:sz w:val="24"/>
          <w:highlight w:val="none"/>
        </w:rPr>
        <w:t>人为中标</w:t>
      </w:r>
      <w:r>
        <w:rPr>
          <w:rFonts w:hint="eastAsia" w:ascii="宋体" w:hAnsi="宋体" w:eastAsia="宋体"/>
          <w:color w:val="auto"/>
          <w:sz w:val="24"/>
          <w:highlight w:val="none"/>
        </w:rPr>
        <w:t>人</w:t>
      </w:r>
      <w:r>
        <w:rPr>
          <w:rFonts w:ascii="宋体" w:hAnsi="宋体" w:eastAsia="宋体"/>
          <w:color w:val="auto"/>
          <w:sz w:val="24"/>
          <w:highlight w:val="none"/>
        </w:rPr>
        <w:t>，也可以重新开展政府采购活动。</w:t>
      </w:r>
    </w:p>
    <w:p w14:paraId="1C70014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27.4依据《政府采购促进中小企业发展管理办法》（财库〔</w:t>
      </w:r>
      <w:r>
        <w:rPr>
          <w:rFonts w:ascii="宋体" w:hAnsi="宋体" w:eastAsia="宋体"/>
          <w:color w:val="auto"/>
          <w:sz w:val="24"/>
          <w:highlight w:val="none"/>
        </w:rPr>
        <w:t>2020〕46号</w:t>
      </w:r>
      <w:r>
        <w:rPr>
          <w:rFonts w:hint="eastAsia" w:ascii="宋体" w:hAnsi="宋体" w:eastAsia="宋体"/>
          <w:color w:val="auto"/>
          <w:sz w:val="24"/>
          <w:highlight w:val="none"/>
        </w:rPr>
        <w:t>）规定享受扶持政策获得政府采购合同的，小微企业不得将合同分包给大中型企业，中型企业不得将合同分包给大型企业。</w:t>
      </w:r>
    </w:p>
    <w:p w14:paraId="72665D06">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28</w:t>
      </w:r>
      <w:r>
        <w:rPr>
          <w:rFonts w:ascii="宋体" w:hAnsi="宋体" w:eastAsia="宋体"/>
          <w:b/>
          <w:color w:val="auto"/>
          <w:sz w:val="24"/>
          <w:highlight w:val="none"/>
        </w:rPr>
        <w:t>.</w:t>
      </w:r>
      <w:r>
        <w:rPr>
          <w:rFonts w:hint="eastAsia" w:ascii="宋体" w:hAnsi="宋体" w:eastAsia="宋体"/>
          <w:b/>
          <w:color w:val="auto"/>
          <w:sz w:val="24"/>
          <w:highlight w:val="none"/>
        </w:rPr>
        <w:t>代理费用</w:t>
      </w:r>
    </w:p>
    <w:p w14:paraId="5C8F467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28</w:t>
      </w:r>
      <w:r>
        <w:rPr>
          <w:rFonts w:ascii="宋体" w:hAnsi="宋体" w:eastAsia="宋体"/>
          <w:color w:val="auto"/>
          <w:sz w:val="24"/>
          <w:highlight w:val="none"/>
        </w:rPr>
        <w:t>.1</w:t>
      </w:r>
      <w:r>
        <w:rPr>
          <w:rFonts w:hint="eastAsia" w:ascii="宋体" w:hAnsi="宋体" w:eastAsia="宋体"/>
          <w:color w:val="auto"/>
          <w:sz w:val="24"/>
          <w:highlight w:val="none"/>
        </w:rPr>
        <w:t>本项目代理费用的收取按</w:t>
      </w:r>
      <w:r>
        <w:rPr>
          <w:rFonts w:hint="eastAsia" w:ascii="宋体" w:hAnsi="宋体" w:eastAsia="宋体"/>
          <w:color w:val="auto"/>
          <w:sz w:val="24"/>
          <w:highlight w:val="none"/>
          <w:u w:val="single"/>
        </w:rPr>
        <w:t>投标人须知前附表的</w:t>
      </w:r>
      <w:r>
        <w:rPr>
          <w:rFonts w:hint="eastAsia" w:ascii="宋体" w:hAnsi="宋体" w:eastAsia="宋体"/>
          <w:color w:val="auto"/>
          <w:sz w:val="24"/>
          <w:highlight w:val="none"/>
        </w:rPr>
        <w:t>规定执行。</w:t>
      </w:r>
    </w:p>
    <w:p w14:paraId="58D8C5F1">
      <w:pPr>
        <w:spacing w:line="360" w:lineRule="auto"/>
        <w:ind w:firstLine="437"/>
        <w:outlineLvl w:val="2"/>
        <w:rPr>
          <w:rFonts w:hint="eastAsia" w:ascii="宋体" w:hAnsi="宋体" w:eastAsia="宋体"/>
          <w:b/>
          <w:color w:val="auto"/>
          <w:sz w:val="24"/>
          <w:highlight w:val="none"/>
        </w:rPr>
      </w:pPr>
      <w:bookmarkStart w:id="15" w:name="_Toc518923100"/>
      <w:bookmarkStart w:id="16" w:name="_Toc2583661"/>
      <w:r>
        <w:rPr>
          <w:rFonts w:hint="eastAsia" w:ascii="宋体" w:hAnsi="宋体" w:eastAsia="宋体"/>
          <w:b/>
          <w:color w:val="auto"/>
          <w:sz w:val="24"/>
          <w:highlight w:val="none"/>
        </w:rPr>
        <w:t>29.廉洁自律</w:t>
      </w:r>
      <w:r>
        <w:rPr>
          <w:rFonts w:ascii="宋体" w:hAnsi="宋体" w:eastAsia="宋体"/>
          <w:b/>
          <w:color w:val="auto"/>
          <w:sz w:val="24"/>
          <w:highlight w:val="none"/>
        </w:rPr>
        <w:t>规定</w:t>
      </w:r>
      <w:bookmarkEnd w:id="15"/>
      <w:bookmarkEnd w:id="16"/>
    </w:p>
    <w:p w14:paraId="737C24C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29.1采购代理机构</w:t>
      </w:r>
      <w:r>
        <w:rPr>
          <w:rFonts w:ascii="宋体" w:hAnsi="宋体" w:eastAsia="宋体"/>
          <w:color w:val="auto"/>
          <w:sz w:val="24"/>
          <w:highlight w:val="none"/>
        </w:rPr>
        <w:t>工作人员</w:t>
      </w:r>
      <w:r>
        <w:rPr>
          <w:rFonts w:hint="eastAsia" w:ascii="宋体" w:hAnsi="宋体" w:eastAsia="宋体"/>
          <w:color w:val="auto"/>
          <w:sz w:val="24"/>
          <w:highlight w:val="none"/>
        </w:rPr>
        <w:t>不得以不正当手段获取政府采购代理业务，不得与采购人、供应商恶意串通。</w:t>
      </w:r>
    </w:p>
    <w:p w14:paraId="249F3EB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29.</w:t>
      </w:r>
      <w:r>
        <w:rPr>
          <w:rFonts w:ascii="宋体" w:hAnsi="宋体" w:eastAsia="宋体"/>
          <w:color w:val="auto"/>
          <w:sz w:val="24"/>
          <w:highlight w:val="none"/>
        </w:rPr>
        <w:t>2</w:t>
      </w:r>
      <w:r>
        <w:rPr>
          <w:rFonts w:hint="eastAsia" w:ascii="宋体" w:hAnsi="宋体" w:eastAsia="宋体"/>
          <w:color w:val="auto"/>
          <w:sz w:val="24"/>
          <w:highlight w:val="none"/>
        </w:rPr>
        <w:t>采购代理机构工作人员不得接受采购人或者供应商组织的宴请、旅游、娱乐，不得收受礼品、现金、有价证券等，不得向采购人或者供应商报销应当由个人承担的费用。</w:t>
      </w:r>
    </w:p>
    <w:p w14:paraId="2B41D54D">
      <w:pPr>
        <w:spacing w:line="360" w:lineRule="auto"/>
        <w:ind w:firstLine="437"/>
        <w:outlineLvl w:val="2"/>
        <w:rPr>
          <w:rFonts w:hint="eastAsia" w:ascii="宋体" w:hAnsi="宋体" w:eastAsia="宋体"/>
          <w:b/>
          <w:color w:val="auto"/>
          <w:sz w:val="24"/>
          <w:highlight w:val="none"/>
        </w:rPr>
      </w:pPr>
      <w:bookmarkStart w:id="17" w:name="_Toc2583662"/>
      <w:bookmarkStart w:id="18" w:name="_Toc518923101"/>
      <w:r>
        <w:rPr>
          <w:rFonts w:hint="eastAsia" w:ascii="宋体" w:hAnsi="宋体" w:eastAsia="宋体"/>
          <w:b/>
          <w:color w:val="auto"/>
          <w:sz w:val="24"/>
          <w:highlight w:val="none"/>
        </w:rPr>
        <w:t>30.人员回避</w:t>
      </w:r>
      <w:bookmarkEnd w:id="17"/>
      <w:bookmarkEnd w:id="18"/>
    </w:p>
    <w:p w14:paraId="207730FF">
      <w:pPr>
        <w:spacing w:line="360" w:lineRule="auto"/>
        <w:ind w:firstLine="435"/>
        <w:rPr>
          <w:rFonts w:hint="eastAsia" w:ascii="仿宋_GB2312" w:hAnsi="宋体" w:eastAsia="仿宋_GB2312"/>
          <w:color w:val="auto"/>
          <w:sz w:val="24"/>
          <w:highlight w:val="none"/>
        </w:rPr>
      </w:pPr>
      <w:r>
        <w:rPr>
          <w:rFonts w:hint="eastAsia" w:ascii="宋体" w:hAnsi="宋体" w:eastAsia="宋体"/>
          <w:color w:val="auto"/>
          <w:sz w:val="24"/>
          <w:highlight w:val="none"/>
        </w:rPr>
        <w:t>投标人</w:t>
      </w:r>
      <w:r>
        <w:rPr>
          <w:rFonts w:ascii="宋体" w:hAnsi="宋体" w:eastAsia="宋体"/>
          <w:color w:val="auto"/>
          <w:sz w:val="24"/>
          <w:highlight w:val="none"/>
        </w:rPr>
        <w:t>认为采购人员</w:t>
      </w:r>
      <w:r>
        <w:rPr>
          <w:rFonts w:hint="eastAsia" w:ascii="宋体" w:hAnsi="宋体" w:eastAsia="宋体"/>
          <w:color w:val="auto"/>
          <w:sz w:val="24"/>
          <w:highlight w:val="none"/>
        </w:rPr>
        <w:t>及其</w:t>
      </w:r>
      <w:r>
        <w:rPr>
          <w:rFonts w:ascii="宋体" w:hAnsi="宋体" w:eastAsia="宋体"/>
          <w:color w:val="auto"/>
          <w:sz w:val="24"/>
          <w:highlight w:val="none"/>
        </w:rPr>
        <w:t>相关人员有</w:t>
      </w:r>
      <w:r>
        <w:rPr>
          <w:rFonts w:hint="eastAsia" w:ascii="宋体" w:hAnsi="宋体" w:eastAsia="宋体"/>
          <w:color w:val="auto"/>
          <w:sz w:val="24"/>
          <w:highlight w:val="none"/>
        </w:rPr>
        <w:t>法律</w:t>
      </w:r>
      <w:r>
        <w:rPr>
          <w:rFonts w:ascii="宋体" w:hAnsi="宋体" w:eastAsia="宋体"/>
          <w:color w:val="auto"/>
          <w:sz w:val="24"/>
          <w:highlight w:val="none"/>
        </w:rPr>
        <w:t>法规所列与其他供应商</w:t>
      </w:r>
      <w:r>
        <w:rPr>
          <w:rFonts w:hint="eastAsia" w:ascii="宋体" w:hAnsi="宋体" w:eastAsia="宋体"/>
          <w:color w:val="auto"/>
          <w:sz w:val="24"/>
          <w:highlight w:val="none"/>
        </w:rPr>
        <w:t>有</w:t>
      </w:r>
      <w:r>
        <w:rPr>
          <w:rFonts w:ascii="宋体" w:hAnsi="宋体" w:eastAsia="宋体"/>
          <w:color w:val="auto"/>
          <w:sz w:val="24"/>
          <w:highlight w:val="none"/>
        </w:rPr>
        <w:t>利害关系的，可以向</w:t>
      </w:r>
      <w:r>
        <w:rPr>
          <w:rFonts w:hint="eastAsia" w:ascii="宋体" w:hAnsi="宋体" w:eastAsia="宋体"/>
          <w:color w:val="auto"/>
          <w:sz w:val="24"/>
          <w:highlight w:val="none"/>
        </w:rPr>
        <w:t>采购人或</w:t>
      </w:r>
      <w:r>
        <w:rPr>
          <w:rFonts w:ascii="宋体" w:hAnsi="宋体" w:eastAsia="宋体"/>
          <w:color w:val="auto"/>
          <w:sz w:val="24"/>
          <w:highlight w:val="none"/>
        </w:rPr>
        <w:t>采购代理机构书面提出回避申请，并说明理由。</w:t>
      </w:r>
    </w:p>
    <w:p w14:paraId="425A052B">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31</w:t>
      </w:r>
      <w:r>
        <w:rPr>
          <w:rFonts w:ascii="宋体" w:hAnsi="宋体" w:eastAsia="宋体"/>
          <w:b/>
          <w:color w:val="auto"/>
          <w:sz w:val="24"/>
          <w:highlight w:val="none"/>
        </w:rPr>
        <w:t>.</w:t>
      </w:r>
      <w:r>
        <w:rPr>
          <w:rFonts w:hint="eastAsia" w:ascii="宋体" w:hAnsi="宋体" w:eastAsia="宋体"/>
          <w:b/>
          <w:color w:val="auto"/>
          <w:sz w:val="24"/>
          <w:highlight w:val="none"/>
        </w:rPr>
        <w:t>质疑的提出与接收</w:t>
      </w:r>
    </w:p>
    <w:p w14:paraId="7703645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31.1投标人认为招标文件、招标过程和中标结果使自己的权益受到损害的，可以在知道或者应知其权益受到损害之日起七个工作日内，以书面形式向采购人或其委托的采购代理机构提出质疑。</w:t>
      </w:r>
    </w:p>
    <w:p w14:paraId="35599CD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31.2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1C94CCFC">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31.3采购代理机构质疑函接收部门、联系电话和通讯地址，见</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w:t>
      </w:r>
    </w:p>
    <w:p w14:paraId="5BBF700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注：上述条款中所要求的书面形式包含通过电子交易系统递交方式。</w:t>
      </w:r>
    </w:p>
    <w:p w14:paraId="0E0825C1">
      <w:pPr>
        <w:spacing w:line="360" w:lineRule="auto"/>
        <w:ind w:firstLine="437"/>
        <w:outlineLvl w:val="2"/>
        <w:rPr>
          <w:rFonts w:hint="eastAsia" w:ascii="宋体" w:hAnsi="宋体" w:eastAsia="宋体"/>
          <w:b/>
          <w:color w:val="auto"/>
          <w:sz w:val="24"/>
          <w:szCs w:val="24"/>
          <w:highlight w:val="none"/>
        </w:rPr>
      </w:pPr>
      <w:r>
        <w:rPr>
          <w:rFonts w:hint="eastAsia" w:ascii="宋体" w:hAnsi="宋体" w:eastAsia="宋体"/>
          <w:b/>
          <w:color w:val="auto"/>
          <w:sz w:val="24"/>
          <w:highlight w:val="none"/>
        </w:rPr>
        <w:t>32</w:t>
      </w:r>
      <w:r>
        <w:rPr>
          <w:rFonts w:ascii="宋体" w:hAnsi="宋体" w:eastAsia="宋体"/>
          <w:b/>
          <w:color w:val="auto"/>
          <w:sz w:val="24"/>
          <w:highlight w:val="none"/>
        </w:rPr>
        <w:t>.</w:t>
      </w:r>
      <w:r>
        <w:rPr>
          <w:rFonts w:hint="eastAsia" w:ascii="宋体" w:hAnsi="宋体" w:eastAsia="宋体" w:cs="宋体"/>
          <w:b/>
          <w:color w:val="auto"/>
          <w:sz w:val="24"/>
          <w:szCs w:val="24"/>
          <w:highlight w:val="none"/>
          <w:lang w:bidi="ar"/>
        </w:rPr>
        <w:t>投诉</w:t>
      </w:r>
    </w:p>
    <w:p w14:paraId="4A7C4E06">
      <w:pPr>
        <w:wordWrap w:val="0"/>
        <w:autoSpaceDE w:val="0"/>
        <w:spacing w:line="360" w:lineRule="auto"/>
        <w:ind w:firstLine="437"/>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32.1质疑投标人对采购人、采购代理机构的答复不满意，或者采购人、采购代理机构未在规定的时间内答复的，可以在答复期满后十五个工作日内按有关规定，以书面形式（http://ggzy.chuzhou.gov.cn/fwzn/011001/011001001/011001001003/20200727/7fb88e17-63dd-4f17-b17c-290526c6eda8.html）向同级政府采购监督管理部门提出投诉或者线上提交投诉材料（http://ggzy.chuzhou.gov.cn/fwzn/011001/011001001/011001001003/20200221/b079d9ca-90f2-4cce-aa7c-94a444e7ac91.html）。</w:t>
      </w:r>
    </w:p>
    <w:p w14:paraId="7CFCABB5">
      <w:pPr>
        <w:wordWrap w:val="0"/>
        <w:autoSpaceDE w:val="0"/>
        <w:spacing w:line="360" w:lineRule="auto"/>
        <w:ind w:firstLine="437"/>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32.2政府采购监督管理部门应当在收到投诉后30个工作日内，对投诉事项作出处理决定，并以书面形式通知投诉人和与投诉事项有关的当事人，并在安徽省政府采购网公告。政府采购监督管理部门处理投诉事项，需要检验、检测、鉴定、专家评审以及需要投诉人补正材料的，所需时间不计算在投诉处理期限内。</w:t>
      </w:r>
    </w:p>
    <w:p w14:paraId="2C7C5B3F">
      <w:pPr>
        <w:wordWrap w:val="0"/>
        <w:autoSpaceDE w:val="0"/>
        <w:spacing w:line="360" w:lineRule="auto"/>
        <w:ind w:firstLine="437"/>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32.3政府采购监督管理部门在处理投诉事项期间，可以视具体情况书面通知采购人暂停采购活动，但暂停时间最长不得超过30日。</w:t>
      </w:r>
    </w:p>
    <w:p w14:paraId="54B439D4">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33.需要补充的其他内容</w:t>
      </w:r>
    </w:p>
    <w:p w14:paraId="00D7BA5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需要补充的其他内容，见</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w:t>
      </w:r>
    </w:p>
    <w:p w14:paraId="0F50A25A">
      <w:pPr>
        <w:widowControl/>
        <w:jc w:val="left"/>
        <w:rPr>
          <w:rFonts w:hint="eastAsia" w:ascii="宋体" w:hAnsi="宋体" w:eastAsia="宋体"/>
          <w:b/>
          <w:color w:val="auto"/>
          <w:sz w:val="28"/>
          <w:highlight w:val="none"/>
        </w:rPr>
      </w:pPr>
      <w:r>
        <w:rPr>
          <w:rFonts w:ascii="宋体" w:hAnsi="宋体" w:eastAsia="宋体"/>
          <w:color w:val="auto"/>
          <w:sz w:val="24"/>
          <w:highlight w:val="none"/>
        </w:rPr>
        <w:br w:type="page"/>
      </w:r>
    </w:p>
    <w:p w14:paraId="00491413">
      <w:pPr>
        <w:spacing w:line="360" w:lineRule="auto"/>
        <w:jc w:val="center"/>
        <w:outlineLvl w:val="0"/>
        <w:rPr>
          <w:rFonts w:hint="eastAsia" w:ascii="宋体" w:hAnsi="宋体" w:eastAsia="宋体"/>
          <w:b/>
          <w:color w:val="auto"/>
          <w:sz w:val="28"/>
          <w:highlight w:val="none"/>
        </w:rPr>
      </w:pPr>
      <w:bookmarkStart w:id="19" w:name="_Toc10891"/>
      <w:r>
        <w:rPr>
          <w:rFonts w:hint="eastAsia" w:ascii="宋体" w:hAnsi="宋体" w:eastAsia="宋体"/>
          <w:b/>
          <w:color w:val="auto"/>
          <w:sz w:val="28"/>
          <w:highlight w:val="none"/>
        </w:rPr>
        <w:t>第三章  采购需求</w:t>
      </w:r>
      <w:bookmarkEnd w:id="19"/>
    </w:p>
    <w:p w14:paraId="4547F03A">
      <w:pPr>
        <w:spacing w:line="360" w:lineRule="auto"/>
        <w:rPr>
          <w:rFonts w:hint="eastAsia" w:ascii="宋体" w:hAnsi="宋体" w:eastAsia="宋体"/>
          <w:b/>
          <w:color w:val="auto"/>
          <w:sz w:val="24"/>
          <w:highlight w:val="none"/>
        </w:rPr>
      </w:pPr>
      <w:r>
        <w:rPr>
          <w:rFonts w:hint="eastAsia" w:ascii="宋体" w:hAnsi="宋体" w:eastAsia="宋体"/>
          <w:b/>
          <w:color w:val="auto"/>
          <w:sz w:val="24"/>
          <w:highlight w:val="none"/>
        </w:rPr>
        <w:t>前注：</w:t>
      </w:r>
    </w:p>
    <w:p w14:paraId="554C5A14">
      <w:pPr>
        <w:spacing w:line="360" w:lineRule="auto"/>
        <w:ind w:firstLine="435"/>
        <w:rPr>
          <w:rFonts w:hint="eastAsia" w:ascii="宋体" w:hAnsi="宋体" w:eastAsia="宋体"/>
          <w:color w:val="auto"/>
          <w:sz w:val="24"/>
          <w:szCs w:val="18"/>
          <w:highlight w:val="none"/>
        </w:rPr>
      </w:pPr>
      <w:r>
        <w:rPr>
          <w:rFonts w:hint="eastAsia" w:ascii="宋体" w:hAnsi="宋体" w:eastAsia="宋体"/>
          <w:color w:val="auto"/>
          <w:sz w:val="24"/>
          <w:highlight w:val="none"/>
        </w:rPr>
        <w:t>1.</w:t>
      </w:r>
      <w:r>
        <w:rPr>
          <w:rFonts w:ascii="宋体" w:hAnsi="宋体" w:eastAsia="宋体"/>
          <w:color w:val="auto"/>
          <w:sz w:val="24"/>
          <w:szCs w:val="18"/>
          <w:highlight w:val="none"/>
        </w:rPr>
        <w:t>根据《</w:t>
      </w:r>
      <w:r>
        <w:rPr>
          <w:rFonts w:hint="eastAsia" w:ascii="宋体" w:hAnsi="宋体" w:eastAsia="宋体"/>
          <w:color w:val="auto"/>
          <w:sz w:val="24"/>
          <w:szCs w:val="18"/>
          <w:highlight w:val="none"/>
        </w:rPr>
        <w:t>政府采购进口产品管理办法</w:t>
      </w:r>
      <w:r>
        <w:rPr>
          <w:rFonts w:ascii="宋体" w:hAnsi="宋体" w:eastAsia="宋体"/>
          <w:color w:val="auto"/>
          <w:sz w:val="24"/>
          <w:szCs w:val="18"/>
          <w:highlight w:val="none"/>
        </w:rPr>
        <w:t>》及政府采购管理部门的相关规定，下列采购需求中</w:t>
      </w:r>
      <w:r>
        <w:rPr>
          <w:rFonts w:hint="eastAsia" w:ascii="宋体" w:hAnsi="宋体" w:eastAsia="宋体"/>
          <w:color w:val="auto"/>
          <w:sz w:val="24"/>
          <w:szCs w:val="18"/>
          <w:highlight w:val="none"/>
        </w:rPr>
        <w:t>标注进口产品的货物均</w:t>
      </w:r>
      <w:r>
        <w:rPr>
          <w:rFonts w:ascii="宋体" w:hAnsi="宋体" w:eastAsia="宋体"/>
          <w:color w:val="auto"/>
          <w:sz w:val="24"/>
          <w:szCs w:val="18"/>
          <w:highlight w:val="none"/>
        </w:rPr>
        <w:t>已履行相关论证手续，经核准采购进口</w:t>
      </w:r>
      <w:r>
        <w:rPr>
          <w:rFonts w:hint="eastAsia" w:ascii="宋体" w:hAnsi="宋体" w:eastAsia="宋体"/>
          <w:color w:val="auto"/>
          <w:sz w:val="24"/>
          <w:szCs w:val="18"/>
          <w:highlight w:val="none"/>
        </w:rPr>
        <w:t>产品</w:t>
      </w:r>
      <w:r>
        <w:rPr>
          <w:rFonts w:ascii="宋体" w:hAnsi="宋体" w:eastAsia="宋体"/>
          <w:color w:val="auto"/>
          <w:sz w:val="24"/>
          <w:szCs w:val="18"/>
          <w:highlight w:val="none"/>
        </w:rPr>
        <w:t>，但不限制满足招标文件要求的国内产品参与竞争</w:t>
      </w:r>
      <w:r>
        <w:rPr>
          <w:rFonts w:hint="eastAsia" w:ascii="宋体" w:hAnsi="宋体" w:eastAsia="宋体"/>
          <w:color w:val="auto"/>
          <w:sz w:val="24"/>
          <w:szCs w:val="18"/>
          <w:highlight w:val="none"/>
        </w:rPr>
        <w:t>。未标注进口产品的货物均</w:t>
      </w:r>
      <w:r>
        <w:rPr>
          <w:rFonts w:ascii="宋体" w:hAnsi="宋体" w:eastAsia="宋体"/>
          <w:color w:val="auto"/>
          <w:sz w:val="24"/>
          <w:szCs w:val="18"/>
          <w:highlight w:val="none"/>
        </w:rPr>
        <w:t>为拒绝采购进口产品</w:t>
      </w:r>
      <w:r>
        <w:rPr>
          <w:rFonts w:hint="eastAsia" w:ascii="宋体" w:hAnsi="宋体" w:eastAsia="宋体"/>
          <w:color w:val="auto"/>
          <w:sz w:val="24"/>
          <w:szCs w:val="18"/>
          <w:highlight w:val="none"/>
        </w:rPr>
        <w:t>。</w:t>
      </w:r>
    </w:p>
    <w:p w14:paraId="1762301C">
      <w:pPr>
        <w:spacing w:line="360" w:lineRule="auto"/>
        <w:ind w:firstLine="435"/>
        <w:rPr>
          <w:rFonts w:hint="eastAsia" w:ascii="宋体" w:hAnsi="宋体" w:eastAsia="宋体"/>
          <w:color w:val="auto"/>
          <w:sz w:val="24"/>
          <w:szCs w:val="18"/>
          <w:highlight w:val="none"/>
        </w:rPr>
      </w:pPr>
      <w:r>
        <w:rPr>
          <w:rFonts w:hint="eastAsia" w:ascii="宋体" w:hAnsi="宋体" w:eastAsia="宋体"/>
          <w:color w:val="auto"/>
          <w:sz w:val="24"/>
          <w:szCs w:val="18"/>
          <w:highlight w:val="none"/>
        </w:rPr>
        <w:t>2.</w:t>
      </w:r>
      <w:r>
        <w:rPr>
          <w:rFonts w:ascii="宋体" w:hAnsi="宋体" w:eastAsia="宋体" w:cs="宋体"/>
          <w:color w:val="auto"/>
          <w:sz w:val="24"/>
          <w:szCs w:val="24"/>
          <w:highlight w:val="none"/>
        </w:rPr>
        <w:t>政府采购政策（包括但不限于下列具体政策要求</w:t>
      </w:r>
      <w:r>
        <w:rPr>
          <w:rFonts w:hint="eastAsia" w:ascii="宋体" w:hAnsi="宋体" w:eastAsia="宋体" w:cs="宋体"/>
          <w:color w:val="auto"/>
          <w:sz w:val="24"/>
          <w:szCs w:val="24"/>
          <w:highlight w:val="none"/>
        </w:rPr>
        <w:t>）</w:t>
      </w:r>
      <w:r>
        <w:rPr>
          <w:rFonts w:hint="eastAsia" w:ascii="宋体" w:hAnsi="宋体" w:eastAsia="宋体"/>
          <w:color w:val="auto"/>
          <w:sz w:val="24"/>
          <w:szCs w:val="18"/>
          <w:highlight w:val="none"/>
        </w:rPr>
        <w:t>：</w:t>
      </w:r>
    </w:p>
    <w:p w14:paraId="5A636276">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属于《节能产品政府采购品目清单》中政府强制采购的节能产品，则投标人在投标文件中提供所投产品须具有市场监管总局公布的《参与实施政府采购节能产品认证机构目录》中的认证机构出具的、处于有效期内的节能产品认证证书。</w:t>
      </w:r>
    </w:p>
    <w:p w14:paraId="526EBF6F">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401542A1">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（3）企业划型标准按照《关于印发中小企业划型标准规定的通知》（工信部联企业〔2011〕300号）规定执行。中标候选人享受政策性优惠的，在发布中标结果通知书时将在相关媒体予以公开、公示。</w:t>
      </w:r>
    </w:p>
    <w:p w14:paraId="285856C6">
      <w:pPr>
        <w:spacing w:line="360" w:lineRule="auto"/>
        <w:ind w:firstLine="435"/>
        <w:rPr>
          <w:rFonts w:hint="eastAsia"/>
          <w:color w:val="auto"/>
          <w:highlight w:val="none"/>
        </w:rPr>
      </w:pPr>
      <w:r>
        <w:rPr>
          <w:rFonts w:hint="eastAsia" w:ascii="宋体" w:hAnsi="宋体" w:eastAsia="宋体" w:cs="宋体"/>
          <w:color w:val="auto"/>
          <w:sz w:val="24"/>
          <w:szCs w:val="24"/>
          <w:highlight w:val="none"/>
        </w:rPr>
        <w:t>3.</w:t>
      </w:r>
      <w:r>
        <w:rPr>
          <w:rFonts w:hint="eastAsia" w:ascii="宋体" w:hAnsi="宋体" w:eastAsia="宋体"/>
          <w:color w:val="auto"/>
          <w:sz w:val="24"/>
          <w:szCs w:val="18"/>
          <w:highlight w:val="none"/>
        </w:rPr>
        <w:t>如采购人允许采用分包方式履行合同的，应当明确可以分包履行的相关内容：</w:t>
      </w:r>
      <w:r>
        <w:rPr>
          <w:rFonts w:hint="eastAsia" w:ascii="宋体" w:hAnsi="宋体" w:eastAsia="宋体"/>
          <w:color w:val="auto"/>
          <w:sz w:val="24"/>
          <w:szCs w:val="18"/>
          <w:highlight w:val="none"/>
          <w:u w:val="single"/>
        </w:rPr>
        <w:t>本项目不允许分包</w:t>
      </w:r>
      <w:r>
        <w:rPr>
          <w:rFonts w:hint="eastAsia" w:ascii="宋体" w:hAnsi="宋体" w:eastAsia="宋体"/>
          <w:color w:val="auto"/>
          <w:sz w:val="24"/>
          <w:szCs w:val="18"/>
          <w:highlight w:val="none"/>
        </w:rPr>
        <w:t>。</w:t>
      </w:r>
    </w:p>
    <w:p w14:paraId="1B0E4C48">
      <w:pPr>
        <w:spacing w:line="360" w:lineRule="auto"/>
        <w:ind w:firstLine="437"/>
        <w:outlineLvl w:val="1"/>
        <w:rPr>
          <w:rFonts w:hint="eastAsia" w:ascii="宋体" w:hAnsi="宋体" w:eastAsia="宋体"/>
          <w:b/>
          <w:color w:val="auto"/>
          <w:sz w:val="24"/>
          <w:szCs w:val="18"/>
          <w:highlight w:val="none"/>
        </w:rPr>
      </w:pPr>
      <w:bookmarkStart w:id="20" w:name="_Toc2554"/>
      <w:bookmarkStart w:id="21" w:name="_Toc32151"/>
      <w:r>
        <w:rPr>
          <w:rFonts w:hint="eastAsia" w:ascii="宋体" w:hAnsi="宋体" w:eastAsia="宋体"/>
          <w:b/>
          <w:color w:val="auto"/>
          <w:sz w:val="24"/>
          <w:szCs w:val="18"/>
          <w:highlight w:val="none"/>
        </w:rPr>
        <w:t>一、采购需求前附表</w:t>
      </w:r>
      <w:bookmarkEnd w:id="20"/>
      <w:bookmarkEnd w:id="21"/>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725B5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noWrap w:val="0"/>
            <w:vAlign w:val="center"/>
          </w:tcPr>
          <w:p w14:paraId="14B80726">
            <w:pPr>
              <w:pStyle w:val="53"/>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
                <w:color w:val="auto"/>
                <w:kern w:val="2"/>
                <w:highlight w:val="none"/>
              </w:rPr>
            </w:pPr>
            <w:r>
              <w:rPr>
                <w:rFonts w:hint="eastAsia" w:ascii="宋体" w:hAnsi="宋体" w:eastAsia="宋体"/>
                <w:b/>
                <w:color w:val="auto"/>
                <w:kern w:val="2"/>
                <w:highlight w:val="none"/>
              </w:rPr>
              <w:t>序号</w:t>
            </w:r>
          </w:p>
        </w:tc>
        <w:tc>
          <w:tcPr>
            <w:tcW w:w="1192" w:type="pct"/>
            <w:noWrap w:val="0"/>
            <w:vAlign w:val="center"/>
          </w:tcPr>
          <w:p w14:paraId="7B57A51F">
            <w:pPr>
              <w:pStyle w:val="52"/>
              <w:keepNext w:val="0"/>
              <w:keepLines w:val="0"/>
              <w:widowControl w:val="0"/>
              <w:suppressLineNumbers w:val="0"/>
              <w:spacing w:before="0" w:beforeAutospacing="0" w:after="0" w:afterAutospacing="0" w:line="360" w:lineRule="auto"/>
              <w:ind w:left="0" w:right="0"/>
              <w:rPr>
                <w:rFonts w:hint="eastAsia"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3217" w:type="pct"/>
            <w:noWrap w:val="0"/>
            <w:vAlign w:val="center"/>
          </w:tcPr>
          <w:p w14:paraId="5EAE5EF3">
            <w:pPr>
              <w:pStyle w:val="52"/>
              <w:keepNext w:val="0"/>
              <w:keepLines w:val="0"/>
              <w:widowControl w:val="0"/>
              <w:suppressLineNumbers w:val="0"/>
              <w:spacing w:before="0" w:beforeAutospacing="0" w:after="0" w:afterAutospacing="0" w:line="360" w:lineRule="auto"/>
              <w:ind w:left="0" w:right="0"/>
              <w:rPr>
                <w:rFonts w:hint="eastAsia"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5B686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noWrap w:val="0"/>
            <w:vAlign w:val="center"/>
          </w:tcPr>
          <w:p w14:paraId="0DCFF014">
            <w:pPr>
              <w:pStyle w:val="53"/>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w:t>
            </w:r>
          </w:p>
        </w:tc>
        <w:tc>
          <w:tcPr>
            <w:tcW w:w="1192" w:type="pct"/>
            <w:noWrap w:val="0"/>
            <w:vAlign w:val="center"/>
          </w:tcPr>
          <w:p w14:paraId="074FE0CC">
            <w:pPr>
              <w:pStyle w:val="52"/>
              <w:keepNext w:val="0"/>
              <w:keepLines w:val="0"/>
              <w:widowControl w:val="0"/>
              <w:suppressLineNumbers w:val="0"/>
              <w:spacing w:before="0" w:beforeAutospacing="0" w:after="0" w:afterAutospacing="0" w:line="360" w:lineRule="auto"/>
              <w:ind w:left="0" w:right="0"/>
              <w:rPr>
                <w:rFonts w:hint="eastAsia"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3217" w:type="pct"/>
            <w:noWrap w:val="0"/>
            <w:vAlign w:val="center"/>
          </w:tcPr>
          <w:p w14:paraId="75877C82">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u w:val="single"/>
              </w:rPr>
            </w:pPr>
            <w:r>
              <w:rPr>
                <w:rFonts w:hint="eastAsia" w:ascii="宋体" w:hAnsi="宋体" w:eastAsia="宋体"/>
                <w:b w:val="0"/>
                <w:color w:val="auto"/>
                <w:sz w:val="24"/>
                <w:highlight w:val="none"/>
                <w:u w:val="single"/>
              </w:rPr>
              <w:t>合同签订且具备实施条件后，支付合同价的40%预付款（预付款支付前，中标人须提供同等金额的见索即付保函），全部供货安装调试完毕并由采购人验收合格后，一次性付清结算价款。</w:t>
            </w:r>
          </w:p>
        </w:tc>
      </w:tr>
      <w:tr w14:paraId="65B8E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noWrap w:val="0"/>
            <w:vAlign w:val="center"/>
          </w:tcPr>
          <w:p w14:paraId="2ACCB8FA">
            <w:pPr>
              <w:pStyle w:val="53"/>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w:t>
            </w:r>
          </w:p>
        </w:tc>
        <w:tc>
          <w:tcPr>
            <w:tcW w:w="1192" w:type="pct"/>
            <w:noWrap w:val="0"/>
            <w:vAlign w:val="center"/>
          </w:tcPr>
          <w:p w14:paraId="18CC5333">
            <w:pPr>
              <w:pStyle w:val="52"/>
              <w:keepNext w:val="0"/>
              <w:keepLines w:val="0"/>
              <w:widowControl w:val="0"/>
              <w:suppressLineNumbers w:val="0"/>
              <w:spacing w:before="0" w:beforeAutospacing="0" w:after="0" w:afterAutospacing="0" w:line="360" w:lineRule="auto"/>
              <w:ind w:left="0" w:right="0"/>
              <w:rPr>
                <w:rFonts w:hint="eastAsia" w:ascii="宋体" w:hAnsi="宋体" w:eastAsia="宋体"/>
                <w:b w:val="0"/>
                <w:color w:val="auto"/>
                <w:sz w:val="24"/>
                <w:highlight w:val="none"/>
              </w:rPr>
            </w:pPr>
            <w:r>
              <w:rPr>
                <w:rFonts w:hint="eastAsia" w:ascii="宋体" w:hAnsi="宋体" w:eastAsia="宋体"/>
                <w:b w:val="0"/>
                <w:color w:val="auto"/>
                <w:sz w:val="24"/>
                <w:highlight w:val="none"/>
              </w:rPr>
              <w:t>供货及安装地点</w:t>
            </w:r>
          </w:p>
        </w:tc>
        <w:tc>
          <w:tcPr>
            <w:tcW w:w="3217" w:type="pct"/>
            <w:noWrap w:val="0"/>
            <w:vAlign w:val="center"/>
          </w:tcPr>
          <w:p w14:paraId="5791E2B3">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u w:val="single"/>
              </w:rPr>
              <w:t>采购人指定地点</w:t>
            </w:r>
          </w:p>
        </w:tc>
      </w:tr>
      <w:tr w14:paraId="06430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noWrap w:val="0"/>
            <w:vAlign w:val="center"/>
          </w:tcPr>
          <w:p w14:paraId="026DC51B">
            <w:pPr>
              <w:pStyle w:val="53"/>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3</w:t>
            </w:r>
          </w:p>
        </w:tc>
        <w:tc>
          <w:tcPr>
            <w:tcW w:w="1192" w:type="pct"/>
            <w:noWrap w:val="0"/>
            <w:vAlign w:val="center"/>
          </w:tcPr>
          <w:p w14:paraId="585D800F">
            <w:pPr>
              <w:pStyle w:val="52"/>
              <w:keepNext w:val="0"/>
              <w:keepLines w:val="0"/>
              <w:widowControl w:val="0"/>
              <w:suppressLineNumbers w:val="0"/>
              <w:spacing w:before="0" w:beforeAutospacing="0" w:after="0" w:afterAutospacing="0" w:line="360" w:lineRule="auto"/>
              <w:ind w:left="0" w:right="0"/>
              <w:rPr>
                <w:rFonts w:hint="eastAsia" w:ascii="宋体" w:hAnsi="宋体" w:eastAsia="宋体"/>
                <w:b w:val="0"/>
                <w:color w:val="auto"/>
                <w:sz w:val="24"/>
                <w:highlight w:val="none"/>
              </w:rPr>
            </w:pPr>
            <w:r>
              <w:rPr>
                <w:rFonts w:hint="eastAsia" w:ascii="宋体" w:hAnsi="宋体" w:eastAsia="宋体"/>
                <w:b w:val="0"/>
                <w:color w:val="auto"/>
                <w:sz w:val="24"/>
                <w:highlight w:val="none"/>
              </w:rPr>
              <w:t>供货及安装期限</w:t>
            </w:r>
          </w:p>
        </w:tc>
        <w:tc>
          <w:tcPr>
            <w:tcW w:w="3217" w:type="pct"/>
            <w:noWrap w:val="0"/>
            <w:vAlign w:val="center"/>
          </w:tcPr>
          <w:p w14:paraId="16EF45CD">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u w:val="single"/>
              </w:rPr>
              <w:t>合同签订后，自采购人通知之日起</w:t>
            </w:r>
            <w:r>
              <w:rPr>
                <w:rFonts w:hint="eastAsia" w:ascii="宋体" w:hAnsi="宋体" w:eastAsia="宋体"/>
                <w:b w:val="0"/>
                <w:color w:val="auto"/>
                <w:sz w:val="24"/>
                <w:highlight w:val="none"/>
                <w:u w:val="single"/>
                <w:lang w:val="en-US" w:eastAsia="zh-CN"/>
              </w:rPr>
              <w:t>60</w:t>
            </w:r>
            <w:r>
              <w:rPr>
                <w:rFonts w:hint="eastAsia" w:ascii="宋体" w:hAnsi="宋体" w:eastAsia="宋体"/>
                <w:b w:val="0"/>
                <w:color w:val="auto"/>
                <w:sz w:val="24"/>
                <w:highlight w:val="none"/>
                <w:u w:val="single"/>
              </w:rPr>
              <w:t>个日历天完成全部货物的供货、安装、调试、运行和培训工作。</w:t>
            </w:r>
          </w:p>
        </w:tc>
      </w:tr>
      <w:tr w14:paraId="2F0D0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noWrap w:val="0"/>
            <w:vAlign w:val="center"/>
          </w:tcPr>
          <w:p w14:paraId="32957A1D">
            <w:pPr>
              <w:pStyle w:val="53"/>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4</w:t>
            </w:r>
          </w:p>
        </w:tc>
        <w:tc>
          <w:tcPr>
            <w:tcW w:w="1192" w:type="pct"/>
            <w:noWrap w:val="0"/>
            <w:vAlign w:val="center"/>
          </w:tcPr>
          <w:p w14:paraId="6EB1833D">
            <w:pPr>
              <w:pStyle w:val="52"/>
              <w:keepNext w:val="0"/>
              <w:keepLines w:val="0"/>
              <w:widowControl w:val="0"/>
              <w:suppressLineNumbers w:val="0"/>
              <w:spacing w:before="0" w:beforeAutospacing="0" w:after="0" w:afterAutospacing="0" w:line="360" w:lineRule="auto"/>
              <w:ind w:left="0" w:right="0"/>
              <w:rPr>
                <w:rFonts w:hint="eastAsia" w:ascii="宋体" w:hAnsi="宋体" w:eastAsia="宋体"/>
                <w:b w:val="0"/>
                <w:color w:val="auto"/>
                <w:sz w:val="24"/>
                <w:highlight w:val="none"/>
              </w:rPr>
            </w:pPr>
            <w:r>
              <w:rPr>
                <w:rFonts w:hint="eastAsia" w:ascii="宋体" w:hAnsi="宋体" w:eastAsia="宋体"/>
                <w:b w:val="0"/>
                <w:color w:val="auto"/>
                <w:sz w:val="24"/>
                <w:highlight w:val="none"/>
              </w:rPr>
              <w:t>免费质保期</w:t>
            </w:r>
          </w:p>
        </w:tc>
        <w:tc>
          <w:tcPr>
            <w:tcW w:w="3217" w:type="pct"/>
            <w:noWrap w:val="0"/>
            <w:vAlign w:val="center"/>
          </w:tcPr>
          <w:p w14:paraId="56C859B8">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u w:val="single"/>
              </w:rPr>
              <w:t>所投货物产品提供</w:t>
            </w:r>
            <w:r>
              <w:rPr>
                <w:rFonts w:hint="eastAsia" w:ascii="宋体" w:hAnsi="宋体" w:eastAsia="宋体"/>
                <w:b w:val="0"/>
                <w:color w:val="auto"/>
                <w:sz w:val="24"/>
                <w:highlight w:val="none"/>
                <w:u w:val="single"/>
                <w:lang w:val="en-US" w:eastAsia="zh-CN"/>
              </w:rPr>
              <w:t>至少</w:t>
            </w:r>
            <w:r>
              <w:rPr>
                <w:rFonts w:hint="eastAsia" w:ascii="宋体" w:hAnsi="宋体" w:eastAsia="宋体"/>
                <w:b w:val="0"/>
                <w:color w:val="auto"/>
                <w:sz w:val="24"/>
                <w:highlight w:val="none"/>
                <w:u w:val="single"/>
              </w:rPr>
              <w:t>3年的免费质保服务。</w:t>
            </w:r>
          </w:p>
        </w:tc>
      </w:tr>
      <w:tr w14:paraId="13579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noWrap w:val="0"/>
            <w:vAlign w:val="center"/>
          </w:tcPr>
          <w:p w14:paraId="1843B26B">
            <w:pPr>
              <w:pStyle w:val="53"/>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bCs/>
                <w:color w:val="auto"/>
                <w:kern w:val="2"/>
                <w:highlight w:val="none"/>
                <w:lang w:val="en-US" w:eastAsia="zh-CN"/>
              </w:rPr>
            </w:pPr>
            <w:bookmarkStart w:id="22" w:name="_Toc7671"/>
            <w:bookmarkStart w:id="23" w:name="_Toc5944"/>
            <w:r>
              <w:rPr>
                <w:rFonts w:hint="eastAsia" w:ascii="宋体" w:hAnsi="宋体" w:eastAsia="宋体"/>
                <w:bCs/>
                <w:color w:val="auto"/>
                <w:kern w:val="2"/>
                <w:highlight w:val="none"/>
                <w:lang w:val="en-US" w:eastAsia="zh-CN"/>
              </w:rPr>
              <w:t>5</w:t>
            </w:r>
          </w:p>
        </w:tc>
        <w:tc>
          <w:tcPr>
            <w:tcW w:w="1192" w:type="pct"/>
            <w:noWrap w:val="0"/>
            <w:vAlign w:val="center"/>
          </w:tcPr>
          <w:p w14:paraId="6A5A118A">
            <w:pPr>
              <w:pStyle w:val="52"/>
              <w:keepNext w:val="0"/>
              <w:keepLines w:val="0"/>
              <w:widowControl w:val="0"/>
              <w:suppressLineNumbers w:val="0"/>
              <w:spacing w:before="0" w:beforeAutospacing="0" w:after="0" w:afterAutospacing="0" w:line="360" w:lineRule="auto"/>
              <w:ind w:left="0" w:right="0"/>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培训要求</w:t>
            </w:r>
          </w:p>
        </w:tc>
        <w:tc>
          <w:tcPr>
            <w:tcW w:w="3217" w:type="pct"/>
            <w:noWrap w:val="0"/>
            <w:vAlign w:val="center"/>
          </w:tcPr>
          <w:p w14:paraId="3E53969D">
            <w:pPr>
              <w:pStyle w:val="52"/>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u w:val="single"/>
              </w:rPr>
            </w:pPr>
            <w:r>
              <w:rPr>
                <w:rFonts w:hint="eastAsia" w:ascii="宋体" w:hAnsi="宋体" w:eastAsia="宋体"/>
                <w:b w:val="0"/>
                <w:color w:val="auto"/>
                <w:sz w:val="24"/>
                <w:highlight w:val="none"/>
                <w:u w:val="single"/>
              </w:rPr>
              <w:t>质保期内每年提供至少1次7个工作日的免费培训。</w:t>
            </w:r>
          </w:p>
        </w:tc>
      </w:tr>
    </w:tbl>
    <w:p w14:paraId="2415F6EE">
      <w:p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二、</w:t>
      </w:r>
      <w:r>
        <w:rPr>
          <w:rFonts w:hint="eastAsia" w:ascii="宋体" w:hAnsi="宋体" w:eastAsia="宋体"/>
          <w:b/>
          <w:color w:val="auto"/>
          <w:sz w:val="24"/>
          <w:szCs w:val="18"/>
          <w:highlight w:val="none"/>
        </w:rPr>
        <w:t>货物</w:t>
      </w:r>
      <w:r>
        <w:rPr>
          <w:rFonts w:hint="eastAsia" w:ascii="宋体" w:hAnsi="宋体" w:eastAsia="宋体"/>
          <w:b/>
          <w:bCs/>
          <w:color w:val="auto"/>
          <w:sz w:val="24"/>
          <w:szCs w:val="18"/>
          <w:highlight w:val="none"/>
        </w:rPr>
        <w:t>需求</w:t>
      </w:r>
      <w:bookmarkEnd w:id="22"/>
      <w:bookmarkEnd w:id="23"/>
    </w:p>
    <w:tbl>
      <w:tblPr>
        <w:tblStyle w:val="25"/>
        <w:tblW w:w="56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072"/>
        <w:gridCol w:w="3923"/>
        <w:gridCol w:w="1080"/>
        <w:gridCol w:w="854"/>
        <w:gridCol w:w="1214"/>
        <w:gridCol w:w="1007"/>
      </w:tblGrid>
      <w:tr w14:paraId="5D8F6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14:paraId="167D616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bookmarkStart w:id="24" w:name="_Toc7421"/>
            <w:bookmarkStart w:id="25" w:name="_Toc4843"/>
            <w:r>
              <w:rPr>
                <w:rFonts w:hint="eastAsia" w:ascii="宋体" w:hAnsi="宋体" w:eastAsia="宋体" w:cs="宋体"/>
                <w:b/>
                <w:bCs/>
                <w:color w:val="auto"/>
                <w:kern w:val="2"/>
                <w:sz w:val="24"/>
                <w:szCs w:val="24"/>
                <w:highlight w:val="none"/>
                <w:lang w:val="en-US" w:eastAsia="zh-CN" w:bidi="ar"/>
              </w:rPr>
              <w:t>序号</w:t>
            </w:r>
          </w:p>
        </w:tc>
        <w:tc>
          <w:tcPr>
            <w:tcW w:w="1072" w:type="dxa"/>
            <w:tcBorders>
              <w:top w:val="single" w:color="auto" w:sz="4" w:space="0"/>
              <w:left w:val="nil"/>
              <w:bottom w:val="single" w:color="auto" w:sz="4" w:space="0"/>
              <w:right w:val="single" w:color="auto" w:sz="4" w:space="0"/>
            </w:tcBorders>
            <w:noWrap w:val="0"/>
            <w:vAlign w:val="center"/>
          </w:tcPr>
          <w:p w14:paraId="37B98F0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货物名称</w:t>
            </w:r>
          </w:p>
        </w:tc>
        <w:tc>
          <w:tcPr>
            <w:tcW w:w="3923" w:type="dxa"/>
            <w:tcBorders>
              <w:top w:val="single" w:color="auto" w:sz="4" w:space="0"/>
              <w:left w:val="nil"/>
              <w:bottom w:val="single" w:color="auto" w:sz="4" w:space="0"/>
              <w:right w:val="single" w:color="auto" w:sz="4" w:space="0"/>
            </w:tcBorders>
            <w:noWrap w:val="0"/>
            <w:vAlign w:val="center"/>
          </w:tcPr>
          <w:p w14:paraId="68B28FD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技术参数及要求</w:t>
            </w:r>
          </w:p>
        </w:tc>
        <w:tc>
          <w:tcPr>
            <w:tcW w:w="1080" w:type="dxa"/>
            <w:tcBorders>
              <w:top w:val="single" w:color="auto" w:sz="4" w:space="0"/>
              <w:left w:val="nil"/>
              <w:bottom w:val="single" w:color="auto" w:sz="4" w:space="0"/>
              <w:right w:val="single" w:color="auto" w:sz="4" w:space="0"/>
            </w:tcBorders>
            <w:noWrap w:val="0"/>
            <w:vAlign w:val="center"/>
          </w:tcPr>
          <w:p w14:paraId="562DB1E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数量</w:t>
            </w:r>
          </w:p>
          <w:p w14:paraId="184D772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（单位）</w:t>
            </w:r>
          </w:p>
        </w:tc>
        <w:tc>
          <w:tcPr>
            <w:tcW w:w="854" w:type="dxa"/>
            <w:tcBorders>
              <w:top w:val="single" w:color="auto" w:sz="4" w:space="0"/>
              <w:left w:val="nil"/>
              <w:bottom w:val="single" w:color="auto" w:sz="4" w:space="0"/>
              <w:right w:val="single" w:color="auto" w:sz="4" w:space="0"/>
            </w:tcBorders>
            <w:noWrap w:val="0"/>
            <w:vAlign w:val="center"/>
          </w:tcPr>
          <w:p w14:paraId="18AB167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所属</w:t>
            </w:r>
          </w:p>
          <w:p w14:paraId="5B83978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行业</w:t>
            </w:r>
          </w:p>
        </w:tc>
        <w:tc>
          <w:tcPr>
            <w:tcW w:w="1214" w:type="dxa"/>
            <w:tcBorders>
              <w:top w:val="single" w:color="auto" w:sz="4" w:space="0"/>
              <w:left w:val="nil"/>
              <w:bottom w:val="single" w:color="auto" w:sz="4" w:space="0"/>
              <w:right w:val="single" w:color="auto" w:sz="4" w:space="0"/>
            </w:tcBorders>
            <w:noWrap w:val="0"/>
            <w:vAlign w:val="center"/>
          </w:tcPr>
          <w:p w14:paraId="728A0FC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是否为核心产品</w:t>
            </w:r>
          </w:p>
        </w:tc>
        <w:tc>
          <w:tcPr>
            <w:tcW w:w="1007" w:type="dxa"/>
            <w:tcBorders>
              <w:top w:val="single" w:color="auto" w:sz="4" w:space="0"/>
              <w:left w:val="nil"/>
              <w:bottom w:val="single" w:color="auto" w:sz="4" w:space="0"/>
              <w:right w:val="single" w:color="auto" w:sz="4" w:space="0"/>
            </w:tcBorders>
            <w:noWrap w:val="0"/>
            <w:vAlign w:val="center"/>
          </w:tcPr>
          <w:p w14:paraId="53657EA7">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
                <w:bCs/>
                <w:color w:val="auto"/>
                <w:kern w:val="2"/>
                <w:sz w:val="24"/>
                <w:szCs w:val="24"/>
                <w:highlight w:val="none"/>
                <w:lang w:val="en-US"/>
              </w:rPr>
            </w:pPr>
            <w:r>
              <w:rPr>
                <w:rFonts w:hint="eastAsia" w:ascii="宋体" w:hAnsi="宋体" w:eastAsia="宋体" w:cs="宋体"/>
                <w:b/>
                <w:bCs/>
                <w:color w:val="auto"/>
                <w:kern w:val="2"/>
                <w:sz w:val="24"/>
                <w:szCs w:val="24"/>
                <w:highlight w:val="none"/>
                <w:lang w:val="en-US" w:eastAsia="zh-CN" w:bidi="ar"/>
              </w:rPr>
              <w:t>单价最高限价</w:t>
            </w:r>
          </w:p>
        </w:tc>
      </w:tr>
      <w:tr w14:paraId="19911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14:paraId="7F1F6D4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1072" w:type="dxa"/>
            <w:tcBorders>
              <w:top w:val="single" w:color="auto" w:sz="4" w:space="0"/>
              <w:left w:val="nil"/>
              <w:bottom w:val="single" w:color="auto" w:sz="4" w:space="0"/>
              <w:right w:val="single" w:color="auto" w:sz="4" w:space="0"/>
            </w:tcBorders>
            <w:noWrap w:val="0"/>
            <w:vAlign w:val="center"/>
          </w:tcPr>
          <w:p w14:paraId="2A36A1D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车路协同实训设备</w:t>
            </w:r>
          </w:p>
        </w:tc>
        <w:tc>
          <w:tcPr>
            <w:tcW w:w="3923" w:type="dxa"/>
            <w:tcBorders>
              <w:top w:val="single" w:color="auto" w:sz="4" w:space="0"/>
              <w:left w:val="nil"/>
              <w:bottom w:val="single" w:color="auto" w:sz="4" w:space="0"/>
              <w:right w:val="single" w:color="auto" w:sz="4" w:space="0"/>
            </w:tcBorders>
            <w:noWrap w:val="0"/>
            <w:vAlign w:val="center"/>
          </w:tcPr>
          <w:p w14:paraId="78ADA20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一、产品简介</w:t>
            </w:r>
          </w:p>
          <w:p w14:paraId="64F41B6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车路协同实训设备是一款车路协同应用场景虚拟仿真实训教学产品，其内置C-V2X通讯协议栈和丰富的C-V2X应用场景算法，可快速构建从设备层-网络层-数据交互层-应用层为主的一条完整的车路协同场景仿真路径，配套教学资源包和课程体系，可为院校开展理-实一体化的实训教学提供有效的支撑。</w:t>
            </w:r>
          </w:p>
          <w:p w14:paraId="00DDB53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（一）支持 《T/CSAE 53-2020 合作式智能运输系统 车用通信系统应用层及应用数据交互标准（第一阶段）》下的14类典型车路协同场景；</w:t>
            </w:r>
          </w:p>
          <w:p w14:paraId="7108BE5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（二）支持-《T/CSAE157-2020 合作式智能运输系统 车用通信系统应用层及应用数据交互标准（第二阶段）》下的8类典型车路协同场景；</w:t>
            </w:r>
          </w:p>
          <w:p w14:paraId="6C8C914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（三）支持室内（无GNSS启动）开展车路协同场景快速搭建和仿真教学；</w:t>
            </w:r>
          </w:p>
          <w:p w14:paraId="5F092C6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（四）支持LTE-V2X/以太网数据交互方式。</w:t>
            </w:r>
          </w:p>
          <w:p w14:paraId="366F8C0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
                <w:bCs w:val="0"/>
                <w:color w:val="auto"/>
                <w:kern w:val="2"/>
                <w:sz w:val="21"/>
                <w:szCs w:val="21"/>
                <w:highlight w:val="none"/>
              </w:rPr>
              <w:t>▲提供V2X车路协同实训系统类软著。</w:t>
            </w:r>
          </w:p>
          <w:p w14:paraId="23C4610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 xml:space="preserve">二、技术参数 </w:t>
            </w:r>
          </w:p>
          <w:p w14:paraId="603DF47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（一）C-V2X通讯</w:t>
            </w:r>
          </w:p>
          <w:p w14:paraId="52C56F9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1、CPU：</w:t>
            </w:r>
            <w:r>
              <w:rPr>
                <w:rFonts w:hint="eastAsia" w:ascii="宋体" w:hAnsi="宋体" w:eastAsia="宋体" w:cs="宋体"/>
                <w:bCs/>
                <w:color w:val="auto"/>
                <w:kern w:val="2"/>
                <w:sz w:val="21"/>
                <w:szCs w:val="21"/>
                <w:highlight w:val="none"/>
                <w:lang w:val="en-US" w:eastAsia="zh-CN"/>
              </w:rPr>
              <w:t>不低于</w:t>
            </w:r>
            <w:r>
              <w:rPr>
                <w:rFonts w:hint="eastAsia" w:ascii="宋体" w:hAnsi="宋体" w:eastAsia="宋体" w:cs="宋体"/>
                <w:bCs/>
                <w:color w:val="auto"/>
                <w:kern w:val="2"/>
                <w:sz w:val="21"/>
                <w:szCs w:val="21"/>
                <w:highlight w:val="none"/>
              </w:rPr>
              <w:t>4核CortexA7处理器，主频≥1GHz；</w:t>
            </w:r>
          </w:p>
          <w:p w14:paraId="57C4D6C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2、内存：类型DDR3，容量≥1GB；</w:t>
            </w:r>
          </w:p>
          <w:p w14:paraId="28B7E78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3、闪存：类型EMMC，容量≥8GB；</w:t>
            </w:r>
          </w:p>
          <w:p w14:paraId="4F65FA6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4、LTE-V：支持车车、车路通信协议，工作频段:5.905G-5.925GHz，发射功率:23dBm±2dB，距离&gt;300m，支持无GNSS启动；</w:t>
            </w:r>
          </w:p>
          <w:p w14:paraId="5383888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5、蜂窝通信：支持3G/4G全网通，支持LTE-FDD/LTE-TDD/LAA/WCDMA；</w:t>
            </w:r>
          </w:p>
          <w:p w14:paraId="5482ADF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6、PC5：射频灵敏度: -93dBm@20MHz，PC5通讯时延&lt;20ms；</w:t>
            </w:r>
          </w:p>
          <w:p w14:paraId="5C17461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7、定位：支持Beidou、GPS定位，频率10Hz；</w:t>
            </w:r>
          </w:p>
          <w:p w14:paraId="1032508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8、对外接口：≥1路RJ45网络通信接口 (100Mbps)；</w:t>
            </w:r>
          </w:p>
          <w:p w14:paraId="6210608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9、以太网：支持IEEE 802.310Base-T/100Base-TX，浪涌防护达到共模6KV/差模4KV；</w:t>
            </w:r>
          </w:p>
          <w:p w14:paraId="47890E5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10、WIFI：支持 IEEE 802.11a/b/g/n/ac，信号频率2.4~2.4835GHZ。</w:t>
            </w:r>
          </w:p>
          <w:p w14:paraId="5DFC746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（二）车路协同预警终端</w:t>
            </w:r>
          </w:p>
          <w:p w14:paraId="0A76F50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1、CPU：不低于8核，主频≥2.2G；</w:t>
            </w:r>
          </w:p>
          <w:p w14:paraId="05275CA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2、内存：≥8G；</w:t>
            </w:r>
          </w:p>
          <w:p w14:paraId="4693EC5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3、存储：≥128G；</w:t>
            </w:r>
          </w:p>
          <w:p w14:paraId="7BEE897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4、屏幕尺寸：≥11寸；</w:t>
            </w:r>
          </w:p>
          <w:p w14:paraId="2026313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5、屏幕分辨率：≥1200×2000；</w:t>
            </w:r>
          </w:p>
          <w:p w14:paraId="6EA3A86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6、内置车路协同预警APP。</w:t>
            </w:r>
          </w:p>
          <w:p w14:paraId="67BF81C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
                <w:bCs w:val="0"/>
                <w:color w:val="auto"/>
                <w:kern w:val="2"/>
                <w:sz w:val="21"/>
                <w:szCs w:val="21"/>
                <w:highlight w:val="none"/>
              </w:rPr>
            </w:pPr>
            <w:r>
              <w:rPr>
                <w:rFonts w:hint="eastAsia" w:ascii="宋体" w:hAnsi="宋体" w:eastAsia="宋体" w:cs="宋体"/>
                <w:bCs/>
                <w:color w:val="auto"/>
                <w:kern w:val="2"/>
                <w:sz w:val="21"/>
                <w:szCs w:val="21"/>
                <w:highlight w:val="none"/>
              </w:rPr>
              <w:t>（三）</w:t>
            </w:r>
            <w:r>
              <w:rPr>
                <w:rFonts w:hint="eastAsia" w:ascii="宋体" w:hAnsi="宋体" w:eastAsia="宋体" w:cs="宋体"/>
                <w:b/>
                <w:bCs w:val="0"/>
                <w:color w:val="auto"/>
                <w:kern w:val="2"/>
                <w:sz w:val="21"/>
                <w:szCs w:val="21"/>
                <w:highlight w:val="none"/>
              </w:rPr>
              <w:t>提供车路协同实训设备场景仿真软件功能演示视频，视频内容为以下4项：</w:t>
            </w:r>
          </w:p>
          <w:p w14:paraId="02969C6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rPr>
              <w:t>1、实训概览：涉及实训系统管理、用户管理及系统维护三个子模块，其中实训系统管理可查看智能路侧终端、智能车载终端IP、状态信息。</w:t>
            </w:r>
          </w:p>
          <w:p w14:paraId="1BB768B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rPr>
              <w:t>2、场景库模块：涉及V2X车路协同场景中所需的要素，包括车辆、交通参与者、道路环境、标志标牌、事件，支持新增、删除、修改功能；</w:t>
            </w:r>
          </w:p>
          <w:p w14:paraId="3FD39A1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rPr>
              <w:t>3、场景实训模块：支持DAY1下</w:t>
            </w:r>
            <w:r>
              <w:rPr>
                <w:rFonts w:hint="eastAsia" w:ascii="宋体" w:hAnsi="宋体" w:eastAsia="宋体" w:cs="宋体"/>
                <w:b/>
                <w:bCs w:val="0"/>
                <w:color w:val="auto"/>
                <w:kern w:val="2"/>
                <w:sz w:val="21"/>
                <w:szCs w:val="21"/>
                <w:highlight w:val="none"/>
                <w:lang w:val="en-US" w:eastAsia="zh-CN"/>
              </w:rPr>
              <w:t>不少于</w:t>
            </w:r>
            <w:r>
              <w:rPr>
                <w:rFonts w:hint="eastAsia" w:ascii="宋体" w:hAnsi="宋体" w:eastAsia="宋体" w:cs="宋体"/>
                <w:b/>
                <w:bCs w:val="0"/>
                <w:color w:val="auto"/>
                <w:kern w:val="2"/>
                <w:sz w:val="21"/>
                <w:szCs w:val="21"/>
                <w:highlight w:val="none"/>
              </w:rPr>
              <w:t xml:space="preserve">14种场景、DAY2下不少于8种场景的模拟仿真，支持轨迹制作，场景要素选择、要素信息设置等； </w:t>
            </w:r>
          </w:p>
          <w:p w14:paraId="417B228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
                <w:bCs w:val="0"/>
                <w:color w:val="auto"/>
                <w:kern w:val="2"/>
                <w:sz w:val="21"/>
                <w:szCs w:val="21"/>
                <w:highlight w:val="none"/>
              </w:rPr>
              <w:t>4、实训概况：可以获取本台实训箱相关的全部实训任务记录，通过数据列表和统计图可以清晰的获知每个用户的实训结果情况，并且可对每一条实训记录进行查看、下载和删除等操作。</w:t>
            </w:r>
          </w:p>
          <w:p w14:paraId="42D7EC2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（四）基础参数</w:t>
            </w:r>
          </w:p>
          <w:p w14:paraId="4D40520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1、整机尺寸：≥42×30×15cm；</w:t>
            </w:r>
          </w:p>
          <w:p w14:paraId="7901756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2、供电：电源适配器（AC220V-DC48V）；</w:t>
            </w:r>
          </w:p>
          <w:p w14:paraId="4652090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3、整机功率：≤50W</w:t>
            </w:r>
            <w:r>
              <w:rPr>
                <w:rFonts w:hint="eastAsia" w:ascii="宋体" w:hAnsi="宋体" w:eastAsia="宋体" w:cs="宋体"/>
                <w:bCs/>
                <w:color w:val="auto"/>
                <w:kern w:val="2"/>
                <w:sz w:val="21"/>
                <w:szCs w:val="21"/>
                <w:highlight w:val="none"/>
                <w:lang w:eastAsia="zh-CN"/>
              </w:rPr>
              <w:t>。</w:t>
            </w:r>
          </w:p>
        </w:tc>
        <w:tc>
          <w:tcPr>
            <w:tcW w:w="1080" w:type="dxa"/>
            <w:tcBorders>
              <w:top w:val="single" w:color="auto" w:sz="4" w:space="0"/>
              <w:left w:val="nil"/>
              <w:bottom w:val="single" w:color="auto" w:sz="4" w:space="0"/>
              <w:right w:val="single" w:color="auto" w:sz="4" w:space="0"/>
            </w:tcBorders>
            <w:noWrap w:val="0"/>
            <w:vAlign w:val="center"/>
          </w:tcPr>
          <w:p w14:paraId="18287C7D">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rPr>
            </w:pPr>
            <w:r>
              <w:rPr>
                <w:rFonts w:hint="eastAsia" w:ascii="宋体" w:hAnsi="宋体" w:eastAsia="宋体" w:cs="宋体"/>
                <w:bCs/>
                <w:color w:val="auto"/>
                <w:kern w:val="2"/>
                <w:sz w:val="21"/>
                <w:szCs w:val="21"/>
                <w:highlight w:val="none"/>
                <w:lang w:val="en-US" w:eastAsia="zh-CN" w:bidi="ar"/>
              </w:rPr>
              <w:t>6套</w:t>
            </w:r>
          </w:p>
        </w:tc>
        <w:tc>
          <w:tcPr>
            <w:tcW w:w="854" w:type="dxa"/>
            <w:tcBorders>
              <w:top w:val="single" w:color="auto" w:sz="4" w:space="0"/>
              <w:left w:val="nil"/>
              <w:bottom w:val="single" w:color="auto" w:sz="4" w:space="0"/>
              <w:right w:val="single" w:color="auto" w:sz="4" w:space="0"/>
            </w:tcBorders>
            <w:noWrap w:val="0"/>
            <w:vAlign w:val="center"/>
          </w:tcPr>
          <w:p w14:paraId="62292E4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214" w:type="dxa"/>
            <w:tcBorders>
              <w:top w:val="single" w:color="auto" w:sz="4" w:space="0"/>
              <w:left w:val="nil"/>
              <w:bottom w:val="single" w:color="auto" w:sz="4" w:space="0"/>
              <w:right w:val="single" w:color="auto" w:sz="4" w:space="0"/>
            </w:tcBorders>
            <w:noWrap w:val="0"/>
            <w:vAlign w:val="center"/>
          </w:tcPr>
          <w:p w14:paraId="6AFAAA4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07" w:type="dxa"/>
            <w:tcBorders>
              <w:top w:val="single" w:color="auto" w:sz="4" w:space="0"/>
              <w:left w:val="nil"/>
              <w:bottom w:val="single" w:color="auto" w:sz="4" w:space="0"/>
              <w:right w:val="single" w:color="auto" w:sz="4" w:space="0"/>
            </w:tcBorders>
            <w:noWrap w:val="0"/>
            <w:vAlign w:val="center"/>
          </w:tcPr>
          <w:p w14:paraId="068FEFA7">
            <w:pPr>
              <w:keepNext w:val="0"/>
              <w:keepLines w:val="0"/>
              <w:widowControl w:val="0"/>
              <w:suppressLineNumbers w:val="0"/>
              <w:spacing w:before="0" w:beforeAutospacing="0" w:after="0" w:afterAutospacing="0"/>
              <w:ind w:left="0" w:right="0"/>
              <w:jc w:val="center"/>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35000元/套</w:t>
            </w:r>
          </w:p>
        </w:tc>
      </w:tr>
      <w:tr w14:paraId="7F076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14:paraId="54DD87E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1072" w:type="dxa"/>
            <w:tcBorders>
              <w:top w:val="single" w:color="auto" w:sz="4" w:space="0"/>
              <w:left w:val="nil"/>
              <w:bottom w:val="single" w:color="auto" w:sz="4" w:space="0"/>
              <w:right w:val="single" w:color="auto" w:sz="4" w:space="0"/>
            </w:tcBorders>
            <w:noWrap w:val="0"/>
            <w:vAlign w:val="center"/>
          </w:tcPr>
          <w:p w14:paraId="183905D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数据标注实训设备</w:t>
            </w:r>
          </w:p>
        </w:tc>
        <w:tc>
          <w:tcPr>
            <w:tcW w:w="3923" w:type="dxa"/>
            <w:tcBorders>
              <w:top w:val="single" w:color="auto" w:sz="4" w:space="0"/>
              <w:left w:val="nil"/>
              <w:bottom w:val="single" w:color="auto" w:sz="4" w:space="0"/>
              <w:right w:val="single" w:color="auto" w:sz="4" w:space="0"/>
            </w:tcBorders>
            <w:noWrap w:val="0"/>
            <w:vAlign w:val="center"/>
          </w:tcPr>
          <w:p w14:paraId="12486F8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一、产品简介</w:t>
            </w:r>
          </w:p>
          <w:p w14:paraId="4F8BAD6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数据标注实训设备是一款综合性数据标注类实训实操产品，该产品嵌套了全栈自研的数据标注综合应用软件，可对2D图像、3D点云中的特征目标进行算法自检测、自识别等预处理功能，对不同场景的不同种类目标物进行标注，标注工具类型丰富，满足不同标注场景需求。</w:t>
            </w:r>
          </w:p>
          <w:p w14:paraId="5176481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二、技术参数</w:t>
            </w:r>
          </w:p>
          <w:p w14:paraId="6CF843A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（一）实训软件</w:t>
            </w:r>
          </w:p>
          <w:p w14:paraId="7643767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支持图像预处理：利用数据标注实训台的图像预处理软件模块，对JPG格式原始图像数据进行预处理功能。图像预处理软件模块，基于图像算法检测模型，实现自动提取图像中的行人、机动车、非机动车及道路病害（裂缝、修补）等类型的目标，并自动生成与原始图像一一对应的预处理内参文件（XML格式），便于标注人员导入图像标注软件并对其进行审核与修改。</w:t>
            </w:r>
          </w:p>
          <w:p w14:paraId="51DA84C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支持点云数据预处理：利用数据标注实训台的激光点云数据预处理软件模块，对原始的激光点云数据进行预处理的功能。激光点云数据预处理软件模块，基于激光算法检测模型，实现自动提取点云中的行人、机动车、非机动等类型的目标，并自动生成与原始激光点云数据一一对应的预处理内参文件（JSON格式），便于标注人员导入点云标注软件并对其进行审核与修改。</w:t>
            </w:r>
          </w:p>
          <w:p w14:paraId="6335482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支持光视融合预处理：利用数据标注实训设备的光视融合预处理软件模块，基于工具能力，对图像、激光点云的所追踪的目标特征进行分割和提取；基于多组目标特征关系，利用光视融合算法生成内参矩阵，标注人员再将生成的内参矩阵导入到点云标注软件中，实现点云标注时的图像匹配。</w:t>
            </w:r>
          </w:p>
          <w:p w14:paraId="72311C9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支持2D人机非图像标注：利用数据标注实训设备的数据标注软件，对JPG图像中的目标进行提取和分类，实现对行人、机动车、非机动车等目标的自动标注。之后，数据标注员再通过人工审核的方式，对自动标注的数据进行审核，发现有错误、偏差等情况时，利用数据标注软件进行人工修正。</w:t>
            </w:r>
          </w:p>
          <w:p w14:paraId="207C8A0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支持2D道路病害图像标注：利用数据标注实训设备的数据标注软件，对JPG图像中的道路病害进行提取和分类，实现道路病害（支持标注的道路病害类型包括坑槽、裂缝等）的自动标注。之后，数据标注员再通过人工审核的方式，对自动标注的数据进行审核，发现有错误、偏差等情况时，利用数据标注软件进行人工修正。</w:t>
            </w:r>
          </w:p>
          <w:p w14:paraId="19E33BE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6、支持3D点云数据标注：利用数据标注实训设备的数据标注软件，对激光雷达的3D点云数据进行标注。实现对点云数据中的行人、机动车、非机动车等目标的自动标注。之后，数据标注员再通过人工审核的方式，对自动标注的数据进行审核，发现有错误、偏差等情况时，利用数据标注软件进行人工修正。</w:t>
            </w:r>
          </w:p>
          <w:p w14:paraId="0D51BFD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
                <w:bCs w:val="0"/>
                <w:color w:val="auto"/>
                <w:kern w:val="2"/>
                <w:sz w:val="21"/>
                <w:szCs w:val="21"/>
                <w:highlight w:val="none"/>
              </w:rPr>
              <w:t>▲提供数据标注综合应用类软著。</w:t>
            </w:r>
          </w:p>
          <w:p w14:paraId="62669A8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（二）硬件参数</w:t>
            </w:r>
          </w:p>
          <w:p w14:paraId="3E44536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1、尺寸材质：外观尺寸≥1200x650x825mm，整体采用Q235金属材质，表面采用氧化处理、烤漆工艺，台面采用木质材料，实训台带4个刹车滑轮，便捷移动；</w:t>
            </w:r>
          </w:p>
          <w:p w14:paraId="2503BF1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2、整机重量：≥85kg；</w:t>
            </w:r>
          </w:p>
          <w:p w14:paraId="79FF9B2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3、屏幕尺寸：≥27英寸；</w:t>
            </w:r>
          </w:p>
          <w:p w14:paraId="765C128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4、分辨率：≥1920*1080；</w:t>
            </w:r>
          </w:p>
          <w:p w14:paraId="45483F4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5、刷新率：165Hz；</w:t>
            </w:r>
          </w:p>
          <w:p w14:paraId="7653B4B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6、接口：HDMI、DP；</w:t>
            </w:r>
          </w:p>
          <w:p w14:paraId="2CA2E5B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7、面板：IPS（Fast），快速液晶屏；</w:t>
            </w:r>
          </w:p>
          <w:p w14:paraId="50D02B5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8、CPU：不低于12th Gen Intel(R)Core(M) i5-12500 3.00 GHz；</w:t>
            </w:r>
          </w:p>
          <w:p w14:paraId="48C9489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9、显卡：不低于GeForce GT 730；</w:t>
            </w:r>
          </w:p>
          <w:p w14:paraId="6FD366B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10、内存：≥16GB；</w:t>
            </w:r>
          </w:p>
          <w:p w14:paraId="46968A4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11、接口：不少于2*LAN，4*USB3.2，2*USB2.0，4*COM，1*VGA，1*DP,1*HDMI，Line out &amp; Mic，16bit 隔离DIO，1*I-Port, 2*2.5”SATA bay，1*mSATA，1*Mini PCIe，DC 9-36。</w:t>
            </w:r>
          </w:p>
        </w:tc>
        <w:tc>
          <w:tcPr>
            <w:tcW w:w="1080" w:type="dxa"/>
            <w:tcBorders>
              <w:top w:val="single" w:color="auto" w:sz="4" w:space="0"/>
              <w:left w:val="nil"/>
              <w:bottom w:val="single" w:color="auto" w:sz="4" w:space="0"/>
              <w:right w:val="single" w:color="auto" w:sz="4" w:space="0"/>
            </w:tcBorders>
            <w:noWrap w:val="0"/>
            <w:vAlign w:val="center"/>
          </w:tcPr>
          <w:p w14:paraId="33B77A85">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rPr>
            </w:pPr>
            <w:r>
              <w:rPr>
                <w:rFonts w:hint="eastAsia" w:ascii="宋体" w:hAnsi="宋体" w:eastAsia="宋体" w:cs="宋体"/>
                <w:bCs/>
                <w:color w:val="auto"/>
                <w:kern w:val="2"/>
                <w:sz w:val="21"/>
                <w:szCs w:val="21"/>
                <w:highlight w:val="none"/>
                <w:lang w:val="en-US" w:eastAsia="zh-CN" w:bidi="ar"/>
              </w:rPr>
              <w:t>6套</w:t>
            </w:r>
          </w:p>
        </w:tc>
        <w:tc>
          <w:tcPr>
            <w:tcW w:w="854" w:type="dxa"/>
            <w:tcBorders>
              <w:top w:val="single" w:color="auto" w:sz="4" w:space="0"/>
              <w:left w:val="nil"/>
              <w:bottom w:val="single" w:color="auto" w:sz="4" w:space="0"/>
              <w:right w:val="single" w:color="auto" w:sz="4" w:space="0"/>
            </w:tcBorders>
            <w:noWrap w:val="0"/>
            <w:vAlign w:val="center"/>
          </w:tcPr>
          <w:p w14:paraId="307EC45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214" w:type="dxa"/>
            <w:tcBorders>
              <w:top w:val="single" w:color="auto" w:sz="4" w:space="0"/>
              <w:left w:val="nil"/>
              <w:bottom w:val="single" w:color="auto" w:sz="4" w:space="0"/>
              <w:right w:val="single" w:color="auto" w:sz="4" w:space="0"/>
            </w:tcBorders>
            <w:noWrap w:val="0"/>
            <w:vAlign w:val="center"/>
          </w:tcPr>
          <w:p w14:paraId="2EB81B3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07" w:type="dxa"/>
            <w:tcBorders>
              <w:top w:val="single" w:color="auto" w:sz="4" w:space="0"/>
              <w:left w:val="nil"/>
              <w:bottom w:val="single" w:color="auto" w:sz="4" w:space="0"/>
              <w:right w:val="single" w:color="auto" w:sz="4" w:space="0"/>
            </w:tcBorders>
            <w:noWrap w:val="0"/>
            <w:vAlign w:val="center"/>
          </w:tcPr>
          <w:p w14:paraId="588844AB">
            <w:pPr>
              <w:keepNext w:val="0"/>
              <w:keepLines w:val="0"/>
              <w:widowControl w:val="0"/>
              <w:suppressLineNumbers w:val="0"/>
              <w:spacing w:before="0" w:beforeAutospacing="0" w:after="0" w:afterAutospacing="0"/>
              <w:ind w:left="0" w:right="0"/>
              <w:jc w:val="center"/>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rPr>
              <w:t>37000</w:t>
            </w:r>
            <w:r>
              <w:rPr>
                <w:rFonts w:hint="eastAsia" w:ascii="宋体" w:hAnsi="宋体" w:eastAsia="宋体" w:cs="宋体"/>
                <w:bCs/>
                <w:color w:val="auto"/>
                <w:kern w:val="2"/>
                <w:sz w:val="21"/>
                <w:szCs w:val="21"/>
                <w:highlight w:val="none"/>
                <w:lang w:val="en-US" w:eastAsia="zh-CN"/>
              </w:rPr>
              <w:t>元/套</w:t>
            </w:r>
          </w:p>
        </w:tc>
      </w:tr>
      <w:tr w14:paraId="4C9B5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14:paraId="101968D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p>
        </w:tc>
        <w:tc>
          <w:tcPr>
            <w:tcW w:w="1072" w:type="dxa"/>
            <w:tcBorders>
              <w:top w:val="single" w:color="auto" w:sz="4" w:space="0"/>
              <w:left w:val="nil"/>
              <w:bottom w:val="single" w:color="auto" w:sz="4" w:space="0"/>
              <w:right w:val="single" w:color="auto" w:sz="4" w:space="0"/>
            </w:tcBorders>
            <w:noWrap w:val="0"/>
            <w:vAlign w:val="center"/>
          </w:tcPr>
          <w:p w14:paraId="6BE0BD4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一体化感知基站</w:t>
            </w:r>
          </w:p>
        </w:tc>
        <w:tc>
          <w:tcPr>
            <w:tcW w:w="3923" w:type="dxa"/>
            <w:tcBorders>
              <w:top w:val="single" w:color="auto" w:sz="4" w:space="0"/>
              <w:left w:val="nil"/>
              <w:bottom w:val="single" w:color="auto" w:sz="4" w:space="0"/>
              <w:right w:val="single" w:color="auto" w:sz="4" w:space="0"/>
            </w:tcBorders>
            <w:noWrap w:val="0"/>
            <w:vAlign w:val="center"/>
          </w:tcPr>
          <w:p w14:paraId="7C511F8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一、产品简介</w:t>
            </w:r>
          </w:p>
          <w:p w14:paraId="18248AD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该产品采用标准化的结构设计，学生可全程参与完成V2X感知基站套件的装配、调试和系统应用，联动OBU车辆，可轻量化快速搭建10余种I2V车路协同测试环境，此外该产品可结合智能网联实训车和校园车路协同智慧平台可形成一套室外车路协同实训教学套件。</w:t>
            </w:r>
          </w:p>
          <w:p w14:paraId="609609A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可支撑的V2X应用场景如下：</w:t>
            </w:r>
          </w:p>
          <w:p w14:paraId="5837980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1.绿波车速引导；</w:t>
            </w:r>
          </w:p>
          <w:p w14:paraId="5E6ADC4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2.闯红灯预警；</w:t>
            </w:r>
          </w:p>
          <w:p w14:paraId="4EAAFBD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3.协作式优先车辆通行；</w:t>
            </w:r>
          </w:p>
          <w:p w14:paraId="000EEFD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4.弱势交通参与者预警；</w:t>
            </w:r>
          </w:p>
          <w:p w14:paraId="345F3ED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5.协作式变道；</w:t>
            </w:r>
          </w:p>
          <w:p w14:paraId="21297BA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6.交叉口碰撞预警；</w:t>
            </w:r>
          </w:p>
          <w:p w14:paraId="2486CB6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7.感知数据共享；</w:t>
            </w:r>
          </w:p>
          <w:p w14:paraId="5EA565E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8.左转辅助；</w:t>
            </w:r>
          </w:p>
          <w:p w14:paraId="7E1D8B9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9.限速预警；</w:t>
            </w:r>
          </w:p>
          <w:p w14:paraId="5957683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10.道路施工预警。</w:t>
            </w:r>
          </w:p>
          <w:p w14:paraId="2153F49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二、产品组成</w:t>
            </w:r>
          </w:p>
          <w:p w14:paraId="0EA336A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产品由一体化感知基站配置管理软件*1套、16线激光雷达*2台、毫米波雷达*2台、变焦全彩摄像机*4台、边缘计算终端*1台、智能路侧终端*1台、无线路由器*1台、管理型POE交换机*1台、移动电池*1台、信号灯*4面、信号机*1台、一体化感知基站集成服务（含结构件）*1及工具箱*1套等多种设备组成的一套产品。</w:t>
            </w:r>
          </w:p>
          <w:p w14:paraId="4461808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▲提供配套基站的车路协同路侧系统三维仿真软件功能截图</w:t>
            </w:r>
            <w:r>
              <w:rPr>
                <w:rFonts w:hint="eastAsia" w:ascii="宋体" w:hAnsi="宋体" w:eastAsia="宋体" w:cs="宋体"/>
                <w:b/>
                <w:bCs w:val="0"/>
                <w:color w:val="auto"/>
                <w:kern w:val="2"/>
                <w:sz w:val="21"/>
                <w:szCs w:val="21"/>
                <w:highlight w:val="none"/>
              </w:rPr>
              <w:t>（涉及设备介绍、仿真实训、仿真考核3大类功能页面）</w:t>
            </w:r>
          </w:p>
          <w:p w14:paraId="002B8D4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三、技术参数</w:t>
            </w:r>
          </w:p>
          <w:p w14:paraId="534F1F2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（一）一体化感知基站配置管理软件</w:t>
            </w:r>
          </w:p>
          <w:p w14:paraId="51D13CD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1、基于Ubuntu系统上开发的B/S架构嵌入式应用软件，支持通过Window系统直接访问；</w:t>
            </w:r>
          </w:p>
          <w:p w14:paraId="2EFA7E9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2、首次登录需输入正确的账号、密码，账号、密码错误时，可进行错误类别提醒；</w:t>
            </w:r>
          </w:p>
          <w:p w14:paraId="08DFE90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▲3、最大支持4路摄像头的同时接入，支持设备的分组管理，支持摄像头的在线、离线状态管理，支持摄像头的编辑、删除等功能；支持对在线设备实现实时画面预览；</w:t>
            </w:r>
            <w:r>
              <w:rPr>
                <w:rFonts w:hint="eastAsia" w:ascii="宋体" w:hAnsi="宋体" w:eastAsia="宋体" w:cs="宋体"/>
                <w:b/>
                <w:bCs w:val="0"/>
                <w:color w:val="auto"/>
                <w:kern w:val="2"/>
                <w:sz w:val="21"/>
                <w:szCs w:val="21"/>
                <w:highlight w:val="none"/>
              </w:rPr>
              <w:t>（投标文件中需提供相应功能截图证明，同时提供所投设备产品说明书及设备彩页，三者缺一不可）</w:t>
            </w:r>
          </w:p>
          <w:p w14:paraId="4835117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▲4、最大支持2路激光雷达的同时接入，支持设备的分组管理，支持激光雷达的在线、离线状态管理，支持激光雷达的编辑、删除等功能；支持对在线设备实现实时点云数据的预览；</w:t>
            </w:r>
            <w:r>
              <w:rPr>
                <w:rFonts w:hint="eastAsia" w:ascii="宋体" w:hAnsi="宋体" w:eastAsia="宋体" w:cs="宋体"/>
                <w:b/>
                <w:bCs w:val="0"/>
                <w:color w:val="auto"/>
                <w:kern w:val="2"/>
                <w:sz w:val="21"/>
                <w:szCs w:val="21"/>
                <w:highlight w:val="none"/>
              </w:rPr>
              <w:t>（投标文件中需提供相应功能截图证明及V2X感知基站配置管理软件类软著，两者缺一不可）</w:t>
            </w:r>
          </w:p>
          <w:p w14:paraId="3B431B9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5、最大支持2路毫米波雷达的同时接入，支持设备的分组管理，支持毫米波雷达的在线、离线状态管理，支持毫米波雷达的编辑、删除等功能；支持对在线设备的实时画面预览；</w:t>
            </w:r>
          </w:p>
          <w:p w14:paraId="057F302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6、</w:t>
            </w:r>
            <w:r>
              <w:rPr>
                <w:rFonts w:hint="eastAsia" w:ascii="宋体" w:hAnsi="宋体" w:eastAsia="宋体" w:cs="宋体"/>
                <w:b/>
                <w:bCs w:val="0"/>
                <w:color w:val="auto"/>
                <w:kern w:val="2"/>
                <w:sz w:val="21"/>
                <w:szCs w:val="21"/>
                <w:highlight w:val="none"/>
              </w:rPr>
              <w:t>提供基站配置管理软件功能演示视频，视频内容为以下4项：</w:t>
            </w:r>
          </w:p>
          <w:p w14:paraId="0F45291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（1）算法配置：支持光视融合配置文件导入、配置导出，2路算法节点禁用、启用，ROI图像过滤；支持雷视融合配置文件导入、配置导出，2路算法节点禁用、启用，ROI图像过滤；</w:t>
            </w:r>
          </w:p>
          <w:p w14:paraId="26A017D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（2）感知融合：支持图像检测、图像融合、雷达融合、多源融合，支持融合画面预览；融合数据可基于1hz、10hz的频率在页面表格展示；</w:t>
            </w:r>
          </w:p>
          <w:p w14:paraId="02C8650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（3）系统维护：支持系统时间设置（校时模式支持NTP模式、GPS模式、手动模式）、MEC固件升级（文件上传）、MEC通信配置（支持Websocket通讯配置、UDP通讯配置）、MEC-RSU应用数据节点配置；</w:t>
            </w:r>
          </w:p>
          <w:p w14:paraId="4FE290D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（4）场景配置：支持标牌场景开启/关闭，添加标志标牌（类型、宽度、方向、长度、航向角）；支持事件场景开启/关闭，添加事件（类型、范围半径、方向）。</w:t>
            </w:r>
          </w:p>
          <w:p w14:paraId="59C11D9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（二）16线激光雷达</w:t>
            </w:r>
          </w:p>
          <w:p w14:paraId="27CE18A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1、线数：16线；</w:t>
            </w:r>
          </w:p>
          <w:p w14:paraId="7F5979B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2、水平视场角：360度；</w:t>
            </w:r>
          </w:p>
          <w:p w14:paraId="1A5D1F6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3、激光波长：905nm；</w:t>
            </w:r>
          </w:p>
          <w:p w14:paraId="56E5602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4、帧率：5Hz/10Hz/20Hz；</w:t>
            </w:r>
          </w:p>
          <w:p w14:paraId="10EDCBE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5、测距精度：±3cm（典型值）；</w:t>
            </w:r>
          </w:p>
          <w:p w14:paraId="3816662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6、水平扫描视场角：360°；</w:t>
            </w:r>
          </w:p>
          <w:p w14:paraId="34E7999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7、水平扫描分辨率：0.1°/0.2°/0.4°；</w:t>
            </w:r>
          </w:p>
          <w:p w14:paraId="2482E3B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8、垂直扫描视场角：30°（-16°～14°）；</w:t>
            </w:r>
          </w:p>
          <w:p w14:paraId="29C4D69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9、垂直扫描分辨率：2°；</w:t>
            </w:r>
          </w:p>
          <w:p w14:paraId="709D84A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10、通信接口：Ethernet；</w:t>
            </w:r>
          </w:p>
          <w:p w14:paraId="7F96B0A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11、传输方式：UDP/IP；</w:t>
            </w:r>
          </w:p>
          <w:p w14:paraId="231745D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12、输出数据：距离、水平方位角、反射率；</w:t>
            </w:r>
          </w:p>
          <w:p w14:paraId="0583ED0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13、时间来源：GPS；</w:t>
            </w:r>
          </w:p>
          <w:p w14:paraId="135FA3F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14、GPS 同步准度：≤10ns；</w:t>
            </w:r>
          </w:p>
          <w:p w14:paraId="415BE05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15、GPS 时钟漂移：≤10ns/s。</w:t>
            </w:r>
          </w:p>
          <w:p w14:paraId="7017F7A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16、工作温度：-20℃～60℃；</w:t>
            </w:r>
          </w:p>
          <w:p w14:paraId="6646C95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17、防护等级：IP67；</w:t>
            </w:r>
          </w:p>
          <w:p w14:paraId="0F48507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18、工作电压：12-32V DC （电源功率大于 20W）；</w:t>
            </w:r>
          </w:p>
          <w:p w14:paraId="45C550B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19、功耗：≤15W；</w:t>
            </w:r>
          </w:p>
          <w:p w14:paraId="2101CA7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20、尺寸：≥105.7mm×81.5mm；</w:t>
            </w:r>
          </w:p>
          <w:p w14:paraId="456728E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21、净重：≥0.91Kg。</w:t>
            </w:r>
          </w:p>
          <w:p w14:paraId="66F43FC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（三）毫米波雷达</w:t>
            </w:r>
          </w:p>
          <w:p w14:paraId="25BE998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1、天线类型：平板型微带阵列天线；</w:t>
            </w:r>
          </w:p>
          <w:p w14:paraId="5E67A9E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2、中心频率：≥80GHz；</w:t>
            </w:r>
          </w:p>
          <w:p w14:paraId="29AB595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3、发射功率：≤13dBm；</w:t>
            </w:r>
          </w:p>
          <w:p w14:paraId="3697EBC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4、通信接口：网口，可定制 RS485，继电器，TTL；</w:t>
            </w:r>
          </w:p>
          <w:p w14:paraId="504E2D3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5、时间同步：NTP网络同步；</w:t>
            </w:r>
          </w:p>
          <w:p w14:paraId="57E3B33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6、覆盖车道数：12车道(标准车道宽度，无隔离带 )；</w:t>
            </w:r>
          </w:p>
          <w:p w14:paraId="29138A2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7、探测距离：20-250米；</w:t>
            </w:r>
          </w:p>
          <w:p w14:paraId="28DF78C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8、测速范围：-200km/h～+200km/h；</w:t>
            </w:r>
          </w:p>
          <w:p w14:paraId="4FB0097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9、天线水平角度：远程：不小于24°，近程：不小于120°；</w:t>
            </w:r>
          </w:p>
          <w:p w14:paraId="37ED403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10、天线俯仰角度：远程：不小于10°，近程：不小于22°；</w:t>
            </w:r>
          </w:p>
          <w:p w14:paraId="63970FF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11、角度分辨率：近程 4°@0°，远程 1.6°@0°；</w:t>
            </w:r>
          </w:p>
          <w:p w14:paraId="5566D3F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12、测角精度：近程 0.2°，远程 0.13°；</w:t>
            </w:r>
          </w:p>
          <w:p w14:paraId="2982DF7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13、速度分辨率：0.4km/h；</w:t>
            </w:r>
          </w:p>
          <w:p w14:paraId="0601057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14、测速精度：：0.1km/h；</w:t>
            </w:r>
          </w:p>
          <w:p w14:paraId="61E8077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15、距离分辨率：近程0.4m，远程1.4m；</w:t>
            </w:r>
          </w:p>
          <w:p w14:paraId="47F1FC2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16、测距精度：近程0.1m，远程0.35m；</w:t>
            </w:r>
          </w:p>
          <w:p w14:paraId="49D641C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17、车辆轨迹捕获准确率：≥95%；</w:t>
            </w:r>
          </w:p>
          <w:p w14:paraId="010C265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18、车辆轨迹连续准确率：≥95%；</w:t>
            </w:r>
          </w:p>
          <w:p w14:paraId="4DAE290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19、跟踪目标个数：最大256；</w:t>
            </w:r>
          </w:p>
          <w:p w14:paraId="1D982CE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20、雷达尺寸：≥240×195×58mm；</w:t>
            </w:r>
          </w:p>
          <w:p w14:paraId="68C0A5C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21、电源：(10-24)V DC；</w:t>
            </w:r>
          </w:p>
          <w:p w14:paraId="7D4BCA9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22、额定功率：5W；</w:t>
            </w:r>
          </w:p>
          <w:p w14:paraId="0519BBB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23、工作温度范围：-40°C～+70°C；</w:t>
            </w:r>
          </w:p>
          <w:p w14:paraId="5A99939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24、工作湿度范围：5%RH-100%RH；</w:t>
            </w:r>
          </w:p>
          <w:p w14:paraId="24ECE6F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25、防护等级：IP67。</w:t>
            </w:r>
          </w:p>
          <w:p w14:paraId="569C73C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（四）变焦全彩摄像机</w:t>
            </w:r>
          </w:p>
          <w:p w14:paraId="5A7CF16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1、最大分辨率：≥1920*1080@25fps（50Hz）；</w:t>
            </w:r>
          </w:p>
          <w:p w14:paraId="33E8F7B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2、支持120dB宽动态、3D降噪、畸变矫正功能；</w:t>
            </w:r>
          </w:p>
          <w:p w14:paraId="6FB2D62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3、主码流帧率分辨率：50 Hz，25 fps（1920 × 1080，1280 × 960，1280 × 720）、60 Hz，30 fps（1920 × 1080，1280 × 960，1280 × 720）；</w:t>
            </w:r>
          </w:p>
          <w:p w14:paraId="3679DCD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4、子码流帧率分辨率：50 Hz，25 fps（704 × 576，640 × 480）、60 Hz，30 fps（704 × 480，640 × 480）；</w:t>
            </w:r>
          </w:p>
          <w:p w14:paraId="7F6FF7F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5、第三码流帧率分辨率：50 Hz，25 fps（1920 × 1080，1280 × 720，704 × 576，640 × 480）、60 Hz：30 fps（1920 × 1080，1280 × 720，704 × 480，640 × 480）；</w:t>
            </w:r>
          </w:p>
          <w:p w14:paraId="39BFF40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6、视频压缩码率：32 Kbps~16 Mbps；</w:t>
            </w:r>
          </w:p>
          <w:p w14:paraId="0ECB882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7、视频压缩标准：H.265/H.264/MJPEG。</w:t>
            </w:r>
          </w:p>
          <w:p w14:paraId="6FAC2CC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（五）边缘计算机MEC（配置包含或优于以下参数）</w:t>
            </w:r>
          </w:p>
          <w:p w14:paraId="059F091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 xml:space="preserve">1、CPU：不低于8-core ARM v8.2 64-bit； </w:t>
            </w:r>
          </w:p>
          <w:p w14:paraId="0300D58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2、GPU：不低于512-core Volta；</w:t>
            </w:r>
          </w:p>
          <w:p w14:paraId="7AC3F07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 xml:space="preserve">3、算力：≥32TOPS；  </w:t>
            </w:r>
          </w:p>
          <w:p w14:paraId="4F13E63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 xml:space="preserve">4、内存：≥32GB 256-bit LPDDR4x 136.5GB/s； </w:t>
            </w:r>
          </w:p>
          <w:p w14:paraId="6F4477E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 xml:space="preserve">5、存储：≥500GB SSD； </w:t>
            </w:r>
          </w:p>
          <w:p w14:paraId="1F11A28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6、接口：不少于4个独立千兆网口，1个HDMI，2个USB 3.1，2个USB 2.0，2个RS232，2个RS485，1个4G天线，1×GPS天线；</w:t>
            </w:r>
          </w:p>
          <w:p w14:paraId="0CDDD6C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 xml:space="preserve">7、支持GPS定位； </w:t>
            </w:r>
          </w:p>
          <w:p w14:paraId="1818E10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8、支持4G；</w:t>
            </w:r>
          </w:p>
          <w:p w14:paraId="7B0290A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9、支持硬件加密；</w:t>
            </w:r>
          </w:p>
          <w:p w14:paraId="5469807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 xml:space="preserve">10、供电电压：DC 24-48V； </w:t>
            </w:r>
          </w:p>
          <w:p w14:paraId="559E553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 xml:space="preserve">11、最大功率：≤50W； </w:t>
            </w:r>
          </w:p>
          <w:p w14:paraId="7F18A78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▲12、湿度：10%-95%；</w:t>
            </w:r>
          </w:p>
          <w:p w14:paraId="7B1B008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 xml:space="preserve">13、振动：正弦振动，1.5G,5Hz~500Hz,3 Axis，振动时间：8h/轴； </w:t>
            </w:r>
          </w:p>
          <w:p w14:paraId="2A78DEB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▲14、防护等级：不低于IP54；</w:t>
            </w:r>
          </w:p>
          <w:p w14:paraId="1C7482D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▲15、浪涌：不低于6KV。</w:t>
            </w:r>
          </w:p>
          <w:p w14:paraId="0109443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
                <w:bCs w:val="0"/>
                <w:color w:val="auto"/>
                <w:kern w:val="2"/>
                <w:sz w:val="21"/>
                <w:szCs w:val="21"/>
                <w:highlight w:val="none"/>
              </w:rPr>
              <w:t>（投标文件中提供检测机构出具的检验报告验证▲1</w:t>
            </w:r>
            <w:r>
              <w:rPr>
                <w:rFonts w:hint="eastAsia" w:ascii="宋体" w:hAnsi="宋体" w:eastAsia="宋体" w:cs="宋体"/>
                <w:b/>
                <w:bCs w:val="0"/>
                <w:color w:val="auto"/>
                <w:kern w:val="2"/>
                <w:sz w:val="21"/>
                <w:szCs w:val="21"/>
                <w:highlight w:val="none"/>
                <w:lang w:val="en-US" w:eastAsia="zh-CN"/>
              </w:rPr>
              <w:t>2</w:t>
            </w:r>
            <w:r>
              <w:rPr>
                <w:rFonts w:hint="eastAsia" w:ascii="宋体" w:hAnsi="宋体" w:eastAsia="宋体" w:cs="宋体"/>
                <w:b/>
                <w:bCs w:val="0"/>
                <w:color w:val="auto"/>
                <w:kern w:val="2"/>
                <w:sz w:val="21"/>
                <w:szCs w:val="21"/>
                <w:highlight w:val="none"/>
              </w:rPr>
              <w:t>、1</w:t>
            </w:r>
            <w:r>
              <w:rPr>
                <w:rFonts w:hint="eastAsia" w:ascii="宋体" w:hAnsi="宋体" w:eastAsia="宋体" w:cs="宋体"/>
                <w:b/>
                <w:bCs w:val="0"/>
                <w:color w:val="auto"/>
                <w:kern w:val="2"/>
                <w:sz w:val="21"/>
                <w:szCs w:val="21"/>
                <w:highlight w:val="none"/>
                <w:lang w:val="en-US" w:eastAsia="zh-CN"/>
              </w:rPr>
              <w:t>4</w:t>
            </w:r>
            <w:r>
              <w:rPr>
                <w:rFonts w:hint="eastAsia" w:ascii="宋体" w:hAnsi="宋体" w:eastAsia="宋体" w:cs="宋体"/>
                <w:b/>
                <w:bCs w:val="0"/>
                <w:color w:val="auto"/>
                <w:kern w:val="2"/>
                <w:sz w:val="21"/>
                <w:szCs w:val="21"/>
                <w:highlight w:val="none"/>
              </w:rPr>
              <w:t>、1</w:t>
            </w:r>
            <w:r>
              <w:rPr>
                <w:rFonts w:hint="eastAsia" w:ascii="宋体" w:hAnsi="宋体" w:eastAsia="宋体" w:cs="宋体"/>
                <w:b/>
                <w:bCs w:val="0"/>
                <w:color w:val="auto"/>
                <w:kern w:val="2"/>
                <w:sz w:val="21"/>
                <w:szCs w:val="21"/>
                <w:highlight w:val="none"/>
                <w:lang w:val="en-US" w:eastAsia="zh-CN"/>
              </w:rPr>
              <w:t>5</w:t>
            </w:r>
            <w:r>
              <w:rPr>
                <w:rFonts w:hint="eastAsia" w:ascii="宋体" w:hAnsi="宋体" w:eastAsia="宋体" w:cs="宋体"/>
                <w:b/>
                <w:bCs w:val="0"/>
                <w:color w:val="auto"/>
                <w:kern w:val="2"/>
                <w:sz w:val="21"/>
                <w:szCs w:val="21"/>
                <w:highlight w:val="none"/>
              </w:rPr>
              <w:t>性能参数）</w:t>
            </w:r>
          </w:p>
          <w:p w14:paraId="3155DC7A">
            <w:pPr>
              <w:keepNext w:val="0"/>
              <w:keepLines w:val="0"/>
              <w:widowControl w:val="0"/>
              <w:numPr>
                <w:ilvl w:val="0"/>
                <w:numId w:val="1"/>
              </w:numPr>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智能路侧终端</w:t>
            </w:r>
          </w:p>
          <w:p w14:paraId="34485E21">
            <w:pPr>
              <w:keepNext w:val="0"/>
              <w:keepLines w:val="0"/>
              <w:widowControl w:val="0"/>
              <w:numPr>
                <w:ilvl w:val="0"/>
                <w:numId w:val="0"/>
              </w:numPr>
              <w:suppressLineNumbers w:val="0"/>
              <w:spacing w:before="0" w:beforeAutospacing="0" w:after="0" w:afterAutospacing="0" w:line="440" w:lineRule="exact"/>
              <w:ind w:left="0" w:right="0" w:rightChars="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1、CPU：不低于4核CortexA7处理器，主频≥1GHz；</w:t>
            </w:r>
          </w:p>
          <w:p w14:paraId="14710EA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2、内存：≥1GB DDR3；</w:t>
            </w:r>
          </w:p>
          <w:p w14:paraId="3D1955D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3、闪存：≥8GB EMMC；</w:t>
            </w:r>
          </w:p>
          <w:p w14:paraId="20C9A44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4、LTE-V发射功率：23dBm±2dB；</w:t>
            </w:r>
          </w:p>
          <w:p w14:paraId="02006A1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5、LTE-V工作频段：5905MHz to 5925 MHz；</w:t>
            </w:r>
          </w:p>
          <w:p w14:paraId="09CE79F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6、PC5业务延时：＜20ms，覆盖范围大于300m；</w:t>
            </w:r>
          </w:p>
          <w:p w14:paraId="5A2D2F4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7、网络模式：支持移动蜂窝通信网络、4G、三网通；</w:t>
            </w:r>
          </w:p>
          <w:p w14:paraId="3C6DBAB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8、WiFi：支持IEEE 802.11b/g/n协议，频段：2.400G-2.483GHz，支持Station和AP模式切换；</w:t>
            </w:r>
          </w:p>
          <w:p w14:paraId="64470E3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9、通信接口：≥1路RJ45网络通信接口（LAN#10/100Mbps）；</w:t>
            </w:r>
          </w:p>
          <w:p w14:paraId="2D42962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10、定位：支持GPS、Beidou、GLONASS，频率10Hz；</w:t>
            </w:r>
          </w:p>
          <w:p w14:paraId="0BE55BA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11、防护等级：</w:t>
            </w:r>
            <w:r>
              <w:rPr>
                <w:rFonts w:hint="eastAsia" w:ascii="宋体" w:hAnsi="宋体" w:eastAsia="宋体" w:cs="宋体"/>
                <w:bCs/>
                <w:color w:val="auto"/>
                <w:kern w:val="2"/>
                <w:sz w:val="21"/>
                <w:szCs w:val="21"/>
                <w:highlight w:val="none"/>
                <w:lang w:val="en-US" w:eastAsia="zh-CN"/>
              </w:rPr>
              <w:t>不低于</w:t>
            </w:r>
            <w:r>
              <w:rPr>
                <w:rFonts w:hint="eastAsia" w:ascii="宋体" w:hAnsi="宋体" w:eastAsia="宋体" w:cs="宋体"/>
                <w:bCs/>
                <w:color w:val="auto"/>
                <w:kern w:val="2"/>
                <w:sz w:val="21"/>
                <w:szCs w:val="21"/>
                <w:highlight w:val="none"/>
              </w:rPr>
              <w:t>IP67。</w:t>
            </w:r>
          </w:p>
          <w:p w14:paraId="07DB37A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（七）无线路由器</w:t>
            </w:r>
          </w:p>
          <w:p w14:paraId="2F98CE0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1、尺寸：≤219mmx138mmx25.6mm（不含支架）；</w:t>
            </w:r>
          </w:p>
          <w:p w14:paraId="6DC6168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2、4G速率：300Mbps(DL)/100MbpS(UL)；</w:t>
            </w:r>
          </w:p>
          <w:p w14:paraId="18438FF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3、Wi-Fi速率：Wi-Fi 5,2.4GHz &amp; 5GHz,1267Mbps；</w:t>
            </w:r>
          </w:p>
          <w:p w14:paraId="2A51A89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4、SIM卡接口：</w:t>
            </w:r>
            <w:r>
              <w:rPr>
                <w:rFonts w:hint="eastAsia" w:ascii="宋体" w:hAnsi="宋体" w:eastAsia="宋体" w:cs="宋体"/>
                <w:bCs/>
                <w:color w:val="auto"/>
                <w:kern w:val="2"/>
                <w:sz w:val="21"/>
                <w:szCs w:val="21"/>
                <w:highlight w:val="none"/>
                <w:lang w:val="en-US" w:eastAsia="zh-CN"/>
              </w:rPr>
              <w:t>支持包含</w:t>
            </w:r>
            <w:r>
              <w:rPr>
                <w:rFonts w:hint="eastAsia" w:ascii="宋体" w:hAnsi="宋体" w:eastAsia="宋体" w:cs="宋体"/>
                <w:bCs/>
                <w:color w:val="auto"/>
                <w:kern w:val="2"/>
                <w:sz w:val="21"/>
                <w:szCs w:val="21"/>
                <w:highlight w:val="none"/>
              </w:rPr>
              <w:t>Nano-SlM卡接口；</w:t>
            </w:r>
          </w:p>
          <w:p w14:paraId="6E513C4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5、有线网口：不少于1个千兆WAN/LAN自适应网口，3个干兆LAN网口；</w:t>
            </w:r>
          </w:p>
          <w:p w14:paraId="4A6ADC4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6、最大连接数64个。</w:t>
            </w:r>
          </w:p>
          <w:p w14:paraId="677B648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（八）管理型POE交换机</w:t>
            </w:r>
          </w:p>
          <w:p w14:paraId="6E264C9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1、管理型工业级POE交换机，16个RJ45端口+2个光纤接口，10/100/1000M自动侦测，全/半双工 MDI/MDI-X自适应，IEEE802.3af/IEEE802.3at；</w:t>
            </w:r>
          </w:p>
          <w:p w14:paraId="79EE6F9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2、PoE端口：1-16口，支持PoE；</w:t>
            </w:r>
          </w:p>
          <w:p w14:paraId="037538B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3、输出功率：最大功率15.4W (IEEE 802.3af)，最大功率：30W (IEEE 802.3at)；</w:t>
            </w:r>
          </w:p>
          <w:p w14:paraId="50D9AA7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4、POE端口自动识别 af/at；</w:t>
            </w:r>
          </w:p>
          <w:p w14:paraId="0ED545D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5、相对湿度：5%～95%(无凝露)。</w:t>
            </w:r>
          </w:p>
          <w:p w14:paraId="2B69775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（九）移动电池</w:t>
            </w:r>
          </w:p>
          <w:p w14:paraId="6BB484C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1、电池容量：≥1264Wh；</w:t>
            </w:r>
          </w:p>
          <w:p w14:paraId="4694AFB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2、电芯类型：磷酸铁锂电芯；</w:t>
            </w:r>
          </w:p>
          <w:p w14:paraId="70D954C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3、充电（支持快充）：约1.7小时；</w:t>
            </w:r>
          </w:p>
          <w:p w14:paraId="3B15C05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4、AC交流输出：≥2000W；</w:t>
            </w:r>
          </w:p>
          <w:p w14:paraId="1095057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5、车充输出：≥12V10A/120W；</w:t>
            </w:r>
          </w:p>
          <w:p w14:paraId="6E56C59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6、循环寿命：4000次循环(≥70%)；</w:t>
            </w:r>
          </w:p>
          <w:p w14:paraId="0D525D6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7、工作温度：-10℃-45℃；</w:t>
            </w:r>
          </w:p>
          <w:p w14:paraId="058A857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8、尺寸：约356×260×283mm；</w:t>
            </w:r>
          </w:p>
          <w:p w14:paraId="33A6C28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9、重量：约14.5kg。</w:t>
            </w:r>
          </w:p>
          <w:p w14:paraId="3219098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（十）信号灯</w:t>
            </w:r>
          </w:p>
          <w:p w14:paraId="6DCC72A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1、集左转箭头灯、圆盘灯、倒计时等三合一功能灯盘，每个灯盘尺寸规格为ф200mm，灯盘为低压DC 12V供电；</w:t>
            </w:r>
          </w:p>
          <w:p w14:paraId="0AA3C7E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2、尺寸：高750mm*宽250mm*厚120mm；</w:t>
            </w:r>
          </w:p>
          <w:p w14:paraId="4C8BFBF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3、电气参数：平均功耗≤10W；</w:t>
            </w:r>
          </w:p>
          <w:p w14:paraId="112B989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4、光源性能：发光强度≥400cd，可视距离≥500m，可视角度≥300；</w:t>
            </w:r>
          </w:p>
          <w:p w14:paraId="7B46CCE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5、外壳防护等级：不低于IP53。</w:t>
            </w:r>
          </w:p>
          <w:p w14:paraId="4C0A358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（十一）信号机</w:t>
            </w:r>
          </w:p>
          <w:p w14:paraId="3CD5294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1、信号机：支持GB/T20999-2017、GB 25280-2016等协议；</w:t>
            </w:r>
          </w:p>
          <w:p w14:paraId="0D27CC3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2、设备输出接口：支持RS-485、RS-232等接口方式；</w:t>
            </w:r>
          </w:p>
          <w:p w14:paraId="06D34C9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3、输入电压：AC 220V；</w:t>
            </w:r>
          </w:p>
          <w:p w14:paraId="07354E4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4、输出电压：DC 12V；</w:t>
            </w:r>
          </w:p>
          <w:p w14:paraId="3136C0D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5、外形尺寸：≤225*260*215mm；</w:t>
            </w:r>
          </w:p>
          <w:p w14:paraId="04D86DA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6、支持外接PDA触摸屏和上位机软件进行相位配置。</w:t>
            </w:r>
          </w:p>
          <w:p w14:paraId="6A6017E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（十二）一体化感知基站集成服务（含结构件）</w:t>
            </w:r>
          </w:p>
          <w:p w14:paraId="19FB523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▲1、主体结构件：Q235金属材质，满足盐雾霉菌试验，结构满足集成安装要求；</w:t>
            </w:r>
            <w:r>
              <w:rPr>
                <w:rFonts w:hint="eastAsia" w:ascii="宋体" w:hAnsi="宋体" w:eastAsia="宋体" w:cs="宋体"/>
                <w:b/>
                <w:bCs w:val="0"/>
                <w:color w:val="auto"/>
                <w:kern w:val="2"/>
                <w:sz w:val="21"/>
                <w:szCs w:val="21"/>
                <w:highlight w:val="none"/>
              </w:rPr>
              <w:t>（投标文件中提供第三方出具的产品主体结构件盐雾试验报告）</w:t>
            </w:r>
          </w:p>
          <w:p w14:paraId="4EDFC6E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2、尺寸：最大高度2100mm±100mm；</w:t>
            </w:r>
          </w:p>
          <w:p w14:paraId="7C65EC6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3、箱体尺寸：≥700×600×425mm；</w:t>
            </w:r>
          </w:p>
          <w:p w14:paraId="23325C2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4、总重量：150kg±10kg；</w:t>
            </w:r>
          </w:p>
          <w:p w14:paraId="5CECF86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5、定滑轮、带扶手、外观喷漆（银灰色）；</w:t>
            </w:r>
          </w:p>
          <w:p w14:paraId="66D6A29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6、整体的成套和接线，含成套所需的辅料：如风扇、插排、适配器、开关电源、轧带、号码管、线槽、螺丝等辅材。</w:t>
            </w:r>
          </w:p>
          <w:p w14:paraId="46FC199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（十三）工具箱</w:t>
            </w:r>
          </w:p>
          <w:p w14:paraId="11C961D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1、内六角扳手*1套；</w:t>
            </w:r>
          </w:p>
          <w:p w14:paraId="79427A3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2、内六角套筒*1把；</w:t>
            </w:r>
          </w:p>
          <w:p w14:paraId="344E04A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3、十字螺丝刀*1把，一字螺丝刀*1把；</w:t>
            </w:r>
          </w:p>
          <w:p w14:paraId="6395137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3、2米调试网线*1根；</w:t>
            </w:r>
          </w:p>
          <w:p w14:paraId="653FC40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4、斜口钳*1把；</w:t>
            </w:r>
          </w:p>
          <w:p w14:paraId="5F3B292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5、电工胶带*1卷。</w:t>
            </w:r>
          </w:p>
        </w:tc>
        <w:tc>
          <w:tcPr>
            <w:tcW w:w="1080" w:type="dxa"/>
            <w:tcBorders>
              <w:top w:val="single" w:color="auto" w:sz="4" w:space="0"/>
              <w:left w:val="nil"/>
              <w:bottom w:val="single" w:color="auto" w:sz="4" w:space="0"/>
              <w:right w:val="single" w:color="auto" w:sz="4" w:space="0"/>
            </w:tcBorders>
            <w:noWrap w:val="0"/>
            <w:vAlign w:val="center"/>
          </w:tcPr>
          <w:p w14:paraId="4759125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2套</w:t>
            </w:r>
          </w:p>
        </w:tc>
        <w:tc>
          <w:tcPr>
            <w:tcW w:w="854" w:type="dxa"/>
            <w:tcBorders>
              <w:top w:val="single" w:color="auto" w:sz="4" w:space="0"/>
              <w:left w:val="nil"/>
              <w:bottom w:val="single" w:color="auto" w:sz="4" w:space="0"/>
              <w:right w:val="single" w:color="auto" w:sz="4" w:space="0"/>
            </w:tcBorders>
            <w:noWrap w:val="0"/>
            <w:vAlign w:val="center"/>
          </w:tcPr>
          <w:p w14:paraId="27F6C1D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214" w:type="dxa"/>
            <w:tcBorders>
              <w:top w:val="single" w:color="auto" w:sz="4" w:space="0"/>
              <w:left w:val="nil"/>
              <w:bottom w:val="single" w:color="auto" w:sz="4" w:space="0"/>
              <w:right w:val="single" w:color="auto" w:sz="4" w:space="0"/>
            </w:tcBorders>
            <w:noWrap w:val="0"/>
            <w:vAlign w:val="center"/>
          </w:tcPr>
          <w:p w14:paraId="6ED739D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是</w:t>
            </w:r>
          </w:p>
        </w:tc>
        <w:tc>
          <w:tcPr>
            <w:tcW w:w="1007" w:type="dxa"/>
            <w:tcBorders>
              <w:top w:val="single" w:color="auto" w:sz="4" w:space="0"/>
              <w:left w:val="nil"/>
              <w:bottom w:val="single" w:color="auto" w:sz="4" w:space="0"/>
              <w:right w:val="single" w:color="auto" w:sz="4" w:space="0"/>
            </w:tcBorders>
            <w:noWrap w:val="0"/>
            <w:vAlign w:val="center"/>
          </w:tcPr>
          <w:p w14:paraId="6E7AB514">
            <w:pPr>
              <w:keepNext w:val="0"/>
              <w:keepLines w:val="0"/>
              <w:widowControl w:val="0"/>
              <w:suppressLineNumbers w:val="0"/>
              <w:spacing w:before="0" w:beforeAutospacing="0" w:after="0" w:afterAutospacing="0"/>
              <w:ind w:left="0" w:right="0"/>
              <w:jc w:val="center"/>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rPr>
              <w:t>380000</w:t>
            </w:r>
            <w:r>
              <w:rPr>
                <w:rFonts w:hint="eastAsia" w:ascii="宋体" w:hAnsi="宋体" w:eastAsia="宋体" w:cs="宋体"/>
                <w:bCs/>
                <w:color w:val="auto"/>
                <w:kern w:val="2"/>
                <w:sz w:val="21"/>
                <w:szCs w:val="21"/>
                <w:highlight w:val="none"/>
                <w:lang w:val="en-US" w:eastAsia="zh-CN"/>
              </w:rPr>
              <w:t>元/套</w:t>
            </w:r>
          </w:p>
        </w:tc>
      </w:tr>
      <w:tr w14:paraId="2427A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14:paraId="1208BC3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w:t>
            </w:r>
          </w:p>
        </w:tc>
        <w:tc>
          <w:tcPr>
            <w:tcW w:w="1072" w:type="dxa"/>
            <w:tcBorders>
              <w:top w:val="single" w:color="auto" w:sz="4" w:space="0"/>
              <w:left w:val="nil"/>
              <w:bottom w:val="single" w:color="auto" w:sz="4" w:space="0"/>
              <w:right w:val="single" w:color="auto" w:sz="4" w:space="0"/>
            </w:tcBorders>
            <w:noWrap w:val="0"/>
            <w:vAlign w:val="center"/>
          </w:tcPr>
          <w:p w14:paraId="7395B4D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一体化感知基站教学工具包</w:t>
            </w:r>
          </w:p>
        </w:tc>
        <w:tc>
          <w:tcPr>
            <w:tcW w:w="3923" w:type="dxa"/>
            <w:tcBorders>
              <w:top w:val="single" w:color="auto" w:sz="4" w:space="0"/>
              <w:left w:val="nil"/>
              <w:bottom w:val="single" w:color="auto" w:sz="4" w:space="0"/>
              <w:right w:val="single" w:color="auto" w:sz="4" w:space="0"/>
            </w:tcBorders>
            <w:noWrap w:val="0"/>
            <w:vAlign w:val="center"/>
          </w:tcPr>
          <w:p w14:paraId="59F0BA0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一、产品简介</w:t>
            </w:r>
          </w:p>
          <w:p w14:paraId="0A6B951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教学工具包含高精度RTK设备1台（含3年高精度账号免费使用服务）、施工锥桶2个、雷达反射器1个、校园限速标志牌（含立杆）1套，可搭配一体化感知基站使用，支撑实训教学活动。</w:t>
            </w:r>
          </w:p>
          <w:p w14:paraId="264D7B4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二、技术参数</w:t>
            </w:r>
          </w:p>
          <w:p w14:paraId="775C37A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（一）RTK设备</w:t>
            </w:r>
          </w:p>
          <w:p w14:paraId="3FFB104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1、卫星系统：BDS/GPS/GLONASS/GALILEO/QZSS/SBAS；</w:t>
            </w:r>
          </w:p>
          <w:p w14:paraId="023E432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2、静态精度：</w:t>
            </w:r>
          </w:p>
          <w:p w14:paraId="00C8498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1）水平:±(2.5+0.5x10-6D)mm；</w:t>
            </w:r>
          </w:p>
          <w:p w14:paraId="438338A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2）垂直:±(5+0.5x10-6D)mm；</w:t>
            </w:r>
          </w:p>
          <w:p w14:paraId="183C088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3、RTK精度</w:t>
            </w:r>
          </w:p>
          <w:p w14:paraId="22537A8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1）水平:±(8+1x10-6D)mm；</w:t>
            </w:r>
          </w:p>
          <w:p w14:paraId="7CFC50D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2）垂直:±(15+1x10-6D)mm；</w:t>
            </w:r>
          </w:p>
          <w:p w14:paraId="5DFCDD4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4、倾斜角度：0-60°；</w:t>
            </w:r>
          </w:p>
          <w:p w14:paraId="2B29A6E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5、倾斜补偿精度：8mm+0.3mm/°tilt ( 30°内精度&lt;2cm)；</w:t>
            </w:r>
          </w:p>
          <w:p w14:paraId="3BA7677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6、惯导更新率：200Hz；</w:t>
            </w:r>
          </w:p>
          <w:p w14:paraId="32D08E0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7、特色功能：对中杆高度自动计算、对中杆倾斜误差校准；</w:t>
            </w:r>
          </w:p>
          <w:p w14:paraId="4CD4634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8、按键：开/关机键；</w:t>
            </w:r>
          </w:p>
          <w:p w14:paraId="2389EDC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9、指示灯：卫星灯、电源灯、信号灯；</w:t>
            </w:r>
          </w:p>
          <w:p w14:paraId="230399E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10、语音：支持语音播报、手簿语音控制；</w:t>
            </w:r>
          </w:p>
          <w:p w14:paraId="2D7F77A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11、Web UI：支持PC、手机网页；</w:t>
            </w:r>
          </w:p>
          <w:p w14:paraId="52B3AF2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12、蓝牙/Wi-Fi：支持；</w:t>
            </w:r>
          </w:p>
          <w:p w14:paraId="3E35E8F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13、网络：4G全网通网络模组，内置运营商eSIM卡</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lang w:val="en-US" w:eastAsia="zh-CN"/>
              </w:rPr>
              <w:t>质保期内由供应商承担网络流量费用）</w:t>
            </w:r>
            <w:r>
              <w:rPr>
                <w:rFonts w:hint="eastAsia" w:ascii="宋体" w:hAnsi="宋体" w:eastAsia="宋体" w:cs="宋体"/>
                <w:bCs/>
                <w:color w:val="auto"/>
                <w:kern w:val="2"/>
                <w:sz w:val="21"/>
                <w:szCs w:val="21"/>
                <w:highlight w:val="none"/>
              </w:rPr>
              <w:t>；</w:t>
            </w:r>
          </w:p>
          <w:p w14:paraId="78EF59B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14、电台模式：内置接收电台；</w:t>
            </w:r>
          </w:p>
          <w:p w14:paraId="7E62B0D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15、电台频段：450MHz 460MHz；</w:t>
            </w:r>
          </w:p>
          <w:p w14:paraId="55DE127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16、尺寸：</w:t>
            </w:r>
            <w:r>
              <w:rPr>
                <w:rFonts w:hint="default" w:ascii="Arial" w:hAnsi="Arial" w:eastAsia="宋体" w:cs="Arial"/>
                <w:bCs/>
                <w:color w:val="auto"/>
                <w:kern w:val="2"/>
                <w:sz w:val="21"/>
                <w:szCs w:val="21"/>
                <w:highlight w:val="none"/>
              </w:rPr>
              <w:t>≥</w:t>
            </w:r>
            <w:r>
              <w:rPr>
                <w:rFonts w:hint="eastAsia" w:ascii="宋体" w:hAnsi="宋体" w:eastAsia="宋体" w:cs="宋体"/>
                <w:bCs/>
                <w:color w:val="auto"/>
                <w:kern w:val="2"/>
                <w:sz w:val="21"/>
                <w:szCs w:val="21"/>
                <w:highlight w:val="none"/>
              </w:rPr>
              <w:t>ф131mmx60mm；</w:t>
            </w:r>
          </w:p>
          <w:p w14:paraId="25CC728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17、材料：镁铝合金；</w:t>
            </w:r>
          </w:p>
          <w:p w14:paraId="219FDD2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18、重量：</w:t>
            </w:r>
            <w:r>
              <w:rPr>
                <w:rFonts w:hint="default" w:ascii="Arial" w:hAnsi="Arial" w:eastAsia="宋体" w:cs="Arial"/>
                <w:bCs/>
                <w:color w:val="auto"/>
                <w:kern w:val="2"/>
                <w:sz w:val="21"/>
                <w:szCs w:val="21"/>
                <w:highlight w:val="none"/>
              </w:rPr>
              <w:t>≤</w:t>
            </w:r>
            <w:r>
              <w:rPr>
                <w:rFonts w:hint="eastAsia" w:ascii="宋体" w:hAnsi="宋体" w:eastAsia="宋体" w:cs="宋体"/>
                <w:bCs/>
                <w:color w:val="auto"/>
                <w:kern w:val="2"/>
                <w:sz w:val="21"/>
                <w:szCs w:val="21"/>
                <w:highlight w:val="none"/>
              </w:rPr>
              <w:t>785g；</w:t>
            </w:r>
          </w:p>
          <w:p w14:paraId="4F5D21E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19、端口：不少于1个Type-C接口(供电和数据传输)；</w:t>
            </w:r>
          </w:p>
          <w:p w14:paraId="0F06CB8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20、电池：6800mAh；</w:t>
            </w:r>
          </w:p>
          <w:p w14:paraId="6BC8519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21、续航时间：</w:t>
            </w:r>
            <w:r>
              <w:rPr>
                <w:rFonts w:hint="default" w:ascii="Arial" w:hAnsi="Arial" w:eastAsia="宋体" w:cs="Arial"/>
                <w:bCs/>
                <w:color w:val="auto"/>
                <w:kern w:val="2"/>
                <w:sz w:val="21"/>
                <w:szCs w:val="21"/>
                <w:highlight w:val="none"/>
              </w:rPr>
              <w:t>≥</w:t>
            </w:r>
            <w:r>
              <w:rPr>
                <w:rFonts w:hint="eastAsia" w:ascii="宋体" w:hAnsi="宋体" w:eastAsia="宋体" w:cs="宋体"/>
                <w:bCs/>
                <w:color w:val="auto"/>
                <w:kern w:val="2"/>
                <w:sz w:val="21"/>
                <w:szCs w:val="21"/>
                <w:highlight w:val="none"/>
              </w:rPr>
              <w:t>13小时；</w:t>
            </w:r>
          </w:p>
          <w:p w14:paraId="30D12DB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22、外接电源：(5-20)V DC</w:t>
            </w:r>
          </w:p>
          <w:p w14:paraId="23062B6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23、工作温度：-40℃~+70℃</w:t>
            </w:r>
          </w:p>
          <w:p w14:paraId="480D4D8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24、存储温度：-55℃~+85℃</w:t>
            </w:r>
          </w:p>
          <w:p w14:paraId="5AACE04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25、防尘防水：</w:t>
            </w:r>
            <w:r>
              <w:rPr>
                <w:rFonts w:hint="eastAsia" w:ascii="宋体" w:hAnsi="宋体" w:eastAsia="宋体" w:cs="宋体"/>
                <w:bCs/>
                <w:color w:val="auto"/>
                <w:kern w:val="2"/>
                <w:sz w:val="21"/>
                <w:szCs w:val="21"/>
                <w:highlight w:val="none"/>
                <w:lang w:val="en-US" w:eastAsia="zh-CN"/>
              </w:rPr>
              <w:t>不低于</w:t>
            </w:r>
            <w:r>
              <w:rPr>
                <w:rFonts w:hint="eastAsia" w:ascii="宋体" w:hAnsi="宋体" w:eastAsia="宋体" w:cs="宋体"/>
                <w:bCs/>
                <w:color w:val="auto"/>
                <w:kern w:val="2"/>
                <w:sz w:val="21"/>
                <w:szCs w:val="21"/>
                <w:highlight w:val="none"/>
              </w:rPr>
              <w:t>IP68；</w:t>
            </w:r>
          </w:p>
          <w:p w14:paraId="593A85C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26、防摔：抗2米跌落；</w:t>
            </w:r>
          </w:p>
          <w:p w14:paraId="6CD0401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27、手簿：</w:t>
            </w:r>
          </w:p>
          <w:p w14:paraId="500EB25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1）操作系统：</w:t>
            </w:r>
            <w:r>
              <w:rPr>
                <w:rFonts w:hint="eastAsia" w:ascii="宋体" w:hAnsi="宋体" w:eastAsia="宋体" w:cs="宋体"/>
                <w:bCs/>
                <w:color w:val="auto"/>
                <w:kern w:val="2"/>
                <w:sz w:val="21"/>
                <w:szCs w:val="21"/>
                <w:highlight w:val="none"/>
                <w:lang w:val="en-US" w:eastAsia="zh-CN"/>
              </w:rPr>
              <w:t>不低于</w:t>
            </w:r>
            <w:r>
              <w:rPr>
                <w:rFonts w:hint="eastAsia" w:ascii="宋体" w:hAnsi="宋体" w:eastAsia="宋体" w:cs="宋体"/>
                <w:bCs/>
                <w:color w:val="auto"/>
                <w:kern w:val="2"/>
                <w:sz w:val="21"/>
                <w:szCs w:val="21"/>
                <w:highlight w:val="none"/>
              </w:rPr>
              <w:t>Android 12</w:t>
            </w:r>
            <w:r>
              <w:rPr>
                <w:rFonts w:hint="eastAsia" w:ascii="宋体" w:hAnsi="宋体" w:eastAsia="宋体" w:cs="宋体"/>
                <w:bCs/>
                <w:color w:val="auto"/>
                <w:kern w:val="2"/>
                <w:sz w:val="21"/>
                <w:szCs w:val="21"/>
                <w:highlight w:val="none"/>
                <w:lang w:val="en-US" w:eastAsia="zh-CN"/>
              </w:rPr>
              <w:t>等</w:t>
            </w:r>
            <w:r>
              <w:rPr>
                <w:rFonts w:hint="eastAsia" w:ascii="宋体" w:hAnsi="宋体" w:eastAsia="宋体" w:cs="宋体"/>
                <w:bCs/>
                <w:color w:val="auto"/>
                <w:kern w:val="2"/>
                <w:sz w:val="21"/>
                <w:szCs w:val="21"/>
                <w:highlight w:val="none"/>
              </w:rPr>
              <w:t>；</w:t>
            </w:r>
          </w:p>
          <w:p w14:paraId="43FC340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2）内存：</w:t>
            </w:r>
            <w:r>
              <w:rPr>
                <w:rFonts w:hint="default" w:ascii="Arial" w:hAnsi="Arial" w:eastAsia="宋体" w:cs="Arial"/>
                <w:bCs/>
                <w:color w:val="auto"/>
                <w:kern w:val="2"/>
                <w:sz w:val="21"/>
                <w:szCs w:val="21"/>
                <w:highlight w:val="none"/>
              </w:rPr>
              <w:t>≥</w:t>
            </w:r>
            <w:r>
              <w:rPr>
                <w:rFonts w:hint="eastAsia" w:ascii="宋体" w:hAnsi="宋体" w:eastAsia="宋体" w:cs="宋体"/>
                <w:bCs/>
                <w:color w:val="auto"/>
                <w:kern w:val="2"/>
                <w:sz w:val="21"/>
                <w:szCs w:val="21"/>
                <w:highlight w:val="none"/>
              </w:rPr>
              <w:t>4G RAM；</w:t>
            </w:r>
          </w:p>
          <w:p w14:paraId="54CBE20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3）网络：</w:t>
            </w:r>
            <w:r>
              <w:rPr>
                <w:rFonts w:hint="eastAsia" w:ascii="宋体" w:hAnsi="宋体" w:eastAsia="宋体" w:cs="宋体"/>
                <w:bCs/>
                <w:color w:val="auto"/>
                <w:kern w:val="2"/>
                <w:sz w:val="21"/>
                <w:szCs w:val="21"/>
                <w:highlight w:val="none"/>
                <w:lang w:val="en-US" w:eastAsia="zh-CN"/>
              </w:rPr>
              <w:t>支持包含</w:t>
            </w:r>
            <w:r>
              <w:rPr>
                <w:rFonts w:hint="eastAsia" w:ascii="宋体" w:hAnsi="宋体" w:eastAsia="宋体" w:cs="宋体"/>
                <w:bCs/>
                <w:color w:val="auto"/>
                <w:kern w:val="2"/>
                <w:sz w:val="21"/>
                <w:szCs w:val="21"/>
                <w:highlight w:val="none"/>
              </w:rPr>
              <w:t>4G 全网通；</w:t>
            </w:r>
          </w:p>
          <w:p w14:paraId="6A822F4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4）尺寸：</w:t>
            </w:r>
            <w:r>
              <w:rPr>
                <w:rFonts w:hint="default" w:ascii="Arial" w:hAnsi="Arial" w:eastAsia="宋体" w:cs="Arial"/>
                <w:bCs/>
                <w:color w:val="auto"/>
                <w:kern w:val="2"/>
                <w:sz w:val="21"/>
                <w:szCs w:val="21"/>
                <w:highlight w:val="none"/>
              </w:rPr>
              <w:t>≥</w:t>
            </w:r>
            <w:r>
              <w:rPr>
                <w:rFonts w:hint="eastAsia" w:ascii="宋体" w:hAnsi="宋体" w:eastAsia="宋体" w:cs="宋体"/>
                <w:bCs/>
                <w:color w:val="auto"/>
                <w:kern w:val="2"/>
                <w:sz w:val="21"/>
                <w:szCs w:val="21"/>
                <w:highlight w:val="none"/>
              </w:rPr>
              <w:t>22.8*6.8*1.4cm；</w:t>
            </w:r>
          </w:p>
          <w:p w14:paraId="7069001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5）液晶屏：5.5英寸多点电容触控屏；</w:t>
            </w:r>
          </w:p>
          <w:p w14:paraId="5743EE9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6）手簿电池：</w:t>
            </w:r>
            <w:r>
              <w:rPr>
                <w:rFonts w:hint="default" w:ascii="Arial" w:hAnsi="Arial" w:eastAsia="宋体" w:cs="Arial"/>
                <w:bCs/>
                <w:color w:val="auto"/>
                <w:kern w:val="2"/>
                <w:sz w:val="21"/>
                <w:szCs w:val="21"/>
                <w:highlight w:val="none"/>
              </w:rPr>
              <w:t>≥</w:t>
            </w:r>
            <w:r>
              <w:rPr>
                <w:rFonts w:hint="eastAsia" w:ascii="宋体" w:hAnsi="宋体" w:eastAsia="宋体" w:cs="宋体"/>
                <w:bCs/>
                <w:color w:val="auto"/>
                <w:kern w:val="2"/>
                <w:sz w:val="21"/>
                <w:szCs w:val="21"/>
                <w:highlight w:val="none"/>
              </w:rPr>
              <w:t>6000mAh。</w:t>
            </w:r>
          </w:p>
          <w:p w14:paraId="252C7C0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（二）施工锥桶</w:t>
            </w:r>
          </w:p>
          <w:p w14:paraId="5A09205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1、材质：橡胶；</w:t>
            </w:r>
          </w:p>
          <w:p w14:paraId="069B533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2、高度：615mm；</w:t>
            </w:r>
          </w:p>
          <w:p w14:paraId="6632EA1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3、顶部直径：55mm；</w:t>
            </w:r>
          </w:p>
          <w:p w14:paraId="3078139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4、底部直径：325mm；</w:t>
            </w:r>
          </w:p>
          <w:p w14:paraId="71F5F3C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5、用于道路施工预警V2X场景触发。</w:t>
            </w:r>
          </w:p>
          <w:p w14:paraId="7EEE711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（三）雷达反射器</w:t>
            </w:r>
          </w:p>
          <w:p w14:paraId="711439C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1、铝制，16寸，含支架；</w:t>
            </w:r>
          </w:p>
          <w:p w14:paraId="4492C26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2、用于毫米波雷达GPS标定。</w:t>
            </w:r>
          </w:p>
          <w:p w14:paraId="31FC117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（四）限速标志牌</w:t>
            </w:r>
          </w:p>
          <w:p w14:paraId="21EE86F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1、主杆件：1.8米空心管，直径60mm，厚度1.5mm，底盘直径40cm；</w:t>
            </w:r>
          </w:p>
          <w:p w14:paraId="65B3AD4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2、标志牌规格：直径60cm；</w:t>
            </w:r>
          </w:p>
          <w:p w14:paraId="5D2CEF6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3、重量：约15kg；</w:t>
            </w:r>
          </w:p>
          <w:p w14:paraId="6D3FA21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4、用于限速预警V2X场景触发。</w:t>
            </w:r>
          </w:p>
        </w:tc>
        <w:tc>
          <w:tcPr>
            <w:tcW w:w="1080" w:type="dxa"/>
            <w:tcBorders>
              <w:top w:val="single" w:color="auto" w:sz="4" w:space="0"/>
              <w:left w:val="nil"/>
              <w:bottom w:val="single" w:color="auto" w:sz="4" w:space="0"/>
              <w:right w:val="single" w:color="auto" w:sz="4" w:space="0"/>
            </w:tcBorders>
            <w:noWrap w:val="0"/>
            <w:vAlign w:val="center"/>
          </w:tcPr>
          <w:p w14:paraId="0F5BED3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1套</w:t>
            </w:r>
          </w:p>
        </w:tc>
        <w:tc>
          <w:tcPr>
            <w:tcW w:w="854" w:type="dxa"/>
            <w:tcBorders>
              <w:top w:val="single" w:color="auto" w:sz="4" w:space="0"/>
              <w:left w:val="nil"/>
              <w:bottom w:val="single" w:color="auto" w:sz="4" w:space="0"/>
              <w:right w:val="single" w:color="auto" w:sz="4" w:space="0"/>
            </w:tcBorders>
            <w:noWrap w:val="0"/>
            <w:vAlign w:val="center"/>
          </w:tcPr>
          <w:p w14:paraId="5CE663C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214" w:type="dxa"/>
            <w:tcBorders>
              <w:top w:val="single" w:color="auto" w:sz="4" w:space="0"/>
              <w:left w:val="nil"/>
              <w:bottom w:val="single" w:color="auto" w:sz="4" w:space="0"/>
              <w:right w:val="single" w:color="auto" w:sz="4" w:space="0"/>
            </w:tcBorders>
            <w:noWrap w:val="0"/>
            <w:vAlign w:val="center"/>
          </w:tcPr>
          <w:p w14:paraId="2ADC863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07" w:type="dxa"/>
            <w:tcBorders>
              <w:top w:val="single" w:color="auto" w:sz="4" w:space="0"/>
              <w:left w:val="nil"/>
              <w:bottom w:val="single" w:color="auto" w:sz="4" w:space="0"/>
              <w:right w:val="single" w:color="auto" w:sz="4" w:space="0"/>
            </w:tcBorders>
            <w:noWrap w:val="0"/>
            <w:vAlign w:val="center"/>
          </w:tcPr>
          <w:p w14:paraId="44A30318">
            <w:pPr>
              <w:keepNext w:val="0"/>
              <w:keepLines w:val="0"/>
              <w:widowControl w:val="0"/>
              <w:suppressLineNumbers w:val="0"/>
              <w:spacing w:before="0" w:beforeAutospacing="0" w:after="0" w:afterAutospacing="0"/>
              <w:ind w:left="0" w:right="0"/>
              <w:jc w:val="center"/>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25000元/套</w:t>
            </w:r>
          </w:p>
        </w:tc>
      </w:tr>
      <w:tr w14:paraId="2B229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14:paraId="6BB22E2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w:t>
            </w:r>
          </w:p>
        </w:tc>
        <w:tc>
          <w:tcPr>
            <w:tcW w:w="1072" w:type="dxa"/>
            <w:tcBorders>
              <w:top w:val="single" w:color="auto" w:sz="4" w:space="0"/>
              <w:left w:val="nil"/>
              <w:bottom w:val="single" w:color="auto" w:sz="4" w:space="0"/>
              <w:right w:val="single" w:color="auto" w:sz="4" w:space="0"/>
            </w:tcBorders>
            <w:noWrap w:val="0"/>
            <w:vAlign w:val="center"/>
          </w:tcPr>
          <w:p w14:paraId="2C79E98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智能网联实训车</w:t>
            </w:r>
          </w:p>
        </w:tc>
        <w:tc>
          <w:tcPr>
            <w:tcW w:w="3923" w:type="dxa"/>
            <w:tcBorders>
              <w:top w:val="single" w:color="auto" w:sz="4" w:space="0"/>
              <w:left w:val="nil"/>
              <w:bottom w:val="single" w:color="auto" w:sz="4" w:space="0"/>
              <w:right w:val="single" w:color="auto" w:sz="4" w:space="0"/>
            </w:tcBorders>
            <w:noWrap w:val="0"/>
            <w:vAlign w:val="center"/>
          </w:tcPr>
          <w:p w14:paraId="5FBFE6C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智能网联实训车基于ROS系统开发，可面向校园道路环境提供自动驾驶体验服务及支撑自动驾驶+V2X教学实训的一款高等级自动驾驶小车。小车集成了毫米波雷达、激光雷达、双目相机、组合惯导、边缘计算终端、智能车载终端等硬件设备，支持SLAM导航、高精度定位循迹等自动驾驶功能，支持联动路侧感知设备，实现闯红灯停车、绿灯启动、限速区域减速、施工区域避障、危险目标停障等一系列功能。车辆基于主流的ROS系统开发，可面向用户提供全套自动驾驶开源代码，面向开发者提供二次开发和应用服务。</w:t>
            </w:r>
          </w:p>
          <w:p w14:paraId="1F25AAF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1、线控车辆×1台：整车尺寸：≥3150*1800*2100mm，整车质量：≥860kg，额定载荷:不低于450kg，最高车速:30km/h，续航里程:≥100km（磷酸铁锂电池），含遥控器；</w:t>
            </w:r>
          </w:p>
          <w:p w14:paraId="6EC595E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2、毫米波雷达×1台：频率：≥77GHz，测距范围：0.2m-250m，测速范围：-200km/h-200km/h；</w:t>
            </w:r>
          </w:p>
          <w:p w14:paraId="757872A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 xml:space="preserve">3、激光雷达×1台：16线雷达, 激光波长905nm； 水平视场角360度,垂直视场角30度； </w:t>
            </w:r>
          </w:p>
          <w:p w14:paraId="34A4E3F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4、避障激光雷达×2台：激光波长905nm，垂直视场角（-7°~52°），近处盲区：0.1m；</w:t>
            </w:r>
          </w:p>
          <w:p w14:paraId="63DA685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5、双目摄像机×1台：最大分辨率1080*720，视场角（水平×垂直）：87°×58°；</w:t>
            </w:r>
          </w:p>
          <w:p w14:paraId="5486247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6、工控机×1台：Orin NX，100TOPS算力，8核CPU，16GB内存，256GB存储，含4个千兆以太网接口，支持2.4GHz/5GHz双频wifi，支持4G模块，可插卡；（配置包含或优于以上参数）</w:t>
            </w:r>
          </w:p>
          <w:p w14:paraId="20729A5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7、组合惯导×1台：1、支持 BDS、GPS、GLONASS、Galileo 和 QZSS 全系统多频点，支持北斗三卫星系统，水平定位精度：GNSS有效 1.2 m（单点双频）；</w:t>
            </w:r>
          </w:p>
          <w:p w14:paraId="458C78F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8、智能车载终端×1台：CPU：4核处理器，主频1GHz，内存：类型DDR3，容量1GB，闪存：类型EMMC，容量8GB，LTE-V：自主知识产权的车车、车路通信协议，PC5通讯时延：≤20ms；</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lang w:val="en-US" w:eastAsia="zh-CN"/>
              </w:rPr>
              <w:t>质保期内由供应商承担网络流量费用）</w:t>
            </w:r>
            <w:r>
              <w:rPr>
                <w:rFonts w:hint="eastAsia" w:ascii="宋体" w:hAnsi="宋体" w:eastAsia="宋体" w:cs="宋体"/>
                <w:bCs/>
                <w:color w:val="auto"/>
                <w:kern w:val="2"/>
                <w:sz w:val="21"/>
                <w:szCs w:val="21"/>
                <w:highlight w:val="none"/>
              </w:rPr>
              <w:t>；</w:t>
            </w:r>
          </w:p>
          <w:p w14:paraId="0D0809A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9、显示器×1台：工业显示器，尺寸≥16寸，分辨率≥1024*768，支持DC12V供电，接口HDMI/VGA；</w:t>
            </w:r>
          </w:p>
          <w:p w14:paraId="27BDD18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10、车路协同预警终端×1台：运行存储6GB，机身存储128GB，八核CPU处理器，最高主频可达 2.4GHz；尺寸11 英寸，分辨率：1920×1200，内置车路智行APP；</w:t>
            </w:r>
          </w:p>
          <w:p w14:paraId="6965B30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11、高精度定位账号×1个：含3年CORS账号免费使用权，支持厘米级高精度服务；</w:t>
            </w:r>
          </w:p>
          <w:p w14:paraId="72FC785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12、路由器×1台：4G速率300Mbps(DL)/100MbpS(UL)，Wi-Fi速率Wi-Fi 5,2.4GHz &amp; 5GHz,1267Mbps，SIM卡接口Nano-SlM卡接口，有线网口1个千兆WAN/LAN自适应网口，3个干兆LAN网口。</w:t>
            </w:r>
          </w:p>
        </w:tc>
        <w:tc>
          <w:tcPr>
            <w:tcW w:w="1080" w:type="dxa"/>
            <w:tcBorders>
              <w:top w:val="single" w:color="auto" w:sz="4" w:space="0"/>
              <w:left w:val="nil"/>
              <w:bottom w:val="single" w:color="auto" w:sz="4" w:space="0"/>
              <w:right w:val="single" w:color="auto" w:sz="4" w:space="0"/>
            </w:tcBorders>
            <w:noWrap w:val="0"/>
            <w:vAlign w:val="center"/>
          </w:tcPr>
          <w:p w14:paraId="7E74C95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1台</w:t>
            </w:r>
          </w:p>
        </w:tc>
        <w:tc>
          <w:tcPr>
            <w:tcW w:w="854" w:type="dxa"/>
            <w:tcBorders>
              <w:top w:val="single" w:color="auto" w:sz="4" w:space="0"/>
              <w:left w:val="nil"/>
              <w:bottom w:val="single" w:color="auto" w:sz="4" w:space="0"/>
              <w:right w:val="single" w:color="auto" w:sz="4" w:space="0"/>
            </w:tcBorders>
            <w:noWrap w:val="0"/>
            <w:vAlign w:val="center"/>
          </w:tcPr>
          <w:p w14:paraId="42DD269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214" w:type="dxa"/>
            <w:tcBorders>
              <w:top w:val="single" w:color="auto" w:sz="4" w:space="0"/>
              <w:left w:val="nil"/>
              <w:bottom w:val="single" w:color="auto" w:sz="4" w:space="0"/>
              <w:right w:val="single" w:color="auto" w:sz="4" w:space="0"/>
            </w:tcBorders>
            <w:noWrap w:val="0"/>
            <w:vAlign w:val="center"/>
          </w:tcPr>
          <w:p w14:paraId="29021BE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07" w:type="dxa"/>
            <w:tcBorders>
              <w:top w:val="single" w:color="auto" w:sz="4" w:space="0"/>
              <w:left w:val="nil"/>
              <w:bottom w:val="single" w:color="auto" w:sz="4" w:space="0"/>
              <w:right w:val="single" w:color="auto" w:sz="4" w:space="0"/>
            </w:tcBorders>
            <w:noWrap w:val="0"/>
            <w:vAlign w:val="center"/>
          </w:tcPr>
          <w:p w14:paraId="6D674AED">
            <w:pPr>
              <w:keepNext w:val="0"/>
              <w:keepLines w:val="0"/>
              <w:widowControl w:val="0"/>
              <w:suppressLineNumbers w:val="0"/>
              <w:spacing w:before="0" w:beforeAutospacing="0" w:after="0" w:afterAutospacing="0"/>
              <w:ind w:left="0" w:right="0"/>
              <w:jc w:val="center"/>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380000元/台</w:t>
            </w:r>
          </w:p>
        </w:tc>
      </w:tr>
      <w:tr w14:paraId="0A293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14:paraId="290920F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w:t>
            </w:r>
          </w:p>
        </w:tc>
        <w:tc>
          <w:tcPr>
            <w:tcW w:w="1072" w:type="dxa"/>
            <w:tcBorders>
              <w:top w:val="single" w:color="auto" w:sz="4" w:space="0"/>
              <w:left w:val="nil"/>
              <w:bottom w:val="single" w:color="auto" w:sz="4" w:space="0"/>
              <w:right w:val="single" w:color="auto" w:sz="4" w:space="0"/>
            </w:tcBorders>
            <w:noWrap w:val="0"/>
            <w:vAlign w:val="center"/>
          </w:tcPr>
          <w:p w14:paraId="04BAB1D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智能路侧设备</w:t>
            </w:r>
          </w:p>
        </w:tc>
        <w:tc>
          <w:tcPr>
            <w:tcW w:w="3923" w:type="dxa"/>
            <w:tcBorders>
              <w:top w:val="single" w:color="auto" w:sz="4" w:space="0"/>
              <w:left w:val="nil"/>
              <w:bottom w:val="single" w:color="auto" w:sz="4" w:space="0"/>
              <w:right w:val="single" w:color="auto" w:sz="4" w:space="0"/>
            </w:tcBorders>
            <w:noWrap w:val="0"/>
            <w:vAlign w:val="center"/>
          </w:tcPr>
          <w:p w14:paraId="51AF91B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一、产品简介</w:t>
            </w:r>
          </w:p>
          <w:p w14:paraId="2C68362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面向5G+C-V2X应用的车路协同系统路侧设备，能为车辆提供全方位的道路时空信息，提高交通出行安全和通行效率。</w:t>
            </w:r>
          </w:p>
          <w:p w14:paraId="019B46E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 xml:space="preserve">二、技术参数 </w:t>
            </w:r>
          </w:p>
          <w:p w14:paraId="6F1252C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1、CPU：</w:t>
            </w:r>
            <w:r>
              <w:rPr>
                <w:rFonts w:hint="eastAsia" w:ascii="宋体" w:hAnsi="宋体" w:eastAsia="宋体" w:cs="宋体"/>
                <w:bCs/>
                <w:color w:val="auto"/>
                <w:kern w:val="2"/>
                <w:sz w:val="21"/>
                <w:szCs w:val="21"/>
                <w:highlight w:val="none"/>
                <w:lang w:val="en-US" w:eastAsia="zh-CN"/>
              </w:rPr>
              <w:t>不低于</w:t>
            </w:r>
            <w:r>
              <w:rPr>
                <w:rFonts w:hint="eastAsia" w:ascii="宋体" w:hAnsi="宋体" w:eastAsia="宋体" w:cs="宋体"/>
                <w:bCs/>
                <w:color w:val="auto"/>
                <w:kern w:val="2"/>
                <w:sz w:val="21"/>
                <w:szCs w:val="21"/>
                <w:highlight w:val="none"/>
              </w:rPr>
              <w:t>4核处理器，主频≥1GHz；</w:t>
            </w:r>
          </w:p>
          <w:p w14:paraId="1AB81A8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2、内存：类型DDR3，容量≥1GB；</w:t>
            </w:r>
          </w:p>
          <w:p w14:paraId="03ABD94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3、闪存：类型EMMC，容量≥8GB；</w:t>
            </w:r>
          </w:p>
          <w:p w14:paraId="762EA83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4、LTE-V：支持车车、车路通信协议，发射功率：23dBm±2dB，接收灵敏度-96dBm，C-V2X Band47 (TDD)：5905MHz to 5925 MHz；</w:t>
            </w:r>
          </w:p>
          <w:p w14:paraId="179BC54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5、PC5业务延时：＜20ms，覆盖范围≥600米，低噪无遮挡环境≥800米；</w:t>
            </w:r>
          </w:p>
          <w:p w14:paraId="1F49F71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▲6、移动网络：支持5G通信，全网通，支持NSA/SA工作模式，支持SA/NR NSA/TD-LTE/LTE FDD/WCDMA；</w:t>
            </w:r>
            <w:r>
              <w:rPr>
                <w:rFonts w:hint="eastAsia" w:ascii="宋体" w:hAnsi="宋体" w:eastAsia="宋体" w:cs="宋体"/>
                <w:b/>
                <w:bCs w:val="0"/>
                <w:color w:val="auto"/>
                <w:kern w:val="2"/>
                <w:sz w:val="21"/>
                <w:szCs w:val="21"/>
                <w:highlight w:val="none"/>
              </w:rPr>
              <w:t>（投标文件中需提供工信部电信设备进网许可证，且提供工信部政务服务平台电信设备进网许可查询截图）</w:t>
            </w:r>
          </w:p>
          <w:p w14:paraId="2B3F40E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7、WiFi：支持IEEE 802.11b/g/n协议；频段：2.400G-2.483GHz；</w:t>
            </w:r>
          </w:p>
          <w:p w14:paraId="2039F4F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8、通信接口：不少于1路RJ45网络通信接口（LAN#10/100M/1000Mbps）;</w:t>
            </w:r>
          </w:p>
          <w:p w14:paraId="3093A8A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9、定位功能：支持GNSS定位；</w:t>
            </w:r>
          </w:p>
          <w:p w14:paraId="6867E24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10、支持无GNSS启动；</w:t>
            </w:r>
          </w:p>
          <w:p w14:paraId="71808C7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11、支持不拆机更换SIM卡；</w:t>
            </w:r>
          </w:p>
          <w:p w14:paraId="156F8B2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12、外置天线数量：V2X天线2根；</w:t>
            </w:r>
          </w:p>
          <w:p w14:paraId="493A583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▲13、内置天线：一体化天线仓设计（5G+GPS+WIFI）；</w:t>
            </w:r>
            <w:r>
              <w:rPr>
                <w:rFonts w:hint="eastAsia" w:ascii="宋体" w:hAnsi="宋体" w:eastAsia="宋体" w:cs="宋体"/>
                <w:b/>
                <w:bCs w:val="0"/>
                <w:color w:val="auto"/>
                <w:kern w:val="2"/>
                <w:sz w:val="21"/>
                <w:szCs w:val="21"/>
                <w:highlight w:val="none"/>
              </w:rPr>
              <w:t>（投标文件中提供第三方检验报告）</w:t>
            </w:r>
          </w:p>
          <w:p w14:paraId="0480C4E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14、安全加密：硬件加密，支持SM1、SM2、SM3、SM4；</w:t>
            </w:r>
          </w:p>
          <w:p w14:paraId="00B6593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▲15、防护等级：不低于IP67；</w:t>
            </w:r>
            <w:r>
              <w:rPr>
                <w:rFonts w:hint="eastAsia" w:ascii="宋体" w:hAnsi="宋体" w:eastAsia="宋体" w:cs="宋体"/>
                <w:b/>
                <w:bCs w:val="0"/>
                <w:color w:val="auto"/>
                <w:kern w:val="2"/>
                <w:sz w:val="21"/>
                <w:szCs w:val="21"/>
                <w:highlight w:val="none"/>
              </w:rPr>
              <w:t>（投标文件中提供检测机构出具的检验报告）</w:t>
            </w:r>
          </w:p>
          <w:p w14:paraId="1E95C70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16、重量：约2.7kg；</w:t>
            </w:r>
          </w:p>
          <w:p w14:paraId="3B96419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17、供电电压：支持POE 48V和DC 48V供电；</w:t>
            </w:r>
          </w:p>
          <w:p w14:paraId="6A3D713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18、整机功率：小于20W。</w:t>
            </w:r>
          </w:p>
          <w:p w14:paraId="04FB1D7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▲19、</w:t>
            </w:r>
            <w:r>
              <w:rPr>
                <w:rFonts w:hint="eastAsia" w:ascii="宋体" w:hAnsi="宋体" w:eastAsia="宋体" w:cs="宋体"/>
                <w:b/>
                <w:bCs w:val="0"/>
                <w:color w:val="auto"/>
                <w:kern w:val="2"/>
                <w:sz w:val="21"/>
                <w:szCs w:val="21"/>
                <w:highlight w:val="none"/>
              </w:rPr>
              <w:t>产品需通过无线电发射设备型号核准，投标文件中提供相关证书；</w:t>
            </w:r>
          </w:p>
          <w:p w14:paraId="6F336FE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▲20、</w:t>
            </w:r>
            <w:r>
              <w:rPr>
                <w:rFonts w:hint="eastAsia" w:ascii="宋体" w:hAnsi="宋体" w:eastAsia="宋体" w:cs="宋体"/>
                <w:b/>
                <w:bCs w:val="0"/>
                <w:color w:val="auto"/>
                <w:kern w:val="2"/>
                <w:sz w:val="21"/>
                <w:szCs w:val="21"/>
                <w:highlight w:val="none"/>
              </w:rPr>
              <w:t>产品需通过LTE-V2X协议一致性认证，投标文件中提供相关证书；</w:t>
            </w:r>
          </w:p>
          <w:p w14:paraId="4201AA7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21、产品需通过3C认证。</w:t>
            </w:r>
          </w:p>
          <w:p w14:paraId="160170A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▲22、</w:t>
            </w:r>
            <w:r>
              <w:rPr>
                <w:rFonts w:hint="eastAsia" w:ascii="宋体" w:hAnsi="宋体" w:eastAsia="宋体" w:cs="宋体"/>
                <w:b/>
                <w:bCs w:val="0"/>
                <w:color w:val="auto"/>
                <w:kern w:val="2"/>
                <w:sz w:val="21"/>
                <w:szCs w:val="21"/>
                <w:highlight w:val="none"/>
              </w:rPr>
              <w:t>提供车路协同路侧管理软件类软著证书。</w:t>
            </w:r>
          </w:p>
        </w:tc>
        <w:tc>
          <w:tcPr>
            <w:tcW w:w="1080" w:type="dxa"/>
            <w:tcBorders>
              <w:top w:val="single" w:color="auto" w:sz="4" w:space="0"/>
              <w:left w:val="nil"/>
              <w:bottom w:val="single" w:color="auto" w:sz="4" w:space="0"/>
              <w:right w:val="single" w:color="auto" w:sz="4" w:space="0"/>
            </w:tcBorders>
            <w:noWrap w:val="0"/>
            <w:vAlign w:val="center"/>
          </w:tcPr>
          <w:p w14:paraId="755C3059">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rPr>
            </w:pPr>
            <w:r>
              <w:rPr>
                <w:rFonts w:hint="eastAsia" w:ascii="宋体" w:hAnsi="宋体" w:eastAsia="宋体" w:cs="宋体"/>
                <w:bCs/>
                <w:color w:val="auto"/>
                <w:kern w:val="2"/>
                <w:sz w:val="21"/>
                <w:szCs w:val="21"/>
                <w:highlight w:val="none"/>
                <w:lang w:val="en-US" w:eastAsia="zh-CN" w:bidi="ar"/>
              </w:rPr>
              <w:t>3台</w:t>
            </w:r>
          </w:p>
        </w:tc>
        <w:tc>
          <w:tcPr>
            <w:tcW w:w="854" w:type="dxa"/>
            <w:tcBorders>
              <w:top w:val="single" w:color="auto" w:sz="4" w:space="0"/>
              <w:left w:val="nil"/>
              <w:bottom w:val="single" w:color="auto" w:sz="4" w:space="0"/>
              <w:right w:val="single" w:color="auto" w:sz="4" w:space="0"/>
            </w:tcBorders>
            <w:noWrap w:val="0"/>
            <w:vAlign w:val="center"/>
          </w:tcPr>
          <w:p w14:paraId="16DBE7E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214" w:type="dxa"/>
            <w:tcBorders>
              <w:top w:val="single" w:color="auto" w:sz="4" w:space="0"/>
              <w:left w:val="nil"/>
              <w:bottom w:val="single" w:color="auto" w:sz="4" w:space="0"/>
              <w:right w:val="single" w:color="auto" w:sz="4" w:space="0"/>
            </w:tcBorders>
            <w:noWrap w:val="0"/>
            <w:vAlign w:val="center"/>
          </w:tcPr>
          <w:p w14:paraId="3834F1B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07" w:type="dxa"/>
            <w:tcBorders>
              <w:top w:val="single" w:color="auto" w:sz="4" w:space="0"/>
              <w:left w:val="nil"/>
              <w:bottom w:val="single" w:color="auto" w:sz="4" w:space="0"/>
              <w:right w:val="single" w:color="auto" w:sz="4" w:space="0"/>
            </w:tcBorders>
            <w:noWrap w:val="0"/>
            <w:vAlign w:val="center"/>
          </w:tcPr>
          <w:p w14:paraId="6A0BF1D2">
            <w:pPr>
              <w:keepNext w:val="0"/>
              <w:keepLines w:val="0"/>
              <w:widowControl w:val="0"/>
              <w:suppressLineNumbers w:val="0"/>
              <w:spacing w:before="0" w:beforeAutospacing="0" w:after="0" w:afterAutospacing="0"/>
              <w:ind w:left="0" w:right="0"/>
              <w:jc w:val="center"/>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35000元/台</w:t>
            </w:r>
          </w:p>
        </w:tc>
      </w:tr>
      <w:tr w14:paraId="3FA1A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14:paraId="3434576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w:t>
            </w:r>
          </w:p>
        </w:tc>
        <w:tc>
          <w:tcPr>
            <w:tcW w:w="1072" w:type="dxa"/>
            <w:tcBorders>
              <w:top w:val="single" w:color="auto" w:sz="4" w:space="0"/>
              <w:left w:val="nil"/>
              <w:bottom w:val="single" w:color="auto" w:sz="4" w:space="0"/>
              <w:right w:val="single" w:color="auto" w:sz="4" w:space="0"/>
            </w:tcBorders>
            <w:noWrap w:val="0"/>
            <w:vAlign w:val="center"/>
          </w:tcPr>
          <w:p w14:paraId="5B518EB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智能车载设备</w:t>
            </w:r>
          </w:p>
        </w:tc>
        <w:tc>
          <w:tcPr>
            <w:tcW w:w="3923" w:type="dxa"/>
            <w:tcBorders>
              <w:top w:val="single" w:color="auto" w:sz="4" w:space="0"/>
              <w:left w:val="nil"/>
              <w:bottom w:val="single" w:color="auto" w:sz="4" w:space="0"/>
              <w:right w:val="single" w:color="auto" w:sz="4" w:space="0"/>
            </w:tcBorders>
            <w:noWrap w:val="0"/>
            <w:vAlign w:val="center"/>
          </w:tcPr>
          <w:p w14:paraId="3DA3FA9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一、产品简介</w:t>
            </w:r>
          </w:p>
          <w:p w14:paraId="4D831F9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面向5G+C-V2X应用的车路协同系统车载端设备，通过与车辆，路侧设备和云端平台进行交互实现车与道路间的协同。产品采用5G通信技术、V2X通信技术和高精度定位技术，基于路侧的融合感知系统实时采集动态道路交通信息，实现行人V2P，车辆V2V，道路V2I和云端V2N的智能协同。产品具有大带宽，低延时，高可靠，高精度定位（支持RTK和IMU）等特点 ，赋能自动驾驶车辆和网联车辆全时空的感知能力。</w:t>
            </w:r>
          </w:p>
          <w:p w14:paraId="5AB24CAF">
            <w:pPr>
              <w:keepNext w:val="0"/>
              <w:keepLines w:val="0"/>
              <w:widowControl w:val="0"/>
              <w:numPr>
                <w:ilvl w:val="0"/>
                <w:numId w:val="2"/>
              </w:numPr>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 xml:space="preserve">技术参数 </w:t>
            </w:r>
          </w:p>
          <w:p w14:paraId="1277AF90">
            <w:pPr>
              <w:keepNext w:val="0"/>
              <w:keepLines w:val="0"/>
              <w:widowControl w:val="0"/>
              <w:numPr>
                <w:ilvl w:val="0"/>
                <w:numId w:val="0"/>
              </w:numPr>
              <w:suppressLineNumbers w:val="0"/>
              <w:spacing w:before="0" w:beforeAutospacing="0" w:after="0" w:afterAutospacing="0" w:line="440" w:lineRule="exact"/>
              <w:ind w:left="0" w:right="0" w:rightChars="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1、CPU：</w:t>
            </w:r>
            <w:r>
              <w:rPr>
                <w:rFonts w:hint="eastAsia" w:ascii="宋体" w:hAnsi="宋体" w:eastAsia="宋体" w:cs="宋体"/>
                <w:bCs/>
                <w:color w:val="auto"/>
                <w:kern w:val="2"/>
                <w:sz w:val="21"/>
                <w:szCs w:val="21"/>
                <w:highlight w:val="none"/>
                <w:lang w:val="en-US" w:eastAsia="zh-CN"/>
              </w:rPr>
              <w:t>不低于</w:t>
            </w:r>
            <w:r>
              <w:rPr>
                <w:rFonts w:hint="eastAsia" w:ascii="宋体" w:hAnsi="宋体" w:eastAsia="宋体" w:cs="宋体"/>
                <w:bCs/>
                <w:color w:val="auto"/>
                <w:kern w:val="2"/>
                <w:sz w:val="21"/>
                <w:szCs w:val="21"/>
                <w:highlight w:val="none"/>
              </w:rPr>
              <w:t>4核处理器，主频最大1.8GHz；</w:t>
            </w:r>
          </w:p>
          <w:p w14:paraId="6689FE5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2、内存：类型DDR3，容量≥1GB；</w:t>
            </w:r>
          </w:p>
          <w:p w14:paraId="5B0E2F5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3、闪存：类型EMMC，容量≥8GB；</w:t>
            </w:r>
          </w:p>
          <w:p w14:paraId="08E2BFD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4、LTE-V：发射功率：23dBm±2dB；C-V2X Band47 (TDD)：5905MHz to 5925 MHz；</w:t>
            </w:r>
          </w:p>
          <w:p w14:paraId="0164E54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5、PC5业务延时：＜20ms，覆盖范围≥600米，低噪无遮挡环境≥800米；</w:t>
            </w:r>
          </w:p>
          <w:p w14:paraId="169CAA7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6、移动网络：支持5G通信，全网通，支持NSA/SA工作模式，支持5G NR/LTE-FDD/LTE-TDD/WCDMA；</w:t>
            </w:r>
          </w:p>
          <w:p w14:paraId="264DE44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7、GNSS：支持GPS/北斗卫星系统，支持RTK+惯导，提供10厘米级高精度定位服务，频率10Hz，（支持标准RTK）</w:t>
            </w:r>
          </w:p>
          <w:p w14:paraId="5641B48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rPr>
              <w:t>供应商为每台设备独立提供</w:t>
            </w:r>
            <w:r>
              <w:rPr>
                <w:rFonts w:hint="eastAsia" w:ascii="宋体" w:hAnsi="宋体" w:eastAsia="宋体" w:cs="宋体"/>
                <w:bCs/>
                <w:color w:val="auto"/>
                <w:kern w:val="2"/>
                <w:sz w:val="21"/>
                <w:szCs w:val="21"/>
                <w:highlight w:val="none"/>
              </w:rPr>
              <w:t>高精度定位账号：含3年CORS账号免费使用权，支持厘米级高精度服务；</w:t>
            </w:r>
          </w:p>
          <w:p w14:paraId="27C8F95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8、支持无GNSS启动；</w:t>
            </w:r>
          </w:p>
          <w:p w14:paraId="0D5FB34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9、WIFI: 支持IEEE 802.11a/b/g/n/ac协议，频段：2.4GHz/5G双频；</w:t>
            </w:r>
          </w:p>
          <w:p w14:paraId="0B028F2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10、通信接口：1路RJ45网络通信接口（LAN#10/100/1000Mbps）；</w:t>
            </w:r>
          </w:p>
          <w:p w14:paraId="73844FB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11、安全加密：硬件加密，支持SM1、SM2、SM3、SM4；</w:t>
            </w:r>
          </w:p>
          <w:p w14:paraId="18B68D1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12、支持接口：不少于1路CAN-FD、2路CAN2.0、1路RS232、2路脉冲采集、自弹式SIM卡槽；</w:t>
            </w:r>
          </w:p>
          <w:p w14:paraId="34A5C42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13、支持单独MCU管理CAN总线；</w:t>
            </w:r>
          </w:p>
          <w:p w14:paraId="69A2838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14、支持国产化芯片设计；</w:t>
            </w:r>
          </w:p>
          <w:p w14:paraId="2E98C7A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15、支持内置eSIM；</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lang w:val="en-US" w:eastAsia="zh-CN"/>
              </w:rPr>
              <w:t>质保期内由供应商承担网络流量费用）</w:t>
            </w:r>
            <w:r>
              <w:rPr>
                <w:rFonts w:hint="eastAsia" w:ascii="宋体" w:hAnsi="宋体" w:eastAsia="宋体" w:cs="宋体"/>
                <w:bCs/>
                <w:color w:val="auto"/>
                <w:kern w:val="2"/>
                <w:sz w:val="21"/>
                <w:szCs w:val="21"/>
                <w:highlight w:val="none"/>
              </w:rPr>
              <w:t>；</w:t>
            </w:r>
          </w:p>
          <w:p w14:paraId="5D8FF75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rPr>
              <w:t>▲16、防护等级：</w:t>
            </w:r>
            <w:r>
              <w:rPr>
                <w:rFonts w:hint="eastAsia" w:ascii="宋体" w:hAnsi="宋体" w:eastAsia="宋体" w:cs="宋体"/>
                <w:bCs/>
                <w:color w:val="auto"/>
                <w:kern w:val="2"/>
                <w:sz w:val="21"/>
                <w:szCs w:val="21"/>
                <w:highlight w:val="none"/>
                <w:lang w:val="en-US" w:eastAsia="zh-CN"/>
              </w:rPr>
              <w:t>不低于</w:t>
            </w:r>
            <w:r>
              <w:rPr>
                <w:rFonts w:hint="eastAsia" w:ascii="宋体" w:hAnsi="宋体" w:eastAsia="宋体" w:cs="宋体"/>
                <w:bCs/>
                <w:color w:val="auto"/>
                <w:kern w:val="2"/>
                <w:sz w:val="21"/>
                <w:szCs w:val="21"/>
                <w:highlight w:val="none"/>
              </w:rPr>
              <w:t>IP54；</w:t>
            </w:r>
            <w:r>
              <w:rPr>
                <w:rFonts w:hint="eastAsia" w:ascii="宋体" w:hAnsi="宋体" w:eastAsia="宋体" w:cs="宋体"/>
                <w:b/>
                <w:bCs w:val="0"/>
                <w:color w:val="auto"/>
                <w:kern w:val="2"/>
                <w:sz w:val="21"/>
                <w:szCs w:val="21"/>
                <w:highlight w:val="none"/>
              </w:rPr>
              <w:t>（投标文件中需提供具检测机构出具的检验报告</w:t>
            </w:r>
            <w:r>
              <w:rPr>
                <w:rFonts w:hint="eastAsia" w:ascii="宋体" w:hAnsi="宋体" w:eastAsia="宋体" w:cs="宋体"/>
                <w:b/>
                <w:bCs w:val="0"/>
                <w:color w:val="auto"/>
                <w:kern w:val="2"/>
                <w:sz w:val="21"/>
                <w:szCs w:val="21"/>
                <w:highlight w:val="none"/>
                <w:lang w:eastAsia="zh-CN"/>
              </w:rPr>
              <w:t>）</w:t>
            </w:r>
          </w:p>
          <w:p w14:paraId="0B16B8E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17、环境湿度：5%～95% 无冷凝；</w:t>
            </w:r>
          </w:p>
          <w:p w14:paraId="0545261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18、尺寸：</w:t>
            </w:r>
            <w:r>
              <w:rPr>
                <w:rFonts w:hint="default" w:ascii="Arial" w:hAnsi="Arial" w:eastAsia="宋体" w:cs="Arial"/>
                <w:bCs/>
                <w:color w:val="auto"/>
                <w:kern w:val="2"/>
                <w:sz w:val="21"/>
                <w:szCs w:val="21"/>
                <w:highlight w:val="none"/>
              </w:rPr>
              <w:t>≤</w:t>
            </w:r>
            <w:r>
              <w:rPr>
                <w:rFonts w:hint="eastAsia" w:ascii="宋体" w:hAnsi="宋体" w:eastAsia="宋体" w:cs="宋体"/>
                <w:bCs/>
                <w:color w:val="auto"/>
                <w:kern w:val="2"/>
                <w:sz w:val="21"/>
                <w:szCs w:val="21"/>
                <w:highlight w:val="none"/>
              </w:rPr>
              <w:t>35×141×246mm；</w:t>
            </w:r>
          </w:p>
          <w:p w14:paraId="7880334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19、重量：约1.1kg；</w:t>
            </w:r>
          </w:p>
          <w:p w14:paraId="547C411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20、供电电压：DC 9～36V；</w:t>
            </w:r>
          </w:p>
          <w:p w14:paraId="6A3CFD3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21、整机功率：小于20W。</w:t>
            </w:r>
          </w:p>
          <w:p w14:paraId="176C30C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▲22、</w:t>
            </w:r>
            <w:r>
              <w:rPr>
                <w:rFonts w:hint="eastAsia" w:ascii="宋体" w:hAnsi="宋体" w:eastAsia="宋体" w:cs="宋体"/>
                <w:b/>
                <w:bCs w:val="0"/>
                <w:color w:val="auto"/>
                <w:kern w:val="2"/>
                <w:sz w:val="21"/>
                <w:szCs w:val="21"/>
                <w:highlight w:val="none"/>
              </w:rPr>
              <w:t>依据国家标准GB/T 2423.18-2021通过 Kb盐雾检验，提供检测机构出具的检测报告。</w:t>
            </w:r>
          </w:p>
        </w:tc>
        <w:tc>
          <w:tcPr>
            <w:tcW w:w="1080" w:type="dxa"/>
            <w:tcBorders>
              <w:top w:val="single" w:color="auto" w:sz="4" w:space="0"/>
              <w:left w:val="nil"/>
              <w:bottom w:val="single" w:color="auto" w:sz="4" w:space="0"/>
              <w:right w:val="single" w:color="auto" w:sz="4" w:space="0"/>
            </w:tcBorders>
            <w:noWrap w:val="0"/>
            <w:vAlign w:val="center"/>
          </w:tcPr>
          <w:p w14:paraId="75E3C662">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rPr>
            </w:pPr>
            <w:r>
              <w:rPr>
                <w:rFonts w:hint="eastAsia" w:ascii="宋体" w:hAnsi="宋体" w:eastAsia="宋体" w:cs="宋体"/>
                <w:bCs/>
                <w:color w:val="auto"/>
                <w:kern w:val="2"/>
                <w:sz w:val="21"/>
                <w:szCs w:val="21"/>
                <w:highlight w:val="none"/>
                <w:lang w:val="en-US" w:eastAsia="zh-CN" w:bidi="ar"/>
              </w:rPr>
              <w:t>3台</w:t>
            </w:r>
          </w:p>
        </w:tc>
        <w:tc>
          <w:tcPr>
            <w:tcW w:w="854" w:type="dxa"/>
            <w:tcBorders>
              <w:top w:val="single" w:color="auto" w:sz="4" w:space="0"/>
              <w:left w:val="nil"/>
              <w:bottom w:val="single" w:color="auto" w:sz="4" w:space="0"/>
              <w:right w:val="single" w:color="auto" w:sz="4" w:space="0"/>
            </w:tcBorders>
            <w:noWrap w:val="0"/>
            <w:vAlign w:val="center"/>
          </w:tcPr>
          <w:p w14:paraId="7DD32B1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214" w:type="dxa"/>
            <w:tcBorders>
              <w:top w:val="single" w:color="auto" w:sz="4" w:space="0"/>
              <w:left w:val="nil"/>
              <w:bottom w:val="single" w:color="auto" w:sz="4" w:space="0"/>
              <w:right w:val="single" w:color="auto" w:sz="4" w:space="0"/>
            </w:tcBorders>
            <w:noWrap w:val="0"/>
            <w:vAlign w:val="center"/>
          </w:tcPr>
          <w:p w14:paraId="457FE8B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07" w:type="dxa"/>
            <w:tcBorders>
              <w:top w:val="single" w:color="auto" w:sz="4" w:space="0"/>
              <w:left w:val="nil"/>
              <w:bottom w:val="single" w:color="auto" w:sz="4" w:space="0"/>
              <w:right w:val="single" w:color="auto" w:sz="4" w:space="0"/>
            </w:tcBorders>
            <w:noWrap w:val="0"/>
            <w:vAlign w:val="center"/>
          </w:tcPr>
          <w:p w14:paraId="0F432B8A">
            <w:pPr>
              <w:keepNext w:val="0"/>
              <w:keepLines w:val="0"/>
              <w:widowControl w:val="0"/>
              <w:suppressLineNumbers w:val="0"/>
              <w:spacing w:before="0" w:beforeAutospacing="0" w:after="0" w:afterAutospacing="0"/>
              <w:ind w:left="0" w:right="0"/>
              <w:jc w:val="center"/>
              <w:rPr>
                <w:rFonts w:hint="default" w:ascii="Calibri" w:hAnsi="Calibri" w:eastAsia="宋体" w:cs="Times New Roman"/>
                <w:color w:val="auto"/>
                <w:kern w:val="2"/>
                <w:sz w:val="21"/>
                <w:szCs w:val="21"/>
                <w:highlight w:val="none"/>
                <w:lang w:val="en-US" w:eastAsia="zh-CN"/>
              </w:rPr>
            </w:pPr>
            <w:r>
              <w:rPr>
                <w:rFonts w:hint="eastAsia" w:ascii="Calibri" w:hAnsi="Calibri" w:eastAsia="宋体" w:cs="Times New Roman"/>
                <w:color w:val="auto"/>
                <w:kern w:val="2"/>
                <w:sz w:val="21"/>
                <w:szCs w:val="21"/>
                <w:highlight w:val="none"/>
                <w:lang w:val="en-US" w:eastAsia="zh-CN"/>
              </w:rPr>
              <w:t>35000元/台</w:t>
            </w:r>
          </w:p>
        </w:tc>
      </w:tr>
      <w:tr w14:paraId="6A0A3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14:paraId="7D897FD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w:t>
            </w:r>
          </w:p>
        </w:tc>
        <w:tc>
          <w:tcPr>
            <w:tcW w:w="1072" w:type="dxa"/>
            <w:tcBorders>
              <w:top w:val="single" w:color="auto" w:sz="4" w:space="0"/>
              <w:left w:val="nil"/>
              <w:bottom w:val="single" w:color="auto" w:sz="4" w:space="0"/>
              <w:right w:val="single" w:color="auto" w:sz="4" w:space="0"/>
            </w:tcBorders>
            <w:noWrap w:val="0"/>
            <w:vAlign w:val="center"/>
          </w:tcPr>
          <w:p w14:paraId="4053235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车路协同预警设备</w:t>
            </w:r>
          </w:p>
        </w:tc>
        <w:tc>
          <w:tcPr>
            <w:tcW w:w="3923" w:type="dxa"/>
            <w:tcBorders>
              <w:top w:val="single" w:color="auto" w:sz="4" w:space="0"/>
              <w:left w:val="nil"/>
              <w:bottom w:val="single" w:color="auto" w:sz="4" w:space="0"/>
              <w:right w:val="single" w:color="auto" w:sz="4" w:space="0"/>
            </w:tcBorders>
            <w:noWrap w:val="0"/>
            <w:vAlign w:val="center"/>
          </w:tcPr>
          <w:p w14:paraId="7041D88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1、硬件参数：</w:t>
            </w:r>
          </w:p>
          <w:p w14:paraId="27F5450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（1）运行内存：≥6GB；</w:t>
            </w:r>
          </w:p>
          <w:p w14:paraId="5E02D49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（2）机身存储：≥128GB；</w:t>
            </w:r>
          </w:p>
          <w:p w14:paraId="6CD8A7C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（3）CPU：</w:t>
            </w:r>
            <w:r>
              <w:rPr>
                <w:rFonts w:hint="eastAsia" w:ascii="宋体" w:hAnsi="宋体" w:eastAsia="宋体" w:cs="宋体"/>
                <w:bCs/>
                <w:color w:val="auto"/>
                <w:kern w:val="2"/>
                <w:sz w:val="21"/>
                <w:szCs w:val="21"/>
                <w:highlight w:val="none"/>
                <w:lang w:val="en-US" w:eastAsia="zh-CN"/>
              </w:rPr>
              <w:t>不低于</w:t>
            </w:r>
            <w:r>
              <w:rPr>
                <w:rFonts w:hint="eastAsia" w:ascii="宋体" w:hAnsi="宋体" w:eastAsia="宋体" w:cs="宋体"/>
                <w:bCs/>
                <w:color w:val="auto"/>
                <w:kern w:val="2"/>
                <w:sz w:val="21"/>
                <w:szCs w:val="21"/>
                <w:highlight w:val="none"/>
              </w:rPr>
              <w:t>八核处理器，最高主频可达2.4GHz；</w:t>
            </w:r>
          </w:p>
          <w:p w14:paraId="1847632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（4）尺寸：≥11 英寸；</w:t>
            </w:r>
          </w:p>
          <w:p w14:paraId="6DBBDC4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（5）分辨率：≥1920×1200，最大显示帧率90 Hz；</w:t>
            </w:r>
          </w:p>
          <w:p w14:paraId="1FA4B9B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（6）电池容量：≥8000mAh，可快充；</w:t>
            </w:r>
          </w:p>
          <w:p w14:paraId="42BA78B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（7）数据传输：</w:t>
            </w:r>
            <w:r>
              <w:rPr>
                <w:rFonts w:hint="eastAsia" w:ascii="宋体" w:hAnsi="宋体" w:eastAsia="宋体" w:cs="宋体"/>
                <w:bCs/>
                <w:color w:val="auto"/>
                <w:kern w:val="2"/>
                <w:sz w:val="21"/>
                <w:szCs w:val="21"/>
                <w:highlight w:val="none"/>
                <w:lang w:val="en-US" w:eastAsia="zh-CN"/>
              </w:rPr>
              <w:t>支持包含</w:t>
            </w:r>
            <w:r>
              <w:rPr>
                <w:rFonts w:hint="eastAsia" w:ascii="宋体" w:hAnsi="宋体" w:eastAsia="宋体" w:cs="宋体"/>
                <w:bCs/>
                <w:color w:val="auto"/>
                <w:kern w:val="2"/>
                <w:sz w:val="21"/>
                <w:szCs w:val="21"/>
                <w:highlight w:val="none"/>
              </w:rPr>
              <w:t>Type-C接口。</w:t>
            </w:r>
          </w:p>
          <w:p w14:paraId="0FCD043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2、软件功能：</w:t>
            </w:r>
          </w:p>
          <w:p w14:paraId="038AF7C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（1）基于安卓</w:t>
            </w:r>
            <w:r>
              <w:rPr>
                <w:rFonts w:hint="eastAsia" w:ascii="宋体" w:hAnsi="宋体" w:eastAsia="宋体" w:cs="宋体"/>
                <w:bCs/>
                <w:color w:val="auto"/>
                <w:kern w:val="2"/>
                <w:sz w:val="21"/>
                <w:szCs w:val="21"/>
                <w:highlight w:val="none"/>
                <w:lang w:val="en-US" w:eastAsia="zh-CN"/>
              </w:rPr>
              <w:t>等</w:t>
            </w:r>
            <w:r>
              <w:rPr>
                <w:rFonts w:hint="eastAsia" w:ascii="宋体" w:hAnsi="宋体" w:eastAsia="宋体" w:cs="宋体"/>
                <w:bCs/>
                <w:color w:val="auto"/>
                <w:kern w:val="2"/>
                <w:sz w:val="21"/>
                <w:szCs w:val="21"/>
                <w:highlight w:val="none"/>
              </w:rPr>
              <w:t>操作系统开发的一款基于车路协同的辅助驾驶安全预警APP；</w:t>
            </w:r>
          </w:p>
          <w:p w14:paraId="3732EAE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▲（2）支持主车车牌、车辆类型（普通车辆、特殊车辆）设置，以支持特殊车辆场景应用；</w:t>
            </w:r>
            <w:r>
              <w:rPr>
                <w:rFonts w:hint="eastAsia" w:ascii="宋体" w:hAnsi="宋体" w:eastAsia="宋体" w:cs="宋体"/>
                <w:b/>
                <w:bCs w:val="0"/>
                <w:color w:val="auto"/>
                <w:kern w:val="2"/>
                <w:sz w:val="21"/>
                <w:szCs w:val="21"/>
                <w:highlight w:val="none"/>
              </w:rPr>
              <w:t>（投标文件中提供相应功能截图证明）</w:t>
            </w:r>
          </w:p>
          <w:p w14:paraId="57083FE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▲（3）支持主车位置GIS可视化实时显示，提供卫星地图、矢量地图两种模式自由切换；</w:t>
            </w:r>
            <w:r>
              <w:rPr>
                <w:rFonts w:hint="eastAsia" w:ascii="宋体" w:hAnsi="宋体" w:eastAsia="宋体" w:cs="宋体"/>
                <w:b/>
                <w:bCs w:val="0"/>
                <w:color w:val="auto"/>
                <w:kern w:val="2"/>
                <w:sz w:val="21"/>
                <w:szCs w:val="21"/>
                <w:highlight w:val="none"/>
              </w:rPr>
              <w:t>（投标文件中提供相应功能截图证明）</w:t>
            </w:r>
          </w:p>
          <w:p w14:paraId="4EAED74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▲（4）支持车路协同场景（如弱势交通参与者冲突预警、交通事件预警等）、车车协同场景（紧急制动预警、特殊车辆提醒）语音播报与图文显示。</w:t>
            </w:r>
            <w:r>
              <w:rPr>
                <w:rFonts w:hint="eastAsia" w:ascii="宋体" w:hAnsi="宋体" w:eastAsia="宋体" w:cs="宋体"/>
                <w:b/>
                <w:bCs w:val="0"/>
                <w:color w:val="auto"/>
                <w:kern w:val="2"/>
                <w:sz w:val="21"/>
                <w:szCs w:val="21"/>
                <w:highlight w:val="none"/>
              </w:rPr>
              <w:t>（投标文件中提供相应功能截图证明）</w:t>
            </w:r>
          </w:p>
          <w:p w14:paraId="71EE7E3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w:t>
            </w:r>
            <w:r>
              <w:rPr>
                <w:rFonts w:hint="eastAsia" w:ascii="宋体" w:hAnsi="宋体" w:eastAsia="宋体" w:cs="宋体"/>
                <w:b/>
                <w:bCs w:val="0"/>
                <w:color w:val="auto"/>
                <w:kern w:val="2"/>
                <w:sz w:val="21"/>
                <w:szCs w:val="21"/>
                <w:highlight w:val="none"/>
              </w:rPr>
              <w:t>提供车路协同辅助驾驶预警类软著。</w:t>
            </w:r>
          </w:p>
        </w:tc>
        <w:tc>
          <w:tcPr>
            <w:tcW w:w="1080" w:type="dxa"/>
            <w:tcBorders>
              <w:top w:val="single" w:color="auto" w:sz="4" w:space="0"/>
              <w:left w:val="nil"/>
              <w:bottom w:val="single" w:color="auto" w:sz="4" w:space="0"/>
              <w:right w:val="single" w:color="auto" w:sz="4" w:space="0"/>
            </w:tcBorders>
            <w:noWrap w:val="0"/>
            <w:vAlign w:val="center"/>
          </w:tcPr>
          <w:p w14:paraId="4E267438">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rPr>
            </w:pPr>
            <w:r>
              <w:rPr>
                <w:rFonts w:hint="eastAsia" w:ascii="宋体" w:hAnsi="宋体" w:eastAsia="宋体" w:cs="宋体"/>
                <w:bCs/>
                <w:color w:val="auto"/>
                <w:kern w:val="2"/>
                <w:sz w:val="21"/>
                <w:szCs w:val="21"/>
                <w:highlight w:val="none"/>
                <w:lang w:val="en-US" w:eastAsia="zh-CN" w:bidi="ar"/>
              </w:rPr>
              <w:t>3台</w:t>
            </w:r>
          </w:p>
        </w:tc>
        <w:tc>
          <w:tcPr>
            <w:tcW w:w="854" w:type="dxa"/>
            <w:tcBorders>
              <w:top w:val="single" w:color="auto" w:sz="4" w:space="0"/>
              <w:left w:val="nil"/>
              <w:bottom w:val="single" w:color="auto" w:sz="4" w:space="0"/>
              <w:right w:val="single" w:color="auto" w:sz="4" w:space="0"/>
            </w:tcBorders>
            <w:noWrap w:val="0"/>
            <w:vAlign w:val="center"/>
          </w:tcPr>
          <w:p w14:paraId="38A5A43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214" w:type="dxa"/>
            <w:tcBorders>
              <w:top w:val="single" w:color="auto" w:sz="4" w:space="0"/>
              <w:left w:val="nil"/>
              <w:bottom w:val="single" w:color="auto" w:sz="4" w:space="0"/>
              <w:right w:val="single" w:color="auto" w:sz="4" w:space="0"/>
            </w:tcBorders>
            <w:noWrap w:val="0"/>
            <w:vAlign w:val="center"/>
          </w:tcPr>
          <w:p w14:paraId="1ACE5DD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07" w:type="dxa"/>
            <w:tcBorders>
              <w:top w:val="single" w:color="auto" w:sz="4" w:space="0"/>
              <w:left w:val="nil"/>
              <w:bottom w:val="single" w:color="auto" w:sz="4" w:space="0"/>
              <w:right w:val="single" w:color="auto" w:sz="4" w:space="0"/>
            </w:tcBorders>
            <w:noWrap w:val="0"/>
            <w:vAlign w:val="center"/>
          </w:tcPr>
          <w:p w14:paraId="3BBCAF2F">
            <w:pPr>
              <w:keepNext w:val="0"/>
              <w:keepLines w:val="0"/>
              <w:widowControl w:val="0"/>
              <w:suppressLineNumbers w:val="0"/>
              <w:spacing w:before="0" w:beforeAutospacing="0" w:after="0" w:afterAutospacing="0"/>
              <w:ind w:left="0" w:right="0"/>
              <w:jc w:val="center"/>
              <w:rPr>
                <w:rFonts w:hint="default" w:ascii="Calibri" w:hAnsi="Calibri" w:eastAsia="宋体" w:cs="Times New Roman"/>
                <w:color w:val="auto"/>
                <w:kern w:val="2"/>
                <w:sz w:val="21"/>
                <w:szCs w:val="21"/>
                <w:highlight w:val="none"/>
                <w:lang w:val="en-US" w:eastAsia="zh-CN"/>
              </w:rPr>
            </w:pPr>
            <w:r>
              <w:rPr>
                <w:rFonts w:hint="eastAsia" w:ascii="Calibri" w:hAnsi="Calibri" w:eastAsia="宋体" w:cs="Times New Roman"/>
                <w:color w:val="auto"/>
                <w:kern w:val="2"/>
                <w:sz w:val="21"/>
                <w:szCs w:val="21"/>
                <w:highlight w:val="none"/>
                <w:lang w:val="en-US" w:eastAsia="zh-CN"/>
              </w:rPr>
              <w:t>15000元/台</w:t>
            </w:r>
          </w:p>
        </w:tc>
      </w:tr>
      <w:tr w14:paraId="4B732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14:paraId="78179F3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w:t>
            </w:r>
          </w:p>
        </w:tc>
        <w:tc>
          <w:tcPr>
            <w:tcW w:w="1072" w:type="dxa"/>
            <w:tcBorders>
              <w:top w:val="single" w:color="auto" w:sz="4" w:space="0"/>
              <w:left w:val="nil"/>
              <w:bottom w:val="single" w:color="auto" w:sz="4" w:space="0"/>
              <w:right w:val="single" w:color="auto" w:sz="4" w:space="0"/>
            </w:tcBorders>
            <w:noWrap w:val="0"/>
            <w:vAlign w:val="center"/>
          </w:tcPr>
          <w:p w14:paraId="792AC0D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主教学显示系统</w:t>
            </w:r>
          </w:p>
        </w:tc>
        <w:tc>
          <w:tcPr>
            <w:tcW w:w="3923" w:type="dxa"/>
            <w:tcBorders>
              <w:top w:val="single" w:color="auto" w:sz="4" w:space="0"/>
              <w:left w:val="nil"/>
              <w:bottom w:val="single" w:color="auto" w:sz="4" w:space="0"/>
              <w:right w:val="single" w:color="auto" w:sz="4" w:space="0"/>
            </w:tcBorders>
            <w:noWrap w:val="0"/>
            <w:vAlign w:val="center"/>
          </w:tcPr>
          <w:p w14:paraId="7034EF8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一、整体设计</w:t>
            </w:r>
          </w:p>
          <w:p w14:paraId="5EDDD9B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1、整机采用全金属外壳，四拼接平面一体化设计，中间整机屏幕采用两块98英寸液晶显示器组成；</w:t>
            </w:r>
          </w:p>
          <w:p w14:paraId="3AA161A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2、整机采用UHD超高清LED液晶屏，显示比例16:9，分辨率3840×2160；</w:t>
            </w:r>
          </w:p>
          <w:p w14:paraId="785E8E1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3、智慧黑板整机需采用安全无锐角结构，整机边框无凹凸，兼顾美观和安全，表面钢化玻璃面板与金属铝型材结构需采用卡槽式全包边设计；</w:t>
            </w:r>
          </w:p>
          <w:p w14:paraId="0CD4C6C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4、液晶屏显示尺寸≧98英寸，采用A规屏；多点触控，Android和Windows系统均可支持40点及以上触摸：能在Windows自带画图软件中实现多点书写。分辨率：≥3840*2160；可视角度：≥178°，对比度≥7000：1；</w:t>
            </w:r>
          </w:p>
          <w:p w14:paraId="4D7E358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5、整机采用全金属外壳设计，有效屏蔽内部电路器件辐射；防潮耐盐雾蚀锈，适应多种教学环境；</w:t>
            </w:r>
          </w:p>
          <w:p w14:paraId="372F9C6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6、黑板屏体色彩覆盖率不低于NTSC 90%，色域覆盖率≥NTSC 130%，色彩度：24 bit 真彩（16.7M）屏幕最高灰阶 256 灰阶；</w:t>
            </w:r>
          </w:p>
          <w:p w14:paraId="5029E7D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▲7、前置物理按键</w:t>
            </w:r>
            <w:r>
              <w:rPr>
                <w:rFonts w:hint="eastAsia" w:ascii="宋体" w:hAnsi="宋体" w:eastAsia="宋体" w:cs="宋体"/>
                <w:bCs/>
                <w:color w:val="auto"/>
                <w:kern w:val="2"/>
                <w:sz w:val="21"/>
                <w:szCs w:val="21"/>
                <w:highlight w:val="none"/>
                <w:lang w:val="en-US" w:eastAsia="zh-CN"/>
              </w:rPr>
              <w:t>至少</w:t>
            </w:r>
            <w:r>
              <w:rPr>
                <w:rFonts w:hint="eastAsia" w:ascii="宋体" w:hAnsi="宋体" w:eastAsia="宋体" w:cs="宋体"/>
                <w:bCs/>
                <w:color w:val="auto"/>
                <w:kern w:val="2"/>
                <w:sz w:val="21"/>
                <w:szCs w:val="21"/>
                <w:highlight w:val="none"/>
              </w:rPr>
              <w:t>包含：开关机、信号源、菜单、音量+、音量-、节能、主页、电脑，并具有隐藏式电脑一键还原按钮；</w:t>
            </w:r>
            <w:r>
              <w:rPr>
                <w:rFonts w:hint="eastAsia" w:ascii="宋体" w:hAnsi="宋体" w:eastAsia="宋体" w:cs="宋体"/>
                <w:b/>
                <w:bCs w:val="0"/>
                <w:color w:val="auto"/>
                <w:kern w:val="2"/>
                <w:sz w:val="21"/>
                <w:szCs w:val="21"/>
                <w:highlight w:val="none"/>
              </w:rPr>
              <w:t>（投标文件中提供设备整体和局部照片）</w:t>
            </w:r>
          </w:p>
          <w:p w14:paraId="726DC67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8、前置端口采用前出式设计：≥2 路双通道 PC/Android 共享 USB 接口 、≥1 路 Touch-USB、≥1 路 HDMI 输入接口、≥1 路 TYPE-C 输入接口，方便用户拓展使用；前置接口保护：前置接口具备翻转保护盖，有效防止灰尘等杂物对接口的侵蚀；</w:t>
            </w:r>
          </w:p>
          <w:p w14:paraId="5A52C24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 xml:space="preserve">9、支持同时四画面无线传屏，并支持反向控制，双向控制，支持扫码传屏，支持手机、PAD 和电脑多终端平台使用； </w:t>
            </w:r>
          </w:p>
          <w:p w14:paraId="1369149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 xml:space="preserve">10、后置接口（不包含 OPS）：≥HDMI×1、≥USB×2、≥Touch USB×1、≥COAX×1、≥TF CARD×1、≥ EARPHONE×1、≥RJ45×1、≥R232×1、≥VGA×1、≥PC audio×1； </w:t>
            </w:r>
          </w:p>
          <w:p w14:paraId="0A4A807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11、自带白板功能：支持智能笔并可提前设置不同颜色、粗细，并支持三角板、直尺、圆规、量角器等数学工具，支持三角形、多边形、直线、虚线、箭头等十多种规则图形绘制，支持正方体、长方体、圆柱、圆锥等 3D 图形插入，并可可多方协同书写，屏幕可同时启动 2/3/4 个白板，分开左右区域显示，并可通过 二维码分享白板内容；</w:t>
            </w:r>
          </w:p>
          <w:p w14:paraId="4589D9D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12、其它要求：支持定时器、投票器、幕布、放大镜、聚光灯、录屏等小工具，并具有对触控单元、OPS 模块、光感系统、网络模块等模块进行检测，一键清理缓存等垃圾文件清理，一键加速优化后台任务，增加 ram 可用空间；</w:t>
            </w:r>
          </w:p>
          <w:p w14:paraId="524DFE9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13、多键合一:为使使用简单便捷，整机电视开关、电脑开关、节能待机键等多键合一；息屏状态下节能不低于 96%；</w:t>
            </w:r>
          </w:p>
          <w:p w14:paraId="521343A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14、黑板前置双音箱环境自适应扩声，输出功率15W*2；</w:t>
            </w:r>
          </w:p>
          <w:p w14:paraId="09B509A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15、整体前掀式维护：为便于维护使用方便，智慧黑板需具有前掀式维护功便捷维护能，整体向上掀起角度不小于50度，免拆卸前维护，单人即可进行设备维护；</w:t>
            </w:r>
          </w:p>
          <w:p w14:paraId="105B7C3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16、整机嵌入安卓14.0系统，内存≥4G，储存空间≥32G ；方便教学使用主页面提供5个应用程序：书写黑板、内置电脑、更多应用、文件管理、设置；支持2K/4k及以上画面输入。</w:t>
            </w:r>
          </w:p>
          <w:p w14:paraId="47E15A4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二、内置电脑</w:t>
            </w:r>
          </w:p>
          <w:p w14:paraId="536FAD5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1、采用80pin Intel通用标准接口,即插即用，易于维护；</w:t>
            </w:r>
          </w:p>
          <w:p w14:paraId="310BE0C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2、处理器：不低于Intel Corei5；内存：≥8G DDR4；硬盘：≥256G-SSD 固态硬盘；</w:t>
            </w:r>
          </w:p>
          <w:p w14:paraId="61559FE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3、内置WiFi：IEEE 802.11n 标准；内置网卡：10M/100M/1000M。</w:t>
            </w:r>
          </w:p>
          <w:p w14:paraId="47B8914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三、教学软件</w:t>
            </w:r>
          </w:p>
          <w:p w14:paraId="6091FBF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（一）白板软件要求</w:t>
            </w:r>
          </w:p>
          <w:p w14:paraId="6D75BF5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1、基于手势操作开发，简单易用，手指单点或使用触控笔就能一键快速调取教学软件及工具；</w:t>
            </w:r>
          </w:p>
          <w:p w14:paraId="5BBF6D3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2、备授课功能，具有备课模式及授课模式，且操作界面根据备课和授课使用场景不同而区别设计，支持自定义图片生成PPT背景；</w:t>
            </w:r>
          </w:p>
          <w:p w14:paraId="3A5110D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3、支持一键调取PPT文件，可选择本地导入或打开两种不同形式获取课件，并支持对调取课件进行再次编辑，保存生成独立格式保护校本资源。</w:t>
            </w:r>
          </w:p>
          <w:p w14:paraId="0466CF0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（二）移动端设备集控管理要求</w:t>
            </w:r>
          </w:p>
          <w:p w14:paraId="550FE4D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1、支持移动端远程巡课功能，在小程序端可查看大屏设备Windows桌面，支持打开大屏端摄像头，麦克风，实时查看教室情况。摄像头，麦克风选项支持打开，关闭，支持静音观看；</w:t>
            </w:r>
          </w:p>
          <w:p w14:paraId="03ABB9D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一体机设备软硬件检测功能，支持在手机上查看电脑软硬件信息（包含CPU，主板，内存，开机市场，硬盘，显卡，声卡，网卡，系统等），且支持电脑关机时查看，设备在线状态可以实时监视电脑CPU、内存使用率与温度等变化。</w:t>
            </w:r>
          </w:p>
          <w:p w14:paraId="79107ED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（三）移动授课要求：</w:t>
            </w:r>
          </w:p>
          <w:p w14:paraId="73ED224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PPT助手：把手机变成PPT翻页笔，支持PPT的播放、退出、翻页功能，且能锁定操作、屏幕常亮、触感震动反馈等，支持夜间模式。</w:t>
            </w:r>
          </w:p>
          <w:p w14:paraId="2F9312F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四、售后服务工具要求：</w:t>
            </w:r>
          </w:p>
          <w:p w14:paraId="0E9663E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1、智慧黑板端带一个使用反馈入口，点击显示反馈二维码，用户使用微信扫描进入小程序反馈平台，提交上传异常问题，异常现象等图片或视频，一键上报售后；</w:t>
            </w:r>
          </w:p>
          <w:p w14:paraId="3FB62FB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2、用户通过售后小程序可以快速查询产品使用指南，支持填写申请，预约售后服务人员；</w:t>
            </w:r>
          </w:p>
          <w:p w14:paraId="49D0812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3、用户通过售后小程序可以进行对产品，售后服务的评价，投诉；</w:t>
            </w:r>
          </w:p>
          <w:p w14:paraId="00964DD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4、售后服务通过小程序，可以查询机器的维修记录，后台可以实时了解异常情况，快速获取反馈人信息及联系方式，指定维修人员及时服务；</w:t>
            </w:r>
          </w:p>
          <w:p w14:paraId="641A216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5、智慧课堂界面含有公众号二维码，可扫码关注公众号，查看教学软件更新信息，可在公众号查看产品信息，企业信息，以及在线服务反馈。</w:t>
            </w:r>
          </w:p>
        </w:tc>
        <w:tc>
          <w:tcPr>
            <w:tcW w:w="1080" w:type="dxa"/>
            <w:tcBorders>
              <w:top w:val="single" w:color="auto" w:sz="4" w:space="0"/>
              <w:left w:val="nil"/>
              <w:bottom w:val="single" w:color="auto" w:sz="4" w:space="0"/>
              <w:right w:val="single" w:color="auto" w:sz="4" w:space="0"/>
            </w:tcBorders>
            <w:noWrap w:val="0"/>
            <w:vAlign w:val="center"/>
          </w:tcPr>
          <w:p w14:paraId="5A23DC1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1台</w:t>
            </w:r>
          </w:p>
        </w:tc>
        <w:tc>
          <w:tcPr>
            <w:tcW w:w="854" w:type="dxa"/>
            <w:tcBorders>
              <w:top w:val="single" w:color="auto" w:sz="4" w:space="0"/>
              <w:left w:val="nil"/>
              <w:bottom w:val="single" w:color="auto" w:sz="4" w:space="0"/>
              <w:right w:val="single" w:color="auto" w:sz="4" w:space="0"/>
            </w:tcBorders>
            <w:noWrap w:val="0"/>
            <w:vAlign w:val="center"/>
          </w:tcPr>
          <w:p w14:paraId="238F058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214" w:type="dxa"/>
            <w:tcBorders>
              <w:top w:val="single" w:color="auto" w:sz="4" w:space="0"/>
              <w:left w:val="nil"/>
              <w:bottom w:val="single" w:color="auto" w:sz="4" w:space="0"/>
              <w:right w:val="single" w:color="auto" w:sz="4" w:space="0"/>
            </w:tcBorders>
            <w:noWrap w:val="0"/>
            <w:vAlign w:val="center"/>
          </w:tcPr>
          <w:p w14:paraId="785F58B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07" w:type="dxa"/>
            <w:tcBorders>
              <w:top w:val="single" w:color="auto" w:sz="4" w:space="0"/>
              <w:left w:val="nil"/>
              <w:bottom w:val="single" w:color="auto" w:sz="4" w:space="0"/>
              <w:right w:val="single" w:color="auto" w:sz="4" w:space="0"/>
            </w:tcBorders>
            <w:noWrap w:val="0"/>
            <w:vAlign w:val="center"/>
          </w:tcPr>
          <w:p w14:paraId="433E8E0E">
            <w:pPr>
              <w:keepNext w:val="0"/>
              <w:keepLines w:val="0"/>
              <w:widowControl w:val="0"/>
              <w:suppressLineNumbers w:val="0"/>
              <w:spacing w:before="0" w:beforeAutospacing="0" w:after="0" w:afterAutospacing="0"/>
              <w:ind w:left="0" w:right="0"/>
              <w:jc w:val="center"/>
              <w:rPr>
                <w:rFonts w:hint="default" w:ascii="Calibri" w:hAnsi="Calibri" w:eastAsia="宋体" w:cs="Times New Roman"/>
                <w:color w:val="auto"/>
                <w:kern w:val="2"/>
                <w:sz w:val="21"/>
                <w:szCs w:val="21"/>
                <w:highlight w:val="none"/>
                <w:lang w:val="en-US" w:eastAsia="zh-CN"/>
              </w:rPr>
            </w:pPr>
            <w:r>
              <w:rPr>
                <w:rFonts w:hint="eastAsia" w:ascii="Calibri" w:hAnsi="Calibri" w:eastAsia="宋体" w:cs="Times New Roman"/>
                <w:color w:val="auto"/>
                <w:kern w:val="2"/>
                <w:sz w:val="21"/>
                <w:szCs w:val="21"/>
                <w:highlight w:val="none"/>
                <w:lang w:val="en-US" w:eastAsia="zh-CN"/>
              </w:rPr>
              <w:t>89000元/台</w:t>
            </w:r>
          </w:p>
        </w:tc>
      </w:tr>
      <w:tr w14:paraId="7F421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14:paraId="7A0F4B9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w:t>
            </w:r>
          </w:p>
        </w:tc>
        <w:tc>
          <w:tcPr>
            <w:tcW w:w="1072" w:type="dxa"/>
            <w:tcBorders>
              <w:top w:val="single" w:color="auto" w:sz="4" w:space="0"/>
              <w:left w:val="nil"/>
              <w:bottom w:val="single" w:color="auto" w:sz="4" w:space="0"/>
              <w:right w:val="single" w:color="auto" w:sz="4" w:space="0"/>
            </w:tcBorders>
            <w:noWrap w:val="0"/>
            <w:vAlign w:val="center"/>
          </w:tcPr>
          <w:p w14:paraId="1EDAEB6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rPr>
              <w:t>智能网联汽车</w:t>
            </w:r>
            <w:r>
              <w:rPr>
                <w:rFonts w:hint="eastAsia" w:ascii="宋体" w:hAnsi="宋体" w:eastAsia="宋体" w:cs="宋体"/>
                <w:bCs/>
                <w:color w:val="auto"/>
                <w:kern w:val="2"/>
                <w:sz w:val="21"/>
                <w:szCs w:val="21"/>
                <w:highlight w:val="none"/>
              </w:rPr>
              <w:t>营销策划模拟沙盘教学系统</w:t>
            </w:r>
          </w:p>
        </w:tc>
        <w:tc>
          <w:tcPr>
            <w:tcW w:w="3923" w:type="dxa"/>
            <w:tcBorders>
              <w:top w:val="single" w:color="auto" w:sz="4" w:space="0"/>
              <w:left w:val="nil"/>
              <w:bottom w:val="single" w:color="auto" w:sz="4" w:space="0"/>
              <w:right w:val="single" w:color="auto" w:sz="4" w:space="0"/>
            </w:tcBorders>
            <w:noWrap w:val="0"/>
            <w:vAlign w:val="center"/>
          </w:tcPr>
          <w:p w14:paraId="6D7CCA8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1、系统是模拟</w:t>
            </w:r>
            <w:r>
              <w:rPr>
                <w:rFonts w:hint="eastAsia" w:ascii="宋体" w:hAnsi="宋体" w:eastAsia="宋体" w:cs="宋体"/>
                <w:bCs/>
                <w:color w:val="auto"/>
                <w:kern w:val="2"/>
                <w:sz w:val="21"/>
                <w:szCs w:val="21"/>
                <w:highlight w:val="none"/>
                <w:lang w:val="en-US" w:eastAsia="zh-CN"/>
              </w:rPr>
              <w:t>智能网联</w:t>
            </w:r>
            <w:r>
              <w:rPr>
                <w:rFonts w:hint="eastAsia" w:ascii="宋体" w:hAnsi="宋体" w:eastAsia="宋体" w:cs="宋体"/>
                <w:bCs/>
                <w:color w:val="auto"/>
                <w:kern w:val="2"/>
                <w:sz w:val="21"/>
                <w:szCs w:val="21"/>
                <w:highlight w:val="none"/>
              </w:rPr>
              <w:t>汽车销售企业市场部营销岗位工作过程，围绕</w:t>
            </w:r>
            <w:r>
              <w:rPr>
                <w:rFonts w:hint="eastAsia" w:ascii="宋体" w:hAnsi="宋体" w:eastAsia="宋体" w:cs="宋体"/>
                <w:bCs/>
                <w:color w:val="auto"/>
                <w:kern w:val="2"/>
                <w:sz w:val="21"/>
                <w:szCs w:val="21"/>
                <w:highlight w:val="none"/>
                <w:lang w:val="en-US" w:eastAsia="zh-CN"/>
              </w:rPr>
              <w:t>车辆</w:t>
            </w:r>
            <w:r>
              <w:rPr>
                <w:rFonts w:hint="eastAsia" w:ascii="宋体" w:hAnsi="宋体" w:eastAsia="宋体" w:cs="宋体"/>
                <w:bCs/>
                <w:color w:val="auto"/>
                <w:kern w:val="2"/>
                <w:sz w:val="21"/>
                <w:szCs w:val="21"/>
                <w:highlight w:val="none"/>
              </w:rPr>
              <w:t>营销策划工作要点，结合市场动态及营销理论，并利用电子沙盘、实物沙盘相结合的形式，进行数据模拟推演和实物展示，从而满足使用者对汽车营销策划工作流程的熟悉与掌握，具备相应知识与技能，达到训练、巩固与应用的教学目的，充分满足</w:t>
            </w:r>
            <w:r>
              <w:rPr>
                <w:rFonts w:hint="eastAsia" w:ascii="宋体" w:hAnsi="宋体" w:eastAsia="宋体" w:cs="宋体"/>
                <w:bCs/>
                <w:color w:val="auto"/>
                <w:kern w:val="2"/>
                <w:sz w:val="21"/>
                <w:szCs w:val="21"/>
                <w:highlight w:val="none"/>
                <w:lang w:val="en-US" w:eastAsia="zh-CN"/>
              </w:rPr>
              <w:t>车辆</w:t>
            </w:r>
            <w:r>
              <w:rPr>
                <w:rFonts w:hint="eastAsia" w:ascii="宋体" w:hAnsi="宋体" w:eastAsia="宋体" w:cs="宋体"/>
                <w:bCs/>
                <w:color w:val="auto"/>
                <w:kern w:val="2"/>
                <w:sz w:val="21"/>
                <w:szCs w:val="21"/>
                <w:highlight w:val="none"/>
              </w:rPr>
              <w:t>营销领域教学、培训、考核、竞赛、考证五位一体的市场需求。</w:t>
            </w:r>
          </w:p>
          <w:p w14:paraId="7480C21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2、系统以工作过程为导向，以典型工作任务为载体，设置任务式学习内容，根据</w:t>
            </w:r>
            <w:r>
              <w:rPr>
                <w:rFonts w:hint="eastAsia" w:ascii="宋体" w:hAnsi="宋体" w:eastAsia="宋体" w:cs="宋体"/>
                <w:bCs/>
                <w:color w:val="auto"/>
                <w:kern w:val="2"/>
                <w:sz w:val="21"/>
                <w:szCs w:val="21"/>
                <w:highlight w:val="none"/>
                <w:lang w:val="en-US" w:eastAsia="zh-CN"/>
              </w:rPr>
              <w:t>车辆</w:t>
            </w:r>
            <w:r>
              <w:rPr>
                <w:rFonts w:hint="eastAsia" w:ascii="宋体" w:hAnsi="宋体" w:eastAsia="宋体" w:cs="宋体"/>
                <w:bCs/>
                <w:color w:val="auto"/>
                <w:kern w:val="2"/>
                <w:sz w:val="21"/>
                <w:szCs w:val="21"/>
                <w:highlight w:val="none"/>
              </w:rPr>
              <w:t>营销策划岗位业务流程，系统提供了背景分析、市场调研、目标确定、策略选择、计划制定、活动实施、评价总结七大核心工作任务。</w:t>
            </w:r>
          </w:p>
          <w:p w14:paraId="4F99F0B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3、系统具备背景信息功能提示按钮，在答题中可随时查看背景信息。</w:t>
            </w:r>
          </w:p>
          <w:p w14:paraId="1CC7DE8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4、系统具备2个提交按钮，包含提交活动策划按钮和提交考试按钮。</w:t>
            </w:r>
          </w:p>
          <w:p w14:paraId="0A4E0B4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5、系统提供练习功能，提供了任务下达、知识学习、案例学习、任务实施、拓展训练和答案比对。</w:t>
            </w:r>
          </w:p>
          <w:p w14:paraId="4BC9869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6、系统知识准备中提供多媒体资源，资源形式包括视频和动画。</w:t>
            </w:r>
          </w:p>
          <w:p w14:paraId="6672D7B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7、背景分析模块中资源至少包含：如何进行汽车销售市场宏观分析、厂家商务政策介绍、如何分析经销商的基本信息、如何分析经销商销售及库存情况、如何分析经销商客户分级管理情况、如何分析往期活动数据、如何分析竞品车型。</w:t>
            </w:r>
          </w:p>
          <w:p w14:paraId="42D9369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8、市场调研模块中资源至少包含：如何选择市场调研地点、如何选择调研方式、SWOT分析法介绍。</w:t>
            </w:r>
          </w:p>
          <w:p w14:paraId="02B477E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9、目标确定模块中资源至少包含：如何确定目标车型、如何圈定目标客户范围、如何制定活动销量目标、如何确定集客目标、如何确立活动主题、常见的</w:t>
            </w:r>
            <w:r>
              <w:rPr>
                <w:rFonts w:hint="eastAsia" w:ascii="宋体" w:hAnsi="宋体" w:eastAsia="宋体" w:cs="宋体"/>
                <w:bCs/>
                <w:color w:val="auto"/>
                <w:kern w:val="2"/>
                <w:sz w:val="21"/>
                <w:szCs w:val="21"/>
                <w:highlight w:val="none"/>
                <w:lang w:val="en-US" w:eastAsia="zh-CN"/>
              </w:rPr>
              <w:t>车辆</w:t>
            </w:r>
            <w:r>
              <w:rPr>
                <w:rFonts w:hint="eastAsia" w:ascii="宋体" w:hAnsi="宋体" w:eastAsia="宋体" w:cs="宋体"/>
                <w:bCs/>
                <w:color w:val="auto"/>
                <w:kern w:val="2"/>
                <w:sz w:val="21"/>
                <w:szCs w:val="21"/>
                <w:highlight w:val="none"/>
              </w:rPr>
              <w:t>营销活动类型介绍。</w:t>
            </w:r>
          </w:p>
          <w:p w14:paraId="71B60C0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10、策略选择模块中资源至少包含：汽车定价与衍生业务策略、如何选择销售促进策略、广告媒介特点分析、公共关系介绍、如何进行异业联盟营销。</w:t>
            </w:r>
          </w:p>
          <w:p w14:paraId="604139C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11、计划制定模块中资源至少包含：汽车营销活动参与的部门及内容、活动时间安排的技巧、特色活动介绍、汽车营销活动流程介绍，场地查勘的方法、场地查勘的作用及工作流程、如何制定活动预算。</w:t>
            </w:r>
          </w:p>
          <w:p w14:paraId="492547B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12、活动实施模块中资源至少包含：汽车营销活动的物料准备、汽车营销活动的人员准备、如何根据布置品的特性进行场地布置、如何应对促销活动中的突发事件。</w:t>
            </w:r>
          </w:p>
          <w:p w14:paraId="74FD4C8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13、评价总结模块中资源至少包含：营销活动成果对比。</w:t>
            </w:r>
          </w:p>
          <w:p w14:paraId="1A82C82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14、系统提供拓展训练，拓展训练中针对不同环节设置相关习题，类型有单选题、多选题、判断题、简答题。</w:t>
            </w:r>
          </w:p>
          <w:p w14:paraId="7428192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15、考试端分为活动策划和方案汇报两个模块。</w:t>
            </w:r>
          </w:p>
          <w:p w14:paraId="56FDC2C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16、活动策划主要以制作完整汽车营销策划方案为任务目标，包含背景分析、市场调研、目标确定、策略选择、计划制定、活动实施、评价总结七大模块。</w:t>
            </w:r>
          </w:p>
          <w:p w14:paraId="37C5A70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17、背景分析模块为学生提供汽车营销策划活动的背景信息，包含城市信息、经销商信息、厂家信息、竞品信息和市场调研结果。</w:t>
            </w:r>
          </w:p>
          <w:p w14:paraId="78AB75B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18、系统中图表形式多样，并且提供统计图与表格两种形式自由切换功能，鼠标滑过统计图可显示数据。</w:t>
            </w:r>
          </w:p>
          <w:p w14:paraId="1DEF02C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19、市场调研模块包含调研地点、调研方式和SWOT分析，调研地点涵盖了店外调查和店内调查，调查方式涵盖了访谈、问卷和网络调查。</w:t>
            </w:r>
          </w:p>
          <w:p w14:paraId="4E5FD31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20、目标确定模块包含目标车型、目标客户、销量目标、集客目标、活动类型和活动主题。</w:t>
            </w:r>
          </w:p>
          <w:p w14:paraId="118C72B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21、策略选择模块涵盖了汽车定价策略、销售促进策略、广告策略、公共关系和异业联盟。</w:t>
            </w:r>
          </w:p>
          <w:p w14:paraId="3772AB8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22、销售促进策略包含分期付款优惠、置换补贴优惠、抽奖礼包和销售奖励。</w:t>
            </w:r>
          </w:p>
          <w:p w14:paraId="0CB1B9C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22、广告策略包含电视广告、平面广告、广播广告和网络广告，为策划汽车营销活动方案提供支持。</w:t>
            </w:r>
          </w:p>
          <w:p w14:paraId="055FC5D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23、异业联盟，包含汽车媒体网站、百货市场、房地产公司、电器专营店、银行企业、保险公司和学校。</w:t>
            </w:r>
          </w:p>
          <w:p w14:paraId="09BC0CF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24、计划制定模块包含活动安排、特色活动、活动流程、场地查勘和活动预算，引导完成汽车营销策划活动的制定。</w:t>
            </w:r>
          </w:p>
          <w:p w14:paraId="558E922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25、计划制定模块提供生成甘特图功能，通过项目名称、起始时间、完成时间、工作内容和负责部门生成相应的甘特图，且系统具备新建、删除操作功能。</w:t>
            </w:r>
          </w:p>
          <w:p w14:paraId="2A2E6DA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26、系统提供活动预算查看功能，包含礼包费用、场地费用、人员费用、物料费用、宣传费用、特色活动。</w:t>
            </w:r>
          </w:p>
          <w:p w14:paraId="42C4C02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27、活动实施模块提供人员培训和应急方案，人员培训能够选择活动恰当的培训内容，应急方案包含场地类、媒体类、演艺活动类和其它突发类。</w:t>
            </w:r>
          </w:p>
          <w:p w14:paraId="214E649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28、评价总结模块包含活动评价，以图表形式展示销售结果，至少包含各个车型活动销量统计图、销售数据对比表、活动三款车型总销量统计图、活动总集客量、活动总成交率、活动单车利润。</w:t>
            </w:r>
          </w:p>
          <w:p w14:paraId="62A6103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29、活动评价提供测算利润变动总额和销售增长率了解汽车营销策划的活动效果。</w:t>
            </w:r>
          </w:p>
          <w:p w14:paraId="6DAC437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30、系统提供方案汇报功能，包括演示文案制作、策划方案展示和策划文案编辑。</w:t>
            </w:r>
          </w:p>
          <w:p w14:paraId="02C746A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31、系统具备策划方案展示功能，将作答的营销策划方案以背景分析、市场调研、目标确定、策略选择、计划制定、活动实施和评价总结七大环节分别展示。</w:t>
            </w:r>
          </w:p>
          <w:p w14:paraId="1EC8286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32、系统支持打开ppt、word文件，并具备编辑修改功能。</w:t>
            </w:r>
          </w:p>
          <w:p w14:paraId="5D77F26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33、系统支持对“活动策划”操作数据自动生成word版策划方案，并支持对策划文案二次编辑或下载。</w:t>
            </w:r>
          </w:p>
          <w:p w14:paraId="0138683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34、演示文案制作中提供3个默认的演示模板，分别是展厅模板、试乘试驾模板、车展模板，并具备新建演示文案功能供学生使用。35、对于教师提供后台管理功能，包括基础数据管理、业务数据管理、试卷管理、考试管理、练习管理、日志管理、个性图片管理功能，教师可通过后台组建试卷、发布考试或练习、查看学生提交的策划方案、考核成绩。</w:t>
            </w:r>
          </w:p>
          <w:p w14:paraId="4D30B4C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36、基础数据管理模块对于城市数据、车型组合里的数据提供新建数据、启用/禁用、查看操作功能。</w:t>
            </w:r>
          </w:p>
          <w:p w14:paraId="2314C2B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37、业务数据管理模块对于厂家信息、经销商信息、销售数据、竞品信息、调查问题、车型配置、活动目标、销售奖励范围提供新建数据、启用/禁用、查看操作功能。</w:t>
            </w:r>
          </w:p>
          <w:p w14:paraId="4698482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38、教师可以通过练习管理和考试管理进行新建练习和考试，系统提供启用/禁用练习和考试功能。</w:t>
            </w:r>
          </w:p>
          <w:p w14:paraId="632EF39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39、系统提供新建试卷功能，教师用户可根据实际教学情况对试卷信息、参数进行调整，自行设计或调整实训项目。</w:t>
            </w:r>
          </w:p>
          <w:p w14:paraId="34DBB48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40、根据考核要求，系统提供针对学生作答的结果进行自动评分的功能，并且可查看学生的客观成绩详情。</w:t>
            </w:r>
          </w:p>
          <w:p w14:paraId="49E2589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41、系统具备导出指定练习或考试的成绩列表功能。</w:t>
            </w:r>
          </w:p>
          <w:p w14:paraId="109B870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42、系统具备日志管理功能，可通过至少4种要素进行筛选，包含操作人、请求ip、开始日期和结束日期。</w:t>
            </w:r>
          </w:p>
          <w:p w14:paraId="08C49C3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43、该软件采用B/S框架结构，能够在校园网内供多人使用，注册时站点数可根据用户需要设置，后台采用开源的MYSQL数据库，避免了昂贵开支。</w:t>
            </w:r>
          </w:p>
          <w:p w14:paraId="16617F9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 w:val="0"/>
                <w:bCs/>
                <w:color w:val="auto"/>
                <w:kern w:val="2"/>
                <w:sz w:val="21"/>
                <w:szCs w:val="21"/>
                <w:highlight w:val="none"/>
              </w:rPr>
            </w:pPr>
            <w:r>
              <w:rPr>
                <w:rFonts w:hint="eastAsia" w:ascii="宋体" w:hAnsi="宋体" w:eastAsia="宋体" w:cs="宋体"/>
                <w:bCs/>
                <w:color w:val="auto"/>
                <w:kern w:val="2"/>
                <w:sz w:val="21"/>
                <w:szCs w:val="21"/>
                <w:highlight w:val="none"/>
              </w:rPr>
              <w:t>44、软件需满足</w:t>
            </w:r>
            <w:r>
              <w:rPr>
                <w:rFonts w:hint="eastAsia" w:ascii="宋体" w:hAnsi="宋体" w:eastAsia="宋体" w:cs="宋体"/>
                <w:b w:val="0"/>
                <w:bCs/>
                <w:color w:val="auto"/>
                <w:kern w:val="2"/>
                <w:sz w:val="21"/>
                <w:szCs w:val="21"/>
                <w:highlight w:val="none"/>
              </w:rPr>
              <w:t>学校学生的日常实训和参与汽车营销比赛的竞赛要求。</w:t>
            </w:r>
          </w:p>
          <w:p w14:paraId="389078F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 w:val="0"/>
                <w:bCs/>
                <w:color w:val="auto"/>
                <w:kern w:val="2"/>
                <w:sz w:val="21"/>
                <w:szCs w:val="21"/>
                <w:highlight w:val="none"/>
                <w:lang w:eastAsia="zh-CN"/>
              </w:rPr>
            </w:pPr>
            <w:r>
              <w:rPr>
                <w:rFonts w:hint="eastAsia" w:ascii="宋体" w:hAnsi="宋体" w:eastAsia="宋体" w:cs="宋体"/>
                <w:b w:val="0"/>
                <w:bCs/>
                <w:color w:val="auto"/>
                <w:kern w:val="2"/>
                <w:sz w:val="21"/>
                <w:szCs w:val="21"/>
                <w:highlight w:val="none"/>
                <w:lang w:val="en-US" w:eastAsia="zh-CN"/>
              </w:rPr>
              <w:t>45、</w:t>
            </w:r>
            <w:r>
              <w:rPr>
                <w:rFonts w:hint="eastAsia" w:ascii="宋体" w:hAnsi="宋体" w:eastAsia="宋体" w:cs="宋体"/>
                <w:b w:val="0"/>
                <w:bCs/>
                <w:color w:val="auto"/>
                <w:kern w:val="2"/>
                <w:sz w:val="21"/>
                <w:szCs w:val="21"/>
                <w:highlight w:val="none"/>
              </w:rPr>
              <w:t>产品配套教学仿真软件</w:t>
            </w:r>
            <w:r>
              <w:rPr>
                <w:rFonts w:hint="eastAsia" w:ascii="宋体" w:hAnsi="宋体" w:eastAsia="宋体" w:cs="宋体"/>
                <w:b w:val="0"/>
                <w:bCs/>
                <w:color w:val="auto"/>
                <w:kern w:val="2"/>
                <w:sz w:val="21"/>
                <w:szCs w:val="21"/>
                <w:highlight w:val="none"/>
                <w:lang w:eastAsia="zh-CN"/>
              </w:rPr>
              <w:t>。</w:t>
            </w:r>
          </w:p>
          <w:p w14:paraId="3C3844F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1、汽车组装平台</w:t>
            </w:r>
          </w:p>
          <w:p w14:paraId="4D100A3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（1）平台以新能源汽车典型车型，和传统汽车典型车型为样车，让用户学习汽车的各个部件，并了解其在汽车上的位置。</w:t>
            </w:r>
          </w:p>
          <w:p w14:paraId="2977747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平台以三维仿真技术构建汽车及其部件模型，选车时用户可旋转全方位查看车辆。用户可通过左右滑动屏幕控制视角，以第一人称的视角观察实车和配件，如同身临其境。各个汽车部件配以说明，让用户能够学习到各个部件的用途，且用户可以通过左右滑动屏幕对部件进行360度旋转观看。拖动部件时，车辆显示相应位置提示，让用户从中学习认知各部件的位置。车辆行驶时，可操控视角查看不同角度的车辆效果。</w:t>
            </w:r>
          </w:p>
          <w:p w14:paraId="41E16B8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3、PDI检查仿真教学系统</w:t>
            </w:r>
          </w:p>
          <w:p w14:paraId="5F73DD1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本系统选取典型新能源汽车车型，通过三维仿真技术构建新能源汽车及其部件模型并搭建新能源汽车专用车间。可兼顾辅助教学功能，可用于教师课堂授课及辅助学生通过虚拟技术自主完成电动汽车PDI检查流程的知识学习和基本技能的虚拟实训。</w:t>
            </w:r>
          </w:p>
          <w:p w14:paraId="01725D2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（2）学习资源模块包含：示范视频和知识详解。</w:t>
            </w:r>
          </w:p>
        </w:tc>
        <w:tc>
          <w:tcPr>
            <w:tcW w:w="1080" w:type="dxa"/>
            <w:tcBorders>
              <w:top w:val="single" w:color="auto" w:sz="4" w:space="0"/>
              <w:left w:val="nil"/>
              <w:bottom w:val="single" w:color="auto" w:sz="4" w:space="0"/>
              <w:right w:val="single" w:color="auto" w:sz="4" w:space="0"/>
            </w:tcBorders>
            <w:noWrap w:val="0"/>
            <w:vAlign w:val="center"/>
          </w:tcPr>
          <w:p w14:paraId="0EC22BE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1套</w:t>
            </w:r>
          </w:p>
        </w:tc>
        <w:tc>
          <w:tcPr>
            <w:tcW w:w="854" w:type="dxa"/>
            <w:tcBorders>
              <w:top w:val="single" w:color="auto" w:sz="4" w:space="0"/>
              <w:left w:val="nil"/>
              <w:bottom w:val="single" w:color="auto" w:sz="4" w:space="0"/>
              <w:right w:val="single" w:color="auto" w:sz="4" w:space="0"/>
            </w:tcBorders>
            <w:noWrap w:val="0"/>
            <w:vAlign w:val="center"/>
          </w:tcPr>
          <w:p w14:paraId="5A9E60B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软件和信息技术服务业</w:t>
            </w:r>
          </w:p>
        </w:tc>
        <w:tc>
          <w:tcPr>
            <w:tcW w:w="1214" w:type="dxa"/>
            <w:tcBorders>
              <w:top w:val="single" w:color="auto" w:sz="4" w:space="0"/>
              <w:left w:val="nil"/>
              <w:bottom w:val="single" w:color="auto" w:sz="4" w:space="0"/>
              <w:right w:val="single" w:color="auto" w:sz="4" w:space="0"/>
            </w:tcBorders>
            <w:noWrap w:val="0"/>
            <w:vAlign w:val="center"/>
          </w:tcPr>
          <w:p w14:paraId="23F789B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07" w:type="dxa"/>
            <w:tcBorders>
              <w:top w:val="single" w:color="auto" w:sz="4" w:space="0"/>
              <w:left w:val="nil"/>
              <w:bottom w:val="single" w:color="auto" w:sz="4" w:space="0"/>
              <w:right w:val="single" w:color="auto" w:sz="4" w:space="0"/>
            </w:tcBorders>
            <w:noWrap w:val="0"/>
            <w:vAlign w:val="center"/>
          </w:tcPr>
          <w:p w14:paraId="662D31B8">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134000元/套</w:t>
            </w:r>
          </w:p>
        </w:tc>
      </w:tr>
      <w:tr w14:paraId="05931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14:paraId="3C7AB9B0">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11</w:t>
            </w:r>
          </w:p>
        </w:tc>
        <w:tc>
          <w:tcPr>
            <w:tcW w:w="1072" w:type="dxa"/>
            <w:tcBorders>
              <w:top w:val="single" w:color="auto" w:sz="4" w:space="0"/>
              <w:left w:val="nil"/>
              <w:bottom w:val="single" w:color="auto" w:sz="4" w:space="0"/>
              <w:right w:val="single" w:color="auto" w:sz="4" w:space="0"/>
            </w:tcBorders>
            <w:noWrap w:val="0"/>
            <w:vAlign w:val="center"/>
          </w:tcPr>
          <w:p w14:paraId="6368834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环境改造</w:t>
            </w:r>
          </w:p>
        </w:tc>
        <w:tc>
          <w:tcPr>
            <w:tcW w:w="3923" w:type="dxa"/>
            <w:tcBorders>
              <w:top w:val="single" w:color="auto" w:sz="4" w:space="0"/>
              <w:left w:val="nil"/>
              <w:bottom w:val="single" w:color="auto" w:sz="4" w:space="0"/>
              <w:right w:val="single" w:color="auto" w:sz="4" w:space="0"/>
            </w:tcBorders>
            <w:noWrap w:val="0"/>
            <w:vAlign w:val="center"/>
          </w:tcPr>
          <w:p w14:paraId="3F6A955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整体要求：</w:t>
            </w:r>
          </w:p>
          <w:p w14:paraId="4AD18DC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1、现有实训场地改建，要求符合车路云一体实训使用需求，场地约250平方米。</w:t>
            </w:r>
          </w:p>
          <w:p w14:paraId="4B0F857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2、灯光改造：实训场地灯光按需配置，确保场地整体照明明亮。</w:t>
            </w:r>
          </w:p>
          <w:p w14:paraId="6CC262E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3、强弱电改造：强弱电改造符合设备使用需求，确保设备使用无安全隐患。</w:t>
            </w:r>
          </w:p>
          <w:p w14:paraId="07742D6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4、地面改造：地坪按照功能区域，有明显警示线划分。</w:t>
            </w:r>
          </w:p>
          <w:p w14:paraId="151B0FE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5、吊顶改造：实训场地吊顶装修，与学校实训室建设风格保持一致。</w:t>
            </w:r>
          </w:p>
          <w:p w14:paraId="114EB1B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6、实训配套：配置教学桌椅、音响等辅助设备，支持实训室教学实训使用。</w:t>
            </w:r>
          </w:p>
          <w:p w14:paraId="2443E4B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7、主题主题风格设计：突出智能网联、车路协同、车路云一体化等发展方向。</w:t>
            </w:r>
          </w:p>
        </w:tc>
        <w:tc>
          <w:tcPr>
            <w:tcW w:w="1080" w:type="dxa"/>
            <w:tcBorders>
              <w:top w:val="single" w:color="auto" w:sz="4" w:space="0"/>
              <w:left w:val="nil"/>
              <w:bottom w:val="single" w:color="auto" w:sz="4" w:space="0"/>
              <w:right w:val="single" w:color="auto" w:sz="4" w:space="0"/>
            </w:tcBorders>
            <w:noWrap w:val="0"/>
            <w:vAlign w:val="center"/>
          </w:tcPr>
          <w:p w14:paraId="68860946">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1批</w:t>
            </w:r>
          </w:p>
        </w:tc>
        <w:tc>
          <w:tcPr>
            <w:tcW w:w="854" w:type="dxa"/>
            <w:tcBorders>
              <w:top w:val="single" w:color="auto" w:sz="4" w:space="0"/>
              <w:left w:val="nil"/>
              <w:bottom w:val="single" w:color="auto" w:sz="4" w:space="0"/>
              <w:right w:val="single" w:color="auto" w:sz="4" w:space="0"/>
            </w:tcBorders>
            <w:noWrap w:val="0"/>
            <w:vAlign w:val="center"/>
          </w:tcPr>
          <w:p w14:paraId="181C2D7A">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建筑业</w:t>
            </w:r>
          </w:p>
        </w:tc>
        <w:tc>
          <w:tcPr>
            <w:tcW w:w="1214" w:type="dxa"/>
            <w:tcBorders>
              <w:top w:val="single" w:color="auto" w:sz="4" w:space="0"/>
              <w:left w:val="nil"/>
              <w:bottom w:val="single" w:color="auto" w:sz="4" w:space="0"/>
              <w:right w:val="single" w:color="auto" w:sz="4" w:space="0"/>
            </w:tcBorders>
            <w:noWrap w:val="0"/>
            <w:vAlign w:val="center"/>
          </w:tcPr>
          <w:p w14:paraId="31E38D4E">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07" w:type="dxa"/>
            <w:tcBorders>
              <w:top w:val="single" w:color="auto" w:sz="4" w:space="0"/>
              <w:left w:val="nil"/>
              <w:bottom w:val="single" w:color="auto" w:sz="4" w:space="0"/>
              <w:right w:val="single" w:color="auto" w:sz="4" w:space="0"/>
            </w:tcBorders>
            <w:noWrap w:val="0"/>
            <w:vAlign w:val="center"/>
          </w:tcPr>
          <w:p w14:paraId="4399668B">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20000元/批</w:t>
            </w:r>
          </w:p>
        </w:tc>
      </w:tr>
    </w:tbl>
    <w:p w14:paraId="1E957F97">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注：1.以上技术参数及要求中的所有规格尺寸长度、宽度允许有细微偏差。投标人自行勘察本项目实施现场，核对现场可能影响货物后期安装的全部因素，确保所投货物满足现场实际安装要求；因未勘察现场而引起的一切责任由投标人自行承担。</w:t>
      </w:r>
    </w:p>
    <w:p w14:paraId="6E804AE0">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2.清单中非定制货物、设备尺寸允许有细微偏差，但如果在后期安装过程中出现不符合现场实际安装情况，中标人则需无条件更换货物、设备。</w:t>
      </w:r>
    </w:p>
    <w:p w14:paraId="11CB6FBE">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3.产品验收前必须保证合格；按甲方要求送检，甲方有权委托第三方进行产品质量、规格要求等检测，检测不合格的更换所有产品并承担违约责任及损失。</w:t>
      </w:r>
    </w:p>
    <w:p w14:paraId="4A7D22CD">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4.本项目涉及安全、消防、环保问题，中标人须确保通过相关行业主管部门验收。</w:t>
      </w:r>
    </w:p>
    <w:p w14:paraId="12661C99">
      <w:p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三、报价要求</w:t>
      </w:r>
      <w:bookmarkEnd w:id="24"/>
      <w:bookmarkEnd w:id="25"/>
    </w:p>
    <w:p w14:paraId="0969CE64">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投标报价包括对应本项目需求的全部货物及所需附件购置费、包装费、运输费、人工费、保险费、安装调试费、各种税费、资料费、售后服务费及完成项目应有的全部费用。采购人后期不予追加任何费用，请投标人综合考虑各种风险，谨慎报价。</w:t>
      </w:r>
    </w:p>
    <w:p w14:paraId="68C53943">
      <w:pPr>
        <w:spacing w:line="360" w:lineRule="auto"/>
        <w:ind w:firstLine="437"/>
        <w:outlineLvl w:val="1"/>
        <w:rPr>
          <w:rFonts w:hint="eastAsia" w:ascii="宋体" w:hAnsi="宋体" w:eastAsia="宋体"/>
          <w:b/>
          <w:bCs/>
          <w:color w:val="auto"/>
          <w:sz w:val="24"/>
          <w:szCs w:val="18"/>
          <w:highlight w:val="none"/>
        </w:rPr>
      </w:pPr>
      <w:bookmarkStart w:id="26" w:name="_Toc15293"/>
      <w:bookmarkStart w:id="27" w:name="_Toc14698"/>
      <w:r>
        <w:rPr>
          <w:rFonts w:hint="eastAsia" w:ascii="宋体" w:hAnsi="宋体" w:eastAsia="宋体"/>
          <w:b/>
          <w:bCs/>
          <w:color w:val="auto"/>
          <w:sz w:val="24"/>
          <w:szCs w:val="18"/>
          <w:highlight w:val="none"/>
        </w:rPr>
        <w:t>四、其他要求</w:t>
      </w:r>
      <w:bookmarkEnd w:id="26"/>
      <w:bookmarkEnd w:id="27"/>
    </w:p>
    <w:p w14:paraId="46A39C4C">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（一）货物的生产、安装、维修、检验、验收等按照以下原则执行：有国家标准的执行国家标准；无国家标准的执行行业标准；无行业标准的执行地方标准；无地方标准的执行企业标准。</w:t>
      </w:r>
    </w:p>
    <w:p w14:paraId="36DB5F57">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二）如果在技术参数或配置中标明了品牌或产地，则仅供参考，并非指定，但投标人提供的货物必须满足主要技术参数及配置要求，投标人可以选用替代的方案，但这种替代整体上要优于或相当于招标文件的相关要求。</w:t>
      </w:r>
    </w:p>
    <w:p w14:paraId="0667823A">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三）供货时所有货物（包括零部件）须为全新的、未使用过的原装正品，并完全符合国家质量标准，提供厂家出具的合格证书、有国家强制性认证要求的产品须提供相应证书，货物的技术参数及配置情况必须由投标人提供国家相关检测机构出具的检验报告、生产厂家公开发布的印刷资料等技术资料予以支持。没有技术资料支持的技术参数及配置不能视为响应。 (厂家出具的合格证书供货时提供)</w:t>
      </w:r>
    </w:p>
    <w:p w14:paraId="41B4BE42">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（四）技术支持</w:t>
      </w:r>
    </w:p>
    <w:p w14:paraId="5C27CBA3">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1.中标人应向采购人提供全方位、及时而有效的技术支持和服务。</w:t>
      </w:r>
    </w:p>
    <w:p w14:paraId="6182F906">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2.中标人负责供货、安装、调试。</w:t>
      </w:r>
    </w:p>
    <w:p w14:paraId="32584F71">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3.中标人负责将货物的全部有关技术文件（外文应提供中文翻译资料，下同）、施工图纸、资料、测试、验收报告等汇集成册交付采购人，涉及进口的产品或部件配件软件等须提供中国海关进口货物报关单、完税证明及商检证明等材料。</w:t>
      </w:r>
    </w:p>
    <w:p w14:paraId="47931428">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（五）质保及售后服务：</w:t>
      </w:r>
    </w:p>
    <w:p w14:paraId="3AAB73F6">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1.中标人</w:t>
      </w:r>
      <w:r>
        <w:rPr>
          <w:rFonts w:hint="eastAsia" w:ascii="宋体" w:hAnsi="宋体" w:eastAsia="宋体"/>
          <w:bCs/>
          <w:color w:val="auto"/>
          <w:sz w:val="24"/>
          <w:szCs w:val="18"/>
          <w:highlight w:val="none"/>
          <w:lang w:val="en-US" w:eastAsia="zh-CN"/>
        </w:rPr>
        <w:t>所投货物产品</w:t>
      </w:r>
      <w:r>
        <w:rPr>
          <w:rFonts w:hint="eastAsia" w:ascii="宋体" w:hAnsi="宋体" w:eastAsia="宋体"/>
          <w:bCs/>
          <w:color w:val="auto"/>
          <w:sz w:val="24"/>
          <w:szCs w:val="18"/>
          <w:highlight w:val="none"/>
        </w:rPr>
        <w:t>须提供至少</w:t>
      </w:r>
      <w:r>
        <w:rPr>
          <w:rFonts w:hint="eastAsia" w:ascii="宋体" w:hAnsi="宋体" w:eastAsia="宋体"/>
          <w:bCs/>
          <w:color w:val="auto"/>
          <w:sz w:val="24"/>
          <w:szCs w:val="18"/>
          <w:highlight w:val="none"/>
          <w:u w:val="single"/>
        </w:rPr>
        <w:t xml:space="preserve"> 3 </w:t>
      </w:r>
      <w:r>
        <w:rPr>
          <w:rFonts w:hint="eastAsia" w:ascii="宋体" w:hAnsi="宋体" w:eastAsia="宋体"/>
          <w:bCs/>
          <w:color w:val="auto"/>
          <w:sz w:val="24"/>
          <w:szCs w:val="18"/>
          <w:highlight w:val="none"/>
        </w:rPr>
        <w:t>年的免费质保服务，中标人每年须至少提供2次的上门巡检服务，巡检过程中须根据采购人使用情况，免费更换常用配件，如备用产品备件及常用维修工具。无正当理由，中标人不得拒绝上门巡检服务及备品备件更换。所有质保费用均已包含在投标报价中，质保期满后，应提供优先的有偿售后服务及按不高于投标文件中主要配件、易损件清单所报价格供应原厂零配件等。软件终身免费升级服务。</w:t>
      </w:r>
    </w:p>
    <w:p w14:paraId="7D4FDE73">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2.中标人须设有维修服务电话，负责解答用户在货物使用中遇到的问题，及时提出解决问题的建议和操作方法。</w:t>
      </w:r>
    </w:p>
    <w:p w14:paraId="5E267540">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3.售后服务响应时间：如货物出现故障，电话响应无法解决，中标人必须在接报修电话 24 小时内到现场并解决问题。</w:t>
      </w:r>
    </w:p>
    <w:p w14:paraId="34A20BFE">
      <w:pPr>
        <w:spacing w:line="360" w:lineRule="auto"/>
        <w:ind w:firstLine="437"/>
        <w:rPr>
          <w:rFonts w:hint="eastAsia" w:ascii="宋体" w:hAnsi="宋体" w:eastAsia="宋体"/>
          <w:bCs/>
          <w:color w:val="auto"/>
          <w:sz w:val="24"/>
          <w:szCs w:val="18"/>
          <w:highlight w:val="none"/>
          <w:lang w:val="en-US" w:eastAsia="zh-CN"/>
        </w:rPr>
      </w:pPr>
      <w:r>
        <w:rPr>
          <w:rFonts w:hint="eastAsia" w:ascii="宋体" w:hAnsi="宋体" w:eastAsia="宋体"/>
          <w:bCs/>
          <w:color w:val="auto"/>
          <w:sz w:val="24"/>
          <w:szCs w:val="18"/>
          <w:highlight w:val="none"/>
        </w:rPr>
        <w:t>（六）培训：</w:t>
      </w:r>
      <w:r>
        <w:rPr>
          <w:rFonts w:hint="eastAsia" w:ascii="宋体" w:hAnsi="宋体" w:eastAsia="宋体"/>
          <w:bCs/>
          <w:color w:val="auto"/>
          <w:sz w:val="24"/>
          <w:szCs w:val="18"/>
          <w:highlight w:val="none"/>
          <w:lang w:val="en-US" w:eastAsia="zh-CN"/>
        </w:rPr>
        <w:t>质保期</w:t>
      </w:r>
      <w:r>
        <w:rPr>
          <w:rFonts w:hint="eastAsia" w:ascii="宋体" w:hAnsi="宋体" w:eastAsia="宋体"/>
          <w:bCs/>
          <w:color w:val="auto"/>
          <w:sz w:val="24"/>
          <w:szCs w:val="18"/>
          <w:highlight w:val="none"/>
        </w:rPr>
        <w:t>内每年提供至少1次7个工作日的免费培训</w:t>
      </w:r>
      <w:r>
        <w:rPr>
          <w:rFonts w:hint="eastAsia" w:ascii="宋体" w:hAnsi="宋体" w:eastAsia="宋体"/>
          <w:bCs/>
          <w:color w:val="auto"/>
          <w:sz w:val="24"/>
          <w:szCs w:val="18"/>
          <w:highlight w:val="none"/>
          <w:lang w:eastAsia="zh-CN"/>
        </w:rPr>
        <w:t>。</w:t>
      </w:r>
      <w:r>
        <w:rPr>
          <w:rFonts w:hint="eastAsia" w:ascii="宋体" w:hAnsi="宋体" w:eastAsia="宋体"/>
          <w:bCs/>
          <w:color w:val="auto"/>
          <w:sz w:val="24"/>
          <w:szCs w:val="18"/>
          <w:highlight w:val="none"/>
        </w:rPr>
        <w:t>中标人负责为采购人操作人员提供操作及维护培训，直至其能熟练独立操作及日常维护与保养，简单故障诊断与排除。</w:t>
      </w:r>
    </w:p>
    <w:p w14:paraId="32A513ED">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（七）交货地点：采购人指定地点。</w:t>
      </w:r>
    </w:p>
    <w:p w14:paraId="10A5FCFC">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（八）验收：</w:t>
      </w:r>
    </w:p>
    <w:p w14:paraId="37780714">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1.采购人和相关部门按照国家规定标准验收，没有国家标准的按行业标准验收，无行业标准的按地方或企业标准验收，中标人予以配合。涉及安全、消防、环保等其他需要由质检或行业主管部门验收的项目，采购人须约请相关部门和专家参加项目验收。</w:t>
      </w:r>
    </w:p>
    <w:p w14:paraId="656F0940">
      <w:pPr>
        <w:spacing w:line="360" w:lineRule="auto"/>
        <w:ind w:firstLine="437"/>
        <w:rPr>
          <w:rFonts w:hint="eastAsia" w:ascii="宋体" w:hAnsi="宋体" w:eastAsia="宋体"/>
          <w:b/>
          <w:bCs/>
          <w:color w:val="auto"/>
          <w:sz w:val="24"/>
          <w:szCs w:val="18"/>
          <w:highlight w:val="none"/>
        </w:rPr>
      </w:pPr>
      <w:r>
        <w:rPr>
          <w:rFonts w:hint="eastAsia" w:ascii="宋体" w:hAnsi="宋体" w:eastAsia="宋体"/>
          <w:bCs/>
          <w:color w:val="auto"/>
          <w:sz w:val="24"/>
          <w:szCs w:val="18"/>
          <w:highlight w:val="none"/>
        </w:rPr>
        <w:t>2.货物在验收时，投标人应提供发票、制造厂家出具的产品合格证书、装箱清单等, 涉及进口的产品、部件、配件等须提供中国海关进口货物报关单、完税证明及商检证明等材料；提供有关货物的操作规程和使用说明书，维护手册、保养修理所需的各种随机工具及相关设计、制造、检验、安装、技术性指导等文件和应由投标人提供的必要文件。</w:t>
      </w:r>
    </w:p>
    <w:p w14:paraId="6890344D">
      <w:pPr>
        <w:spacing w:line="360" w:lineRule="auto"/>
        <w:ind w:firstLine="480" w:firstLineChars="200"/>
        <w:rPr>
          <w:rFonts w:hint="eastAsia" w:ascii="宋体" w:hAnsi="宋体" w:eastAsia="宋体"/>
          <w:color w:val="auto"/>
          <w:sz w:val="24"/>
          <w:highlight w:val="none"/>
        </w:rPr>
      </w:pPr>
      <w:r>
        <w:rPr>
          <w:rFonts w:ascii="宋体" w:hAnsi="宋体" w:eastAsia="宋体"/>
          <w:color w:val="auto"/>
          <w:sz w:val="24"/>
          <w:highlight w:val="none"/>
        </w:rPr>
        <w:br w:type="page"/>
      </w:r>
    </w:p>
    <w:p w14:paraId="61DEECBE">
      <w:pPr>
        <w:spacing w:line="360" w:lineRule="auto"/>
        <w:jc w:val="center"/>
        <w:outlineLvl w:val="0"/>
        <w:rPr>
          <w:rFonts w:hint="eastAsia" w:ascii="宋体" w:hAnsi="宋体" w:eastAsia="宋体"/>
          <w:b/>
          <w:color w:val="auto"/>
          <w:sz w:val="28"/>
          <w:highlight w:val="none"/>
        </w:rPr>
      </w:pPr>
      <w:bookmarkStart w:id="28" w:name="_Toc16417"/>
      <w:r>
        <w:rPr>
          <w:rFonts w:hint="eastAsia" w:ascii="宋体" w:hAnsi="宋体" w:eastAsia="宋体"/>
          <w:b/>
          <w:color w:val="auto"/>
          <w:sz w:val="28"/>
          <w:highlight w:val="none"/>
        </w:rPr>
        <w:t>第四章  评标方法和标准（综合评分法）</w:t>
      </w:r>
      <w:bookmarkEnd w:id="28"/>
    </w:p>
    <w:p w14:paraId="0D0E081E">
      <w:pPr>
        <w:spacing w:line="360" w:lineRule="auto"/>
        <w:ind w:firstLine="437"/>
        <w:outlineLvl w:val="1"/>
        <w:rPr>
          <w:rFonts w:hint="eastAsia" w:ascii="宋体" w:hAnsi="宋体" w:eastAsia="宋体"/>
          <w:b/>
          <w:color w:val="auto"/>
          <w:sz w:val="24"/>
          <w:highlight w:val="none"/>
        </w:rPr>
      </w:pPr>
      <w:bookmarkStart w:id="29" w:name="_Toc11823"/>
      <w:bookmarkStart w:id="30" w:name="_Toc1246"/>
      <w:r>
        <w:rPr>
          <w:rFonts w:hint="eastAsia" w:ascii="宋体" w:hAnsi="宋体" w:eastAsia="宋体"/>
          <w:b/>
          <w:color w:val="auto"/>
          <w:sz w:val="24"/>
          <w:highlight w:val="none"/>
        </w:rPr>
        <w:t>一、总则</w:t>
      </w:r>
      <w:bookmarkEnd w:id="29"/>
      <w:bookmarkEnd w:id="30"/>
    </w:p>
    <w:p w14:paraId="7BCF3FB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本项目将按照招标文件第二章 投标人须知的相关要求</w:t>
      </w:r>
      <w:r>
        <w:rPr>
          <w:rFonts w:ascii="宋体" w:hAnsi="宋体" w:eastAsia="宋体"/>
          <w:color w:val="auto"/>
          <w:sz w:val="24"/>
          <w:highlight w:val="none"/>
        </w:rPr>
        <w:t>及本章的规定评标。</w:t>
      </w:r>
    </w:p>
    <w:p w14:paraId="6FBC408B">
      <w:pPr>
        <w:spacing w:line="360" w:lineRule="auto"/>
        <w:ind w:firstLine="437"/>
        <w:outlineLvl w:val="1"/>
        <w:rPr>
          <w:rFonts w:hint="eastAsia" w:ascii="宋体" w:hAnsi="宋体" w:eastAsia="宋体"/>
          <w:b/>
          <w:color w:val="auto"/>
          <w:sz w:val="24"/>
          <w:highlight w:val="none"/>
        </w:rPr>
      </w:pPr>
      <w:bookmarkStart w:id="31" w:name="_Toc13117"/>
      <w:bookmarkStart w:id="32" w:name="_Toc31871"/>
      <w:r>
        <w:rPr>
          <w:rFonts w:hint="eastAsia" w:ascii="宋体" w:hAnsi="宋体" w:eastAsia="宋体"/>
          <w:b/>
          <w:color w:val="auto"/>
          <w:sz w:val="24"/>
          <w:highlight w:val="none"/>
        </w:rPr>
        <w:t>二、评标方法</w:t>
      </w:r>
      <w:bookmarkEnd w:id="31"/>
      <w:bookmarkEnd w:id="32"/>
    </w:p>
    <w:p w14:paraId="024B1484">
      <w:pPr>
        <w:spacing w:line="360" w:lineRule="auto"/>
        <w:ind w:firstLine="437"/>
        <w:outlineLvl w:val="2"/>
        <w:rPr>
          <w:rFonts w:hint="eastAsia" w:ascii="宋体" w:hAnsi="宋体" w:eastAsia="宋体"/>
          <w:color w:val="auto"/>
          <w:sz w:val="24"/>
          <w:highlight w:val="none"/>
        </w:rPr>
      </w:pPr>
      <w:r>
        <w:rPr>
          <w:rFonts w:hint="eastAsia" w:ascii="宋体" w:hAnsi="宋体" w:eastAsia="宋体"/>
          <w:color w:val="auto"/>
          <w:sz w:val="24"/>
          <w:highlight w:val="none"/>
        </w:rPr>
        <w:t>2.1资格审查</w:t>
      </w:r>
    </w:p>
    <w:tbl>
      <w:tblPr>
        <w:tblStyle w:val="25"/>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1651"/>
        <w:gridCol w:w="4561"/>
        <w:gridCol w:w="1903"/>
      </w:tblGrid>
      <w:tr w14:paraId="4C6C5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noWrap w:val="0"/>
            <w:vAlign w:val="center"/>
          </w:tcPr>
          <w:p w14:paraId="2E500444">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b/>
                <w:color w:val="auto"/>
                <w:sz w:val="24"/>
                <w:szCs w:val="22"/>
                <w:highlight w:val="none"/>
              </w:rPr>
              <w:t>资格审查表</w:t>
            </w:r>
          </w:p>
        </w:tc>
      </w:tr>
      <w:tr w14:paraId="0EC5A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tcBorders>
              <w:bottom w:val="single" w:color="auto" w:sz="4" w:space="0"/>
            </w:tcBorders>
            <w:noWrap w:val="0"/>
            <w:vAlign w:val="center"/>
          </w:tcPr>
          <w:p w14:paraId="64C887C6">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序号</w:t>
            </w:r>
          </w:p>
        </w:tc>
        <w:tc>
          <w:tcPr>
            <w:tcW w:w="942" w:type="pct"/>
            <w:tcBorders>
              <w:bottom w:val="single" w:color="auto" w:sz="4" w:space="0"/>
            </w:tcBorders>
            <w:noWrap w:val="0"/>
            <w:vAlign w:val="center"/>
          </w:tcPr>
          <w:p w14:paraId="2B4EA5F8">
            <w:pPr>
              <w:pStyle w:val="53"/>
              <w:keepNext w:val="0"/>
              <w:keepLines w:val="0"/>
              <w:suppressLineNumbers w:val="0"/>
              <w:pBdr>
                <w:bottom w:val="none" w:color="auto" w:sz="0" w:space="0"/>
              </w:pBdr>
              <w:tabs>
                <w:tab w:val="clear" w:pos="4153"/>
                <w:tab w:val="clear" w:pos="8306"/>
              </w:tabs>
              <w:snapToGrid w:val="0"/>
              <w:spacing w:before="0" w:beforeAutospacing="0" w:after="0" w:afterAutospacing="0" w:line="360" w:lineRule="auto"/>
              <w:ind w:left="0" w:right="-10"/>
              <w:textAlignment w:val="auto"/>
              <w:rPr>
                <w:rFonts w:hint="eastAsia" w:ascii="宋体" w:hAnsi="宋体" w:eastAsia="宋体"/>
                <w:color w:val="auto"/>
                <w:kern w:val="2"/>
                <w:szCs w:val="24"/>
                <w:highlight w:val="none"/>
              </w:rPr>
            </w:pPr>
            <w:r>
              <w:rPr>
                <w:rFonts w:hint="eastAsia" w:ascii="宋体" w:hAnsi="宋体" w:eastAsia="宋体"/>
                <w:color w:val="auto"/>
                <w:kern w:val="2"/>
                <w:szCs w:val="24"/>
                <w:highlight w:val="none"/>
              </w:rPr>
              <w:t>审查因素</w:t>
            </w:r>
          </w:p>
        </w:tc>
        <w:tc>
          <w:tcPr>
            <w:tcW w:w="2603" w:type="pct"/>
            <w:tcBorders>
              <w:bottom w:val="single" w:color="auto" w:sz="4" w:space="0"/>
            </w:tcBorders>
            <w:noWrap w:val="0"/>
            <w:vAlign w:val="center"/>
          </w:tcPr>
          <w:p w14:paraId="7466C4A2">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审查内容</w:t>
            </w:r>
          </w:p>
        </w:tc>
        <w:tc>
          <w:tcPr>
            <w:tcW w:w="1084" w:type="pct"/>
            <w:tcBorders>
              <w:bottom w:val="single" w:color="auto" w:sz="4" w:space="0"/>
            </w:tcBorders>
            <w:noWrap w:val="0"/>
            <w:vAlign w:val="center"/>
          </w:tcPr>
          <w:p w14:paraId="415E0749">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格式要求</w:t>
            </w:r>
          </w:p>
        </w:tc>
      </w:tr>
      <w:tr w14:paraId="7279A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69" w:type="pct"/>
            <w:tcBorders>
              <w:bottom w:val="single" w:color="auto" w:sz="4" w:space="0"/>
            </w:tcBorders>
            <w:noWrap w:val="0"/>
            <w:vAlign w:val="center"/>
          </w:tcPr>
          <w:p w14:paraId="6707DB11">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1</w:t>
            </w:r>
          </w:p>
        </w:tc>
        <w:tc>
          <w:tcPr>
            <w:tcW w:w="942" w:type="pct"/>
            <w:tcBorders>
              <w:bottom w:val="single" w:color="auto" w:sz="4" w:space="0"/>
            </w:tcBorders>
            <w:noWrap w:val="0"/>
            <w:vAlign w:val="center"/>
          </w:tcPr>
          <w:p w14:paraId="619A5F7B">
            <w:pPr>
              <w:keepNext w:val="0"/>
              <w:keepLines w:val="0"/>
              <w:suppressLineNumbers w:val="0"/>
              <w:spacing w:before="0" w:beforeAutospacing="0" w:after="50" w:afterAutospacing="0" w:line="360" w:lineRule="auto"/>
              <w:ind w:left="0" w:right="-10"/>
              <w:jc w:val="center"/>
              <w:rPr>
                <w:rFonts w:hint="eastAsia" w:ascii="宋体" w:hAnsi="宋体" w:eastAsia="宋体"/>
                <w:color w:val="auto"/>
                <w:sz w:val="24"/>
                <w:szCs w:val="28"/>
                <w:highlight w:val="none"/>
              </w:rPr>
            </w:pPr>
            <w:r>
              <w:rPr>
                <w:rFonts w:hint="default" w:ascii="宋体" w:hAnsi="宋体" w:eastAsia="宋体" w:cs="宋体"/>
                <w:color w:val="auto"/>
                <w:spacing w:val="9"/>
                <w:sz w:val="24"/>
                <w:szCs w:val="24"/>
                <w:highlight w:val="none"/>
              </w:rPr>
              <w:t>营业执照等证明</w:t>
            </w:r>
            <w:r>
              <w:rPr>
                <w:rFonts w:hint="default" w:ascii="宋体" w:hAnsi="宋体" w:eastAsia="宋体" w:cs="宋体"/>
                <w:color w:val="auto"/>
                <w:spacing w:val="-3"/>
                <w:sz w:val="24"/>
                <w:szCs w:val="24"/>
                <w:highlight w:val="none"/>
              </w:rPr>
              <w:t>文件</w:t>
            </w:r>
          </w:p>
        </w:tc>
        <w:tc>
          <w:tcPr>
            <w:tcW w:w="2603" w:type="pct"/>
            <w:tcBorders>
              <w:bottom w:val="single" w:color="auto" w:sz="4" w:space="0"/>
            </w:tcBorders>
            <w:noWrap w:val="0"/>
            <w:vAlign w:val="center"/>
          </w:tcPr>
          <w:p w14:paraId="61CC3198">
            <w:pPr>
              <w:keepNext w:val="0"/>
              <w:keepLines w:val="0"/>
              <w:suppressLineNumbers w:val="0"/>
              <w:spacing w:before="0" w:beforeAutospacing="0" w:after="50" w:afterAutospacing="0" w:line="360" w:lineRule="auto"/>
              <w:ind w:left="0"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default" w:ascii="宋体" w:hAnsi="宋体" w:eastAsia="宋体" w:cs="宋体"/>
                <w:color w:val="auto"/>
                <w:sz w:val="24"/>
                <w:szCs w:val="24"/>
                <w:highlight w:val="none"/>
              </w:rPr>
              <w:t>投标人为企业（包括合伙企业）的，应</w:t>
            </w:r>
            <w:r>
              <w:rPr>
                <w:rFonts w:hint="eastAsia" w:ascii="宋体" w:hAnsi="宋体" w:eastAsia="宋体" w:cs="宋体"/>
                <w:color w:val="auto"/>
                <w:sz w:val="24"/>
                <w:szCs w:val="24"/>
                <w:highlight w:val="none"/>
              </w:rPr>
              <w:t>提</w:t>
            </w:r>
            <w:r>
              <w:rPr>
                <w:rFonts w:hint="default" w:ascii="宋体" w:hAnsi="宋体" w:eastAsia="宋体" w:cs="宋体"/>
                <w:color w:val="auto"/>
                <w:sz w:val="24"/>
                <w:szCs w:val="24"/>
                <w:highlight w:val="none"/>
              </w:rPr>
              <w:t>供有效的营业执照；</w:t>
            </w:r>
          </w:p>
          <w:p w14:paraId="4006F40F">
            <w:pPr>
              <w:keepNext w:val="0"/>
              <w:keepLines w:val="0"/>
              <w:suppressLineNumbers w:val="0"/>
              <w:spacing w:before="0" w:beforeAutospacing="0" w:after="50" w:afterAutospacing="0" w:line="360" w:lineRule="auto"/>
              <w:ind w:left="0"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default" w:ascii="宋体" w:hAnsi="宋体" w:eastAsia="宋体" w:cs="宋体"/>
                <w:color w:val="auto"/>
                <w:sz w:val="24"/>
                <w:szCs w:val="24"/>
                <w:highlight w:val="none"/>
              </w:rPr>
              <w:t>投标人为事业单位的，应</w:t>
            </w:r>
            <w:r>
              <w:rPr>
                <w:rFonts w:hint="eastAsia" w:ascii="宋体" w:hAnsi="宋体" w:eastAsia="宋体" w:cs="宋体"/>
                <w:color w:val="auto"/>
                <w:sz w:val="24"/>
                <w:szCs w:val="24"/>
                <w:highlight w:val="none"/>
              </w:rPr>
              <w:t>提</w:t>
            </w:r>
            <w:r>
              <w:rPr>
                <w:rFonts w:hint="default" w:ascii="宋体" w:hAnsi="宋体" w:eastAsia="宋体" w:cs="宋体"/>
                <w:color w:val="auto"/>
                <w:sz w:val="24"/>
                <w:szCs w:val="24"/>
                <w:highlight w:val="none"/>
              </w:rPr>
              <w:t>供有效的事业单位法人证书；</w:t>
            </w:r>
          </w:p>
          <w:p w14:paraId="0335536A">
            <w:pPr>
              <w:keepNext w:val="0"/>
              <w:keepLines w:val="0"/>
              <w:suppressLineNumbers w:val="0"/>
              <w:spacing w:before="0" w:beforeAutospacing="0" w:after="50" w:afterAutospacing="0" w:line="360" w:lineRule="auto"/>
              <w:ind w:left="0"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default" w:ascii="宋体" w:hAnsi="宋体" w:eastAsia="宋体" w:cs="宋体"/>
                <w:color w:val="auto"/>
                <w:sz w:val="24"/>
                <w:szCs w:val="24"/>
                <w:highlight w:val="none"/>
              </w:rPr>
              <w:t>投标人是非企业机构的，应</w:t>
            </w:r>
            <w:r>
              <w:rPr>
                <w:rFonts w:hint="eastAsia" w:ascii="宋体" w:hAnsi="宋体" w:eastAsia="宋体" w:cs="宋体"/>
                <w:color w:val="auto"/>
                <w:sz w:val="24"/>
                <w:szCs w:val="24"/>
                <w:highlight w:val="none"/>
              </w:rPr>
              <w:t>提</w:t>
            </w:r>
            <w:r>
              <w:rPr>
                <w:rFonts w:hint="default" w:ascii="宋体" w:hAnsi="宋体" w:eastAsia="宋体" w:cs="宋体"/>
                <w:color w:val="auto"/>
                <w:sz w:val="24"/>
                <w:szCs w:val="24"/>
                <w:highlight w:val="none"/>
              </w:rPr>
              <w:t>供有效的执业许可证</w:t>
            </w:r>
            <w:r>
              <w:rPr>
                <w:rFonts w:hint="eastAsia" w:ascii="宋体" w:hAnsi="宋体" w:eastAsia="宋体" w:cs="宋体"/>
                <w:color w:val="auto"/>
                <w:sz w:val="24"/>
                <w:szCs w:val="24"/>
                <w:highlight w:val="none"/>
              </w:rPr>
              <w:t>或</w:t>
            </w:r>
            <w:r>
              <w:rPr>
                <w:rFonts w:hint="default" w:ascii="宋体" w:hAnsi="宋体" w:eastAsia="宋体" w:cs="宋体"/>
                <w:color w:val="auto"/>
                <w:sz w:val="24"/>
                <w:szCs w:val="24"/>
                <w:highlight w:val="none"/>
              </w:rPr>
              <w:t>登记证书等证明文件；</w:t>
            </w:r>
          </w:p>
          <w:p w14:paraId="772F1D8D">
            <w:pPr>
              <w:keepNext w:val="0"/>
              <w:keepLines w:val="0"/>
              <w:suppressLineNumbers w:val="0"/>
              <w:spacing w:before="0" w:beforeAutospacing="0" w:after="50" w:afterAutospacing="0" w:line="360" w:lineRule="auto"/>
              <w:ind w:left="0"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default" w:ascii="宋体" w:hAnsi="宋体" w:eastAsia="宋体" w:cs="宋体"/>
                <w:color w:val="auto"/>
                <w:sz w:val="24"/>
                <w:szCs w:val="24"/>
                <w:highlight w:val="none"/>
              </w:rPr>
              <w:t>投标人是个体工商户的，应</w:t>
            </w:r>
            <w:r>
              <w:rPr>
                <w:rFonts w:hint="eastAsia" w:ascii="宋体" w:hAnsi="宋体" w:eastAsia="宋体" w:cs="宋体"/>
                <w:color w:val="auto"/>
                <w:sz w:val="24"/>
                <w:szCs w:val="24"/>
                <w:highlight w:val="none"/>
              </w:rPr>
              <w:t>提</w:t>
            </w:r>
            <w:r>
              <w:rPr>
                <w:rFonts w:hint="default" w:ascii="宋体" w:hAnsi="宋体" w:eastAsia="宋体" w:cs="宋体"/>
                <w:color w:val="auto"/>
                <w:sz w:val="24"/>
                <w:szCs w:val="24"/>
                <w:highlight w:val="none"/>
              </w:rPr>
              <w:t>供有效的个体工商户营业执照；</w:t>
            </w:r>
          </w:p>
          <w:p w14:paraId="5DADEB15">
            <w:pPr>
              <w:keepNext w:val="0"/>
              <w:keepLines w:val="0"/>
              <w:suppressLineNumbers w:val="0"/>
              <w:spacing w:before="0" w:beforeAutospacing="0" w:after="50" w:afterAutospacing="0" w:line="360" w:lineRule="auto"/>
              <w:ind w:left="0" w:right="-10"/>
              <w:jc w:val="left"/>
              <w:rPr>
                <w:rFonts w:hint="eastAsia" w:ascii="宋体" w:hAnsi="宋体" w:eastAsia="宋体"/>
                <w:color w:val="auto"/>
                <w:sz w:val="24"/>
                <w:szCs w:val="28"/>
                <w:highlight w:val="none"/>
              </w:rPr>
            </w:pPr>
            <w:r>
              <w:rPr>
                <w:rFonts w:hint="eastAsia" w:ascii="宋体" w:hAnsi="宋体" w:eastAsia="宋体" w:cs="宋体"/>
                <w:color w:val="auto"/>
                <w:sz w:val="24"/>
                <w:szCs w:val="24"/>
                <w:highlight w:val="none"/>
              </w:rPr>
              <w:t>（5）</w:t>
            </w:r>
            <w:r>
              <w:rPr>
                <w:rFonts w:hint="default" w:ascii="宋体" w:hAnsi="宋体" w:eastAsia="宋体" w:cs="宋体"/>
                <w:color w:val="auto"/>
                <w:sz w:val="24"/>
                <w:szCs w:val="24"/>
                <w:highlight w:val="none"/>
              </w:rPr>
              <w:t>投标人是自然人的，应</w:t>
            </w:r>
            <w:r>
              <w:rPr>
                <w:rFonts w:hint="eastAsia" w:ascii="宋体" w:hAnsi="宋体" w:eastAsia="宋体" w:cs="宋体"/>
                <w:color w:val="auto"/>
                <w:sz w:val="24"/>
                <w:szCs w:val="24"/>
                <w:highlight w:val="none"/>
              </w:rPr>
              <w:t>提</w:t>
            </w:r>
            <w:r>
              <w:rPr>
                <w:rFonts w:hint="default" w:ascii="宋体" w:hAnsi="宋体" w:eastAsia="宋体" w:cs="宋体"/>
                <w:color w:val="auto"/>
                <w:sz w:val="24"/>
                <w:szCs w:val="24"/>
                <w:highlight w:val="none"/>
              </w:rPr>
              <w:t>供有效的自然人身份证明。</w:t>
            </w:r>
          </w:p>
        </w:tc>
        <w:tc>
          <w:tcPr>
            <w:tcW w:w="1084" w:type="pct"/>
            <w:noWrap w:val="0"/>
            <w:vAlign w:val="center"/>
          </w:tcPr>
          <w:p w14:paraId="185C8828">
            <w:pPr>
              <w:keepNext w:val="0"/>
              <w:keepLines w:val="0"/>
              <w:suppressLineNumbers w:val="0"/>
              <w:spacing w:before="0" w:beforeAutospacing="0" w:after="0" w:afterAutospacing="0" w:line="360" w:lineRule="auto"/>
              <w:ind w:left="0" w:right="0"/>
              <w:jc w:val="left"/>
              <w:rPr>
                <w:rFonts w:hint="eastAsia" w:ascii="宋体" w:hAnsi="宋体" w:eastAsia="宋体"/>
                <w:color w:val="auto"/>
                <w:sz w:val="24"/>
                <w:szCs w:val="20"/>
                <w:highlight w:val="none"/>
              </w:rPr>
            </w:pPr>
            <w:r>
              <w:rPr>
                <w:rFonts w:hint="eastAsia" w:ascii="宋体" w:hAnsi="宋体" w:eastAsia="宋体" w:cs="宋体"/>
                <w:color w:val="auto"/>
                <w:sz w:val="24"/>
                <w:szCs w:val="24"/>
                <w:highlight w:val="none"/>
              </w:rPr>
              <w:t>提供材料扫描件或电子证照，应完整的体现出材料或电子证照全部内容。联合体投标的联合体各方均须提供。</w:t>
            </w:r>
          </w:p>
        </w:tc>
      </w:tr>
      <w:tr w14:paraId="77C32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69" w:type="pct"/>
            <w:tcBorders>
              <w:bottom w:val="single" w:color="auto" w:sz="4" w:space="0"/>
            </w:tcBorders>
            <w:noWrap w:val="0"/>
            <w:vAlign w:val="center"/>
          </w:tcPr>
          <w:p w14:paraId="439549A9">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2</w:t>
            </w:r>
          </w:p>
        </w:tc>
        <w:tc>
          <w:tcPr>
            <w:tcW w:w="942" w:type="pct"/>
            <w:tcBorders>
              <w:bottom w:val="single" w:color="auto" w:sz="4" w:space="0"/>
            </w:tcBorders>
            <w:noWrap w:val="0"/>
            <w:vAlign w:val="center"/>
          </w:tcPr>
          <w:p w14:paraId="5DA4FBFE">
            <w:pPr>
              <w:keepNext w:val="0"/>
              <w:keepLines w:val="0"/>
              <w:suppressLineNumbers w:val="0"/>
              <w:spacing w:before="0" w:beforeAutospacing="0" w:after="50" w:afterAutospacing="0" w:line="360" w:lineRule="auto"/>
              <w:ind w:left="0" w:right="-10"/>
              <w:jc w:val="center"/>
              <w:rPr>
                <w:rFonts w:hint="eastAsia" w:ascii="宋体" w:hAnsi="宋体" w:eastAsia="宋体"/>
                <w:color w:val="auto"/>
                <w:sz w:val="24"/>
                <w:szCs w:val="28"/>
                <w:highlight w:val="none"/>
              </w:rPr>
            </w:pPr>
            <w:r>
              <w:rPr>
                <w:rFonts w:hint="eastAsia" w:ascii="宋体" w:hAnsi="宋体" w:eastAsia="宋体"/>
                <w:color w:val="auto"/>
                <w:sz w:val="24"/>
                <w:szCs w:val="18"/>
                <w:highlight w:val="none"/>
              </w:rPr>
              <w:t>投标人资格声明书</w:t>
            </w:r>
          </w:p>
        </w:tc>
        <w:tc>
          <w:tcPr>
            <w:tcW w:w="2603" w:type="pct"/>
            <w:tcBorders>
              <w:bottom w:val="single" w:color="auto" w:sz="4" w:space="0"/>
            </w:tcBorders>
            <w:noWrap w:val="0"/>
            <w:vAlign w:val="center"/>
          </w:tcPr>
          <w:p w14:paraId="299245B0">
            <w:pPr>
              <w:keepNext w:val="0"/>
              <w:keepLines w:val="0"/>
              <w:suppressLineNumbers w:val="0"/>
              <w:spacing w:before="0" w:beforeAutospacing="0" w:after="50" w:afterAutospacing="0" w:line="360" w:lineRule="auto"/>
              <w:ind w:left="0" w:right="-10"/>
              <w:jc w:val="left"/>
              <w:rPr>
                <w:rFonts w:hint="eastAsia" w:ascii="宋体" w:hAnsi="宋体" w:eastAsia="宋体"/>
                <w:color w:val="auto"/>
                <w:sz w:val="24"/>
                <w:szCs w:val="28"/>
                <w:highlight w:val="none"/>
              </w:rPr>
            </w:pPr>
            <w:r>
              <w:rPr>
                <w:rFonts w:hint="eastAsia" w:ascii="宋体" w:hAnsi="宋体" w:eastAsia="宋体" w:cs="宋体"/>
                <w:color w:val="auto"/>
                <w:sz w:val="24"/>
                <w:szCs w:val="24"/>
                <w:highlight w:val="none"/>
              </w:rPr>
              <w:t>提</w:t>
            </w:r>
            <w:r>
              <w:rPr>
                <w:rFonts w:hint="default" w:ascii="宋体" w:hAnsi="宋体" w:eastAsia="宋体" w:cs="宋体"/>
                <w:color w:val="auto"/>
                <w:sz w:val="24"/>
                <w:szCs w:val="24"/>
                <w:highlight w:val="none"/>
              </w:rPr>
              <w:t>供符合招标文件要求的《投标人资格声明书》</w:t>
            </w:r>
            <w:r>
              <w:rPr>
                <w:rFonts w:hint="eastAsia" w:ascii="宋体" w:hAnsi="宋体" w:eastAsia="宋体" w:cs="宋体"/>
                <w:color w:val="auto"/>
                <w:sz w:val="24"/>
                <w:szCs w:val="24"/>
                <w:highlight w:val="none"/>
              </w:rPr>
              <w:t>。</w:t>
            </w:r>
          </w:p>
        </w:tc>
        <w:tc>
          <w:tcPr>
            <w:tcW w:w="1084" w:type="pct"/>
            <w:noWrap w:val="0"/>
            <w:vAlign w:val="center"/>
          </w:tcPr>
          <w:p w14:paraId="24A08053">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olor w:val="auto"/>
                <w:sz w:val="24"/>
                <w:szCs w:val="20"/>
                <w:highlight w:val="none"/>
              </w:rPr>
              <w:t>详见第六章投标文件格式。</w:t>
            </w:r>
          </w:p>
        </w:tc>
      </w:tr>
      <w:tr w14:paraId="57C49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tcBorders>
              <w:bottom w:val="single" w:color="auto" w:sz="4" w:space="0"/>
            </w:tcBorders>
            <w:noWrap w:val="0"/>
            <w:vAlign w:val="center"/>
          </w:tcPr>
          <w:p w14:paraId="783C7711">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3</w:t>
            </w:r>
          </w:p>
        </w:tc>
        <w:tc>
          <w:tcPr>
            <w:tcW w:w="942" w:type="pct"/>
            <w:tcBorders>
              <w:bottom w:val="single" w:color="auto" w:sz="4" w:space="0"/>
            </w:tcBorders>
            <w:noWrap w:val="0"/>
            <w:vAlign w:val="center"/>
          </w:tcPr>
          <w:p w14:paraId="6D35F241">
            <w:pPr>
              <w:keepNext w:val="0"/>
              <w:keepLines w:val="0"/>
              <w:suppressLineNumbers w:val="0"/>
              <w:spacing w:before="0" w:beforeAutospacing="0" w:after="50" w:afterAutospacing="0" w:line="360" w:lineRule="auto"/>
              <w:ind w:left="0" w:right="-10"/>
              <w:jc w:val="center"/>
              <w:rPr>
                <w:rFonts w:hint="eastAsia" w:ascii="宋体" w:hAnsi="宋体" w:eastAsia="宋体"/>
                <w:color w:val="auto"/>
                <w:sz w:val="24"/>
                <w:szCs w:val="28"/>
                <w:highlight w:val="none"/>
              </w:rPr>
            </w:pPr>
            <w:r>
              <w:rPr>
                <w:rFonts w:hint="eastAsia" w:ascii="宋体" w:hAnsi="宋体" w:eastAsia="宋体" w:cs="宋体"/>
                <w:color w:val="auto"/>
                <w:sz w:val="24"/>
                <w:szCs w:val="24"/>
                <w:highlight w:val="none"/>
              </w:rPr>
              <w:t>投标人信用记录</w:t>
            </w:r>
          </w:p>
        </w:tc>
        <w:tc>
          <w:tcPr>
            <w:tcW w:w="2603" w:type="pct"/>
            <w:tcBorders>
              <w:bottom w:val="single" w:color="auto" w:sz="4" w:space="0"/>
            </w:tcBorders>
            <w:noWrap w:val="0"/>
            <w:vAlign w:val="center"/>
          </w:tcPr>
          <w:p w14:paraId="5255D450">
            <w:pPr>
              <w:keepNext w:val="0"/>
              <w:keepLines w:val="0"/>
              <w:suppressLineNumbers w:val="0"/>
              <w:spacing w:before="0" w:beforeAutospacing="0" w:after="50" w:afterAutospacing="0" w:line="360" w:lineRule="auto"/>
              <w:ind w:left="0" w:right="-10"/>
              <w:jc w:val="left"/>
              <w:rPr>
                <w:rFonts w:hint="eastAsia"/>
                <w:color w:val="auto"/>
                <w:szCs w:val="20"/>
                <w:highlight w:val="none"/>
              </w:rPr>
            </w:pPr>
            <w:r>
              <w:rPr>
                <w:rFonts w:hint="eastAsia" w:ascii="宋体" w:hAnsi="宋体" w:eastAsia="宋体" w:cs="宋体"/>
                <w:color w:val="auto"/>
                <w:sz w:val="24"/>
                <w:szCs w:val="24"/>
                <w:highlight w:val="none"/>
                <w:lang w:val="zh-CN"/>
              </w:rPr>
              <w:t>投标人不得存在</w:t>
            </w:r>
            <w:r>
              <w:rPr>
                <w:rFonts w:hint="eastAsia" w:ascii="宋体" w:hAnsi="宋体" w:eastAsia="宋体" w:cs="宋体"/>
                <w:color w:val="auto"/>
                <w:sz w:val="24"/>
                <w:szCs w:val="24"/>
                <w:highlight w:val="none"/>
              </w:rPr>
              <w:t>投标邀请第4条信誉要求和</w:t>
            </w:r>
            <w:r>
              <w:rPr>
                <w:rFonts w:hint="eastAsia" w:ascii="宋体" w:hAnsi="宋体" w:eastAsia="宋体" w:cs="宋体"/>
                <w:color w:val="auto"/>
                <w:sz w:val="24"/>
                <w:szCs w:val="24"/>
                <w:highlight w:val="none"/>
                <w:lang w:val="zh-CN"/>
              </w:rPr>
              <w:t>投标人须知正文第1</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条中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1084" w:type="pct"/>
            <w:tcBorders>
              <w:bottom w:val="single" w:color="auto" w:sz="4" w:space="0"/>
            </w:tcBorders>
            <w:noWrap w:val="0"/>
            <w:vAlign w:val="center"/>
          </w:tcPr>
          <w:p w14:paraId="098F5F5A">
            <w:pPr>
              <w:keepNext w:val="0"/>
              <w:keepLines w:val="0"/>
              <w:suppressLineNumbers w:val="0"/>
              <w:spacing w:before="0" w:beforeAutospacing="0" w:after="0" w:afterAutospacing="0" w:line="360" w:lineRule="auto"/>
              <w:ind w:left="0" w:right="0"/>
              <w:jc w:val="left"/>
              <w:rPr>
                <w:rFonts w:hint="eastAsia"/>
                <w:color w:val="auto"/>
                <w:szCs w:val="20"/>
                <w:highlight w:val="none"/>
              </w:rPr>
            </w:pPr>
            <w:r>
              <w:rPr>
                <w:rFonts w:hint="eastAsia" w:ascii="宋体" w:hAnsi="宋体" w:eastAsia="宋体" w:cs="宋体"/>
                <w:color w:val="auto"/>
                <w:sz w:val="24"/>
                <w:szCs w:val="24"/>
                <w:highlight w:val="none"/>
              </w:rPr>
              <w:t>无须投标人提供，由采购人或采购代理机构查询。</w:t>
            </w:r>
          </w:p>
        </w:tc>
      </w:tr>
      <w:tr w14:paraId="58972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tcBorders>
              <w:bottom w:val="single" w:color="auto" w:sz="4" w:space="0"/>
            </w:tcBorders>
            <w:noWrap w:val="0"/>
            <w:vAlign w:val="center"/>
          </w:tcPr>
          <w:p w14:paraId="451E9FF3">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4</w:t>
            </w:r>
          </w:p>
        </w:tc>
        <w:tc>
          <w:tcPr>
            <w:tcW w:w="942" w:type="pct"/>
            <w:tcBorders>
              <w:bottom w:val="single" w:color="auto" w:sz="4" w:space="0"/>
            </w:tcBorders>
            <w:noWrap w:val="0"/>
            <w:vAlign w:val="top"/>
          </w:tcPr>
          <w:p w14:paraId="118BB79A">
            <w:pPr>
              <w:keepNext w:val="0"/>
              <w:keepLines w:val="0"/>
              <w:suppressLineNumbers w:val="0"/>
              <w:spacing w:before="0" w:beforeAutospacing="0" w:after="50" w:afterAutospacing="0" w:line="360" w:lineRule="auto"/>
              <w:ind w:left="0" w:right="-1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诚信投标承诺书</w:t>
            </w:r>
          </w:p>
        </w:tc>
        <w:tc>
          <w:tcPr>
            <w:tcW w:w="2603" w:type="pct"/>
            <w:tcBorders>
              <w:bottom w:val="single" w:color="auto" w:sz="4" w:space="0"/>
            </w:tcBorders>
            <w:noWrap w:val="0"/>
            <w:vAlign w:val="center"/>
          </w:tcPr>
          <w:p w14:paraId="391414B3">
            <w:pPr>
              <w:keepNext w:val="0"/>
              <w:keepLines w:val="0"/>
              <w:suppressLineNumbers w:val="0"/>
              <w:spacing w:before="0" w:beforeAutospacing="0" w:after="50" w:afterAutospacing="0" w:line="360" w:lineRule="auto"/>
              <w:ind w:left="0" w:right="-10" w:rightChars="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rPr>
              <w:t>格式、填写要求符合招标文件规定并加盖投标人电子签章</w:t>
            </w:r>
          </w:p>
        </w:tc>
        <w:tc>
          <w:tcPr>
            <w:tcW w:w="1084" w:type="pct"/>
            <w:tcBorders>
              <w:bottom w:val="single" w:color="auto" w:sz="4" w:space="0"/>
            </w:tcBorders>
            <w:noWrap w:val="0"/>
            <w:vAlign w:val="center"/>
          </w:tcPr>
          <w:p w14:paraId="626778F1">
            <w:pPr>
              <w:keepNext w:val="0"/>
              <w:keepLines w:val="0"/>
              <w:suppressLineNumbers w:val="0"/>
              <w:spacing w:before="0" w:beforeAutospacing="0" w:after="50" w:afterAutospacing="0" w:line="360" w:lineRule="auto"/>
              <w:ind w:left="0" w:right="-1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olor w:val="auto"/>
                <w:sz w:val="24"/>
                <w:szCs w:val="20"/>
                <w:highlight w:val="none"/>
              </w:rPr>
              <w:t>详见第六章投标文件格式。</w:t>
            </w:r>
          </w:p>
        </w:tc>
      </w:tr>
    </w:tbl>
    <w:p w14:paraId="2F3E440C">
      <w:pPr>
        <w:spacing w:line="360" w:lineRule="auto"/>
        <w:ind w:firstLine="435"/>
        <w:rPr>
          <w:rFonts w:hint="eastAsia" w:ascii="宋体" w:hAnsi="宋体" w:eastAsia="宋体"/>
          <w:color w:val="auto"/>
          <w:sz w:val="24"/>
          <w:highlight w:val="none"/>
        </w:rPr>
      </w:pPr>
      <w:r>
        <w:rPr>
          <w:rFonts w:hint="eastAsia" w:ascii="宋体" w:hAnsi="宋体" w:eastAsia="宋体"/>
          <w:b/>
          <w:bCs/>
          <w:color w:val="auto"/>
          <w:sz w:val="24"/>
          <w:highlight w:val="none"/>
        </w:rPr>
        <w:t>资格审查指标通过标准：</w:t>
      </w:r>
      <w:r>
        <w:rPr>
          <w:rFonts w:hint="eastAsia" w:ascii="宋体" w:hAnsi="宋体" w:eastAsia="宋体"/>
          <w:color w:val="auto"/>
          <w:sz w:val="24"/>
          <w:highlight w:val="none"/>
        </w:rPr>
        <w:t>投标人必须通过资格审查表中的全部评审指标。</w:t>
      </w:r>
    </w:p>
    <w:p w14:paraId="13989659">
      <w:pPr>
        <w:spacing w:line="360" w:lineRule="auto"/>
        <w:ind w:firstLine="437"/>
        <w:outlineLvl w:val="2"/>
        <w:rPr>
          <w:rFonts w:hint="eastAsia" w:ascii="宋体" w:hAnsi="宋体" w:eastAsia="宋体"/>
          <w:color w:val="auto"/>
          <w:sz w:val="24"/>
          <w:highlight w:val="none"/>
        </w:rPr>
      </w:pPr>
      <w:r>
        <w:rPr>
          <w:rFonts w:hint="eastAsia" w:ascii="宋体" w:hAnsi="宋体" w:eastAsia="宋体"/>
          <w:color w:val="auto"/>
          <w:sz w:val="24"/>
          <w:highlight w:val="none"/>
        </w:rPr>
        <w:t>2.2符合性审查</w:t>
      </w:r>
    </w:p>
    <w:p w14:paraId="60F5A7FC">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评标委员会对通过资格审查的投标人的投标文件进行符合性审查，以确定其是否满足招标文件的实质性要求。符合性审查表如下：</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2117"/>
        <w:gridCol w:w="3128"/>
        <w:gridCol w:w="2511"/>
      </w:tblGrid>
      <w:tr w14:paraId="3F1AF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noWrap w:val="0"/>
            <w:vAlign w:val="center"/>
          </w:tcPr>
          <w:p w14:paraId="4BC6BC06">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b/>
                <w:bCs/>
                <w:color w:val="auto"/>
                <w:sz w:val="24"/>
                <w:szCs w:val="20"/>
                <w:highlight w:val="none"/>
              </w:rPr>
            </w:pPr>
            <w:r>
              <w:rPr>
                <w:rFonts w:hint="eastAsia" w:ascii="宋体" w:hAnsi="宋体" w:eastAsia="宋体"/>
                <w:b/>
                <w:bCs/>
                <w:color w:val="auto"/>
                <w:sz w:val="24"/>
                <w:szCs w:val="20"/>
                <w:highlight w:val="none"/>
              </w:rPr>
              <w:t>符合性审查表</w:t>
            </w:r>
          </w:p>
        </w:tc>
      </w:tr>
      <w:tr w14:paraId="1A307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50" w:type="pct"/>
            <w:tcBorders>
              <w:bottom w:val="single" w:color="auto" w:sz="4" w:space="0"/>
            </w:tcBorders>
            <w:noWrap w:val="0"/>
            <w:vAlign w:val="center"/>
          </w:tcPr>
          <w:p w14:paraId="633F3A6F">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序号</w:t>
            </w:r>
          </w:p>
        </w:tc>
        <w:tc>
          <w:tcPr>
            <w:tcW w:w="1242" w:type="pct"/>
            <w:tcBorders>
              <w:bottom w:val="single" w:color="auto" w:sz="4" w:space="0"/>
            </w:tcBorders>
            <w:noWrap w:val="0"/>
            <w:vAlign w:val="center"/>
          </w:tcPr>
          <w:p w14:paraId="52A9DD7E">
            <w:pPr>
              <w:pStyle w:val="53"/>
              <w:keepNext w:val="0"/>
              <w:keepLines w:val="0"/>
              <w:suppressLineNumbers w:val="0"/>
              <w:pBdr>
                <w:bottom w:val="none" w:color="auto" w:sz="0" w:space="0"/>
              </w:pBdr>
              <w:tabs>
                <w:tab w:val="clear" w:pos="4153"/>
                <w:tab w:val="clear" w:pos="8306"/>
              </w:tabs>
              <w:snapToGrid w:val="0"/>
              <w:spacing w:before="0" w:beforeAutospacing="0" w:after="0" w:afterAutospacing="0" w:line="360" w:lineRule="auto"/>
              <w:ind w:left="0" w:right="-10"/>
              <w:textAlignment w:val="auto"/>
              <w:rPr>
                <w:rFonts w:hint="eastAsia" w:ascii="宋体" w:hAnsi="宋体" w:eastAsia="宋体"/>
                <w:color w:val="auto"/>
                <w:kern w:val="2"/>
                <w:highlight w:val="none"/>
              </w:rPr>
            </w:pPr>
            <w:r>
              <w:rPr>
                <w:rFonts w:hint="eastAsia" w:ascii="宋体" w:hAnsi="宋体" w:eastAsia="宋体"/>
                <w:color w:val="auto"/>
                <w:kern w:val="2"/>
                <w:highlight w:val="none"/>
              </w:rPr>
              <w:t>审查指标</w:t>
            </w:r>
          </w:p>
        </w:tc>
        <w:tc>
          <w:tcPr>
            <w:tcW w:w="1835" w:type="pct"/>
            <w:tcBorders>
              <w:bottom w:val="single" w:color="auto" w:sz="4" w:space="0"/>
            </w:tcBorders>
            <w:noWrap w:val="0"/>
            <w:vAlign w:val="center"/>
          </w:tcPr>
          <w:p w14:paraId="70CDD1D8">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审查标准</w:t>
            </w:r>
          </w:p>
        </w:tc>
        <w:tc>
          <w:tcPr>
            <w:tcW w:w="1472" w:type="pct"/>
            <w:tcBorders>
              <w:bottom w:val="single" w:color="auto" w:sz="4" w:space="0"/>
            </w:tcBorders>
            <w:noWrap w:val="0"/>
            <w:vAlign w:val="center"/>
          </w:tcPr>
          <w:p w14:paraId="02814323">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格式要求</w:t>
            </w:r>
          </w:p>
        </w:tc>
      </w:tr>
      <w:tr w14:paraId="0E7E1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noWrap w:val="0"/>
            <w:vAlign w:val="center"/>
          </w:tcPr>
          <w:p w14:paraId="3F07383A">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1</w:t>
            </w:r>
          </w:p>
        </w:tc>
        <w:tc>
          <w:tcPr>
            <w:tcW w:w="1242" w:type="pct"/>
            <w:noWrap w:val="0"/>
            <w:vAlign w:val="center"/>
          </w:tcPr>
          <w:p w14:paraId="0B235872">
            <w:pPr>
              <w:keepNext w:val="0"/>
              <w:keepLines w:val="0"/>
              <w:suppressLineNumbers w:val="0"/>
              <w:spacing w:before="0" w:beforeAutospacing="0" w:after="50" w:afterAutospacing="0" w:line="360" w:lineRule="auto"/>
              <w:ind w:left="0" w:right="-10"/>
              <w:jc w:val="center"/>
              <w:rPr>
                <w:rFonts w:hint="eastAsia" w:ascii="宋体" w:hAnsi="宋体" w:eastAsia="宋体"/>
                <w:color w:val="auto"/>
                <w:sz w:val="24"/>
                <w:szCs w:val="28"/>
                <w:highlight w:val="none"/>
              </w:rPr>
            </w:pPr>
            <w:r>
              <w:rPr>
                <w:rFonts w:hint="eastAsia" w:ascii="宋体" w:hAnsi="宋体" w:eastAsia="宋体"/>
                <w:color w:val="auto"/>
                <w:sz w:val="24"/>
                <w:szCs w:val="20"/>
                <w:highlight w:val="none"/>
              </w:rPr>
              <w:t>开标一览表</w:t>
            </w:r>
          </w:p>
        </w:tc>
        <w:tc>
          <w:tcPr>
            <w:tcW w:w="1835" w:type="pct"/>
            <w:noWrap w:val="0"/>
            <w:vAlign w:val="center"/>
          </w:tcPr>
          <w:p w14:paraId="3053E183">
            <w:pPr>
              <w:keepNext w:val="0"/>
              <w:keepLines w:val="0"/>
              <w:suppressLineNumbers w:val="0"/>
              <w:spacing w:before="0" w:beforeAutospacing="0" w:after="50" w:afterAutospacing="0" w:line="360" w:lineRule="auto"/>
              <w:ind w:left="0" w:right="-10"/>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格式、填写要求符合招标文件规定并加盖投标人电子签章</w:t>
            </w:r>
          </w:p>
        </w:tc>
        <w:tc>
          <w:tcPr>
            <w:tcW w:w="1472" w:type="pct"/>
            <w:noWrap w:val="0"/>
            <w:vAlign w:val="center"/>
          </w:tcPr>
          <w:p w14:paraId="333162F6">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详见第六章投标文件格式。</w:t>
            </w:r>
          </w:p>
        </w:tc>
      </w:tr>
      <w:tr w14:paraId="7BEF8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noWrap w:val="0"/>
            <w:vAlign w:val="center"/>
          </w:tcPr>
          <w:p w14:paraId="6208A7B3">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2</w:t>
            </w:r>
          </w:p>
        </w:tc>
        <w:tc>
          <w:tcPr>
            <w:tcW w:w="1242" w:type="pct"/>
            <w:noWrap w:val="0"/>
            <w:vAlign w:val="center"/>
          </w:tcPr>
          <w:p w14:paraId="11ABBE57">
            <w:pPr>
              <w:keepNext w:val="0"/>
              <w:keepLines w:val="0"/>
              <w:suppressLineNumbers w:val="0"/>
              <w:spacing w:before="0" w:beforeAutospacing="0" w:after="50" w:afterAutospacing="0" w:line="360" w:lineRule="auto"/>
              <w:ind w:left="0" w:right="-10"/>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投标函</w:t>
            </w:r>
          </w:p>
        </w:tc>
        <w:tc>
          <w:tcPr>
            <w:tcW w:w="1835" w:type="pct"/>
            <w:noWrap w:val="0"/>
            <w:vAlign w:val="center"/>
          </w:tcPr>
          <w:p w14:paraId="692448CA">
            <w:pPr>
              <w:keepNext w:val="0"/>
              <w:keepLines w:val="0"/>
              <w:suppressLineNumbers w:val="0"/>
              <w:spacing w:before="0" w:beforeAutospacing="0" w:after="50" w:afterAutospacing="0" w:line="360" w:lineRule="auto"/>
              <w:ind w:left="0" w:right="-10"/>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格式、填写要求符合招标文件规定并加盖投标人电子签章</w:t>
            </w:r>
          </w:p>
        </w:tc>
        <w:tc>
          <w:tcPr>
            <w:tcW w:w="1472" w:type="pct"/>
            <w:noWrap w:val="0"/>
            <w:vAlign w:val="center"/>
          </w:tcPr>
          <w:p w14:paraId="62AA1B78">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详见第六章投标文件格式。</w:t>
            </w:r>
          </w:p>
        </w:tc>
      </w:tr>
      <w:tr w14:paraId="2CE9B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noWrap w:val="0"/>
            <w:vAlign w:val="center"/>
          </w:tcPr>
          <w:p w14:paraId="3A506B73">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default" w:ascii="宋体" w:hAnsi="宋体" w:eastAsia="宋体"/>
                <w:color w:val="auto"/>
                <w:sz w:val="24"/>
                <w:szCs w:val="20"/>
                <w:highlight w:val="none"/>
              </w:rPr>
              <w:t>3</w:t>
            </w:r>
          </w:p>
        </w:tc>
        <w:tc>
          <w:tcPr>
            <w:tcW w:w="1242" w:type="pct"/>
            <w:noWrap w:val="0"/>
            <w:vAlign w:val="center"/>
          </w:tcPr>
          <w:p w14:paraId="61AD6755">
            <w:pPr>
              <w:keepNext w:val="0"/>
              <w:keepLines w:val="0"/>
              <w:suppressLineNumbers w:val="0"/>
              <w:spacing w:before="0" w:beforeAutospacing="0" w:after="50" w:afterAutospacing="0" w:line="360" w:lineRule="auto"/>
              <w:ind w:left="0" w:right="-10"/>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授权书</w:t>
            </w:r>
          </w:p>
        </w:tc>
        <w:tc>
          <w:tcPr>
            <w:tcW w:w="1835" w:type="pct"/>
            <w:noWrap w:val="0"/>
            <w:vAlign w:val="center"/>
          </w:tcPr>
          <w:p w14:paraId="3FE3F8D6">
            <w:pPr>
              <w:keepNext w:val="0"/>
              <w:keepLines w:val="0"/>
              <w:suppressLineNumbers w:val="0"/>
              <w:spacing w:before="0" w:beforeAutospacing="0" w:after="50" w:afterAutospacing="0" w:line="360" w:lineRule="auto"/>
              <w:ind w:left="0" w:right="-10"/>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格式、填写要求符合招标文件规定并加盖投标人电子签章</w:t>
            </w:r>
          </w:p>
        </w:tc>
        <w:tc>
          <w:tcPr>
            <w:tcW w:w="1472" w:type="pct"/>
            <w:noWrap w:val="0"/>
            <w:vAlign w:val="center"/>
          </w:tcPr>
          <w:p w14:paraId="21F529A3">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法定代表人参加投标的无需此件，提供身份证明即可。详见第六章投标文件格式。</w:t>
            </w:r>
          </w:p>
        </w:tc>
      </w:tr>
      <w:tr w14:paraId="28AD3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noWrap w:val="0"/>
            <w:vAlign w:val="center"/>
          </w:tcPr>
          <w:p w14:paraId="115234E1">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4</w:t>
            </w:r>
          </w:p>
        </w:tc>
        <w:tc>
          <w:tcPr>
            <w:tcW w:w="1242" w:type="pct"/>
            <w:noWrap w:val="0"/>
            <w:vAlign w:val="center"/>
          </w:tcPr>
          <w:p w14:paraId="3503B78A">
            <w:pPr>
              <w:keepNext w:val="0"/>
              <w:keepLines w:val="0"/>
              <w:suppressLineNumbers w:val="0"/>
              <w:spacing w:before="0" w:beforeAutospacing="0" w:after="50" w:afterAutospacing="0" w:line="360" w:lineRule="auto"/>
              <w:ind w:left="0" w:right="-10"/>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投标报价</w:t>
            </w:r>
          </w:p>
        </w:tc>
        <w:tc>
          <w:tcPr>
            <w:tcW w:w="1835" w:type="pct"/>
            <w:noWrap w:val="0"/>
            <w:vAlign w:val="center"/>
          </w:tcPr>
          <w:p w14:paraId="32104B0B">
            <w:pPr>
              <w:keepNext w:val="0"/>
              <w:keepLines w:val="0"/>
              <w:suppressLineNumbers w:val="0"/>
              <w:spacing w:before="0" w:beforeAutospacing="0" w:after="50" w:afterAutospacing="0" w:line="360" w:lineRule="auto"/>
              <w:ind w:left="0" w:right="-10"/>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符合</w:t>
            </w:r>
            <w:r>
              <w:rPr>
                <w:rFonts w:hint="eastAsia" w:ascii="宋体" w:hAnsi="宋体" w:eastAsia="宋体"/>
                <w:color w:val="auto"/>
                <w:sz w:val="24"/>
                <w:szCs w:val="20"/>
                <w:highlight w:val="none"/>
              </w:rPr>
              <w:t>招标文件投标人须知正文第9条要求</w:t>
            </w:r>
          </w:p>
        </w:tc>
        <w:tc>
          <w:tcPr>
            <w:tcW w:w="1472" w:type="pct"/>
            <w:noWrap w:val="0"/>
            <w:vAlign w:val="center"/>
          </w:tcPr>
          <w:p w14:paraId="4B0E70C8">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详见第六章投标文件格式。</w:t>
            </w:r>
          </w:p>
        </w:tc>
      </w:tr>
      <w:tr w14:paraId="4B0A0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noWrap w:val="0"/>
            <w:vAlign w:val="center"/>
          </w:tcPr>
          <w:p w14:paraId="4FD67053">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5</w:t>
            </w:r>
          </w:p>
        </w:tc>
        <w:tc>
          <w:tcPr>
            <w:tcW w:w="1242" w:type="pct"/>
            <w:noWrap w:val="0"/>
            <w:vAlign w:val="center"/>
          </w:tcPr>
          <w:p w14:paraId="2EBE431E">
            <w:pPr>
              <w:keepNext w:val="0"/>
              <w:keepLines w:val="0"/>
              <w:suppressLineNumbers w:val="0"/>
              <w:spacing w:before="0" w:beforeAutospacing="0" w:after="50" w:afterAutospacing="0" w:line="360" w:lineRule="auto"/>
              <w:ind w:left="0" w:right="-10"/>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商务响应情况</w:t>
            </w:r>
          </w:p>
        </w:tc>
        <w:tc>
          <w:tcPr>
            <w:tcW w:w="3430" w:type="dxa"/>
            <w:noWrap w:val="0"/>
            <w:vAlign w:val="center"/>
          </w:tcPr>
          <w:p w14:paraId="39B782F6">
            <w:pPr>
              <w:keepNext w:val="0"/>
              <w:keepLines w:val="0"/>
              <w:suppressLineNumbers w:val="0"/>
              <w:spacing w:before="0" w:beforeAutospacing="0" w:after="50" w:afterAutospacing="0" w:line="360" w:lineRule="auto"/>
              <w:ind w:left="0" w:right="-10"/>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符合招标文件采购需求中对付款方式、供货及安装期限、供货及安装地点、免费质保期等实质性要求</w:t>
            </w:r>
          </w:p>
        </w:tc>
        <w:tc>
          <w:tcPr>
            <w:tcW w:w="1472" w:type="pct"/>
            <w:noWrap w:val="0"/>
            <w:vAlign w:val="center"/>
          </w:tcPr>
          <w:p w14:paraId="2C8CA3FF">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详见第六章投标文件格式。</w:t>
            </w:r>
          </w:p>
        </w:tc>
      </w:tr>
      <w:tr w14:paraId="76E2E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noWrap w:val="0"/>
            <w:vAlign w:val="center"/>
          </w:tcPr>
          <w:p w14:paraId="63A16F89">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6</w:t>
            </w:r>
          </w:p>
        </w:tc>
        <w:tc>
          <w:tcPr>
            <w:tcW w:w="1242" w:type="pct"/>
            <w:noWrap w:val="0"/>
            <w:vAlign w:val="center"/>
          </w:tcPr>
          <w:p w14:paraId="6E2AE453">
            <w:pPr>
              <w:keepNext w:val="0"/>
              <w:keepLines w:val="0"/>
              <w:suppressLineNumbers w:val="0"/>
              <w:spacing w:before="0" w:beforeAutospacing="0" w:after="50" w:afterAutospacing="0" w:line="360" w:lineRule="auto"/>
              <w:ind w:left="0" w:right="-10"/>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技术响应情况</w:t>
            </w:r>
          </w:p>
        </w:tc>
        <w:tc>
          <w:tcPr>
            <w:tcW w:w="3430" w:type="dxa"/>
            <w:noWrap w:val="0"/>
            <w:vAlign w:val="center"/>
          </w:tcPr>
          <w:p w14:paraId="13EAB6F6">
            <w:pPr>
              <w:keepNext w:val="0"/>
              <w:keepLines w:val="0"/>
              <w:suppressLineNumbers w:val="0"/>
              <w:spacing w:before="0" w:beforeAutospacing="0" w:after="50" w:afterAutospacing="0" w:line="360" w:lineRule="auto"/>
              <w:ind w:left="0" w:right="-10"/>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符合招标文件采购需求中货物技术参数等实质性要求</w:t>
            </w:r>
          </w:p>
        </w:tc>
        <w:tc>
          <w:tcPr>
            <w:tcW w:w="1472" w:type="pct"/>
            <w:noWrap w:val="0"/>
            <w:vAlign w:val="center"/>
          </w:tcPr>
          <w:p w14:paraId="56B19FF8">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详见第六章投标文件格式。</w:t>
            </w:r>
          </w:p>
        </w:tc>
      </w:tr>
      <w:tr w14:paraId="666DB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noWrap w:val="0"/>
            <w:vAlign w:val="center"/>
          </w:tcPr>
          <w:p w14:paraId="64B5AE92">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7</w:t>
            </w:r>
          </w:p>
        </w:tc>
        <w:tc>
          <w:tcPr>
            <w:tcW w:w="1242" w:type="pct"/>
            <w:noWrap w:val="0"/>
            <w:vAlign w:val="center"/>
          </w:tcPr>
          <w:p w14:paraId="6AEAFE98">
            <w:pPr>
              <w:keepNext w:val="0"/>
              <w:keepLines w:val="0"/>
              <w:suppressLineNumbers w:val="0"/>
              <w:spacing w:before="0" w:beforeAutospacing="0" w:after="50" w:afterAutospacing="0" w:line="360" w:lineRule="auto"/>
              <w:ind w:left="0" w:right="-10"/>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其他要求</w:t>
            </w:r>
          </w:p>
        </w:tc>
        <w:tc>
          <w:tcPr>
            <w:tcW w:w="3430" w:type="dxa"/>
            <w:noWrap w:val="0"/>
            <w:vAlign w:val="center"/>
          </w:tcPr>
          <w:p w14:paraId="4179E0B1">
            <w:pPr>
              <w:keepNext w:val="0"/>
              <w:keepLines w:val="0"/>
              <w:suppressLineNumbers w:val="0"/>
              <w:spacing w:before="0" w:beforeAutospacing="0" w:after="50" w:afterAutospacing="0" w:line="360" w:lineRule="auto"/>
              <w:ind w:left="0" w:right="-10"/>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符合法律、行政法规规定的其他条件或招标文件列明的其他实质性要求</w:t>
            </w:r>
          </w:p>
        </w:tc>
        <w:tc>
          <w:tcPr>
            <w:tcW w:w="1472" w:type="pct"/>
            <w:noWrap w:val="0"/>
            <w:vAlign w:val="center"/>
          </w:tcPr>
          <w:p w14:paraId="6C4A8333">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p>
        </w:tc>
      </w:tr>
    </w:tbl>
    <w:p w14:paraId="4DE8F9A5">
      <w:pPr>
        <w:spacing w:line="360" w:lineRule="auto"/>
        <w:ind w:firstLine="435"/>
        <w:rPr>
          <w:rFonts w:hint="eastAsia" w:ascii="宋体" w:hAnsi="宋体" w:eastAsia="宋体"/>
          <w:color w:val="auto"/>
          <w:sz w:val="24"/>
          <w:highlight w:val="none"/>
        </w:rPr>
      </w:pPr>
      <w:r>
        <w:rPr>
          <w:rFonts w:hint="eastAsia" w:ascii="宋体" w:hAnsi="宋体" w:eastAsia="宋体"/>
          <w:b/>
          <w:bCs/>
          <w:color w:val="auto"/>
          <w:sz w:val="24"/>
          <w:highlight w:val="none"/>
        </w:rPr>
        <w:t>符合性审查指标通过标准：</w:t>
      </w:r>
      <w:r>
        <w:rPr>
          <w:rFonts w:hint="eastAsia" w:ascii="宋体" w:hAnsi="宋体" w:eastAsia="宋体"/>
          <w:color w:val="auto"/>
          <w:sz w:val="24"/>
          <w:highlight w:val="none"/>
        </w:rPr>
        <w:t>投标人必须通过符合性审查表中的全部评审指标。</w:t>
      </w:r>
    </w:p>
    <w:p w14:paraId="643DA32B">
      <w:pPr>
        <w:spacing w:line="360" w:lineRule="auto"/>
        <w:ind w:firstLine="437"/>
        <w:outlineLvl w:val="2"/>
        <w:rPr>
          <w:rFonts w:hint="eastAsia" w:ascii="宋体" w:hAnsi="宋体" w:eastAsia="宋体"/>
          <w:color w:val="auto"/>
          <w:sz w:val="24"/>
          <w:highlight w:val="none"/>
        </w:rPr>
      </w:pPr>
      <w:r>
        <w:rPr>
          <w:rFonts w:hint="eastAsia" w:ascii="宋体" w:hAnsi="宋体" w:eastAsia="宋体"/>
          <w:color w:val="auto"/>
          <w:sz w:val="24"/>
          <w:highlight w:val="none"/>
        </w:rPr>
        <w:t>2.3详细审查</w:t>
      </w:r>
    </w:p>
    <w:p w14:paraId="7C3D995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.3.1</w:t>
      </w:r>
      <w:r>
        <w:rPr>
          <w:rFonts w:hint="eastAsia" w:ascii="宋体" w:hAnsi="宋体" w:eastAsia="宋体"/>
          <w:color w:val="auto"/>
          <w:sz w:val="24"/>
          <w:highlight w:val="none"/>
        </w:rPr>
        <w:t>评标委员会按照下表对投标文件进行详细审查和评分。</w:t>
      </w:r>
    </w:p>
    <w:p w14:paraId="58BA476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.3.2</w:t>
      </w:r>
      <w:r>
        <w:rPr>
          <w:rFonts w:hint="eastAsia" w:ascii="宋体" w:hAnsi="宋体" w:eastAsia="宋体"/>
          <w:color w:val="auto"/>
          <w:sz w:val="24"/>
          <w:highlight w:val="none"/>
        </w:rPr>
        <w:t>本项目综合评分满分为1</w:t>
      </w:r>
      <w:r>
        <w:rPr>
          <w:rFonts w:ascii="宋体" w:hAnsi="宋体" w:eastAsia="宋体"/>
          <w:color w:val="auto"/>
          <w:sz w:val="24"/>
          <w:highlight w:val="none"/>
        </w:rPr>
        <w:t>00</w:t>
      </w:r>
      <w:r>
        <w:rPr>
          <w:rFonts w:hint="eastAsia" w:ascii="宋体" w:hAnsi="宋体" w:eastAsia="宋体"/>
          <w:color w:val="auto"/>
          <w:sz w:val="24"/>
          <w:highlight w:val="none"/>
        </w:rPr>
        <w:t>分，其中：技术资信分值占总分值的权重为</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lang w:val="en-US" w:eastAsia="zh-CN"/>
        </w:rPr>
        <w:t>70</w:t>
      </w:r>
      <w:r>
        <w:rPr>
          <w:rFonts w:ascii="宋体" w:hAnsi="宋体" w:eastAsia="宋体"/>
          <w:color w:val="auto"/>
          <w:sz w:val="24"/>
          <w:highlight w:val="none"/>
          <w:u w:val="single"/>
        </w:rPr>
        <w:t xml:space="preserve"> </w:t>
      </w:r>
      <w:r>
        <w:rPr>
          <w:rFonts w:ascii="宋体" w:hAnsi="宋体" w:eastAsia="宋体"/>
          <w:color w:val="auto"/>
          <w:sz w:val="24"/>
          <w:highlight w:val="none"/>
        </w:rPr>
        <w:t>%，价格分值占总分值的权重为</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lang w:val="en-US" w:eastAsia="zh-CN"/>
        </w:rPr>
        <w:t>30</w:t>
      </w:r>
      <w:r>
        <w:rPr>
          <w:rFonts w:ascii="宋体" w:hAnsi="宋体" w:eastAsia="宋体"/>
          <w:color w:val="auto"/>
          <w:sz w:val="24"/>
          <w:highlight w:val="none"/>
          <w:u w:val="single"/>
        </w:rPr>
        <w:t xml:space="preserve"> </w:t>
      </w:r>
      <w:r>
        <w:rPr>
          <w:rFonts w:ascii="宋体" w:hAnsi="宋体" w:eastAsia="宋体"/>
          <w:color w:val="auto"/>
          <w:sz w:val="24"/>
          <w:highlight w:val="none"/>
        </w:rPr>
        <w:t>%。具体评分细则如下：</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1"/>
        <w:gridCol w:w="1710"/>
        <w:gridCol w:w="3754"/>
        <w:gridCol w:w="1587"/>
      </w:tblGrid>
      <w:tr w14:paraId="56528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63" w:type="pct"/>
            <w:tcBorders>
              <w:top w:val="single" w:color="auto" w:sz="4" w:space="0"/>
              <w:left w:val="single" w:color="auto" w:sz="4" w:space="0"/>
              <w:bottom w:val="single" w:color="auto" w:sz="4" w:space="0"/>
              <w:right w:val="single" w:color="auto" w:sz="4" w:space="0"/>
            </w:tcBorders>
            <w:noWrap w:val="0"/>
            <w:vAlign w:val="center"/>
          </w:tcPr>
          <w:p w14:paraId="1465778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类别</w:t>
            </w:r>
          </w:p>
        </w:tc>
        <w:tc>
          <w:tcPr>
            <w:tcW w:w="1003" w:type="pct"/>
            <w:tcBorders>
              <w:top w:val="single" w:color="auto" w:sz="4" w:space="0"/>
              <w:left w:val="nil"/>
              <w:bottom w:val="single" w:color="auto" w:sz="4" w:space="0"/>
              <w:right w:val="single" w:color="auto" w:sz="4" w:space="0"/>
            </w:tcBorders>
            <w:noWrap w:val="0"/>
            <w:vAlign w:val="center"/>
          </w:tcPr>
          <w:p w14:paraId="3DA66D4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评分内容</w:t>
            </w:r>
          </w:p>
        </w:tc>
        <w:tc>
          <w:tcPr>
            <w:tcW w:w="2202" w:type="pct"/>
            <w:tcBorders>
              <w:top w:val="single" w:color="auto" w:sz="4" w:space="0"/>
              <w:left w:val="nil"/>
              <w:bottom w:val="single" w:color="auto" w:sz="4" w:space="0"/>
              <w:right w:val="single" w:color="auto" w:sz="4" w:space="0"/>
            </w:tcBorders>
            <w:noWrap w:val="0"/>
            <w:vAlign w:val="center"/>
          </w:tcPr>
          <w:p w14:paraId="1FAEF81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评分标准</w:t>
            </w:r>
          </w:p>
        </w:tc>
        <w:tc>
          <w:tcPr>
            <w:tcW w:w="931" w:type="pct"/>
            <w:tcBorders>
              <w:top w:val="single" w:color="auto" w:sz="4" w:space="0"/>
              <w:left w:val="nil"/>
              <w:bottom w:val="single" w:color="auto" w:sz="4" w:space="0"/>
              <w:right w:val="single" w:color="auto" w:sz="4" w:space="0"/>
            </w:tcBorders>
            <w:noWrap w:val="0"/>
            <w:vAlign w:val="center"/>
          </w:tcPr>
          <w:p w14:paraId="5E91841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分值范围</w:t>
            </w:r>
          </w:p>
        </w:tc>
      </w:tr>
      <w:tr w14:paraId="017E5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restart"/>
            <w:tcBorders>
              <w:top w:val="nil"/>
              <w:left w:val="single" w:color="auto" w:sz="4" w:space="0"/>
              <w:bottom w:val="single" w:color="auto" w:sz="4" w:space="0"/>
              <w:right w:val="single" w:color="auto" w:sz="4" w:space="0"/>
            </w:tcBorders>
            <w:noWrap w:val="0"/>
            <w:vAlign w:val="center"/>
          </w:tcPr>
          <w:p w14:paraId="0683468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技术资信分</w:t>
            </w:r>
          </w:p>
          <w:p w14:paraId="0D95A50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u w:val="single"/>
                <w:lang w:val="en-US" w:eastAsia="zh-CN" w:bidi="ar"/>
              </w:rPr>
              <w:t xml:space="preserve"> 70 </w:t>
            </w:r>
            <w:r>
              <w:rPr>
                <w:rFonts w:hint="eastAsia" w:ascii="宋体" w:hAnsi="宋体" w:eastAsia="宋体" w:cs="宋体"/>
                <w:color w:val="auto"/>
                <w:kern w:val="2"/>
                <w:sz w:val="24"/>
                <w:szCs w:val="24"/>
                <w:highlight w:val="none"/>
                <w:lang w:val="en-US" w:eastAsia="zh-CN" w:bidi="ar"/>
              </w:rPr>
              <w:t>分）</w:t>
            </w:r>
          </w:p>
        </w:tc>
        <w:tc>
          <w:tcPr>
            <w:tcW w:w="4136" w:type="pct"/>
            <w:gridSpan w:val="3"/>
            <w:tcBorders>
              <w:top w:val="single" w:color="auto" w:sz="4" w:space="0"/>
              <w:left w:val="nil"/>
              <w:bottom w:val="single" w:color="auto" w:sz="4" w:space="0"/>
              <w:right w:val="single" w:color="auto" w:sz="4" w:space="0"/>
            </w:tcBorders>
            <w:noWrap w:val="0"/>
            <w:vAlign w:val="center"/>
          </w:tcPr>
          <w:p w14:paraId="7825924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资信部分</w:t>
            </w:r>
          </w:p>
        </w:tc>
      </w:tr>
      <w:tr w14:paraId="5B047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noWrap w:val="0"/>
            <w:vAlign w:val="center"/>
          </w:tcPr>
          <w:p w14:paraId="322B00F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tcBorders>
              <w:top w:val="single" w:color="auto" w:sz="4" w:space="0"/>
              <w:left w:val="nil"/>
              <w:bottom w:val="single" w:color="auto" w:sz="4" w:space="0"/>
              <w:right w:val="single" w:color="auto" w:sz="4" w:space="0"/>
            </w:tcBorders>
            <w:noWrap w:val="0"/>
            <w:vAlign w:val="center"/>
          </w:tcPr>
          <w:p w14:paraId="4B2A6B5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投标人（或所投产品制造商）业绩</w:t>
            </w:r>
          </w:p>
        </w:tc>
        <w:tc>
          <w:tcPr>
            <w:tcW w:w="2202" w:type="pct"/>
            <w:tcBorders>
              <w:top w:val="single" w:color="auto" w:sz="4" w:space="0"/>
              <w:left w:val="nil"/>
              <w:bottom w:val="single" w:color="auto" w:sz="4" w:space="0"/>
              <w:right w:val="single" w:color="auto" w:sz="4" w:space="0"/>
            </w:tcBorders>
            <w:noWrap w:val="0"/>
            <w:vAlign w:val="center"/>
          </w:tcPr>
          <w:p w14:paraId="682136FC">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自2022年1月1日以来（以合同签订时间为准），投标人（或所投产品制造商）具有车路协同实训类设备供货业绩，每提供1个业绩得1分，满分1分。</w:t>
            </w:r>
          </w:p>
          <w:p w14:paraId="4768E25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注：（1）投标文件中提供业绩合同扫描件，时间以合同签订时间为准；若合同材料中无法体现签订时间、业绩内容等关键评审因素的，须另外提供业主（合同甲方）出具的盖章证明材料扫描件。</w:t>
            </w:r>
          </w:p>
          <w:p w14:paraId="5A4F7F8A">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2）投标人投标时只须提供1个评审业绩，若投标人提供业绩个数超过1个，则按照排列顺序从首个业绩开始评审至对应数量（1个），超出部分业绩不进行评审。对应数量（1个）内业绩不符合招标文件要求不得分的，不再补充评审超出部分业绩。如：提供1</w:t>
            </w:r>
            <w:bookmarkStart w:id="59" w:name="_GoBack"/>
            <w:bookmarkEnd w:id="59"/>
            <w:r>
              <w:rPr>
                <w:rFonts w:hint="eastAsia" w:ascii="宋体" w:hAnsi="宋体" w:eastAsia="宋体" w:cs="宋体"/>
                <w:bCs/>
                <w:color w:val="auto"/>
                <w:kern w:val="2"/>
                <w:sz w:val="24"/>
                <w:szCs w:val="24"/>
                <w:highlight w:val="none"/>
                <w:lang w:val="en-US" w:eastAsia="zh-CN" w:bidi="ar"/>
              </w:rPr>
              <w:t>个业绩即得满分的，按照投标文件排序评审第一项业绩，其余超出部分不再评审。</w:t>
            </w:r>
          </w:p>
        </w:tc>
        <w:tc>
          <w:tcPr>
            <w:tcW w:w="931" w:type="pct"/>
            <w:tcBorders>
              <w:top w:val="single" w:color="auto" w:sz="4" w:space="0"/>
              <w:left w:val="nil"/>
              <w:bottom w:val="single" w:color="auto" w:sz="4" w:space="0"/>
              <w:right w:val="single" w:color="auto" w:sz="4" w:space="0"/>
            </w:tcBorders>
            <w:noWrap w:val="0"/>
            <w:vAlign w:val="center"/>
          </w:tcPr>
          <w:p w14:paraId="1A8A03F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0-1分</w:t>
            </w:r>
          </w:p>
        </w:tc>
      </w:tr>
      <w:tr w14:paraId="5788F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noWrap w:val="0"/>
            <w:vAlign w:val="center"/>
          </w:tcPr>
          <w:p w14:paraId="1A8571B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4136" w:type="pct"/>
            <w:gridSpan w:val="3"/>
            <w:tcBorders>
              <w:top w:val="single" w:color="auto" w:sz="4" w:space="0"/>
              <w:left w:val="nil"/>
              <w:bottom w:val="single" w:color="auto" w:sz="4" w:space="0"/>
              <w:right w:val="single" w:color="auto" w:sz="4" w:space="0"/>
            </w:tcBorders>
            <w:noWrap w:val="0"/>
            <w:vAlign w:val="center"/>
          </w:tcPr>
          <w:p w14:paraId="7E150E1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技术部分</w:t>
            </w:r>
          </w:p>
        </w:tc>
      </w:tr>
      <w:tr w14:paraId="1DAE5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noWrap w:val="0"/>
            <w:vAlign w:val="center"/>
          </w:tcPr>
          <w:p w14:paraId="0FC3AA1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tcBorders>
              <w:top w:val="single" w:color="auto" w:sz="4" w:space="0"/>
              <w:left w:val="nil"/>
              <w:bottom w:val="single" w:color="auto" w:sz="4" w:space="0"/>
              <w:right w:val="single" w:color="auto" w:sz="4" w:space="0"/>
            </w:tcBorders>
            <w:noWrap w:val="0"/>
            <w:vAlign w:val="center"/>
          </w:tcPr>
          <w:p w14:paraId="4FAF3AB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技术参数及要求响应情况</w:t>
            </w:r>
          </w:p>
        </w:tc>
        <w:tc>
          <w:tcPr>
            <w:tcW w:w="2202" w:type="pct"/>
            <w:tcBorders>
              <w:top w:val="single" w:color="auto" w:sz="4" w:space="0"/>
              <w:left w:val="nil"/>
              <w:bottom w:val="single" w:color="auto" w:sz="4" w:space="0"/>
              <w:right w:val="single" w:color="auto" w:sz="4" w:space="0"/>
            </w:tcBorders>
            <w:noWrap w:val="0"/>
            <w:vAlign w:val="center"/>
          </w:tcPr>
          <w:p w14:paraId="22451D1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1.根据所投产品对招标文件的技术参数及要求响应情况进行评分: ▲代表重要指标，每满足一项得1.5分，共22项，共计33分；根据技术参数要求提供佐证材料，提供的材料不符合要求的不得分；</w:t>
            </w:r>
          </w:p>
          <w:p w14:paraId="432C7D6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2.未标符号的为一般参数，不作为评分项，但在合同签订后将作为履约验收的依据，</w:t>
            </w:r>
            <w:r>
              <w:rPr>
                <w:rFonts w:hint="eastAsia" w:ascii="宋体" w:hAnsi="宋体" w:eastAsia="宋体" w:cs="宋体"/>
                <w:b/>
                <w:bCs w:val="0"/>
                <w:color w:val="auto"/>
                <w:kern w:val="2"/>
                <w:sz w:val="24"/>
                <w:szCs w:val="24"/>
                <w:highlight w:val="none"/>
                <w:lang w:val="en-US" w:eastAsia="zh-CN" w:bidi="ar"/>
              </w:rPr>
              <w:t>投标人在投标文件中提供响应承诺函，承诺函格式自拟，</w:t>
            </w:r>
            <w:r>
              <w:rPr>
                <w:rFonts w:hint="eastAsia" w:ascii="宋体" w:hAnsi="宋体" w:eastAsia="宋体" w:cs="宋体"/>
                <w:bCs/>
                <w:color w:val="auto"/>
                <w:kern w:val="2"/>
                <w:sz w:val="24"/>
                <w:szCs w:val="24"/>
                <w:highlight w:val="none"/>
                <w:lang w:val="en-US" w:eastAsia="zh-CN" w:bidi="ar"/>
              </w:rPr>
              <w:t>但须明确体现上述内容，否则投标无效。</w:t>
            </w:r>
          </w:p>
          <w:p w14:paraId="2FDD78B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 xml:space="preserve">注：（1）如某项标识中包含多条技术参数或要求，则该项标识所含内容均需满足或优于招标文件要求，否则不予认可。 </w:t>
            </w:r>
          </w:p>
          <w:p w14:paraId="28494D87">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2）以投标文件中相关证明材料要求作为评审依据。技术参数响应情况投标人须依据所投产品如实填写，若自填响应或正偏离，供货时实际产品不响应或负偏离，弄虚作假谋取中标资格的，采购人有权上报相关部门，按相关法律处理。</w:t>
            </w:r>
          </w:p>
        </w:tc>
        <w:tc>
          <w:tcPr>
            <w:tcW w:w="931" w:type="pct"/>
            <w:tcBorders>
              <w:top w:val="single" w:color="auto" w:sz="4" w:space="0"/>
              <w:left w:val="nil"/>
              <w:bottom w:val="single" w:color="auto" w:sz="4" w:space="0"/>
              <w:right w:val="single" w:color="auto" w:sz="4" w:space="0"/>
            </w:tcBorders>
            <w:noWrap w:val="0"/>
            <w:vAlign w:val="center"/>
          </w:tcPr>
          <w:p w14:paraId="33ED032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0-33分</w:t>
            </w:r>
          </w:p>
        </w:tc>
      </w:tr>
      <w:tr w14:paraId="43B58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noWrap w:val="0"/>
            <w:vAlign w:val="center"/>
          </w:tcPr>
          <w:p w14:paraId="25F1AF6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tcBorders>
              <w:top w:val="single" w:color="auto" w:sz="4" w:space="0"/>
              <w:left w:val="nil"/>
              <w:bottom w:val="single" w:color="auto" w:sz="4" w:space="0"/>
              <w:right w:val="single" w:color="auto" w:sz="4" w:space="0"/>
            </w:tcBorders>
            <w:noWrap w:val="0"/>
            <w:vAlign w:val="center"/>
          </w:tcPr>
          <w:p w14:paraId="7CABBA2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视频演示</w:t>
            </w:r>
          </w:p>
        </w:tc>
        <w:tc>
          <w:tcPr>
            <w:tcW w:w="2202" w:type="pct"/>
            <w:tcBorders>
              <w:top w:val="single" w:color="auto" w:sz="4" w:space="0"/>
              <w:left w:val="nil"/>
              <w:bottom w:val="single" w:color="auto" w:sz="4" w:space="0"/>
              <w:right w:val="single" w:color="auto" w:sz="4" w:space="0"/>
            </w:tcBorders>
            <w:noWrap w:val="0"/>
            <w:vAlign w:val="center"/>
          </w:tcPr>
          <w:p w14:paraId="3ECACC72">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bCs/>
                <w:color w:val="auto"/>
                <w:kern w:val="2"/>
                <w:sz w:val="24"/>
                <w:szCs w:val="24"/>
                <w:lang w:val="en-US" w:eastAsia="zh-CN" w:bidi="ar-SA"/>
              </w:rPr>
            </w:pPr>
            <w:r>
              <w:rPr>
                <w:rFonts w:hint="default" w:ascii="Times New Roman" w:hAnsi="Times New Roman" w:eastAsia="宋体" w:cs="Times New Roman"/>
                <w:bCs/>
                <w:color w:val="auto"/>
                <w:kern w:val="2"/>
                <w:sz w:val="24"/>
                <w:szCs w:val="24"/>
                <w:lang w:val="en-US" w:eastAsia="zh-CN" w:bidi="ar-SA"/>
              </w:rPr>
              <w:t>1、提供序号1“车路协同实训设备”场景仿真软件功能演示视频；</w:t>
            </w:r>
          </w:p>
          <w:p w14:paraId="7D63B3F4">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bCs/>
                <w:color w:val="auto"/>
                <w:kern w:val="2"/>
                <w:sz w:val="24"/>
                <w:szCs w:val="24"/>
                <w:lang w:val="en-US" w:eastAsia="zh-CN" w:bidi="ar-SA"/>
              </w:rPr>
            </w:pPr>
            <w:r>
              <w:rPr>
                <w:rFonts w:hint="default" w:ascii="Times New Roman" w:hAnsi="Times New Roman" w:eastAsia="宋体" w:cs="Times New Roman"/>
                <w:bCs/>
                <w:color w:val="auto"/>
                <w:kern w:val="2"/>
                <w:sz w:val="24"/>
                <w:szCs w:val="24"/>
                <w:lang w:val="en-US" w:eastAsia="zh-CN" w:bidi="ar-SA"/>
              </w:rPr>
              <w:t>视频内容共4项，每满足1项得2分，最多得8分；</w:t>
            </w:r>
          </w:p>
          <w:p w14:paraId="30BC0B6D">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bCs/>
                <w:color w:val="auto"/>
                <w:kern w:val="2"/>
                <w:sz w:val="24"/>
                <w:szCs w:val="24"/>
                <w:lang w:val="en-US" w:eastAsia="zh-CN" w:bidi="ar-SA"/>
              </w:rPr>
            </w:pPr>
            <w:r>
              <w:rPr>
                <w:rFonts w:hint="default" w:ascii="Times New Roman" w:hAnsi="Times New Roman" w:eastAsia="宋体" w:cs="Times New Roman"/>
                <w:bCs/>
                <w:color w:val="auto"/>
                <w:kern w:val="2"/>
                <w:sz w:val="24"/>
                <w:szCs w:val="24"/>
                <w:lang w:val="en-US" w:eastAsia="zh-CN" w:bidi="ar-SA"/>
              </w:rPr>
              <w:t>2、提供序号3“一体化感知基站”配置管理软件功能演示视频；</w:t>
            </w:r>
          </w:p>
          <w:p w14:paraId="70C08C9B">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bCs/>
                <w:color w:val="auto"/>
                <w:kern w:val="2"/>
                <w:sz w:val="24"/>
                <w:szCs w:val="24"/>
                <w:lang w:val="en-US" w:eastAsia="zh-CN" w:bidi="ar-SA"/>
              </w:rPr>
            </w:pPr>
            <w:r>
              <w:rPr>
                <w:rFonts w:hint="default" w:ascii="Times New Roman" w:hAnsi="Times New Roman" w:eastAsia="宋体" w:cs="Times New Roman"/>
                <w:bCs/>
                <w:color w:val="auto"/>
                <w:kern w:val="2"/>
                <w:sz w:val="24"/>
                <w:szCs w:val="24"/>
                <w:lang w:val="en-US" w:eastAsia="zh-CN" w:bidi="ar-SA"/>
              </w:rPr>
              <w:t>视频内容共4项，每满足1项得2分，最多得8分；</w:t>
            </w:r>
          </w:p>
          <w:p w14:paraId="2E148EE3">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b/>
                <w:bCs w:val="0"/>
                <w:color w:val="auto"/>
                <w:kern w:val="2"/>
                <w:sz w:val="24"/>
                <w:szCs w:val="24"/>
                <w:lang w:val="en-US" w:eastAsia="zh-CN" w:bidi="ar-SA"/>
              </w:rPr>
            </w:pPr>
            <w:r>
              <w:rPr>
                <w:rFonts w:hint="default" w:ascii="Times New Roman" w:hAnsi="Times New Roman" w:eastAsia="宋体" w:cs="Times New Roman"/>
                <w:b/>
                <w:bCs w:val="0"/>
                <w:color w:val="auto"/>
                <w:kern w:val="2"/>
                <w:sz w:val="24"/>
                <w:szCs w:val="24"/>
                <w:lang w:val="en-US" w:eastAsia="zh-CN" w:bidi="ar-SA"/>
              </w:rPr>
              <w:t>注:（1）投标人针对本项要求制作演示视频，要求视频画面、音质清晰、普通话标准。避免视频过于冗长。</w:t>
            </w:r>
          </w:p>
          <w:p w14:paraId="3E3B5BC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rPr>
            </w:pPr>
            <w:r>
              <w:rPr>
                <w:rFonts w:hint="default" w:ascii="Times New Roman" w:hAnsi="Times New Roman" w:eastAsia="宋体" w:cs="Times New Roman"/>
                <w:b/>
                <w:bCs w:val="0"/>
                <w:color w:val="auto"/>
                <w:kern w:val="2"/>
                <w:sz w:val="24"/>
                <w:szCs w:val="24"/>
                <w:lang w:val="en-US" w:eastAsia="zh-CN" w:bidi="ar-SA"/>
              </w:rPr>
              <w:t>（2）投标人自行创建百度网盘将演示视频在本项目解密截止时间前上传至网盘中，并在投标文件(技术标部分)中注明网盘链接和提取码，未在规定时间内发送的视频或视频无法下载或视频无法打开的，此项不得分。仅提供渲染、PPT、图片或视频 DEMO，不得分。注意!上传至网盘时请注意有效期，建议选择永久有效</w:t>
            </w:r>
            <w:r>
              <w:rPr>
                <w:rFonts w:hint="eastAsia" w:ascii="宋体" w:hAnsi="宋体" w:eastAsia="宋体" w:cs="宋体"/>
                <w:b/>
                <w:bCs w:val="0"/>
                <w:color w:val="auto"/>
                <w:kern w:val="2"/>
                <w:sz w:val="24"/>
                <w:szCs w:val="24"/>
                <w:highlight w:val="none"/>
                <w:lang w:val="en-US" w:eastAsia="zh-CN" w:bidi="ar"/>
              </w:rPr>
              <w:t>。</w:t>
            </w:r>
          </w:p>
        </w:tc>
        <w:tc>
          <w:tcPr>
            <w:tcW w:w="931" w:type="pct"/>
            <w:tcBorders>
              <w:top w:val="single" w:color="auto" w:sz="4" w:space="0"/>
              <w:left w:val="nil"/>
              <w:bottom w:val="single" w:color="auto" w:sz="4" w:space="0"/>
              <w:right w:val="single" w:color="auto" w:sz="4" w:space="0"/>
            </w:tcBorders>
            <w:noWrap w:val="0"/>
            <w:vAlign w:val="center"/>
          </w:tcPr>
          <w:p w14:paraId="5D8C2B0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0-16分</w:t>
            </w:r>
          </w:p>
        </w:tc>
      </w:tr>
      <w:tr w14:paraId="4CA68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noWrap w:val="0"/>
            <w:vAlign w:val="center"/>
          </w:tcPr>
          <w:p w14:paraId="067E8D7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tcBorders>
              <w:top w:val="single" w:color="auto" w:sz="4" w:space="0"/>
              <w:left w:val="nil"/>
              <w:bottom w:val="single" w:color="auto" w:sz="4" w:space="0"/>
              <w:right w:val="single" w:color="auto" w:sz="4" w:space="0"/>
            </w:tcBorders>
            <w:noWrap w:val="0"/>
            <w:vAlign w:val="center"/>
          </w:tcPr>
          <w:p w14:paraId="18E8ABA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项目实施方案</w:t>
            </w:r>
          </w:p>
        </w:tc>
        <w:tc>
          <w:tcPr>
            <w:tcW w:w="2202" w:type="pct"/>
            <w:tcBorders>
              <w:top w:val="single" w:color="auto" w:sz="4" w:space="0"/>
              <w:left w:val="nil"/>
              <w:bottom w:val="single" w:color="auto" w:sz="4" w:space="0"/>
              <w:right w:val="single" w:color="auto" w:sz="4" w:space="0"/>
            </w:tcBorders>
            <w:noWrap w:val="0"/>
            <w:vAlign w:val="center"/>
          </w:tcPr>
          <w:p w14:paraId="7AD2B5D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根据投标人针对本项目特点提供的项目实施方案进行评分：</w:t>
            </w:r>
          </w:p>
          <w:p w14:paraId="5312702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（1）项目实施总体方案内容全面完善、详尽合理，实施过程中的管理保障、技术保障措施详细，硬件设备与软件联调联动方案符合技术逻辑标准,得4分；</w:t>
            </w:r>
          </w:p>
          <w:p w14:paraId="1934852C">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（2）项目实施方案内容完整合理，技术保障措施具有针对性的，硬件设备与软件联调联动方案可行，得3分；</w:t>
            </w:r>
          </w:p>
          <w:p w14:paraId="3732D009">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（3）项目实施方案内容简单，保障制度的完整性和合理性存在缺项，需要进一步完善的，得2分；</w:t>
            </w:r>
          </w:p>
          <w:p w14:paraId="13EECA0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（4）未提供的不得分。</w:t>
            </w:r>
          </w:p>
        </w:tc>
        <w:tc>
          <w:tcPr>
            <w:tcW w:w="931" w:type="pct"/>
            <w:tcBorders>
              <w:top w:val="single" w:color="auto" w:sz="4" w:space="0"/>
              <w:left w:val="nil"/>
              <w:bottom w:val="single" w:color="auto" w:sz="4" w:space="0"/>
              <w:right w:val="single" w:color="auto" w:sz="4" w:space="0"/>
            </w:tcBorders>
            <w:noWrap w:val="0"/>
            <w:vAlign w:val="center"/>
          </w:tcPr>
          <w:p w14:paraId="3FEC32B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0-4分</w:t>
            </w:r>
          </w:p>
        </w:tc>
      </w:tr>
      <w:tr w14:paraId="7BB9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noWrap w:val="0"/>
            <w:vAlign w:val="center"/>
          </w:tcPr>
          <w:p w14:paraId="7BACC82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tcBorders>
              <w:top w:val="single" w:color="auto" w:sz="4" w:space="0"/>
              <w:left w:val="nil"/>
              <w:bottom w:val="single" w:color="auto" w:sz="4" w:space="0"/>
              <w:right w:val="single" w:color="auto" w:sz="4" w:space="0"/>
            </w:tcBorders>
            <w:noWrap w:val="0"/>
            <w:vAlign w:val="center"/>
          </w:tcPr>
          <w:p w14:paraId="4900661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供货安装</w:t>
            </w:r>
          </w:p>
        </w:tc>
        <w:tc>
          <w:tcPr>
            <w:tcW w:w="2202" w:type="pct"/>
            <w:tcBorders>
              <w:top w:val="single" w:color="auto" w:sz="4" w:space="0"/>
              <w:left w:val="nil"/>
              <w:bottom w:val="single" w:color="auto" w:sz="4" w:space="0"/>
              <w:right w:val="single" w:color="auto" w:sz="4" w:space="0"/>
            </w:tcBorders>
            <w:noWrap w:val="0"/>
            <w:vAlign w:val="center"/>
          </w:tcPr>
          <w:p w14:paraId="1D60D12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 xml:space="preserve">根据针对项目特点，对投标文件中提供的供货、安装实施方案(包括：运输过程中的产品保护措施方案、产品装卸过程中保护措施方案、安装过程专业人员操作规范制度等)进行综合评审： </w:t>
            </w:r>
          </w:p>
          <w:p w14:paraId="37DE4AF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（1）供货安装、验收等实施方案详尽，施工进度、安全保证方案及措施和协同配合方案完整且优于项目实际情况的，得4分；</w:t>
            </w:r>
          </w:p>
          <w:p w14:paraId="41F2134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（2）供货安装、验收等实施方案齐全，施工进度、安全保证方案及措施和协同配合方案简单且符合实际情况的，得3分；</w:t>
            </w:r>
          </w:p>
          <w:p w14:paraId="3B7AED67">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（3）供货安装、验收内容简单，施工进度、安全保证方案及措施和协同配合方案存在缺项，需要进一步完善的，得2分；</w:t>
            </w:r>
          </w:p>
          <w:p w14:paraId="263EB92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（4）未提供的不得分。</w:t>
            </w:r>
          </w:p>
        </w:tc>
        <w:tc>
          <w:tcPr>
            <w:tcW w:w="931" w:type="pct"/>
            <w:tcBorders>
              <w:top w:val="single" w:color="auto" w:sz="4" w:space="0"/>
              <w:left w:val="nil"/>
              <w:bottom w:val="single" w:color="auto" w:sz="4" w:space="0"/>
              <w:right w:val="single" w:color="auto" w:sz="4" w:space="0"/>
            </w:tcBorders>
            <w:noWrap w:val="0"/>
            <w:vAlign w:val="center"/>
          </w:tcPr>
          <w:p w14:paraId="7A871CD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0-4分</w:t>
            </w:r>
          </w:p>
        </w:tc>
      </w:tr>
      <w:tr w14:paraId="19103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noWrap w:val="0"/>
            <w:vAlign w:val="center"/>
          </w:tcPr>
          <w:p w14:paraId="79A7340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tcBorders>
              <w:top w:val="single" w:color="auto" w:sz="4" w:space="0"/>
              <w:left w:val="nil"/>
              <w:bottom w:val="single" w:color="auto" w:sz="4" w:space="0"/>
              <w:right w:val="single" w:color="auto" w:sz="4" w:space="0"/>
            </w:tcBorders>
            <w:noWrap w:val="0"/>
            <w:vAlign w:val="center"/>
          </w:tcPr>
          <w:p w14:paraId="214AD051">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
              </w:rPr>
              <w:t>售后服务方案</w:t>
            </w:r>
          </w:p>
        </w:tc>
        <w:tc>
          <w:tcPr>
            <w:tcW w:w="2202" w:type="pct"/>
            <w:tcBorders>
              <w:top w:val="single" w:color="auto" w:sz="4" w:space="0"/>
              <w:left w:val="nil"/>
              <w:bottom w:val="single" w:color="auto" w:sz="4" w:space="0"/>
              <w:right w:val="single" w:color="auto" w:sz="4" w:space="0"/>
            </w:tcBorders>
            <w:noWrap w:val="0"/>
            <w:vAlign w:val="center"/>
          </w:tcPr>
          <w:p w14:paraId="39055015">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投标人根据项目特点、结合采购需求内容制定本项目的售后服务方案，包含但不限于：①质保期服务内容承诺、②响应方式、③响应时间、④备件供应准备及质量、⑤售后服务点设置情况等内容。</w:t>
            </w:r>
          </w:p>
          <w:p w14:paraId="0C6CDC07">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（1）售后服务措施详尽、维修响应时间及时、备件供应保障充足、人员售后配置详细、远程报修服务方案全面、实时维修统计详尽，能保障采购人获得高质量售后服务的，得4分；</w:t>
            </w:r>
          </w:p>
          <w:p w14:paraId="13794D1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（2）售后服务措施完整、维修响应时间及时、具有备件供应保障措施、配置售后人员、具有远程报修服务的，得3分；</w:t>
            </w:r>
          </w:p>
          <w:p w14:paraId="05E891F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（3）售后服务措施、维修响应时间、备件供应保障、配置售后人员、远程报修服务措施不全或存在不足，有待改善的，得2分；</w:t>
            </w:r>
          </w:p>
          <w:p w14:paraId="3C8B0E15">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
              </w:rPr>
              <w:t>（4）未提供的不得分。</w:t>
            </w:r>
          </w:p>
        </w:tc>
        <w:tc>
          <w:tcPr>
            <w:tcW w:w="931" w:type="pct"/>
            <w:tcBorders>
              <w:top w:val="single" w:color="auto" w:sz="4" w:space="0"/>
              <w:left w:val="nil"/>
              <w:bottom w:val="single" w:color="auto" w:sz="4" w:space="0"/>
              <w:right w:val="single" w:color="auto" w:sz="4" w:space="0"/>
            </w:tcBorders>
            <w:noWrap w:val="0"/>
            <w:vAlign w:val="center"/>
          </w:tcPr>
          <w:p w14:paraId="49378E0F">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仿宋_GB2312"/>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
              </w:rPr>
              <w:t>0-4分</w:t>
            </w:r>
          </w:p>
        </w:tc>
      </w:tr>
      <w:tr w14:paraId="4F860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noWrap w:val="0"/>
            <w:vAlign w:val="center"/>
          </w:tcPr>
          <w:p w14:paraId="51E33AD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tcBorders>
              <w:top w:val="single" w:color="auto" w:sz="4" w:space="0"/>
              <w:left w:val="nil"/>
              <w:bottom w:val="single" w:color="auto" w:sz="4" w:space="0"/>
              <w:right w:val="single" w:color="auto" w:sz="4" w:space="0"/>
            </w:tcBorders>
            <w:noWrap w:val="0"/>
            <w:vAlign w:val="center"/>
          </w:tcPr>
          <w:p w14:paraId="73EE12D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培训服务方案</w:t>
            </w:r>
          </w:p>
        </w:tc>
        <w:tc>
          <w:tcPr>
            <w:tcW w:w="2202" w:type="pct"/>
            <w:tcBorders>
              <w:top w:val="single" w:color="auto" w:sz="4" w:space="0"/>
              <w:left w:val="nil"/>
              <w:bottom w:val="single" w:color="auto" w:sz="4" w:space="0"/>
              <w:right w:val="single" w:color="auto" w:sz="4" w:space="0"/>
            </w:tcBorders>
            <w:noWrap w:val="0"/>
            <w:vAlign w:val="center"/>
          </w:tcPr>
          <w:p w14:paraId="316DFFEC">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投标人根据项目特点，提供针对本项目的培训服务方案，包括但不限于：培训计划、培训方式、培训内容、培训目标等。</w:t>
            </w:r>
          </w:p>
          <w:p w14:paraId="3B877DB6">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（1）方案包括或优于以上全部项目，贴合采购人实际使用需求，详细可行，培训内容符合专业教学实训需求，符合设备运行特性，具有专业发展前瞻性和可拓展性，得4分； </w:t>
            </w:r>
          </w:p>
          <w:p w14:paraId="33FCC64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（2）方案包含全部项目，具有可行性、实用性、针对性的，能够满足教学需要的，得3分； </w:t>
            </w:r>
          </w:p>
          <w:p w14:paraId="0E48DAE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（3）培训方案描述简单，方案中相关项目有缺失，可行性、实用性、针对性有待改善的，得2分；</w:t>
            </w:r>
          </w:p>
          <w:p w14:paraId="5FCDCAF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（4）未提供的不得分。</w:t>
            </w:r>
          </w:p>
        </w:tc>
        <w:tc>
          <w:tcPr>
            <w:tcW w:w="931" w:type="pct"/>
            <w:tcBorders>
              <w:top w:val="single" w:color="auto" w:sz="4" w:space="0"/>
              <w:left w:val="nil"/>
              <w:bottom w:val="single" w:color="auto" w:sz="4" w:space="0"/>
              <w:right w:val="single" w:color="auto" w:sz="4" w:space="0"/>
            </w:tcBorders>
            <w:noWrap w:val="0"/>
            <w:vAlign w:val="center"/>
          </w:tcPr>
          <w:p w14:paraId="495EE7C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0-4分</w:t>
            </w:r>
          </w:p>
        </w:tc>
      </w:tr>
      <w:tr w14:paraId="5BA44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noWrap w:val="0"/>
            <w:vAlign w:val="center"/>
          </w:tcPr>
          <w:p w14:paraId="48D33C2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tcBorders>
              <w:top w:val="single" w:color="auto" w:sz="4" w:space="0"/>
              <w:left w:val="nil"/>
              <w:bottom w:val="single" w:color="auto" w:sz="4" w:space="0"/>
              <w:right w:val="single" w:color="auto" w:sz="4" w:space="0"/>
            </w:tcBorders>
            <w:noWrap w:val="0"/>
            <w:vAlign w:val="center"/>
          </w:tcPr>
          <w:p w14:paraId="27E3A9A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应急及风险控制方案</w:t>
            </w:r>
          </w:p>
        </w:tc>
        <w:tc>
          <w:tcPr>
            <w:tcW w:w="2202" w:type="pct"/>
            <w:tcBorders>
              <w:top w:val="single" w:color="auto" w:sz="4" w:space="0"/>
              <w:left w:val="nil"/>
              <w:bottom w:val="single" w:color="auto" w:sz="4" w:space="0"/>
              <w:right w:val="single" w:color="auto" w:sz="4" w:space="0"/>
            </w:tcBorders>
            <w:noWrap w:val="0"/>
            <w:vAlign w:val="center"/>
          </w:tcPr>
          <w:p w14:paraId="335DD8F5">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投标人</w:t>
            </w:r>
            <w:r>
              <w:rPr>
                <w:rFonts w:hint="eastAsia" w:ascii="宋体" w:hAnsi="宋体" w:eastAsia="宋体" w:cs="@仿宋_GB2312"/>
                <w:color w:val="auto"/>
                <w:kern w:val="2"/>
                <w:sz w:val="24"/>
                <w:szCs w:val="24"/>
                <w:highlight w:val="none"/>
              </w:rPr>
              <w:t>根据本项目具体情况提供应急处理及风险控制方案（包括但不限于临时用电作业等）。</w:t>
            </w:r>
          </w:p>
          <w:p w14:paraId="041CDD14">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1</w:t>
            </w: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rPr>
              <w:t>方案内容</w:t>
            </w:r>
            <w:r>
              <w:rPr>
                <w:rFonts w:hint="eastAsia" w:ascii="宋体" w:hAnsi="宋体" w:eastAsia="宋体" w:cs="@仿宋_GB2312"/>
                <w:color w:val="auto"/>
                <w:kern w:val="2"/>
                <w:sz w:val="24"/>
                <w:szCs w:val="24"/>
                <w:highlight w:val="none"/>
                <w:lang w:val="en-US" w:eastAsia="zh-CN"/>
              </w:rPr>
              <w:t>全面</w:t>
            </w:r>
            <w:r>
              <w:rPr>
                <w:rFonts w:hint="eastAsia" w:ascii="宋体" w:hAnsi="宋体" w:eastAsia="宋体" w:cs="@仿宋_GB2312"/>
                <w:color w:val="auto"/>
                <w:kern w:val="2"/>
                <w:sz w:val="24"/>
                <w:szCs w:val="24"/>
                <w:highlight w:val="none"/>
              </w:rPr>
              <w:t>、详尽细致</w:t>
            </w:r>
            <w:r>
              <w:rPr>
                <w:rFonts w:hint="eastAsia" w:ascii="宋体" w:hAnsi="宋体" w:eastAsia="宋体" w:cs="@仿宋_GB2312"/>
                <w:color w:val="auto"/>
                <w:kern w:val="2"/>
                <w:sz w:val="24"/>
                <w:szCs w:val="24"/>
                <w:highlight w:val="none"/>
                <w:lang w:eastAsia="zh-CN"/>
              </w:rPr>
              <w:t>，逻辑清晰，</w:t>
            </w:r>
            <w:r>
              <w:rPr>
                <w:rFonts w:hint="eastAsia" w:ascii="宋体" w:hAnsi="宋体" w:eastAsia="宋体" w:cs="@仿宋_GB2312"/>
                <w:color w:val="auto"/>
                <w:kern w:val="2"/>
                <w:sz w:val="24"/>
                <w:szCs w:val="24"/>
                <w:highlight w:val="none"/>
              </w:rPr>
              <w:t>可行性、针对性强</w:t>
            </w: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贴合</w:t>
            </w:r>
            <w:r>
              <w:rPr>
                <w:rFonts w:hint="eastAsia" w:ascii="宋体" w:hAnsi="宋体" w:eastAsia="宋体" w:cs="@仿宋_GB2312"/>
                <w:color w:val="auto"/>
                <w:kern w:val="2"/>
                <w:sz w:val="24"/>
                <w:szCs w:val="24"/>
                <w:highlight w:val="none"/>
                <w:lang w:eastAsia="zh-CN"/>
              </w:rPr>
              <w:t>项目实际情况的</w:t>
            </w:r>
            <w:r>
              <w:rPr>
                <w:rFonts w:hint="eastAsia" w:ascii="宋体" w:hAnsi="宋体" w:eastAsia="宋体" w:cs="@仿宋_GB2312"/>
                <w:color w:val="auto"/>
                <w:kern w:val="2"/>
                <w:sz w:val="24"/>
                <w:szCs w:val="24"/>
                <w:highlight w:val="none"/>
              </w:rPr>
              <w:t>，得4分；</w:t>
            </w:r>
          </w:p>
          <w:p w14:paraId="301B5B9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2</w:t>
            </w: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rPr>
              <w:t>方案内容完整</w:t>
            </w: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逻辑通顺，</w:t>
            </w:r>
            <w:r>
              <w:rPr>
                <w:rFonts w:hint="eastAsia" w:ascii="宋体" w:hAnsi="宋体" w:eastAsia="宋体" w:cs="@仿宋_GB2312"/>
                <w:color w:val="auto"/>
                <w:kern w:val="2"/>
                <w:sz w:val="24"/>
                <w:szCs w:val="24"/>
                <w:highlight w:val="none"/>
              </w:rPr>
              <w:t>具有可行性和针对性</w:t>
            </w: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满足项目实际情况使用的</w:t>
            </w:r>
            <w:r>
              <w:rPr>
                <w:rFonts w:hint="eastAsia" w:ascii="宋体" w:hAnsi="宋体" w:eastAsia="宋体" w:cs="@仿宋_GB2312"/>
                <w:color w:val="auto"/>
                <w:kern w:val="2"/>
                <w:sz w:val="24"/>
                <w:szCs w:val="24"/>
                <w:highlight w:val="none"/>
              </w:rPr>
              <w:t>，得</w:t>
            </w:r>
            <w:r>
              <w:rPr>
                <w:rFonts w:hint="eastAsia" w:ascii="宋体" w:hAnsi="宋体" w:eastAsia="宋体" w:cs="@仿宋_GB2312"/>
                <w:color w:val="auto"/>
                <w:kern w:val="2"/>
                <w:sz w:val="24"/>
                <w:szCs w:val="24"/>
                <w:highlight w:val="none"/>
                <w:lang w:val="en-US" w:eastAsia="zh-CN"/>
              </w:rPr>
              <w:t>3</w:t>
            </w:r>
            <w:r>
              <w:rPr>
                <w:rFonts w:hint="eastAsia" w:ascii="宋体" w:hAnsi="宋体" w:eastAsia="宋体" w:cs="@仿宋_GB2312"/>
                <w:color w:val="auto"/>
                <w:kern w:val="2"/>
                <w:sz w:val="24"/>
                <w:szCs w:val="24"/>
                <w:highlight w:val="none"/>
              </w:rPr>
              <w:t>分；</w:t>
            </w:r>
          </w:p>
          <w:p w14:paraId="48B925F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3</w:t>
            </w: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rPr>
              <w:t>方案内容</w:t>
            </w:r>
            <w:r>
              <w:rPr>
                <w:rFonts w:hint="eastAsia" w:ascii="宋体" w:hAnsi="宋体" w:eastAsia="宋体" w:cs="@仿宋_GB2312"/>
                <w:color w:val="auto"/>
                <w:kern w:val="2"/>
                <w:sz w:val="24"/>
                <w:szCs w:val="24"/>
                <w:highlight w:val="none"/>
                <w:lang w:val="en-US" w:eastAsia="zh-CN"/>
              </w:rPr>
              <w:t>简单，逻辑性不通，</w:t>
            </w:r>
            <w:r>
              <w:rPr>
                <w:rFonts w:hint="eastAsia" w:ascii="宋体" w:hAnsi="宋体" w:eastAsia="宋体" w:cs="@仿宋_GB2312"/>
                <w:color w:val="auto"/>
                <w:kern w:val="2"/>
                <w:sz w:val="24"/>
                <w:szCs w:val="24"/>
                <w:highlight w:val="none"/>
              </w:rPr>
              <w:t>可行性、针对性有待改善的，得</w:t>
            </w:r>
            <w:r>
              <w:rPr>
                <w:rFonts w:hint="eastAsia" w:ascii="宋体" w:hAnsi="宋体" w:eastAsia="宋体" w:cs="@仿宋_GB2312"/>
                <w:color w:val="auto"/>
                <w:kern w:val="2"/>
                <w:sz w:val="24"/>
                <w:szCs w:val="24"/>
                <w:highlight w:val="none"/>
                <w:lang w:val="en-US" w:eastAsia="zh-CN"/>
              </w:rPr>
              <w:t>2</w:t>
            </w:r>
            <w:r>
              <w:rPr>
                <w:rFonts w:hint="eastAsia" w:ascii="宋体" w:hAnsi="宋体" w:eastAsia="宋体" w:cs="@仿宋_GB2312"/>
                <w:color w:val="auto"/>
                <w:kern w:val="2"/>
                <w:sz w:val="24"/>
                <w:szCs w:val="24"/>
                <w:highlight w:val="none"/>
              </w:rPr>
              <w:t>分；</w:t>
            </w:r>
          </w:p>
          <w:p w14:paraId="30CE537D">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4</w:t>
            </w: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rPr>
              <w:t>未提供的不得分。</w:t>
            </w:r>
          </w:p>
        </w:tc>
        <w:tc>
          <w:tcPr>
            <w:tcW w:w="931" w:type="pct"/>
            <w:tcBorders>
              <w:top w:val="single" w:color="auto" w:sz="4" w:space="0"/>
              <w:left w:val="nil"/>
              <w:bottom w:val="single" w:color="auto" w:sz="4" w:space="0"/>
              <w:right w:val="single" w:color="auto" w:sz="4" w:space="0"/>
            </w:tcBorders>
            <w:noWrap w:val="0"/>
            <w:vAlign w:val="center"/>
          </w:tcPr>
          <w:p w14:paraId="3D812A0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仿宋_GB2312"/>
                <w:b/>
                <w:bCs/>
                <w:color w:val="auto"/>
                <w:kern w:val="2"/>
                <w:sz w:val="24"/>
                <w:szCs w:val="24"/>
                <w:highlight w:val="none"/>
              </w:rPr>
              <w:t>0-4分</w:t>
            </w:r>
          </w:p>
        </w:tc>
      </w:tr>
      <w:tr w14:paraId="3CD1B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tcBorders>
              <w:top w:val="single" w:color="auto" w:sz="4" w:space="0"/>
              <w:left w:val="single" w:color="auto" w:sz="4" w:space="0"/>
              <w:bottom w:val="single" w:color="auto" w:sz="4" w:space="0"/>
              <w:right w:val="single" w:color="auto" w:sz="4" w:space="0"/>
            </w:tcBorders>
            <w:noWrap w:val="0"/>
            <w:vAlign w:val="center"/>
          </w:tcPr>
          <w:p w14:paraId="3EB6DEA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价格分</w:t>
            </w:r>
          </w:p>
          <w:p w14:paraId="6C56282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u w:val="single"/>
                <w:lang w:val="en-US" w:eastAsia="zh-CN" w:bidi="ar"/>
              </w:rPr>
              <w:t xml:space="preserve"> 30 </w:t>
            </w:r>
            <w:r>
              <w:rPr>
                <w:rFonts w:hint="eastAsia" w:ascii="宋体" w:hAnsi="宋体" w:eastAsia="宋体" w:cs="宋体"/>
                <w:color w:val="auto"/>
                <w:kern w:val="2"/>
                <w:sz w:val="24"/>
                <w:szCs w:val="24"/>
                <w:highlight w:val="none"/>
                <w:lang w:val="en-US" w:eastAsia="zh-CN" w:bidi="ar"/>
              </w:rPr>
              <w:t>分）</w:t>
            </w:r>
          </w:p>
        </w:tc>
        <w:tc>
          <w:tcPr>
            <w:tcW w:w="4136" w:type="pct"/>
            <w:gridSpan w:val="3"/>
            <w:tcBorders>
              <w:top w:val="single" w:color="auto" w:sz="4" w:space="0"/>
              <w:left w:val="nil"/>
              <w:bottom w:val="single" w:color="auto" w:sz="4" w:space="0"/>
              <w:right w:val="single" w:color="auto" w:sz="4" w:space="0"/>
            </w:tcBorders>
            <w:noWrap w:val="0"/>
            <w:vAlign w:val="center"/>
          </w:tcPr>
          <w:p w14:paraId="601E29F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价格分统一采用低价优先法，即满足招标文件要求且投标价格最低的投标报价为评标基准价，其价格分为满分</w:t>
            </w:r>
            <w:r>
              <w:rPr>
                <w:rFonts w:hint="eastAsia" w:ascii="宋体" w:hAnsi="宋体" w:eastAsia="宋体" w:cs="宋体"/>
                <w:color w:val="auto"/>
                <w:kern w:val="2"/>
                <w:sz w:val="24"/>
                <w:szCs w:val="24"/>
                <w:highlight w:val="none"/>
                <w:u w:val="single"/>
                <w:lang w:val="en-US" w:eastAsia="zh-CN" w:bidi="ar"/>
              </w:rPr>
              <w:t xml:space="preserve"> 30 </w:t>
            </w:r>
            <w:r>
              <w:rPr>
                <w:rFonts w:hint="eastAsia" w:ascii="宋体" w:hAnsi="宋体" w:eastAsia="宋体" w:cs="宋体"/>
                <w:color w:val="auto"/>
                <w:kern w:val="2"/>
                <w:sz w:val="24"/>
                <w:szCs w:val="24"/>
                <w:highlight w:val="none"/>
                <w:lang w:val="en-US" w:eastAsia="zh-CN" w:bidi="ar"/>
              </w:rPr>
              <w:t>分。其他投标人的价格分统一按照下列公式计算：</w:t>
            </w:r>
          </w:p>
          <w:p w14:paraId="43B541D6">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b/>
                <w:b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投标报价得分＝（评标基准价/投标报价）×</w:t>
            </w:r>
            <w:r>
              <w:rPr>
                <w:rFonts w:hint="eastAsia" w:ascii="宋体" w:hAnsi="宋体" w:eastAsia="宋体" w:cs="宋体"/>
                <w:color w:val="auto"/>
                <w:kern w:val="2"/>
                <w:sz w:val="24"/>
                <w:szCs w:val="24"/>
                <w:highlight w:val="none"/>
                <w:u w:val="single"/>
                <w:lang w:val="en-US" w:eastAsia="zh-CN" w:bidi="ar"/>
              </w:rPr>
              <w:t xml:space="preserve"> 30 </w:t>
            </w:r>
            <w:r>
              <w:rPr>
                <w:rFonts w:hint="eastAsia" w:ascii="宋体" w:hAnsi="宋体" w:eastAsia="宋体" w:cs="宋体"/>
                <w:color w:val="auto"/>
                <w:kern w:val="2"/>
                <w:sz w:val="24"/>
                <w:szCs w:val="24"/>
                <w:highlight w:val="none"/>
                <w:lang w:val="en-US" w:eastAsia="zh-CN" w:bidi="ar"/>
              </w:rPr>
              <w:t>％×100</w:t>
            </w:r>
          </w:p>
        </w:tc>
      </w:tr>
    </w:tbl>
    <w:p w14:paraId="64A428D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.3.3</w:t>
      </w:r>
      <w:r>
        <w:rPr>
          <w:rFonts w:hint="eastAsia" w:ascii="宋体" w:hAnsi="宋体" w:eastAsia="宋体"/>
          <w:color w:val="auto"/>
          <w:sz w:val="24"/>
          <w:highlight w:val="none"/>
        </w:rPr>
        <w:t>分值汇总</w:t>
      </w:r>
    </w:p>
    <w:p w14:paraId="178178E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评标委员会各成员应当独立对每个</w:t>
      </w:r>
      <w:r>
        <w:rPr>
          <w:rFonts w:hint="eastAsia" w:ascii="宋体" w:hAnsi="宋体" w:eastAsia="宋体"/>
          <w:color w:val="auto"/>
          <w:sz w:val="24"/>
          <w:highlight w:val="none"/>
        </w:rPr>
        <w:t>有效</w:t>
      </w:r>
      <w:r>
        <w:rPr>
          <w:rFonts w:ascii="宋体" w:hAnsi="宋体" w:eastAsia="宋体"/>
          <w:color w:val="auto"/>
          <w:sz w:val="24"/>
          <w:highlight w:val="none"/>
        </w:rPr>
        <w:t>投标人的投标文件进行评</w:t>
      </w:r>
      <w:r>
        <w:rPr>
          <w:rFonts w:hint="eastAsia" w:ascii="宋体" w:hAnsi="宋体" w:eastAsia="宋体"/>
          <w:color w:val="auto"/>
          <w:sz w:val="24"/>
          <w:highlight w:val="none"/>
        </w:rPr>
        <w:t>分</w:t>
      </w:r>
      <w:r>
        <w:rPr>
          <w:rFonts w:ascii="宋体" w:hAnsi="宋体" w:eastAsia="宋体"/>
          <w:color w:val="auto"/>
          <w:sz w:val="24"/>
          <w:highlight w:val="none"/>
        </w:rPr>
        <w:t>，并汇总每个投</w:t>
      </w:r>
      <w:r>
        <w:rPr>
          <w:rFonts w:hint="eastAsia" w:ascii="宋体" w:hAnsi="宋体" w:eastAsia="宋体"/>
          <w:color w:val="auto"/>
          <w:sz w:val="24"/>
          <w:highlight w:val="none"/>
        </w:rPr>
        <w:t>标人的得分。取各位评委评分之平均值，四舍五入保留至小数点后两位数，</w:t>
      </w:r>
      <w:r>
        <w:rPr>
          <w:rFonts w:ascii="宋体" w:hAnsi="宋体" w:eastAsia="宋体"/>
          <w:color w:val="auto"/>
          <w:sz w:val="24"/>
          <w:highlight w:val="none"/>
        </w:rPr>
        <w:t>得到该投标</w:t>
      </w:r>
      <w:r>
        <w:rPr>
          <w:rFonts w:hint="eastAsia" w:ascii="宋体" w:hAnsi="宋体" w:eastAsia="宋体"/>
          <w:color w:val="auto"/>
          <w:sz w:val="24"/>
          <w:highlight w:val="none"/>
        </w:rPr>
        <w:t>人</w:t>
      </w:r>
      <w:r>
        <w:rPr>
          <w:rFonts w:ascii="宋体" w:hAnsi="宋体" w:eastAsia="宋体"/>
          <w:color w:val="auto"/>
          <w:sz w:val="24"/>
          <w:highlight w:val="none"/>
        </w:rPr>
        <w:t>的技术资信分</w:t>
      </w:r>
      <w:r>
        <w:rPr>
          <w:rFonts w:hint="eastAsia" w:ascii="宋体" w:hAnsi="宋体" w:eastAsia="宋体"/>
          <w:color w:val="auto"/>
          <w:sz w:val="24"/>
          <w:highlight w:val="none"/>
        </w:rPr>
        <w:t>。</w:t>
      </w:r>
    </w:p>
    <w:p w14:paraId="71566A80">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将投标</w:t>
      </w:r>
      <w:r>
        <w:rPr>
          <w:rFonts w:hint="eastAsia" w:ascii="宋体" w:hAnsi="宋体" w:eastAsia="宋体"/>
          <w:color w:val="auto"/>
          <w:sz w:val="24"/>
          <w:highlight w:val="none"/>
        </w:rPr>
        <w:t>人</w:t>
      </w:r>
      <w:r>
        <w:rPr>
          <w:rFonts w:ascii="宋体" w:hAnsi="宋体" w:eastAsia="宋体"/>
          <w:color w:val="auto"/>
          <w:sz w:val="24"/>
          <w:highlight w:val="none"/>
        </w:rPr>
        <w:t>的技术资信分加上根据上述标准计算出的价格分，即为该投标</w:t>
      </w:r>
      <w:r>
        <w:rPr>
          <w:rFonts w:hint="eastAsia" w:ascii="宋体" w:hAnsi="宋体" w:eastAsia="宋体"/>
          <w:color w:val="auto"/>
          <w:sz w:val="24"/>
          <w:highlight w:val="none"/>
        </w:rPr>
        <w:t>人</w:t>
      </w:r>
      <w:r>
        <w:rPr>
          <w:rFonts w:ascii="宋体" w:hAnsi="宋体" w:eastAsia="宋体"/>
          <w:color w:val="auto"/>
          <w:sz w:val="24"/>
          <w:highlight w:val="none"/>
        </w:rPr>
        <w:t>的综合总得分</w:t>
      </w:r>
      <w:r>
        <w:rPr>
          <w:rFonts w:hint="eastAsia" w:ascii="宋体" w:hAnsi="宋体" w:eastAsia="宋体"/>
          <w:color w:val="auto"/>
          <w:sz w:val="24"/>
          <w:highlight w:val="none"/>
        </w:rPr>
        <w:t>。</w:t>
      </w:r>
    </w:p>
    <w:p w14:paraId="067EC74C">
      <w:pPr>
        <w:spacing w:line="360" w:lineRule="auto"/>
        <w:ind w:firstLine="435"/>
        <w:rPr>
          <w:rFonts w:hint="eastAsia" w:ascii="宋体" w:hAnsi="宋体" w:eastAsia="宋体"/>
          <w:b/>
          <w:color w:val="auto"/>
          <w:sz w:val="24"/>
          <w:highlight w:val="none"/>
        </w:rPr>
      </w:pPr>
      <w:r>
        <w:rPr>
          <w:rFonts w:hint="eastAsia" w:ascii="宋体" w:hAnsi="宋体" w:eastAsia="宋体"/>
          <w:b/>
          <w:color w:val="auto"/>
          <w:sz w:val="24"/>
          <w:highlight w:val="none"/>
        </w:rPr>
        <w:t>三、无效投标条款</w:t>
      </w:r>
    </w:p>
    <w:p w14:paraId="7E84EDBC">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3.1投标文件有下列情形之一的,其投标文件拒收:</w:t>
      </w:r>
    </w:p>
    <w:p w14:paraId="46D3F73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 未在开标截止时间前通过网上招标投标系统递交有效电子投标文件的，开标系统不予接收，投标将被拒绝。</w:t>
      </w:r>
    </w:p>
    <w:p w14:paraId="614ECC0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投标企业接到远程解密指令后，须在规定时间内解密。因投标人自身原因导致投标文件在规定时间内未能解密、解密失败或解密超时，投标文件无效；解密时间：从本项目解密程序开始时计时，至完成投标文件解密时间，不得超过60分钟，否则投标文件将被拒绝。</w:t>
      </w:r>
    </w:p>
    <w:p w14:paraId="0000A59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3.2投标人有下列情形之一的,资格审查后其投标作无效投标处理：</w:t>
      </w:r>
    </w:p>
    <w:p w14:paraId="37FA860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(1)投标人为本项目提供招标代理服务的；</w:t>
      </w:r>
    </w:p>
    <w:p w14:paraId="65B4D26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(2)投标人与在本项目代理机构存在相互任职或工作的；</w:t>
      </w:r>
    </w:p>
    <w:p w14:paraId="4AA9B00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(3)招标公告写明专门面向中小企业采购，投标人提供的货物非中小企业制造的；</w:t>
      </w:r>
    </w:p>
    <w:p w14:paraId="27B6669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(4)要求供应商以联合体形式参加采购活动，投标人非联合体或者联合协议中中小企业合同金额未达到应当达到的比例；</w:t>
      </w:r>
    </w:p>
    <w:p w14:paraId="7D9A9A38">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(5)要求获得采购合同的供应商向中小企业分包，投标人未提供分包意向协议或者分包意向协议中中小企业合同金额未达到应当达到的比例；</w:t>
      </w:r>
    </w:p>
    <w:p w14:paraId="1197EAEF">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(6)评标专家无法查看并检验电子投标文件中相关资料的；</w:t>
      </w:r>
    </w:p>
    <w:p w14:paraId="7E3AA7A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(7)联合体投标未提交联合体协议的；</w:t>
      </w:r>
    </w:p>
    <w:p w14:paraId="5259DC1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(8)责令停产停业的；</w:t>
      </w:r>
    </w:p>
    <w:p w14:paraId="5FE0CB38">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(9)暂停或者取消参与政府采购项目资格的；</w:t>
      </w:r>
    </w:p>
    <w:p w14:paraId="3176DEF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(10)投标人单位负责人为同一人或者存在（直接）控股、管理关系的不同单位的；</w:t>
      </w:r>
    </w:p>
    <w:p w14:paraId="081CB29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(11)投标人基本资格条件和特定资格条件中有一项及以上不符合要求的；</w:t>
      </w:r>
    </w:p>
    <w:p w14:paraId="7DBF80C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(12)开标时查询投标文件制作机器码、文件创建标识码及造价软件加密锁号。若存在投标文件制作机器码或创建标识码或造价软件加密锁号信息与其他投标人雷同的，投标无效、进行信用信息披露，行政监管部门将依据线索依法查处；</w:t>
      </w:r>
    </w:p>
    <w:p w14:paraId="74EB00D8">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(13)其它情形，经评标委员会委提出按无效投标处理，并经公共资源交易监督部门核准的；</w:t>
      </w:r>
    </w:p>
    <w:p w14:paraId="75A8956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(14)投标人投标MAC地址或投标人联系人或联系电话相同的，由评标委员会否决其投标，并报告监管部门作不良行为处理和进一步调查；</w:t>
      </w:r>
    </w:p>
    <w:p w14:paraId="1E35C05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(15)投标人单方面出现其他投标人材料的；</w:t>
      </w:r>
    </w:p>
    <w:p w14:paraId="4F004EC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(16)招标公告未写明允许采购进口产品，投标人所投产品为进口产品的；</w:t>
      </w:r>
    </w:p>
    <w:p w14:paraId="54758B48">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(17)招标文件规定的其它无效投标情形。</w:t>
      </w:r>
    </w:p>
    <w:p w14:paraId="582C6AA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3.3 投标人有下列情形之一的,符合性审查后其投标按无效投标处理：</w:t>
      </w:r>
    </w:p>
    <w:p w14:paraId="120E53C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(1)投标文件签字、盖章不全，经评标委员会一致认定对开评标内容有实质性影响并经公共资源交易监督部门核准的；</w:t>
      </w:r>
    </w:p>
    <w:p w14:paraId="61596F0C">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(2)未按规定的格式填写导致实质性内容不全以及实质上不响应，或者关键字迹模糊、无法辨认；经公共资源交易监督部门核准的；</w:t>
      </w:r>
    </w:p>
    <w:p w14:paraId="2255AFEC">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(3)同一投标人提交两个以上不同的投标文件或者投标报价，但招标文件规定提交备选方案的除外；</w:t>
      </w:r>
    </w:p>
    <w:p w14:paraId="786F444C">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(4)投标文件没有对招标文件的实质性要求和条件作出响应;</w:t>
      </w:r>
    </w:p>
    <w:p w14:paraId="357C221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(5)投标报价超出规定的投标限价或公布的采购预算的或投标人的投标报价各项单价高于招标文件给定的单价最高限价；</w:t>
      </w:r>
    </w:p>
    <w:p w14:paraId="528319F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(6)不按评标委员会要求澄清、说明或补正的，或者评标委员会根据招标文件的规定对投标文件的计算错误进行修正后，投标人不接受修正的投标报价的。</w:t>
      </w:r>
    </w:p>
    <w:p w14:paraId="465AFCB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(7)其它情形，经评标委员会委提出按无效投标处理，并经公共资源交易监督部门核准的；</w:t>
      </w:r>
    </w:p>
    <w:p w14:paraId="2FA11F6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(8)投标文件含有采购人不能接受的附加条件的；</w:t>
      </w:r>
    </w:p>
    <w:p w14:paraId="4F0C13F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(9)招标文件规定的其它无效投标情形。</w:t>
      </w:r>
    </w:p>
    <w:p w14:paraId="4E5144D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3.4 投标人有下列情形之一的, 详细评审后其投标按无效投标处理：</w:t>
      </w:r>
    </w:p>
    <w:p w14:paraId="16F59B20">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(1)投标产品不符合必须强制执行的国家标准的；</w:t>
      </w:r>
    </w:p>
    <w:p w14:paraId="3F7A803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(2)投标人有串通投标、弄虚作假、行贿等违法行为；</w:t>
      </w:r>
    </w:p>
    <w:p w14:paraId="63403A3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(3)投标文件含有违反国家法律、法规的内容，或附有采购人不能接受的条件的；</w:t>
      </w:r>
    </w:p>
    <w:p w14:paraId="307D35B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(4)报价明显低于其他投标人，且不能证明报价合理性的投标无效；</w:t>
      </w:r>
    </w:p>
    <w:p w14:paraId="6849CBF0">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(5)拒不确认评标委员会评审修正的投标无效；</w:t>
      </w:r>
    </w:p>
    <w:p w14:paraId="23C37CA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(6)其它情形，经评标委员会委提出按无效投标处理，并经公共资源交易监督部门核准的；</w:t>
      </w:r>
    </w:p>
    <w:p w14:paraId="64AEA10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(7)招标文件规定的其它无效投标情形。</w:t>
      </w:r>
    </w:p>
    <w:p w14:paraId="14DB2031">
      <w:pPr>
        <w:spacing w:line="360" w:lineRule="auto"/>
        <w:ind w:firstLine="435"/>
        <w:rPr>
          <w:rFonts w:hint="eastAsia" w:ascii="宋体" w:hAnsi="宋体" w:eastAsia="宋体"/>
          <w:color w:val="auto"/>
          <w:sz w:val="24"/>
          <w:highlight w:val="none"/>
        </w:rPr>
      </w:pPr>
    </w:p>
    <w:p w14:paraId="2AA1F1E8">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br w:type="page"/>
      </w:r>
    </w:p>
    <w:p w14:paraId="72AA7D19">
      <w:pPr>
        <w:spacing w:line="360" w:lineRule="auto"/>
        <w:jc w:val="center"/>
        <w:outlineLvl w:val="0"/>
        <w:rPr>
          <w:rFonts w:hint="eastAsia" w:ascii="宋体" w:hAnsi="宋体" w:eastAsia="宋体"/>
          <w:b/>
          <w:color w:val="auto"/>
          <w:sz w:val="28"/>
          <w:highlight w:val="none"/>
        </w:rPr>
      </w:pPr>
      <w:bookmarkStart w:id="33" w:name="_Toc4682"/>
      <w:r>
        <w:rPr>
          <w:rFonts w:hint="eastAsia" w:ascii="宋体" w:hAnsi="宋体" w:eastAsia="宋体"/>
          <w:b/>
          <w:color w:val="auto"/>
          <w:sz w:val="28"/>
          <w:highlight w:val="none"/>
        </w:rPr>
        <w:t xml:space="preserve">第五章  </w:t>
      </w:r>
      <w:r>
        <w:rPr>
          <w:rFonts w:ascii="宋体" w:hAnsi="宋体" w:eastAsia="宋体"/>
          <w:b/>
          <w:color w:val="auto"/>
          <w:sz w:val="28"/>
          <w:highlight w:val="none"/>
        </w:rPr>
        <w:t>政府采购合同</w:t>
      </w:r>
      <w:bookmarkEnd w:id="33"/>
    </w:p>
    <w:p w14:paraId="5E7D5CC3">
      <w:pPr>
        <w:pStyle w:val="9"/>
        <w:spacing w:after="0" w:line="360" w:lineRule="auto"/>
        <w:rPr>
          <w:rFonts w:hint="eastAsia" w:ascii="宋体" w:hAnsi="宋体" w:eastAsia="宋体" w:cs="宋体"/>
          <w:b/>
          <w:bCs/>
          <w:color w:val="auto"/>
          <w:spacing w:val="-20"/>
          <w:kern w:val="44"/>
          <w:sz w:val="24"/>
          <w:highlight w:val="none"/>
        </w:rPr>
      </w:pPr>
    </w:p>
    <w:p w14:paraId="171F5796">
      <w:pPr>
        <w:pStyle w:val="9"/>
        <w:spacing w:after="0" w:line="360" w:lineRule="auto"/>
        <w:jc w:val="center"/>
        <w:rPr>
          <w:rFonts w:hint="eastAsia" w:ascii="宋体" w:hAnsi="宋体" w:eastAsia="宋体" w:cs="宋体"/>
          <w:b/>
          <w:bCs/>
          <w:color w:val="auto"/>
          <w:spacing w:val="-20"/>
          <w:kern w:val="44"/>
          <w:sz w:val="24"/>
          <w:highlight w:val="none"/>
        </w:rPr>
      </w:pPr>
    </w:p>
    <w:p w14:paraId="6704747A">
      <w:pPr>
        <w:pStyle w:val="9"/>
        <w:spacing w:after="0" w:line="360" w:lineRule="auto"/>
        <w:jc w:val="center"/>
        <w:rPr>
          <w:rFonts w:hint="eastAsia" w:ascii="宋体" w:hAnsi="宋体" w:eastAsia="宋体" w:cs="宋体"/>
          <w:b/>
          <w:bCs/>
          <w:color w:val="auto"/>
          <w:spacing w:val="-20"/>
          <w:kern w:val="44"/>
          <w:sz w:val="24"/>
          <w:highlight w:val="none"/>
        </w:rPr>
      </w:pPr>
    </w:p>
    <w:p w14:paraId="09F0F9C5">
      <w:pPr>
        <w:pStyle w:val="9"/>
        <w:spacing w:after="0" w:line="360" w:lineRule="auto"/>
        <w:jc w:val="center"/>
        <w:rPr>
          <w:rFonts w:hint="eastAsia" w:ascii="宋体" w:hAnsi="宋体" w:eastAsia="宋体" w:cs="宋体"/>
          <w:b/>
          <w:bCs/>
          <w:color w:val="auto"/>
          <w:spacing w:val="-20"/>
          <w:kern w:val="44"/>
          <w:sz w:val="24"/>
          <w:highlight w:val="none"/>
        </w:rPr>
      </w:pPr>
    </w:p>
    <w:p w14:paraId="56DC012D">
      <w:pPr>
        <w:spacing w:line="360" w:lineRule="auto"/>
        <w:rPr>
          <w:rFonts w:hint="eastAsia" w:ascii="宋体" w:hAnsi="宋体" w:eastAsia="宋体" w:cs="宋体"/>
          <w:b/>
          <w:bCs/>
          <w:color w:val="auto"/>
          <w:spacing w:val="-20"/>
          <w:kern w:val="44"/>
          <w:sz w:val="24"/>
          <w:szCs w:val="24"/>
          <w:highlight w:val="none"/>
        </w:rPr>
      </w:pPr>
    </w:p>
    <w:p w14:paraId="3F2F4BB4">
      <w:pPr>
        <w:pStyle w:val="9"/>
        <w:rPr>
          <w:rFonts w:hint="eastAsia" w:ascii="宋体" w:hAnsi="宋体" w:eastAsia="宋体" w:cs="宋体"/>
          <w:b/>
          <w:bCs/>
          <w:color w:val="auto"/>
          <w:spacing w:val="-20"/>
          <w:kern w:val="44"/>
          <w:sz w:val="24"/>
          <w:highlight w:val="none"/>
        </w:rPr>
      </w:pPr>
    </w:p>
    <w:p w14:paraId="67E1FE5E">
      <w:pPr>
        <w:pStyle w:val="9"/>
        <w:rPr>
          <w:rFonts w:hint="eastAsia" w:ascii="宋体" w:hAnsi="宋体" w:eastAsia="宋体" w:cs="宋体"/>
          <w:b/>
          <w:bCs/>
          <w:color w:val="auto"/>
          <w:spacing w:val="-20"/>
          <w:kern w:val="44"/>
          <w:sz w:val="24"/>
          <w:highlight w:val="none"/>
        </w:rPr>
      </w:pPr>
    </w:p>
    <w:p w14:paraId="03DCF3CB">
      <w:pPr>
        <w:spacing w:line="360" w:lineRule="auto"/>
        <w:rPr>
          <w:rFonts w:hint="eastAsia" w:ascii="宋体" w:hAnsi="宋体" w:eastAsia="宋体" w:cs="宋体"/>
          <w:b/>
          <w:bCs/>
          <w:color w:val="auto"/>
          <w:spacing w:val="-20"/>
          <w:kern w:val="44"/>
          <w:sz w:val="24"/>
          <w:szCs w:val="24"/>
          <w:highlight w:val="none"/>
        </w:rPr>
      </w:pPr>
    </w:p>
    <w:p w14:paraId="6695EA95">
      <w:pPr>
        <w:pStyle w:val="9"/>
        <w:spacing w:line="360" w:lineRule="auto"/>
        <w:rPr>
          <w:rFonts w:hint="eastAsia"/>
          <w:color w:val="auto"/>
          <w:highlight w:val="none"/>
        </w:rPr>
      </w:pPr>
    </w:p>
    <w:p w14:paraId="220490F1">
      <w:pPr>
        <w:spacing w:line="360" w:lineRule="auto"/>
        <w:rPr>
          <w:rFonts w:hint="eastAsia" w:ascii="宋体" w:hAnsi="宋体" w:eastAsia="宋体" w:cs="宋体"/>
          <w:b/>
          <w:bCs/>
          <w:color w:val="auto"/>
          <w:spacing w:val="-20"/>
          <w:kern w:val="44"/>
          <w:sz w:val="24"/>
          <w:szCs w:val="24"/>
          <w:highlight w:val="none"/>
        </w:rPr>
      </w:pPr>
    </w:p>
    <w:p w14:paraId="630C58BA">
      <w:pPr>
        <w:spacing w:line="360" w:lineRule="auto"/>
        <w:ind w:left="420" w:leftChars="200"/>
        <w:rPr>
          <w:rFonts w:hint="eastAsia" w:ascii="宋体" w:hAnsi="宋体" w:eastAsia="宋体" w:cs="Times New Roman"/>
          <w:i/>
          <w:iCs/>
          <w:color w:val="auto"/>
          <w:sz w:val="24"/>
          <w:szCs w:val="24"/>
          <w:highlight w:val="none"/>
          <w:lang w:eastAsia="zh-CN"/>
        </w:rPr>
      </w:pPr>
      <w:r>
        <w:rPr>
          <w:rFonts w:hint="eastAsia" w:ascii="宋体" w:hAnsi="宋体" w:eastAsia="宋体" w:cs="宋体"/>
          <w:color w:val="auto"/>
          <w:kern w:val="0"/>
          <w:sz w:val="24"/>
          <w:szCs w:val="24"/>
          <w:highlight w:val="none"/>
        </w:rPr>
        <w:t>项目名称：</w:t>
      </w:r>
      <w:r>
        <w:rPr>
          <w:rFonts w:hint="eastAsia" w:ascii="宋体" w:hAnsi="宋体" w:eastAsia="宋体" w:cs="宋体"/>
          <w:color w:val="auto"/>
          <w:sz w:val="24"/>
          <w:szCs w:val="24"/>
          <w:highlight w:val="none"/>
          <w:u w:val="single"/>
          <w:lang w:eastAsia="zh-CN"/>
        </w:rPr>
        <w:t>滁州职业技术学院智能网联车路云一体化实训室项目</w:t>
      </w:r>
    </w:p>
    <w:p w14:paraId="538890AA">
      <w:pPr>
        <w:spacing w:line="360" w:lineRule="auto"/>
        <w:ind w:left="420" w:leftChars="200"/>
        <w:rPr>
          <w:rFonts w:hint="eastAsia"/>
          <w:color w:val="auto"/>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4D9BB07">
      <w:pPr>
        <w:spacing w:line="360" w:lineRule="auto"/>
        <w:ind w:left="420" w:left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合同编号：</w:t>
      </w:r>
      <w:r>
        <w:rPr>
          <w:rFonts w:hint="eastAsia" w:ascii="宋体" w:hAnsi="宋体" w:eastAsia="宋体" w:cs="宋体"/>
          <w:color w:val="auto"/>
          <w:sz w:val="24"/>
          <w:szCs w:val="24"/>
          <w:highlight w:val="none"/>
          <w:u w:val="single"/>
        </w:rPr>
        <w:t xml:space="preserve">                             </w:t>
      </w:r>
    </w:p>
    <w:p w14:paraId="63FA1B3E">
      <w:pPr>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Times New Roman"/>
          <w:color w:val="auto"/>
          <w:sz w:val="24"/>
          <w:szCs w:val="24"/>
          <w:highlight w:val="none"/>
        </w:rPr>
        <w:t>甲方（采购人）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eastAsia="zh-CN"/>
        </w:rPr>
        <w:t>滁州职业技术学院</w:t>
      </w:r>
      <w:r>
        <w:rPr>
          <w:rFonts w:hint="eastAsia" w:ascii="宋体" w:hAnsi="宋体" w:eastAsia="宋体" w:cs="宋体"/>
          <w:color w:val="auto"/>
          <w:sz w:val="24"/>
          <w:szCs w:val="24"/>
          <w:highlight w:val="none"/>
          <w:u w:val="single"/>
        </w:rPr>
        <w:t xml:space="preserve"> </w:t>
      </w:r>
    </w:p>
    <w:p w14:paraId="60356C44">
      <w:pPr>
        <w:spacing w:line="360" w:lineRule="auto"/>
        <w:ind w:left="420" w:leftChars="200"/>
        <w:rPr>
          <w:rFonts w:hint="eastAsia" w:ascii="宋体" w:hAnsi="宋体" w:eastAsia="宋体" w:cs="宋体"/>
          <w:color w:val="auto"/>
          <w:sz w:val="24"/>
          <w:szCs w:val="24"/>
          <w:highlight w:val="none"/>
          <w:u w:val="single"/>
        </w:rPr>
      </w:pPr>
      <w:r>
        <w:rPr>
          <w:rFonts w:hint="eastAsia" w:ascii="宋体" w:hAnsi="宋体" w:eastAsia="宋体" w:cs="Times New Roman"/>
          <w:color w:val="auto"/>
          <w:sz w:val="24"/>
          <w:szCs w:val="24"/>
          <w:highlight w:val="none"/>
        </w:rPr>
        <w:t>乙方（中标人）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1AE523D4">
      <w:pPr>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签订时间：</w:t>
      </w:r>
      <w:r>
        <w:rPr>
          <w:rFonts w:hint="eastAsia" w:ascii="宋体" w:hAnsi="宋体" w:eastAsia="宋体" w:cs="宋体"/>
          <w:color w:val="auto"/>
          <w:sz w:val="24"/>
          <w:szCs w:val="24"/>
          <w:highlight w:val="none"/>
          <w:u w:val="single"/>
        </w:rPr>
        <w:t xml:space="preserve">                             </w:t>
      </w:r>
    </w:p>
    <w:p w14:paraId="3B8C8FCB">
      <w:pPr>
        <w:spacing w:line="360" w:lineRule="auto"/>
        <w:rPr>
          <w:rFonts w:hint="eastAsia" w:ascii="宋体" w:hAnsi="宋体" w:eastAsia="宋体" w:cs="宋体"/>
          <w:color w:val="auto"/>
          <w:sz w:val="24"/>
          <w:szCs w:val="24"/>
          <w:highlight w:val="none"/>
        </w:rPr>
      </w:pPr>
    </w:p>
    <w:p w14:paraId="1DDB159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6AB6347">
      <w:pPr>
        <w:spacing w:line="360" w:lineRule="auto"/>
        <w:jc w:val="center"/>
        <w:outlineLvl w:val="1"/>
        <w:rPr>
          <w:rFonts w:hint="eastAsia" w:ascii="宋体" w:hAnsi="宋体" w:eastAsia="宋体"/>
          <w:b/>
          <w:color w:val="auto"/>
          <w:sz w:val="24"/>
          <w:highlight w:val="none"/>
        </w:rPr>
      </w:pPr>
      <w:r>
        <w:rPr>
          <w:rFonts w:hint="eastAsia" w:ascii="宋体" w:hAnsi="宋体" w:eastAsia="宋体"/>
          <w:b/>
          <w:color w:val="auto"/>
          <w:sz w:val="24"/>
          <w:highlight w:val="none"/>
        </w:rPr>
        <w:t>使 用 说 明</w:t>
      </w:r>
    </w:p>
    <w:p w14:paraId="58415BCF">
      <w:pPr>
        <w:spacing w:line="360" w:lineRule="auto"/>
        <w:ind w:firstLine="480" w:firstLineChars="200"/>
        <w:rPr>
          <w:rFonts w:hint="eastAsia" w:ascii="宋体" w:hAnsi="宋体" w:eastAsia="宋体" w:cs="宋体"/>
          <w:color w:val="auto"/>
          <w:sz w:val="24"/>
          <w:szCs w:val="24"/>
          <w:highlight w:val="none"/>
        </w:rPr>
      </w:pPr>
    </w:p>
    <w:p w14:paraId="7222D90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1.本合同标准文本适用于购买现成货物的采购项目，不包括需要供应商定制开发、创新研发的货物采购项目。</w:t>
      </w:r>
    </w:p>
    <w:p w14:paraId="41294AC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2.本合同标准文本为政府采购货物买卖合同编制提供参考，可以结合采购项目具体情况，对文本作必要的调整修订后使用。</w:t>
      </w:r>
    </w:p>
    <w:p w14:paraId="45785CE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3.本合同标准文本各条款中，如涉及填写多家供应商、制造商，多种采购标的、分包主要内容等信息的，可根据采购项目具体情况添加信息项。</w:t>
      </w:r>
    </w:p>
    <w:p w14:paraId="4E96E65E">
      <w:pPr>
        <w:spacing w:line="360" w:lineRule="auto"/>
        <w:ind w:firstLine="480" w:firstLineChars="200"/>
        <w:rPr>
          <w:rFonts w:hint="eastAsia" w:ascii="宋体" w:hAnsi="宋体" w:eastAsia="宋体" w:cs="宋体"/>
          <w:color w:val="auto"/>
          <w:sz w:val="24"/>
          <w:szCs w:val="24"/>
          <w:highlight w:val="none"/>
        </w:rPr>
        <w:sectPr>
          <w:headerReference r:id="rId5" w:type="default"/>
          <w:footerReference r:id="rId6" w:type="default"/>
          <w:pgSz w:w="11906" w:h="16838"/>
          <w:pgMar w:top="1440" w:right="1800" w:bottom="1440" w:left="1800" w:header="851" w:footer="992" w:gutter="0"/>
          <w:cols w:space="720" w:num="1"/>
          <w:docGrid w:type="lines" w:linePitch="312" w:charSpace="0"/>
        </w:sectPr>
      </w:pPr>
    </w:p>
    <w:p w14:paraId="788E91D4">
      <w:pPr>
        <w:spacing w:line="360" w:lineRule="auto"/>
        <w:jc w:val="center"/>
        <w:outlineLvl w:val="1"/>
        <w:rPr>
          <w:rFonts w:hint="eastAsia" w:ascii="宋体" w:hAnsi="宋体" w:eastAsia="宋体"/>
          <w:b/>
          <w:color w:val="auto"/>
          <w:sz w:val="24"/>
          <w:highlight w:val="none"/>
        </w:rPr>
      </w:pPr>
      <w:bookmarkStart w:id="34" w:name="_Toc22209"/>
      <w:r>
        <w:rPr>
          <w:rFonts w:hint="eastAsia" w:ascii="宋体" w:hAnsi="宋体" w:eastAsia="宋体"/>
          <w:b/>
          <w:color w:val="auto"/>
          <w:sz w:val="24"/>
          <w:highlight w:val="none"/>
        </w:rPr>
        <w:t>第一节 政府采购合同协议书</w:t>
      </w:r>
      <w:bookmarkEnd w:id="34"/>
    </w:p>
    <w:p w14:paraId="14906082">
      <w:pPr>
        <w:adjustRightInd w:val="0"/>
        <w:snapToGrid w:val="0"/>
        <w:spacing w:line="360" w:lineRule="auto"/>
        <w:rPr>
          <w:rFonts w:hint="eastAsia" w:ascii="宋体" w:hAnsi="宋体" w:eastAsia="宋体" w:cs="宋体"/>
          <w:color w:val="auto"/>
          <w:sz w:val="24"/>
          <w:szCs w:val="24"/>
          <w:highlight w:val="none"/>
        </w:rPr>
      </w:pPr>
    </w:p>
    <w:p w14:paraId="544AC0FF">
      <w:pPr>
        <w:adjustRightInd w:val="0"/>
        <w:snapToGrid w:val="0"/>
        <w:spacing w:line="360" w:lineRule="auto"/>
        <w:ind w:left="4800" w:hanging="4800" w:hanging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甲方（全称）：</w:t>
      </w:r>
      <w:r>
        <w:rPr>
          <w:rFonts w:hint="eastAsia" w:ascii="宋体" w:hAnsi="宋体" w:eastAsia="宋体" w:cs="宋体"/>
          <w:color w:val="auto"/>
          <w:sz w:val="24"/>
          <w:szCs w:val="24"/>
          <w:highlight w:val="none"/>
          <w:u w:val="single"/>
          <w:lang w:eastAsia="zh-CN"/>
        </w:rPr>
        <w:t>滁州职业技术学院</w:t>
      </w:r>
      <w:r>
        <w:rPr>
          <w:rFonts w:hint="eastAsia" w:ascii="宋体" w:hAnsi="宋体" w:eastAsia="宋体" w:cs="宋体"/>
          <w:color w:val="auto"/>
          <w:sz w:val="24"/>
          <w:szCs w:val="24"/>
          <w:highlight w:val="none"/>
        </w:rPr>
        <w:t>（采购人、受采购人委托签订合同的单位或采购文件约定的合同甲方）</w:t>
      </w:r>
    </w:p>
    <w:p w14:paraId="1BE0ED14">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乙方1（全称）：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w:t>
      </w:r>
    </w:p>
    <w:p w14:paraId="7261BA6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乙方2（全称）：</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（联合体成员供应商或其他合同主体）（如有）</w:t>
      </w:r>
    </w:p>
    <w:p w14:paraId="646738DF">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乙方3（全称）</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（联合体成员供应商或其他合同主体）（如有）</w:t>
      </w:r>
    </w:p>
    <w:p w14:paraId="40BDA857">
      <w:pPr>
        <w:spacing w:line="360" w:lineRule="auto"/>
        <w:rPr>
          <w:rFonts w:hint="eastAsia" w:ascii="宋体" w:hAnsi="宋体" w:eastAsia="宋体" w:cs="宋体"/>
          <w:color w:val="auto"/>
          <w:sz w:val="24"/>
          <w:szCs w:val="24"/>
          <w:highlight w:val="none"/>
        </w:rPr>
      </w:pPr>
    </w:p>
    <w:p w14:paraId="3D4E6A7D">
      <w:pPr>
        <w:pStyle w:val="10"/>
        <w:adjustRightInd w:val="0"/>
        <w:snapToGrid w:val="0"/>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1202C239">
      <w:pPr>
        <w:numPr>
          <w:ilvl w:val="0"/>
          <w:numId w:val="3"/>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项目信息</w:t>
      </w:r>
    </w:p>
    <w:p w14:paraId="0895B1D7">
      <w:pPr>
        <w:pStyle w:val="10"/>
        <w:numPr>
          <w:ilvl w:val="0"/>
          <w:numId w:val="4"/>
        </w:numPr>
        <w:adjustRightInd w:val="0"/>
        <w:snapToGrid w:val="0"/>
        <w:spacing w:after="0" w:line="360" w:lineRule="auto"/>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single"/>
          <w:lang w:eastAsia="zh-CN"/>
        </w:rPr>
        <w:t>滁州职业技术学院智能网联车路云一体化实训室项目</w:t>
      </w:r>
      <w:r>
        <w:rPr>
          <w:rFonts w:hint="eastAsia" w:ascii="宋体" w:hAnsi="宋体" w:eastAsia="宋体" w:cs="宋体"/>
          <w:color w:val="auto"/>
          <w:sz w:val="24"/>
          <w:szCs w:val="24"/>
          <w:highlight w:val="none"/>
          <w:u w:val="single"/>
        </w:rPr>
        <w:t xml:space="preserve"> </w:t>
      </w:r>
    </w:p>
    <w:p w14:paraId="43CC48BA">
      <w:pPr>
        <w:pStyle w:val="10"/>
        <w:numPr>
          <w:ilvl w:val="0"/>
          <w:numId w:val="0"/>
        </w:numPr>
        <w:tabs>
          <w:tab w:val="left" w:pos="999"/>
        </w:tabs>
        <w:adjustRightInd w:val="0"/>
        <w:snapToGrid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采购项目编号：</w:t>
      </w:r>
      <w:r>
        <w:rPr>
          <w:rFonts w:hint="eastAsia" w:ascii="宋体" w:hAnsi="宋体" w:eastAsia="宋体" w:cs="宋体"/>
          <w:color w:val="auto"/>
          <w:sz w:val="24"/>
          <w:szCs w:val="24"/>
          <w:highlight w:val="none"/>
          <w:u w:val="single"/>
        </w:rPr>
        <w:t xml:space="preserve">                                   </w:t>
      </w:r>
    </w:p>
    <w:p w14:paraId="24109A1C">
      <w:pPr>
        <w:pStyle w:val="10"/>
        <w:adjustRightInd w:val="0"/>
        <w:snapToGrid w:val="0"/>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（2）采购计划编号：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563ABF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（3）项目内容：</w:t>
      </w:r>
    </w:p>
    <w:p w14:paraId="6CC2401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采购标的及数量（台/套</w:t>
      </w:r>
      <w:r>
        <w:rPr>
          <w:rFonts w:hint="eastAsia" w:ascii="宋体" w:hAnsi="宋体" w:eastAsia="宋体" w:cs="宋体"/>
          <w:color w:val="auto"/>
          <w:sz w:val="24"/>
          <w:szCs w:val="24"/>
          <w:highlight w:val="none"/>
          <w:lang w:val="en"/>
        </w:rPr>
        <w:t>/个/架/组等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详见采购需求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1256322">
      <w:pPr>
        <w:numPr>
          <w:ilvl w:val="0"/>
          <w:numId w:val="0"/>
        </w:numPr>
        <w:adjustRightInd w:val="0"/>
        <w:snapToGrid w:val="0"/>
        <w:spacing w:line="360" w:lineRule="auto"/>
        <w:ind w:firstLine="480" w:firstLineChars="200"/>
        <w:rPr>
          <w:rFonts w:hint="eastAsia" w:ascii="宋体" w:hAnsi="宋体" w:eastAsia="宋体" w:cs="宋体"/>
          <w:color w:val="auto"/>
          <w:sz w:val="24"/>
          <w:szCs w:val="24"/>
          <w:highlight w:val="none"/>
          <w:lang w:val="en"/>
        </w:rPr>
      </w:pPr>
      <w:r>
        <w:rPr>
          <w:rFonts w:hint="eastAsia" w:ascii="宋体" w:hAnsi="宋体" w:eastAsia="宋体" w:cs="宋体"/>
          <w:color w:val="auto"/>
          <w:sz w:val="24"/>
          <w:szCs w:val="24"/>
          <w:highlight w:val="none"/>
        </w:rPr>
        <w:t xml:space="preserve">     品牌：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en"/>
        </w:rPr>
        <w:t xml:space="preserve">     </w:t>
      </w:r>
      <w:r>
        <w:rPr>
          <w:rFonts w:hint="eastAsia" w:ascii="宋体" w:hAnsi="宋体" w:eastAsia="宋体" w:cs="宋体"/>
          <w:color w:val="auto"/>
          <w:sz w:val="24"/>
          <w:szCs w:val="24"/>
          <w:highlight w:val="none"/>
        </w:rPr>
        <w:t>规格型号：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
        </w:rPr>
        <w:t xml:space="preserve">   </w:t>
      </w:r>
    </w:p>
    <w:p w14:paraId="4EB40D54">
      <w:pPr>
        <w:adjustRightInd w:val="0"/>
        <w:snapToGrid w:val="0"/>
        <w:spacing w:line="360" w:lineRule="auto"/>
        <w:ind w:firstLine="1080" w:firstLineChars="4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采购标的的技术要求、商务要求具体见附件。</w:t>
      </w:r>
    </w:p>
    <w:p w14:paraId="301391AD">
      <w:pPr>
        <w:numPr>
          <w:ilvl w:val="0"/>
          <w:numId w:val="0"/>
        </w:numPr>
        <w:adjustRightInd w:val="0"/>
        <w:snapToGrid w:val="0"/>
        <w:spacing w:line="360" w:lineRule="auto"/>
        <w:ind w:firstLine="1080" w:firstLineChars="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①涉及信息类产品，请填写该产品关键部件的品牌、型号：</w:t>
      </w:r>
    </w:p>
    <w:p w14:paraId="4313C40D">
      <w:pPr>
        <w:numPr>
          <w:ilvl w:val="0"/>
          <w:numId w:val="0"/>
        </w:numPr>
        <w:adjustRightInd w:val="0"/>
        <w:snapToGrid w:val="0"/>
        <w:spacing w:line="360"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rPr>
        <w:t xml:space="preserve">     标的名称：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
        </w:rPr>
        <w:t xml:space="preserve">               </w:t>
      </w:r>
      <w:r>
        <w:rPr>
          <w:rFonts w:hint="eastAsia" w:ascii="宋体" w:hAnsi="宋体" w:eastAsia="宋体" w:cs="宋体"/>
          <w:color w:val="auto"/>
          <w:kern w:val="0"/>
          <w:sz w:val="24"/>
          <w:szCs w:val="24"/>
          <w:highlight w:val="none"/>
          <w:u w:val="single"/>
        </w:rPr>
        <w:t xml:space="preserve">    </w:t>
      </w:r>
    </w:p>
    <w:p w14:paraId="563F6DF8">
      <w:pPr>
        <w:numPr>
          <w:ilvl w:val="0"/>
          <w:numId w:val="0"/>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关键部件：</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sz w:val="24"/>
          <w:szCs w:val="24"/>
          <w:highlight w:val="none"/>
        </w:rPr>
        <w:t>品牌：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型号：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4B9B9F3">
      <w:pPr>
        <w:pStyle w:val="71"/>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2"/>
          <w:sz w:val="24"/>
          <w:szCs w:val="24"/>
          <w:highlight w:val="none"/>
        </w:rPr>
        <w:t>关键部件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品牌：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型号：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025FEBC">
      <w:pPr>
        <w:pStyle w:val="71"/>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关键部件：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品牌：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型号：</w:t>
      </w:r>
      <w:r>
        <w:rPr>
          <w:rFonts w:hint="eastAsia" w:ascii="宋体" w:hAnsi="宋体" w:eastAsia="宋体" w:cs="宋体"/>
          <w:color w:val="auto"/>
          <w:sz w:val="24"/>
          <w:szCs w:val="24"/>
          <w:highlight w:val="none"/>
          <w:u w:val="single"/>
        </w:rPr>
        <w:t xml:space="preserve">       </w:t>
      </w:r>
    </w:p>
    <w:p w14:paraId="28A9365A">
      <w:pPr>
        <w:pStyle w:val="71"/>
        <w:numPr>
          <w:ilvl w:val="0"/>
          <w:numId w:val="0"/>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35329BF5">
      <w:pPr>
        <w:pStyle w:val="71"/>
        <w:numPr>
          <w:ilvl w:val="0"/>
          <w:numId w:val="0"/>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②涉及车辆采购，请填写是否属于新能源汽车：</w:t>
      </w:r>
    </w:p>
    <w:p w14:paraId="45165570">
      <w:pPr>
        <w:pStyle w:val="71"/>
        <w:numPr>
          <w:ilvl w:val="0"/>
          <w:numId w:val="0"/>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是，《政府采购品目分类目录》底级品目名称：</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数量：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金额：</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14:paraId="3B7E2866">
      <w:pPr>
        <w:pStyle w:val="71"/>
        <w:numPr>
          <w:ilvl w:val="0"/>
          <w:numId w:val="0"/>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否</w:t>
      </w:r>
    </w:p>
    <w:p w14:paraId="2C3953B4">
      <w:pPr>
        <w:pStyle w:val="71"/>
        <w:numPr>
          <w:ilvl w:val="0"/>
          <w:numId w:val="0"/>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
        </w:rPr>
        <w:t>4</w:t>
      </w:r>
      <w:r>
        <w:rPr>
          <w:rFonts w:hint="eastAsia" w:ascii="宋体" w:hAnsi="宋体" w:eastAsia="宋体" w:cs="宋体"/>
          <w:color w:val="auto"/>
          <w:sz w:val="24"/>
          <w:szCs w:val="24"/>
          <w:highlight w:val="none"/>
        </w:rPr>
        <w:t>）政府采购组织形式：</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政府集中采购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部门集中采购  </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分散采购</w:t>
      </w:r>
    </w:p>
    <w:p w14:paraId="3057BF51">
      <w:pPr>
        <w:pStyle w:val="71"/>
        <w:numPr>
          <w:ilvl w:val="0"/>
          <w:numId w:val="0"/>
        </w:numPr>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
        </w:rPr>
        <w:t>5</w:t>
      </w:r>
      <w:r>
        <w:rPr>
          <w:rFonts w:hint="eastAsia" w:ascii="宋体" w:hAnsi="宋体" w:eastAsia="宋体" w:cs="宋体"/>
          <w:color w:val="auto"/>
          <w:sz w:val="24"/>
          <w:szCs w:val="24"/>
          <w:highlight w:val="none"/>
        </w:rPr>
        <w:t>）政府采购方式：</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 xml:space="preserve">公开招标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邀请招标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竞争性谈判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竞争性磋商</w:t>
      </w:r>
    </w:p>
    <w:p w14:paraId="0A4A5180">
      <w:pPr>
        <w:pStyle w:val="71"/>
        <w:numPr>
          <w:ilvl w:val="0"/>
          <w:numId w:val="0"/>
        </w:numPr>
        <w:snapToGrid w:val="0"/>
        <w:spacing w:line="360"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询价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单一来源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框架协议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其他：</w:t>
      </w:r>
      <w:r>
        <w:rPr>
          <w:rFonts w:hint="eastAsia" w:ascii="宋体" w:hAnsi="宋体" w:eastAsia="宋体" w:cs="宋体"/>
          <w:color w:val="auto"/>
          <w:sz w:val="24"/>
          <w:szCs w:val="24"/>
          <w:highlight w:val="none"/>
          <w:u w:val="single"/>
        </w:rPr>
        <w:t xml:space="preserve">   /   </w:t>
      </w:r>
    </w:p>
    <w:p w14:paraId="6930CA36">
      <w:pPr>
        <w:pStyle w:val="71"/>
        <w:numPr>
          <w:ilvl w:val="0"/>
          <w:numId w:val="0"/>
        </w:numPr>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（注：在框架协议采购的第二阶段，可选择使用该合同文本）</w:t>
      </w:r>
    </w:p>
    <w:p w14:paraId="4B19979B">
      <w:pPr>
        <w:pStyle w:val="71"/>
        <w:numPr>
          <w:ilvl w:val="0"/>
          <w:numId w:val="0"/>
        </w:numPr>
        <w:snapToGrid w:val="0"/>
        <w:spacing w:line="360" w:lineRule="auto"/>
        <w:ind w:firstLine="240" w:firstLineChars="100"/>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
        </w:rPr>
        <w:t>6</w:t>
      </w: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rPr>
        <w:t>中标（成交）采购标的制造商是否为中小企业：</w:t>
      </w:r>
      <w:r>
        <w:rPr>
          <w:rFonts w:hint="eastAsia" w:ascii="宋体" w:hAnsi="宋体" w:eastAsia="宋体" w:cs="宋体"/>
          <w:color w:val="auto"/>
          <w:kern w:val="2"/>
          <w:sz w:val="24"/>
          <w:szCs w:val="24"/>
          <w:highlight w:val="none"/>
        </w:rPr>
        <w:sym w:font="Wingdings" w:char="00A8"/>
      </w:r>
      <w:r>
        <w:rPr>
          <w:rFonts w:hint="eastAsia" w:ascii="宋体" w:hAnsi="宋体" w:eastAsia="宋体" w:cs="宋体"/>
          <w:color w:val="auto"/>
          <w:kern w:val="2"/>
          <w:sz w:val="24"/>
          <w:szCs w:val="24"/>
          <w:highlight w:val="none"/>
        </w:rPr>
        <w:t xml:space="preserve">是      </w:t>
      </w:r>
      <w:r>
        <w:rPr>
          <w:rFonts w:hint="eastAsia" w:ascii="宋体" w:hAnsi="宋体" w:eastAsia="宋体" w:cs="宋体"/>
          <w:color w:val="auto"/>
          <w:kern w:val="2"/>
          <w:sz w:val="24"/>
          <w:szCs w:val="24"/>
          <w:highlight w:val="none"/>
        </w:rPr>
        <w:sym w:font="Wingdings" w:char="00A8"/>
      </w:r>
      <w:r>
        <w:rPr>
          <w:rFonts w:hint="eastAsia" w:ascii="宋体" w:hAnsi="宋体" w:eastAsia="宋体" w:cs="宋体"/>
          <w:color w:val="auto"/>
          <w:kern w:val="2"/>
          <w:sz w:val="24"/>
          <w:szCs w:val="24"/>
          <w:highlight w:val="none"/>
        </w:rPr>
        <w:t>否</w:t>
      </w:r>
    </w:p>
    <w:p w14:paraId="3713815E">
      <w:pPr>
        <w:numPr>
          <w:ilvl w:val="0"/>
          <w:numId w:val="0"/>
        </w:numPr>
        <w:adjustRightInd w:val="0"/>
        <w:snapToGrid w:val="0"/>
        <w:spacing w:line="360" w:lineRule="auto"/>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 xml:space="preserve">         本合同是否为专门面向中小企业的采购合同（中小企业预留合同）：</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4EE0AAA4">
      <w:pPr>
        <w:numPr>
          <w:ilvl w:val="0"/>
          <w:numId w:val="0"/>
        </w:numPr>
        <w:adjustRightInd w:val="0"/>
        <w:snapToGrid w:val="0"/>
        <w:spacing w:line="360" w:lineRule="auto"/>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 xml:space="preserve">         若本项目不专门面向中小企业采购，是否给予小微企业评审优惠：</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56A284EC">
      <w:pPr>
        <w:numPr>
          <w:ilvl w:val="0"/>
          <w:numId w:val="0"/>
        </w:numPr>
        <w:adjustRightInd w:val="0"/>
        <w:snapToGrid w:val="0"/>
        <w:spacing w:line="360" w:lineRule="auto"/>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 xml:space="preserve">         中标（成交）采购标的制造商是否为残疾人福利性单位：</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4795A133">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中标（成交）采购标的制造商是否为监狱企业：</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7E2EB68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
        </w:rPr>
        <w:t>7</w:t>
      </w:r>
      <w:r>
        <w:rPr>
          <w:rFonts w:hint="eastAsia" w:ascii="宋体" w:hAnsi="宋体" w:eastAsia="宋体" w:cs="宋体"/>
          <w:color w:val="auto"/>
          <w:sz w:val="24"/>
          <w:szCs w:val="24"/>
          <w:highlight w:val="none"/>
        </w:rPr>
        <w:t>）合同是否分包：</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FE"/>
      </w:r>
      <w:r>
        <w:rPr>
          <w:rFonts w:hint="eastAsia" w:ascii="宋体" w:hAnsi="宋体" w:eastAsia="宋体" w:cs="宋体"/>
          <w:iCs/>
          <w:color w:val="auto"/>
          <w:sz w:val="24"/>
          <w:szCs w:val="24"/>
          <w:highlight w:val="none"/>
        </w:rPr>
        <w:t>否</w:t>
      </w:r>
    </w:p>
    <w:p w14:paraId="370E4E2A">
      <w:pPr>
        <w:adjustRightInd w:val="0"/>
        <w:snapToGrid w:val="0"/>
        <w:spacing w:line="360" w:lineRule="auto"/>
        <w:ind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分包主要内容：</w:t>
      </w:r>
      <w:r>
        <w:rPr>
          <w:rFonts w:hint="eastAsia" w:ascii="宋体" w:hAnsi="宋体" w:eastAsia="宋体" w:cs="宋体"/>
          <w:color w:val="auto"/>
          <w:sz w:val="24"/>
          <w:szCs w:val="24"/>
          <w:highlight w:val="none"/>
          <w:u w:val="single"/>
        </w:rPr>
        <w:t xml:space="preserve">     /                                      </w:t>
      </w:r>
    </w:p>
    <w:p w14:paraId="4326F660">
      <w:pPr>
        <w:adjustRightInd w:val="0"/>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分包供应商/制造商名称（如供应商和制造商不同，请分别填写）：</w:t>
      </w:r>
    </w:p>
    <w:p w14:paraId="76CFF632">
      <w:pPr>
        <w:adjustRightInd w:val="0"/>
        <w:snapToGrid w:val="0"/>
        <w:spacing w:line="360" w:lineRule="auto"/>
        <w:ind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                                         </w:t>
      </w:r>
    </w:p>
    <w:p w14:paraId="3AB4062B">
      <w:pPr>
        <w:adjustRightInd w:val="0"/>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分包供应商/制造商类型（如果供应商和制造商不同，只填写制造商类型）：</w:t>
      </w:r>
    </w:p>
    <w:p w14:paraId="0852EC79">
      <w:pPr>
        <w:adjustRightInd w:val="0"/>
        <w:snapToGrid w:val="0"/>
        <w:spacing w:line="360" w:lineRule="auto"/>
        <w:ind w:firstLine="960" w:firstLineChars="400"/>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大型企业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中型企业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小微型企业  </w:t>
      </w:r>
    </w:p>
    <w:p w14:paraId="3D655DD1">
      <w:pPr>
        <w:adjustRightInd w:val="0"/>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残疾人福利性单位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监狱企业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其他</w:t>
      </w:r>
    </w:p>
    <w:p w14:paraId="100BB80A">
      <w:pPr>
        <w:numPr>
          <w:ilvl w:val="0"/>
          <w:numId w:val="0"/>
        </w:numPr>
        <w:adjustRightInd w:val="0"/>
        <w:snapToGrid w:val="0"/>
        <w:spacing w:line="360" w:lineRule="auto"/>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
        </w:rPr>
        <w:t>8</w:t>
      </w:r>
      <w:r>
        <w:rPr>
          <w:rFonts w:hint="eastAsia" w:ascii="宋体" w:hAnsi="宋体" w:eastAsia="宋体" w:cs="宋体"/>
          <w:color w:val="auto"/>
          <w:sz w:val="24"/>
          <w:szCs w:val="24"/>
          <w:highlight w:val="none"/>
        </w:rPr>
        <w:t>）中标（成交）供应商是否为外商投资企业：</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60E92515">
      <w:pPr>
        <w:pStyle w:val="71"/>
        <w:tabs>
          <w:tab w:val="left" w:pos="1340"/>
        </w:tabs>
        <w:spacing w:line="360" w:lineRule="auto"/>
        <w:ind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外商投资企业类型：</w:t>
      </w:r>
      <w:r>
        <w:rPr>
          <w:rFonts w:hint="eastAsia" w:ascii="宋体" w:hAnsi="宋体" w:eastAsia="宋体" w:cs="宋体"/>
          <w:iCs/>
          <w:color w:val="auto"/>
          <w:sz w:val="24"/>
          <w:szCs w:val="24"/>
          <w:highlight w:val="none"/>
        </w:rPr>
        <w:sym w:font="Wingdings" w:char="00A8"/>
      </w:r>
      <w:r>
        <w:rPr>
          <w:rFonts w:hint="eastAsia" w:ascii="宋体" w:hAnsi="宋体" w:eastAsia="宋体" w:cs="宋体"/>
          <w:color w:val="auto"/>
          <w:sz w:val="24"/>
          <w:szCs w:val="24"/>
          <w:highlight w:val="none"/>
        </w:rPr>
        <w:t xml:space="preserve">全部由外国投资者投资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部分由外国投资者投资</w:t>
      </w:r>
    </w:p>
    <w:p w14:paraId="0BE610CE">
      <w:pPr>
        <w:numPr>
          <w:ilvl w:val="0"/>
          <w:numId w:val="0"/>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
        </w:rPr>
        <w:t>9</w:t>
      </w:r>
      <w:r>
        <w:rPr>
          <w:rFonts w:hint="eastAsia" w:ascii="宋体" w:hAnsi="宋体" w:eastAsia="宋体" w:cs="宋体"/>
          <w:color w:val="auto"/>
          <w:sz w:val="24"/>
          <w:szCs w:val="24"/>
          <w:highlight w:val="none"/>
        </w:rPr>
        <w:t>）是否涉及进口产品：</w:t>
      </w:r>
    </w:p>
    <w:p w14:paraId="21A7D6D3">
      <w:pPr>
        <w:numPr>
          <w:ilvl w:val="0"/>
          <w:numId w:val="0"/>
        </w:numPr>
        <w:adjustRightInd w:val="0"/>
        <w:snapToGrid w:val="0"/>
        <w:spacing w:line="360" w:lineRule="auto"/>
        <w:ind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是，《政府采购品目分类目录》底级品目名称：</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金额：</w:t>
      </w:r>
      <w:r>
        <w:rPr>
          <w:rFonts w:hint="eastAsia" w:ascii="宋体" w:hAnsi="宋体" w:eastAsia="宋体" w:cs="宋体"/>
          <w:color w:val="auto"/>
          <w:sz w:val="24"/>
          <w:szCs w:val="24"/>
          <w:highlight w:val="none"/>
          <w:u w:val="single"/>
        </w:rPr>
        <w:t xml:space="preserve">  /     </w:t>
      </w:r>
    </w:p>
    <w:p w14:paraId="648C1A37">
      <w:pPr>
        <w:numPr>
          <w:ilvl w:val="0"/>
          <w:numId w:val="0"/>
        </w:numPr>
        <w:adjustRightInd w:val="0"/>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国别：</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品牌：</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规格型号：</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14:paraId="28F747C1">
      <w:pPr>
        <w:adjustRightInd w:val="0"/>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否</w:t>
      </w:r>
    </w:p>
    <w:p w14:paraId="0142EF28">
      <w:pPr>
        <w:numPr>
          <w:ilvl w:val="0"/>
          <w:numId w:val="0"/>
        </w:numPr>
        <w:tabs>
          <w:tab w:val="left" w:pos="740"/>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w:t>
      </w:r>
      <w:r>
        <w:rPr>
          <w:rFonts w:hint="eastAsia" w:ascii="宋体" w:hAnsi="宋体" w:eastAsia="宋体" w:cs="宋体"/>
          <w:color w:val="auto"/>
          <w:sz w:val="24"/>
          <w:szCs w:val="24"/>
          <w:highlight w:val="none"/>
          <w:lang w:val="en"/>
        </w:rPr>
        <w:t>0</w:t>
      </w:r>
      <w:r>
        <w:rPr>
          <w:rFonts w:hint="eastAsia" w:ascii="宋体" w:hAnsi="宋体" w:eastAsia="宋体" w:cs="宋体"/>
          <w:color w:val="auto"/>
          <w:sz w:val="24"/>
          <w:szCs w:val="24"/>
          <w:highlight w:val="none"/>
        </w:rPr>
        <w:t>）是否涉及节能产品：</w:t>
      </w:r>
    </w:p>
    <w:p w14:paraId="76C91C58">
      <w:pPr>
        <w:numPr>
          <w:ilvl w:val="0"/>
          <w:numId w:val="0"/>
        </w:numPr>
        <w:tabs>
          <w:tab w:val="left" w:pos="740"/>
        </w:tabs>
        <w:adjustRightInd w:val="0"/>
        <w:snapToGrid w:val="0"/>
        <w:spacing w:line="360" w:lineRule="auto"/>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是，《节能产品政府采购品目清单》的底级品目名称：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iCs/>
          <w:color w:val="auto"/>
          <w:sz w:val="24"/>
          <w:szCs w:val="24"/>
          <w:highlight w:val="none"/>
        </w:rPr>
        <w:t xml:space="preserve">     </w:t>
      </w:r>
    </w:p>
    <w:p w14:paraId="62B0B804">
      <w:pPr>
        <w:numPr>
          <w:ilvl w:val="0"/>
          <w:numId w:val="0"/>
        </w:numPr>
        <w:tabs>
          <w:tab w:val="left" w:pos="740"/>
        </w:tabs>
        <w:adjustRightInd w:val="0"/>
        <w:snapToGrid w:val="0"/>
        <w:spacing w:line="360" w:lineRule="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强制采购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优先采购    </w:t>
      </w:r>
    </w:p>
    <w:p w14:paraId="29227C45">
      <w:pPr>
        <w:numPr>
          <w:ilvl w:val="0"/>
          <w:numId w:val="0"/>
        </w:numPr>
        <w:tabs>
          <w:tab w:val="left" w:pos="740"/>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否</w:t>
      </w:r>
    </w:p>
    <w:p w14:paraId="1A71B820">
      <w:pPr>
        <w:numPr>
          <w:ilvl w:val="0"/>
          <w:numId w:val="0"/>
        </w:numPr>
        <w:tabs>
          <w:tab w:val="left" w:pos="740"/>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是否涉及环境标志产品：</w:t>
      </w:r>
    </w:p>
    <w:p w14:paraId="76858C3C">
      <w:pPr>
        <w:numPr>
          <w:ilvl w:val="0"/>
          <w:numId w:val="0"/>
        </w:numPr>
        <w:tabs>
          <w:tab w:val="left" w:pos="740"/>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是，《环境标志产品政府采购品目清单》的底级品目名称：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iCs/>
          <w:color w:val="auto"/>
          <w:sz w:val="24"/>
          <w:szCs w:val="24"/>
          <w:highlight w:val="none"/>
        </w:rPr>
        <w:t xml:space="preserve"> </w:t>
      </w:r>
    </w:p>
    <w:p w14:paraId="71F702D8">
      <w:pPr>
        <w:numPr>
          <w:ilvl w:val="0"/>
          <w:numId w:val="0"/>
        </w:numPr>
        <w:tabs>
          <w:tab w:val="left" w:pos="740"/>
        </w:tabs>
        <w:adjustRightInd w:val="0"/>
        <w:snapToGrid w:val="0"/>
        <w:spacing w:line="360" w:lineRule="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强制采购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优先采购    </w:t>
      </w:r>
    </w:p>
    <w:p w14:paraId="4546D7B5">
      <w:pPr>
        <w:numPr>
          <w:ilvl w:val="0"/>
          <w:numId w:val="0"/>
        </w:numPr>
        <w:tabs>
          <w:tab w:val="left" w:pos="740"/>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否</w:t>
      </w:r>
    </w:p>
    <w:p w14:paraId="4562AEAF">
      <w:pPr>
        <w:pStyle w:val="71"/>
        <w:numPr>
          <w:ilvl w:val="0"/>
          <w:numId w:val="0"/>
        </w:numPr>
        <w:snapToGrid w:val="0"/>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2"/>
          <w:sz w:val="24"/>
          <w:szCs w:val="24"/>
          <w:highlight w:val="none"/>
        </w:rPr>
        <w:t xml:space="preserve">是否涉及绿色产品： </w:t>
      </w:r>
    </w:p>
    <w:p w14:paraId="6E7863F0">
      <w:pPr>
        <w:pStyle w:val="71"/>
        <w:spacing w:line="360" w:lineRule="auto"/>
        <w:ind w:firstLine="42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rPr>
        <w:sym w:font="Wingdings" w:char="00A8"/>
      </w:r>
      <w:r>
        <w:rPr>
          <w:rFonts w:hint="eastAsia" w:ascii="宋体" w:hAnsi="宋体" w:eastAsia="宋体" w:cs="宋体"/>
          <w:color w:val="auto"/>
          <w:kern w:val="2"/>
          <w:sz w:val="24"/>
          <w:szCs w:val="24"/>
          <w:highlight w:val="none"/>
        </w:rPr>
        <w:t>是，绿色产品政府采购相关政策确定的底级品目名称：</w:t>
      </w:r>
      <w:r>
        <w:rPr>
          <w:rFonts w:hint="eastAsia" w:ascii="宋体" w:hAnsi="宋体" w:eastAsia="宋体" w:cs="宋体"/>
          <w:color w:val="auto"/>
          <w:sz w:val="24"/>
          <w:szCs w:val="24"/>
          <w:highlight w:val="none"/>
          <w:u w:val="single"/>
        </w:rPr>
        <w:t xml:space="preserve">         </w:t>
      </w:r>
    </w:p>
    <w:p w14:paraId="03CCA6D9">
      <w:pPr>
        <w:numPr>
          <w:ilvl w:val="0"/>
          <w:numId w:val="0"/>
        </w:numPr>
        <w:tabs>
          <w:tab w:val="left" w:pos="740"/>
        </w:tabs>
        <w:adjustRightInd w:val="0"/>
        <w:snapToGrid w:val="0"/>
        <w:spacing w:line="360" w:lineRule="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强制采购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优先采购    </w:t>
      </w:r>
    </w:p>
    <w:p w14:paraId="2465C0CD">
      <w:pPr>
        <w:pStyle w:val="71"/>
        <w:spacing w:line="360" w:lineRule="auto"/>
        <w:ind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rPr>
        <w:sym w:font="Wingdings" w:char="00A8"/>
      </w:r>
      <w:r>
        <w:rPr>
          <w:rFonts w:hint="eastAsia" w:ascii="宋体" w:hAnsi="宋体" w:eastAsia="宋体" w:cs="宋体"/>
          <w:color w:val="auto"/>
          <w:kern w:val="2"/>
          <w:sz w:val="24"/>
          <w:szCs w:val="24"/>
          <w:highlight w:val="none"/>
        </w:rPr>
        <w:t>否</w:t>
      </w:r>
    </w:p>
    <w:p w14:paraId="78D98244">
      <w:pPr>
        <w:numPr>
          <w:ilvl w:val="0"/>
          <w:numId w:val="0"/>
        </w:num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w:t>
      </w:r>
      <w:r>
        <w:rPr>
          <w:rFonts w:hint="eastAsia" w:ascii="宋体" w:hAnsi="宋体" w:eastAsia="宋体" w:cs="宋体"/>
          <w:color w:val="auto"/>
          <w:sz w:val="24"/>
          <w:szCs w:val="24"/>
          <w:highlight w:val="none"/>
          <w:lang w:val="en"/>
        </w:rPr>
        <w:t>1</w:t>
      </w:r>
      <w:r>
        <w:rPr>
          <w:rFonts w:hint="eastAsia" w:ascii="宋体" w:hAnsi="宋体" w:eastAsia="宋体" w:cs="宋体"/>
          <w:color w:val="auto"/>
          <w:sz w:val="24"/>
          <w:szCs w:val="24"/>
          <w:highlight w:val="none"/>
        </w:rPr>
        <w:t>）涉及商品包装和快递包装的，是否参考《商品包装政府采购需求标准（试行）》、《快递包装政府采购需求标准（试行）》明确产品及相关快递服务的具体包装要求：</w:t>
      </w:r>
    </w:p>
    <w:p w14:paraId="0B887ECA">
      <w:pPr>
        <w:numPr>
          <w:ilvl w:val="0"/>
          <w:numId w:val="0"/>
        </w:numPr>
        <w:adjustRightInd w:val="0"/>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否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不涉及</w:t>
      </w:r>
    </w:p>
    <w:p w14:paraId="1E48F5B0">
      <w:pPr>
        <w:numPr>
          <w:ilvl w:val="0"/>
          <w:numId w:val="3"/>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合同金额</w:t>
      </w:r>
    </w:p>
    <w:p w14:paraId="367A2E2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（1）合同金额小写：</w:t>
      </w:r>
      <w:r>
        <w:rPr>
          <w:rFonts w:hint="eastAsia" w:ascii="宋体" w:hAnsi="宋体" w:eastAsia="宋体" w:cs="宋体"/>
          <w:color w:val="auto"/>
          <w:sz w:val="24"/>
          <w:szCs w:val="24"/>
          <w:highlight w:val="none"/>
          <w:u w:val="single"/>
        </w:rPr>
        <w:t xml:space="preserve">                           </w:t>
      </w:r>
    </w:p>
    <w:p w14:paraId="66EDEA18">
      <w:pPr>
        <w:adjustRightInd w:val="0"/>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大写：</w:t>
      </w:r>
      <w:r>
        <w:rPr>
          <w:rFonts w:hint="eastAsia" w:ascii="宋体" w:hAnsi="宋体" w:eastAsia="宋体" w:cs="宋体"/>
          <w:color w:val="auto"/>
          <w:sz w:val="24"/>
          <w:szCs w:val="24"/>
          <w:highlight w:val="none"/>
          <w:u w:val="single"/>
        </w:rPr>
        <w:t xml:space="preserve">                           </w:t>
      </w:r>
    </w:p>
    <w:p w14:paraId="69EED9F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分包金额（如有）小写：</w:t>
      </w:r>
      <w:r>
        <w:rPr>
          <w:rFonts w:hint="eastAsia" w:ascii="宋体" w:hAnsi="宋体" w:eastAsia="宋体" w:cs="宋体"/>
          <w:color w:val="auto"/>
          <w:sz w:val="24"/>
          <w:szCs w:val="24"/>
          <w:highlight w:val="none"/>
          <w:u w:val="single"/>
        </w:rPr>
        <w:t xml:space="preserve">    /              </w:t>
      </w:r>
    </w:p>
    <w:p w14:paraId="5563E336">
      <w:pPr>
        <w:adjustRightInd w:val="0"/>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大写：</w:t>
      </w:r>
      <w:r>
        <w:rPr>
          <w:rFonts w:hint="eastAsia" w:ascii="宋体" w:hAnsi="宋体" w:eastAsia="宋体" w:cs="宋体"/>
          <w:color w:val="auto"/>
          <w:sz w:val="24"/>
          <w:szCs w:val="24"/>
          <w:highlight w:val="none"/>
          <w:u w:val="single"/>
        </w:rPr>
        <w:t xml:space="preserve">       /               </w:t>
      </w:r>
    </w:p>
    <w:p w14:paraId="7AB4BD88">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（注：固定单价合同应填写单价和最高限价）</w:t>
      </w:r>
    </w:p>
    <w:p w14:paraId="7BF90481">
      <w:pPr>
        <w:numPr>
          <w:ilvl w:val="0"/>
          <w:numId w:val="0"/>
        </w:num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（2）合同定价方式（采用组合定价方式的，可以勾选多项）：</w:t>
      </w:r>
    </w:p>
    <w:p w14:paraId="62F1DB5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固定总价 </w:t>
      </w:r>
      <w:r>
        <w:rPr>
          <w:rFonts w:hint="eastAsia" w:ascii="宋体" w:hAnsi="宋体" w:eastAsia="宋体" w:cs="宋体"/>
          <w:iCs/>
          <w:color w:val="auto"/>
          <w:sz w:val="24"/>
          <w:szCs w:val="24"/>
          <w:highlight w:val="none"/>
        </w:rPr>
        <w:sym w:font="Wingdings" w:char="00FE"/>
      </w:r>
      <w:r>
        <w:rPr>
          <w:rFonts w:hint="eastAsia" w:ascii="宋体" w:hAnsi="宋体" w:eastAsia="宋体" w:cs="宋体"/>
          <w:iCs/>
          <w:color w:val="auto"/>
          <w:sz w:val="24"/>
          <w:szCs w:val="24"/>
          <w:highlight w:val="none"/>
        </w:rPr>
        <w:t xml:space="preserve">固定单价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固定费率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成本补偿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绩效激励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其他</w:t>
      </w:r>
      <w:r>
        <w:rPr>
          <w:rFonts w:hint="eastAsia" w:ascii="宋体" w:hAnsi="宋体" w:eastAsia="宋体" w:cs="宋体"/>
          <w:color w:val="auto"/>
          <w:sz w:val="24"/>
          <w:szCs w:val="24"/>
          <w:highlight w:val="none"/>
          <w:u w:val="single"/>
        </w:rPr>
        <w:t xml:space="preserve">  /    </w:t>
      </w:r>
    </w:p>
    <w:p w14:paraId="7ADAB5D2">
      <w:pPr>
        <w:pStyle w:val="72"/>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（3）付款方式（按项目实际勾选填写）：</w:t>
      </w:r>
    </w:p>
    <w:p w14:paraId="46A60612">
      <w:pPr>
        <w:adjustRightInd w:val="0"/>
        <w:snapToGrid w:val="0"/>
        <w:spacing w:line="360" w:lineRule="auto"/>
        <w:ind w:firstLine="720" w:firstLineChars="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全额付款：</w:t>
      </w:r>
      <w:r>
        <w:rPr>
          <w:rFonts w:hint="eastAsia" w:ascii="宋体" w:hAnsi="宋体" w:eastAsia="宋体" w:cs="宋体"/>
          <w:color w:val="auto"/>
          <w:sz w:val="24"/>
          <w:szCs w:val="24"/>
          <w:highlight w:val="none"/>
          <w:u w:val="single"/>
        </w:rPr>
        <w:t xml:space="preserve">    /                    </w:t>
      </w:r>
    </w:p>
    <w:p w14:paraId="5AE6C5A6">
      <w:pPr>
        <w:snapToGrid w:val="0"/>
        <w:spacing w:line="360" w:lineRule="auto"/>
        <w:ind w:firstLine="720" w:firstLineChars="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分期付款：</w:t>
      </w:r>
      <w:r>
        <w:rPr>
          <w:rFonts w:hint="eastAsia" w:ascii="宋体" w:hAnsi="宋体" w:eastAsia="宋体" w:cs="宋体"/>
          <w:color w:val="auto"/>
          <w:sz w:val="24"/>
          <w:szCs w:val="24"/>
          <w:highlight w:val="none"/>
          <w:u w:val="single"/>
        </w:rPr>
        <w:t xml:space="preserve">                                。</w:t>
      </w:r>
    </w:p>
    <w:p w14:paraId="0EB3855B">
      <w:pPr>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其中涉及预付款的：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4D01A5FD">
      <w:pPr>
        <w:adjustRightInd w:val="0"/>
        <w:snapToGrid w:val="0"/>
        <w:spacing w:line="360" w:lineRule="auto"/>
        <w:ind w:firstLine="720" w:firstLineChars="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成本补偿：</w:t>
      </w:r>
      <w:r>
        <w:rPr>
          <w:rFonts w:hint="eastAsia" w:ascii="宋体" w:hAnsi="宋体" w:eastAsia="宋体" w:cs="宋体"/>
          <w:color w:val="auto"/>
          <w:sz w:val="24"/>
          <w:szCs w:val="24"/>
          <w:highlight w:val="none"/>
          <w:u w:val="single"/>
        </w:rPr>
        <w:t xml:space="preserve">      /    </w:t>
      </w:r>
    </w:p>
    <w:p w14:paraId="5375609F">
      <w:pPr>
        <w:adjustRightInd w:val="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绩效激励：</w:t>
      </w:r>
      <w:r>
        <w:rPr>
          <w:rFonts w:hint="eastAsia" w:ascii="宋体" w:hAnsi="宋体" w:eastAsia="宋体" w:cs="宋体"/>
          <w:color w:val="auto"/>
          <w:sz w:val="24"/>
          <w:szCs w:val="24"/>
          <w:highlight w:val="none"/>
          <w:u w:val="single"/>
        </w:rPr>
        <w:t xml:space="preserve">      /    </w:t>
      </w:r>
    </w:p>
    <w:p w14:paraId="6AB26248">
      <w:pPr>
        <w:numPr>
          <w:ilvl w:val="0"/>
          <w:numId w:val="3"/>
        </w:numPr>
        <w:adjustRightInd w:val="0"/>
        <w:snapToGrid w:val="0"/>
        <w:spacing w:line="360" w:lineRule="auto"/>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合同履行</w:t>
      </w:r>
    </w:p>
    <w:p w14:paraId="07FC1D1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（1）起始日期：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日，完成日期：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DACF551">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（2）履约地点</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u w:val="single"/>
        </w:rPr>
        <w:t xml:space="preserve">  采购人指定地点          </w:t>
      </w:r>
    </w:p>
    <w:p w14:paraId="7D43967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（3）履约担保：</w:t>
      </w:r>
      <w:r>
        <w:rPr>
          <w:rFonts w:hint="eastAsia" w:ascii="宋体" w:hAnsi="宋体" w:eastAsia="宋体" w:cs="宋体"/>
          <w:color w:val="auto"/>
          <w:sz w:val="24"/>
          <w:szCs w:val="24"/>
          <w:highlight w:val="none"/>
        </w:rPr>
        <w:t>是否收取履约保证金：</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否</w:t>
      </w:r>
    </w:p>
    <w:p w14:paraId="78635B61">
      <w:pPr>
        <w:pStyle w:val="71"/>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t xml:space="preserve">  收取履约保证金形式：</w:t>
      </w:r>
      <w:r>
        <w:rPr>
          <w:rFonts w:hint="eastAsia" w:ascii="宋体" w:hAnsi="宋体" w:eastAsia="宋体" w:cs="宋体"/>
          <w:bCs/>
          <w:color w:val="auto"/>
          <w:sz w:val="24"/>
          <w:szCs w:val="24"/>
          <w:highlight w:val="none"/>
          <w:u w:val="single"/>
        </w:rPr>
        <w:t xml:space="preserve">                            </w:t>
      </w:r>
    </w:p>
    <w:p w14:paraId="7F181F62">
      <w:pPr>
        <w:pStyle w:val="71"/>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收取履约保证金金额：</w:t>
      </w:r>
      <w:r>
        <w:rPr>
          <w:rFonts w:hint="eastAsia" w:ascii="宋体" w:hAnsi="宋体" w:eastAsia="宋体" w:cs="宋体"/>
          <w:bCs/>
          <w:color w:val="auto"/>
          <w:sz w:val="24"/>
          <w:szCs w:val="24"/>
          <w:highlight w:val="none"/>
          <w:u w:val="single"/>
        </w:rPr>
        <w:t xml:space="preserve">                            </w:t>
      </w:r>
    </w:p>
    <w:p w14:paraId="623B86D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履约担保期限：</w:t>
      </w:r>
      <w:r>
        <w:rPr>
          <w:rFonts w:hint="eastAsia" w:ascii="宋体" w:hAnsi="宋体" w:eastAsia="宋体" w:cs="宋体"/>
          <w:bCs/>
          <w:color w:val="auto"/>
          <w:sz w:val="24"/>
          <w:szCs w:val="24"/>
          <w:highlight w:val="none"/>
          <w:u w:val="single"/>
        </w:rPr>
        <w:t xml:space="preserve">                                  </w:t>
      </w:r>
    </w:p>
    <w:p w14:paraId="23490936">
      <w:p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（4）分期履行要求：</w:t>
      </w:r>
      <w:r>
        <w:rPr>
          <w:rFonts w:hint="eastAsia" w:ascii="宋体" w:hAnsi="宋体" w:eastAsia="宋体" w:cs="宋体"/>
          <w:bCs/>
          <w:color w:val="auto"/>
          <w:sz w:val="24"/>
          <w:szCs w:val="24"/>
          <w:highlight w:val="none"/>
          <w:u w:val="single"/>
        </w:rPr>
        <w:t xml:space="preserve">   /                                                   </w:t>
      </w:r>
    </w:p>
    <w:p w14:paraId="102EB006">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（5）风险处置措施和替代方案：</w:t>
      </w:r>
      <w:r>
        <w:rPr>
          <w:rFonts w:hint="eastAsia" w:ascii="宋体" w:hAnsi="宋体" w:eastAsia="宋体" w:cs="宋体"/>
          <w:color w:val="auto"/>
          <w:sz w:val="24"/>
          <w:szCs w:val="24"/>
          <w:highlight w:val="none"/>
          <w:u w:val="single"/>
        </w:rPr>
        <w:t xml:space="preserve">       /                                                      </w:t>
      </w:r>
    </w:p>
    <w:p w14:paraId="1A65B4CA">
      <w:pPr>
        <w:numPr>
          <w:ilvl w:val="0"/>
          <w:numId w:val="3"/>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合同验收</w:t>
      </w:r>
    </w:p>
    <w:p w14:paraId="3DB35A06">
      <w:pPr>
        <w:numPr>
          <w:ilvl w:val="0"/>
          <w:numId w:val="5"/>
        </w:num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验收组织方式：</w:t>
      </w:r>
      <w:r>
        <w:rPr>
          <w:rFonts w:hint="eastAsia" w:ascii="宋体" w:hAnsi="宋体" w:eastAsia="宋体" w:cs="宋体"/>
          <w:color w:val="auto"/>
          <w:sz w:val="24"/>
          <w:szCs w:val="24"/>
          <w:highlight w:val="none"/>
        </w:rPr>
        <w:sym w:font="Wingdings" w:char="00FE"/>
      </w:r>
      <w:r>
        <w:rPr>
          <w:rFonts w:hint="eastAsia" w:ascii="宋体" w:hAnsi="宋体" w:eastAsia="宋体" w:cs="宋体"/>
          <w:bCs/>
          <w:color w:val="auto"/>
          <w:sz w:val="24"/>
          <w:szCs w:val="24"/>
          <w:highlight w:val="none"/>
        </w:rPr>
        <w:t xml:space="preserve">自行组织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委托第三方组织</w:t>
      </w:r>
    </w:p>
    <w:p w14:paraId="617A4B26">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验收主体：</w:t>
      </w:r>
      <w:r>
        <w:rPr>
          <w:rFonts w:hint="eastAsia" w:ascii="宋体" w:hAnsi="宋体" w:eastAsia="宋体" w:cs="宋体"/>
          <w:bCs/>
          <w:color w:val="auto"/>
          <w:sz w:val="24"/>
          <w:szCs w:val="24"/>
          <w:highlight w:val="none"/>
          <w:u w:val="single"/>
        </w:rPr>
        <w:t xml:space="preserve">   采购人        </w:t>
      </w:r>
    </w:p>
    <w:p w14:paraId="1C6D3FF1">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是否邀请本项目的其他供应商参加验收：</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595FDA6F">
      <w:pPr>
        <w:adjustRightInd w:val="0"/>
        <w:snapToGrid w:val="0"/>
        <w:spacing w:line="360" w:lineRule="auto"/>
        <w:ind w:firstLine="960"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是否邀请专家参加验收：</w:t>
      </w:r>
      <w:r>
        <w:rPr>
          <w:rFonts w:hint="eastAsia" w:ascii="宋体" w:hAnsi="宋体" w:eastAsia="宋体" w:cs="宋体"/>
          <w:color w:val="auto"/>
          <w:sz w:val="24"/>
          <w:szCs w:val="24"/>
          <w:highlight w:val="none"/>
        </w:rPr>
        <w:sym w:font="Wingdings" w:char="00FE"/>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184A3C5F">
      <w:pPr>
        <w:adjustRightInd w:val="0"/>
        <w:snapToGrid w:val="0"/>
        <w:spacing w:line="360" w:lineRule="auto"/>
        <w:ind w:firstLine="960"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是否邀请服务对象参加验收：</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FE"/>
      </w:r>
      <w:r>
        <w:rPr>
          <w:rFonts w:hint="eastAsia" w:ascii="宋体" w:hAnsi="宋体" w:eastAsia="宋体" w:cs="宋体"/>
          <w:bCs/>
          <w:color w:val="auto"/>
          <w:sz w:val="24"/>
          <w:szCs w:val="24"/>
          <w:highlight w:val="none"/>
        </w:rPr>
        <w:t>否</w:t>
      </w:r>
    </w:p>
    <w:p w14:paraId="77C7A377">
      <w:pPr>
        <w:adjustRightInd w:val="0"/>
        <w:snapToGrid w:val="0"/>
        <w:spacing w:line="360" w:lineRule="auto"/>
        <w:ind w:firstLine="960"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是否邀请第三方检测机构参加验收：</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6B1DC3D2">
      <w:pPr>
        <w:adjustRightInd w:val="0"/>
        <w:snapToGrid w:val="0"/>
        <w:spacing w:line="360" w:lineRule="auto"/>
        <w:ind w:firstLine="960"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是否进行抽查检测：</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是，抽查比例：</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292DD064">
      <w:pPr>
        <w:adjustRightInd w:val="0"/>
        <w:snapToGrid w:val="0"/>
        <w:spacing w:line="360" w:lineRule="auto"/>
        <w:ind w:firstLine="960" w:firstLineChars="4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是否存在破坏性检测：</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是，</w:t>
      </w:r>
      <w:r>
        <w:rPr>
          <w:rFonts w:hint="eastAsia" w:ascii="宋体" w:hAnsi="宋体" w:eastAsia="宋体" w:cs="宋体"/>
          <w:bCs/>
          <w:color w:val="auto"/>
          <w:sz w:val="24"/>
          <w:szCs w:val="24"/>
          <w:highlight w:val="none"/>
          <w:u w:val="single"/>
        </w:rPr>
        <w:t>（应明确对被破坏的检测产品的处理方式）</w:t>
      </w:r>
    </w:p>
    <w:p w14:paraId="402392AF">
      <w:pPr>
        <w:adjustRightInd w:val="0"/>
        <w:snapToGrid w:val="0"/>
        <w:spacing w:line="360" w:lineRule="auto"/>
        <w:ind w:firstLine="960"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6AAF3760">
      <w:pPr>
        <w:adjustRightInd w:val="0"/>
        <w:snapToGrid w:val="0"/>
        <w:spacing w:line="360" w:lineRule="auto"/>
        <w:ind w:firstLine="960" w:firstLineChars="4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验收组织的其他事项：</w:t>
      </w:r>
      <w:r>
        <w:rPr>
          <w:rFonts w:hint="eastAsia" w:ascii="宋体" w:hAnsi="宋体" w:eastAsia="宋体" w:cs="宋体"/>
          <w:bCs/>
          <w:color w:val="auto"/>
          <w:sz w:val="24"/>
          <w:szCs w:val="24"/>
          <w:highlight w:val="none"/>
          <w:u w:val="single"/>
        </w:rPr>
        <w:t xml:space="preserve">                </w:t>
      </w:r>
    </w:p>
    <w:p w14:paraId="0D31600F">
      <w:pPr>
        <w:adjustRightInd w:val="0"/>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（2）履约验收时间：</w:t>
      </w:r>
      <w:r>
        <w:rPr>
          <w:rFonts w:hint="eastAsia" w:ascii="宋体" w:hAnsi="宋体" w:eastAsia="宋体" w:cs="宋体"/>
          <w:bCs/>
          <w:color w:val="auto"/>
          <w:sz w:val="24"/>
          <w:szCs w:val="24"/>
          <w:highlight w:val="none"/>
          <w:u w:val="single"/>
        </w:rPr>
        <w:t xml:space="preserve"> 供应商提出验收申请之日起5日内组织验收 </w:t>
      </w:r>
    </w:p>
    <w:p w14:paraId="4946C7A4">
      <w:p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（3）履约验收方式：</w:t>
      </w:r>
      <w:r>
        <w:rPr>
          <w:rFonts w:hint="eastAsia" w:ascii="宋体" w:hAnsi="宋体" w:eastAsia="宋体" w:cs="宋体"/>
          <w:color w:val="auto"/>
          <w:sz w:val="24"/>
          <w:szCs w:val="24"/>
          <w:highlight w:val="none"/>
        </w:rPr>
        <w:sym w:font="Wingdings" w:char="00FE"/>
      </w:r>
      <w:r>
        <w:rPr>
          <w:rFonts w:hint="eastAsia" w:ascii="宋体" w:hAnsi="宋体" w:eastAsia="宋体" w:cs="宋体"/>
          <w:bCs/>
          <w:color w:val="auto"/>
          <w:sz w:val="24"/>
          <w:szCs w:val="24"/>
          <w:highlight w:val="none"/>
        </w:rPr>
        <w:t xml:space="preserve">一次性验收         </w:t>
      </w:r>
    </w:p>
    <w:p w14:paraId="3F368CD9">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分期/分项验收：</w:t>
      </w:r>
      <w:r>
        <w:rPr>
          <w:rFonts w:hint="eastAsia" w:ascii="宋体" w:hAnsi="宋体" w:eastAsia="宋体" w:cs="宋体"/>
          <w:bCs/>
          <w:color w:val="auto"/>
          <w:sz w:val="24"/>
          <w:szCs w:val="24"/>
          <w:highlight w:val="none"/>
          <w:u w:val="single"/>
        </w:rPr>
        <w:t xml:space="preserve"> /  </w:t>
      </w:r>
    </w:p>
    <w:p w14:paraId="1A7FD9ED">
      <w:p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（4）履约验收程序：</w:t>
      </w:r>
      <w:r>
        <w:rPr>
          <w:rFonts w:hint="eastAsia" w:ascii="宋体" w:hAnsi="宋体" w:eastAsia="宋体" w:cs="宋体"/>
          <w:bCs/>
          <w:color w:val="auto"/>
          <w:sz w:val="24"/>
          <w:szCs w:val="24"/>
          <w:highlight w:val="none"/>
          <w:u w:val="single"/>
        </w:rPr>
        <w:t xml:space="preserve">                                         </w:t>
      </w:r>
    </w:p>
    <w:p w14:paraId="2D2E41D4">
      <w:pPr>
        <w:adjustRightInd w:val="0"/>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（5）履约验收的内容：</w:t>
      </w:r>
      <w:r>
        <w:rPr>
          <w:rFonts w:hint="eastAsia" w:ascii="宋体" w:hAnsi="宋体" w:eastAsia="宋体" w:cs="宋体"/>
          <w:bCs/>
          <w:color w:val="auto"/>
          <w:sz w:val="24"/>
          <w:szCs w:val="24"/>
          <w:highlight w:val="none"/>
          <w:u w:val="single"/>
        </w:rPr>
        <w:t xml:space="preserve"> （应当包括每一项技术和商务要求的履约情况，特别是落实政府采购扶持中小企业，支持绿色发展和乡村振兴等政策情况）                                      </w:t>
      </w:r>
    </w:p>
    <w:p w14:paraId="1F0A1306">
      <w:pPr>
        <w:adjustRightInd w:val="0"/>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（6）履约验收标准：</w:t>
      </w:r>
      <w:r>
        <w:rPr>
          <w:rFonts w:hint="eastAsia" w:ascii="宋体" w:hAnsi="宋体" w:eastAsia="宋体" w:cs="宋体"/>
          <w:bCs/>
          <w:color w:val="auto"/>
          <w:sz w:val="24"/>
          <w:szCs w:val="24"/>
          <w:highlight w:val="none"/>
          <w:u w:val="single"/>
        </w:rPr>
        <w:t xml:space="preserve">   符合国家标准                     </w:t>
      </w:r>
    </w:p>
    <w:p w14:paraId="5AFDA8AD">
      <w:pPr>
        <w:pStyle w:val="71"/>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（7）是否以采购活动中供应商提供的样品作为参考：</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FE"/>
      </w:r>
      <w:r>
        <w:rPr>
          <w:rFonts w:hint="eastAsia" w:ascii="宋体" w:hAnsi="宋体" w:eastAsia="宋体" w:cs="宋体"/>
          <w:bCs/>
          <w:color w:val="auto"/>
          <w:sz w:val="24"/>
          <w:szCs w:val="24"/>
          <w:highlight w:val="none"/>
        </w:rPr>
        <w:t>否</w:t>
      </w:r>
    </w:p>
    <w:p w14:paraId="1CFAFDF5">
      <w:pPr>
        <w:adjustRightInd w:val="0"/>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（8）履约验收其他事项：</w:t>
      </w:r>
      <w:r>
        <w:rPr>
          <w:rFonts w:hint="eastAsia" w:ascii="宋体" w:hAnsi="宋体" w:eastAsia="宋体" w:cs="宋体"/>
          <w:bCs/>
          <w:color w:val="auto"/>
          <w:sz w:val="24"/>
          <w:szCs w:val="24"/>
          <w:highlight w:val="none"/>
          <w:u w:val="single"/>
        </w:rPr>
        <w:t xml:space="preserve">      /          </w:t>
      </w:r>
    </w:p>
    <w:p w14:paraId="435F6102">
      <w:pPr>
        <w:numPr>
          <w:ilvl w:val="0"/>
          <w:numId w:val="3"/>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组成合同的文件</w:t>
      </w:r>
    </w:p>
    <w:p w14:paraId="7653E2D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本协议书与下列文件一起构成合同文件，如下述文件之间有任何抵触、矛盾或歧义，应按以下顺序解释：</w:t>
      </w:r>
    </w:p>
    <w:p w14:paraId="595A43A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（1）政府采购合同协议书及其变更、补充协议</w:t>
      </w:r>
    </w:p>
    <w:p w14:paraId="1E5A787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（2）政府采购合同专用条款</w:t>
      </w:r>
    </w:p>
    <w:p w14:paraId="3ACA6D4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（3）政府采购合同通用条款</w:t>
      </w:r>
    </w:p>
    <w:p w14:paraId="67722D7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（4）中标（成交）通知书</w:t>
      </w:r>
    </w:p>
    <w:p w14:paraId="4F27514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（5）投标（响应）文件</w:t>
      </w:r>
    </w:p>
    <w:p w14:paraId="33ED0D8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（6）采购文件</w:t>
      </w:r>
    </w:p>
    <w:p w14:paraId="6405336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（7）有关技术文件，图纸</w:t>
      </w:r>
    </w:p>
    <w:p w14:paraId="638B4324">
      <w:pPr>
        <w:pStyle w:val="71"/>
        <w:spacing w:line="360" w:lineRule="auto"/>
        <w:ind w:firstLine="480"/>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kern w:val="2"/>
          <w:sz w:val="24"/>
          <w:szCs w:val="24"/>
          <w:highlight w:val="none"/>
        </w:rPr>
        <w:t>国家法律、行政法规和规章制度规定或合同约定的作为合同组成部分的其他文件</w:t>
      </w:r>
    </w:p>
    <w:p w14:paraId="7565ACB1">
      <w:pPr>
        <w:numPr>
          <w:ilvl w:val="0"/>
          <w:numId w:val="3"/>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合同生效</w:t>
      </w:r>
    </w:p>
    <w:p w14:paraId="10351E1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w:t>
      </w:r>
      <w:r>
        <w:rPr>
          <w:rFonts w:hint="eastAsia" w:ascii="宋体" w:hAnsi="宋体" w:eastAsia="宋体" w:cs="宋体"/>
          <w:color w:val="auto"/>
          <w:sz w:val="24"/>
          <w:szCs w:val="24"/>
          <w:highlight w:val="none"/>
          <w:u w:val="single"/>
        </w:rPr>
        <w:t xml:space="preserve">     双方加盖印章之后             </w:t>
      </w:r>
      <w:r>
        <w:rPr>
          <w:rFonts w:hint="eastAsia" w:ascii="宋体" w:hAnsi="宋体" w:eastAsia="宋体" w:cs="宋体"/>
          <w:color w:val="auto"/>
          <w:sz w:val="24"/>
          <w:szCs w:val="24"/>
          <w:highlight w:val="none"/>
        </w:rPr>
        <w:t>生效。</w:t>
      </w:r>
    </w:p>
    <w:p w14:paraId="1C7037BF">
      <w:pPr>
        <w:numPr>
          <w:ilvl w:val="0"/>
          <w:numId w:val="3"/>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合同份数</w:t>
      </w:r>
    </w:p>
    <w:p w14:paraId="3875178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rPr>
        <w:t xml:space="preserve">  六 </w:t>
      </w:r>
      <w:r>
        <w:rPr>
          <w:rFonts w:hint="eastAsia" w:ascii="宋体" w:hAnsi="宋体" w:eastAsia="宋体" w:cs="宋体"/>
          <w:color w:val="auto"/>
          <w:sz w:val="24"/>
          <w:szCs w:val="24"/>
          <w:highlight w:val="none"/>
        </w:rPr>
        <w:t>份，甲方执</w:t>
      </w:r>
      <w:r>
        <w:rPr>
          <w:rFonts w:hint="eastAsia" w:ascii="宋体" w:hAnsi="宋体" w:eastAsia="宋体" w:cs="宋体"/>
          <w:color w:val="auto"/>
          <w:sz w:val="24"/>
          <w:szCs w:val="24"/>
          <w:highlight w:val="none"/>
          <w:u w:val="single"/>
        </w:rPr>
        <w:t xml:space="preserve"> 三 </w:t>
      </w:r>
      <w:r>
        <w:rPr>
          <w:rFonts w:hint="eastAsia" w:ascii="宋体" w:hAnsi="宋体" w:eastAsia="宋体" w:cs="宋体"/>
          <w:color w:val="auto"/>
          <w:sz w:val="24"/>
          <w:szCs w:val="24"/>
          <w:highlight w:val="none"/>
        </w:rPr>
        <w:t>份，乙方执</w:t>
      </w:r>
      <w:r>
        <w:rPr>
          <w:rFonts w:hint="eastAsia" w:ascii="宋体" w:hAnsi="宋体" w:eastAsia="宋体" w:cs="宋体"/>
          <w:color w:val="auto"/>
          <w:sz w:val="24"/>
          <w:szCs w:val="24"/>
          <w:highlight w:val="none"/>
          <w:u w:val="single"/>
        </w:rPr>
        <w:t xml:space="preserve"> 三 </w:t>
      </w:r>
      <w:r>
        <w:rPr>
          <w:rFonts w:hint="eastAsia" w:ascii="宋体" w:hAnsi="宋体" w:eastAsia="宋体" w:cs="宋体"/>
          <w:color w:val="auto"/>
          <w:sz w:val="24"/>
          <w:szCs w:val="24"/>
          <w:highlight w:val="none"/>
        </w:rPr>
        <w:t>份，均具有同等法律效力。</w:t>
      </w:r>
    </w:p>
    <w:p w14:paraId="1653782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F69396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滁州职业技术学院</w:t>
      </w:r>
      <w:r>
        <w:rPr>
          <w:rFonts w:hint="eastAsia" w:ascii="宋体" w:hAnsi="宋体" w:eastAsia="宋体" w:cs="宋体"/>
          <w:color w:val="auto"/>
          <w:sz w:val="24"/>
          <w:szCs w:val="24"/>
          <w:highlight w:val="none"/>
          <w:u w:val="single"/>
        </w:rPr>
        <w:t xml:space="preserve">       </w:t>
      </w:r>
    </w:p>
    <w:p w14:paraId="301D266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附件：具体标的及其技术要求和商务要求、联合协议、分包意向协议等。</w:t>
      </w:r>
    </w:p>
    <w:p w14:paraId="17EBE02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A208B15">
      <w:pPr>
        <w:pStyle w:val="72"/>
        <w:spacing w:line="360" w:lineRule="auto"/>
        <w:ind w:firstLine="480"/>
        <w:rPr>
          <w:rFonts w:hint="eastAsia" w:ascii="宋体" w:hAnsi="宋体" w:eastAsia="宋体" w:cs="宋体"/>
          <w:color w:val="auto"/>
          <w:sz w:val="24"/>
          <w:szCs w:val="24"/>
          <w:highlight w:val="none"/>
        </w:rPr>
      </w:pPr>
    </w:p>
    <w:tbl>
      <w:tblPr>
        <w:tblStyle w:val="25"/>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1"/>
        <w:gridCol w:w="2412"/>
        <w:gridCol w:w="1979"/>
        <w:gridCol w:w="2116"/>
      </w:tblGrid>
      <w:tr w14:paraId="315970C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noWrap w:val="0"/>
            <w:vAlign w:val="center"/>
          </w:tcPr>
          <w:p w14:paraId="78BB28C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甲方（采购人、受采购人委托签订合同的单位或采购文件约定的合同甲方）</w:t>
            </w:r>
          </w:p>
        </w:tc>
        <w:tc>
          <w:tcPr>
            <w:tcW w:w="2437" w:type="pct"/>
            <w:gridSpan w:val="2"/>
            <w:tcBorders>
              <w:left w:val="single" w:color="auto" w:sz="2" w:space="0"/>
              <w:bottom w:val="single" w:color="auto" w:sz="2" w:space="0"/>
            </w:tcBorders>
            <w:noWrap w:val="0"/>
            <w:vAlign w:val="center"/>
          </w:tcPr>
          <w:p w14:paraId="1A2114F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乙方（供应商）</w:t>
            </w:r>
          </w:p>
        </w:tc>
      </w:tr>
      <w:tr w14:paraId="3830554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noWrap w:val="0"/>
            <w:vAlign w:val="center"/>
          </w:tcPr>
          <w:p w14:paraId="6958EBF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单位名称（公章或合同章）</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063CA5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1E5DCE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单位名称（公章或合同章）</w:t>
            </w:r>
          </w:p>
        </w:tc>
        <w:tc>
          <w:tcPr>
            <w:tcW w:w="1259" w:type="pct"/>
            <w:tcBorders>
              <w:top w:val="single" w:color="auto" w:sz="2" w:space="0"/>
              <w:left w:val="single" w:color="auto" w:sz="2" w:space="0"/>
              <w:bottom w:val="single" w:color="auto" w:sz="2" w:space="0"/>
            </w:tcBorders>
            <w:noWrap w:val="0"/>
            <w:vAlign w:val="center"/>
          </w:tcPr>
          <w:p w14:paraId="69606F9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4434C8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noWrap w:val="0"/>
            <w:vAlign w:val="center"/>
          </w:tcPr>
          <w:p w14:paraId="00DDC23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4487580B">
            <w:pPr>
              <w:keepNext w:val="0"/>
              <w:keepLines w:val="0"/>
              <w:suppressLineNumbers w:val="0"/>
              <w:adjustRightInd w:val="0"/>
              <w:snapToGrid w:val="0"/>
              <w:spacing w:before="0" w:beforeAutospacing="0" w:after="0" w:afterAutospacing="0" w:line="360" w:lineRule="auto"/>
              <w:ind w:left="0" w:right="0" w:firstLine="115" w:firstLineChars="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或其委托代理人（签章）</w:t>
            </w:r>
          </w:p>
        </w:tc>
        <w:tc>
          <w:tcPr>
            <w:tcW w:w="1436" w:type="pct"/>
            <w:vMerge w:val="restart"/>
            <w:tcBorders>
              <w:top w:val="single" w:color="auto" w:sz="2" w:space="0"/>
              <w:left w:val="single" w:color="auto" w:sz="2" w:space="0"/>
              <w:right w:val="single" w:color="auto" w:sz="2" w:space="0"/>
            </w:tcBorders>
            <w:noWrap w:val="0"/>
            <w:vAlign w:val="center"/>
          </w:tcPr>
          <w:p w14:paraId="0C2DE23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right w:val="single" w:color="auto" w:sz="2" w:space="0"/>
            </w:tcBorders>
            <w:noWrap w:val="0"/>
            <w:vAlign w:val="center"/>
          </w:tcPr>
          <w:p w14:paraId="7D6259B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5BFA4EF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或其委托代理人（签章）</w:t>
            </w:r>
          </w:p>
        </w:tc>
        <w:tc>
          <w:tcPr>
            <w:tcW w:w="1259" w:type="pct"/>
            <w:tcBorders>
              <w:top w:val="single" w:color="auto" w:sz="2" w:space="0"/>
              <w:left w:val="single" w:color="auto" w:sz="2" w:space="0"/>
              <w:bottom w:val="single" w:color="auto" w:sz="2" w:space="0"/>
            </w:tcBorders>
            <w:noWrap w:val="0"/>
            <w:vAlign w:val="center"/>
          </w:tcPr>
          <w:p w14:paraId="15F7665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0F7CA74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noWrap w:val="0"/>
            <w:vAlign w:val="center"/>
          </w:tcPr>
          <w:p w14:paraId="075B1B6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36" w:type="pct"/>
            <w:vMerge w:val="continue"/>
            <w:tcBorders>
              <w:left w:val="single" w:color="auto" w:sz="2" w:space="0"/>
              <w:bottom w:val="single" w:color="auto" w:sz="2" w:space="0"/>
              <w:right w:val="single" w:color="auto" w:sz="2" w:space="0"/>
            </w:tcBorders>
            <w:noWrap w:val="0"/>
            <w:vAlign w:val="center"/>
          </w:tcPr>
          <w:p w14:paraId="324FA48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CED2AF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拥有者性别</w:t>
            </w:r>
          </w:p>
        </w:tc>
        <w:tc>
          <w:tcPr>
            <w:tcW w:w="1259" w:type="pct"/>
            <w:tcBorders>
              <w:top w:val="single" w:color="auto" w:sz="2" w:space="0"/>
              <w:left w:val="single" w:color="auto" w:sz="2" w:space="0"/>
              <w:bottom w:val="single" w:color="auto" w:sz="2" w:space="0"/>
            </w:tcBorders>
            <w:noWrap w:val="0"/>
            <w:vAlign w:val="center"/>
          </w:tcPr>
          <w:p w14:paraId="07C2FE4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051C86A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6D1AEBD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  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E8BA60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BE8B51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  所</w:t>
            </w:r>
          </w:p>
        </w:tc>
        <w:tc>
          <w:tcPr>
            <w:tcW w:w="1259" w:type="pct"/>
            <w:tcBorders>
              <w:top w:val="single" w:color="auto" w:sz="2" w:space="0"/>
              <w:left w:val="single" w:color="auto" w:sz="2" w:space="0"/>
              <w:bottom w:val="single" w:color="auto" w:sz="2" w:space="0"/>
            </w:tcBorders>
            <w:noWrap w:val="0"/>
            <w:vAlign w:val="center"/>
          </w:tcPr>
          <w:p w14:paraId="4A2CDF3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7AEB065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1BE3FBC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EF31A9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D8A678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c>
          <w:tcPr>
            <w:tcW w:w="1259" w:type="pct"/>
            <w:tcBorders>
              <w:top w:val="single" w:color="auto" w:sz="2" w:space="0"/>
              <w:left w:val="single" w:color="auto" w:sz="2" w:space="0"/>
              <w:bottom w:val="single" w:color="auto" w:sz="2" w:space="0"/>
            </w:tcBorders>
            <w:noWrap w:val="0"/>
            <w:vAlign w:val="center"/>
          </w:tcPr>
          <w:p w14:paraId="51552A7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4E8A5FE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7540B46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01AE09B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74F784E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1259" w:type="pct"/>
            <w:tcBorders>
              <w:top w:val="single" w:color="auto" w:sz="2" w:space="0"/>
              <w:left w:val="single" w:color="auto" w:sz="2" w:space="0"/>
              <w:bottom w:val="single" w:color="auto" w:sz="2" w:space="0"/>
            </w:tcBorders>
            <w:noWrap w:val="0"/>
            <w:vAlign w:val="center"/>
          </w:tcPr>
          <w:p w14:paraId="1C0DE52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017AA67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417A0C3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51DCD8E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FD15EF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p>
        </w:tc>
        <w:tc>
          <w:tcPr>
            <w:tcW w:w="1259" w:type="pct"/>
            <w:tcBorders>
              <w:top w:val="single" w:color="auto" w:sz="2" w:space="0"/>
              <w:left w:val="single" w:color="auto" w:sz="2" w:space="0"/>
              <w:bottom w:val="single" w:color="auto" w:sz="2" w:space="0"/>
            </w:tcBorders>
            <w:noWrap w:val="0"/>
            <w:vAlign w:val="center"/>
          </w:tcPr>
          <w:p w14:paraId="7448D4D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4D051C9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3D25504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2EF6CD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56C880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1259" w:type="pct"/>
            <w:tcBorders>
              <w:top w:val="single" w:color="auto" w:sz="2" w:space="0"/>
              <w:left w:val="single" w:color="auto" w:sz="2" w:space="0"/>
              <w:bottom w:val="single" w:color="auto" w:sz="2" w:space="0"/>
            </w:tcBorders>
            <w:noWrap w:val="0"/>
            <w:vAlign w:val="center"/>
          </w:tcPr>
          <w:p w14:paraId="22F1818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0280477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6944AAD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84AFDD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7D6B7A0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1259" w:type="pct"/>
            <w:tcBorders>
              <w:top w:val="single" w:color="auto" w:sz="2" w:space="0"/>
              <w:left w:val="single" w:color="auto" w:sz="2" w:space="0"/>
              <w:bottom w:val="single" w:color="auto" w:sz="2" w:space="0"/>
            </w:tcBorders>
            <w:noWrap w:val="0"/>
            <w:vAlign w:val="center"/>
          </w:tcPr>
          <w:p w14:paraId="711B499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4E64748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78C34B0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6CF4505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777D8B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tc>
        <w:tc>
          <w:tcPr>
            <w:tcW w:w="1259" w:type="pct"/>
            <w:tcBorders>
              <w:top w:val="single" w:color="auto" w:sz="2" w:space="0"/>
              <w:left w:val="single" w:color="auto" w:sz="2" w:space="0"/>
              <w:bottom w:val="single" w:color="auto" w:sz="2" w:space="0"/>
            </w:tcBorders>
            <w:noWrap w:val="0"/>
            <w:vAlign w:val="center"/>
          </w:tcPr>
          <w:p w14:paraId="048B9BE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5E50A1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1A57A22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08A9E36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579AE5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开户名称</w:t>
            </w:r>
          </w:p>
        </w:tc>
        <w:tc>
          <w:tcPr>
            <w:tcW w:w="1259" w:type="pct"/>
            <w:tcBorders>
              <w:top w:val="single" w:color="auto" w:sz="2" w:space="0"/>
              <w:left w:val="single" w:color="auto" w:sz="2" w:space="0"/>
              <w:bottom w:val="single" w:color="auto" w:sz="2" w:space="0"/>
            </w:tcBorders>
            <w:noWrap w:val="0"/>
            <w:vAlign w:val="center"/>
          </w:tcPr>
          <w:p w14:paraId="5AD40DB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1508189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3923804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6391FD3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BC5F6A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1259" w:type="pct"/>
            <w:tcBorders>
              <w:top w:val="single" w:color="auto" w:sz="2" w:space="0"/>
              <w:left w:val="single" w:color="auto" w:sz="2" w:space="0"/>
              <w:bottom w:val="single" w:color="auto" w:sz="2" w:space="0"/>
            </w:tcBorders>
            <w:noWrap w:val="0"/>
            <w:vAlign w:val="center"/>
          </w:tcPr>
          <w:p w14:paraId="6FCF60C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14F7A6F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683E2D5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13C03F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871E2C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w:t>
            </w:r>
          </w:p>
        </w:tc>
        <w:tc>
          <w:tcPr>
            <w:tcW w:w="1259" w:type="pct"/>
            <w:tcBorders>
              <w:top w:val="single" w:color="auto" w:sz="2" w:space="0"/>
              <w:left w:val="single" w:color="auto" w:sz="2" w:space="0"/>
              <w:bottom w:val="single" w:color="auto" w:sz="2" w:space="0"/>
            </w:tcBorders>
            <w:noWrap w:val="0"/>
            <w:vAlign w:val="center"/>
          </w:tcPr>
          <w:p w14:paraId="4CB065C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14588B4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noWrap w:val="0"/>
            <w:vAlign w:val="center"/>
          </w:tcPr>
          <w:p w14:paraId="1D10D927">
            <w:pPr>
              <w:pStyle w:val="10"/>
              <w:keepNext w:val="0"/>
              <w:keepLines w:val="0"/>
              <w:suppressLineNumbers w:val="0"/>
              <w:adjustRightInd w:val="0"/>
              <w:snapToGrid w:val="0"/>
              <w:spacing w:before="156" w:beforeLines="50" w:beforeAutospacing="0" w:after="0" w:afterAutospacing="0" w:line="360" w:lineRule="auto"/>
              <w:ind w:left="0" w:leftChars="0" w:right="0"/>
              <w:jc w:val="left"/>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highlight w:val="none"/>
              </w:rPr>
              <w:t>注：涉及联合体或其他合同主体的信息应按上表格式加列。</w:t>
            </w:r>
          </w:p>
        </w:tc>
      </w:tr>
    </w:tbl>
    <w:p w14:paraId="3E3DCC1A">
      <w:pPr>
        <w:pStyle w:val="3"/>
        <w:adjustRightInd w:val="0"/>
        <w:snapToGrid w:val="0"/>
        <w:spacing w:before="156" w:beforeLines="5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br w:type="page"/>
      </w:r>
      <w:bookmarkStart w:id="35" w:name="_Toc27624"/>
      <w:r>
        <w:rPr>
          <w:rFonts w:hint="eastAsia" w:ascii="宋体" w:hAnsi="宋体" w:eastAsia="宋体" w:cs="@仿宋_GB2312"/>
          <w:bCs w:val="0"/>
          <w:color w:val="auto"/>
          <w:sz w:val="24"/>
          <w:szCs w:val="20"/>
          <w:highlight w:val="none"/>
        </w:rPr>
        <w:t>第二节 政府采购合同通用条款</w:t>
      </w:r>
      <w:bookmarkEnd w:id="35"/>
    </w:p>
    <w:p w14:paraId="6D431FC1">
      <w:pPr>
        <w:tabs>
          <w:tab w:val="left" w:pos="8820"/>
          <w:tab w:val="left" w:pos="9345"/>
          <w:tab w:val="left" w:pos="9765"/>
        </w:tabs>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 xml:space="preserve">1. </w:t>
      </w:r>
      <w:r>
        <w:rPr>
          <w:rFonts w:hint="eastAsia" w:ascii="宋体" w:hAnsi="宋体" w:eastAsia="宋体" w:cs="宋体"/>
          <w:b/>
          <w:bCs/>
          <w:color w:val="auto"/>
          <w:sz w:val="24"/>
          <w:szCs w:val="24"/>
          <w:highlight w:val="none"/>
        </w:rPr>
        <w:t>定义</w:t>
      </w:r>
    </w:p>
    <w:p w14:paraId="714D82CB">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1.1合同当事人</w:t>
      </w:r>
    </w:p>
    <w:p w14:paraId="5C7FA61D">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（1）采购人（以下称甲方）是指使用财政性资金，通过政府采购方式向供应商购买货物及其相关服务的国家机关、事业单位、团体组织。</w:t>
      </w:r>
    </w:p>
    <w:p w14:paraId="0543B65F">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（2）供应商（以下称乙方）是指参加政府采购活动并且中标（成交），向采购人提供合同约定的货物及其相关服务的法人、非法人组织或者自然人。</w:t>
      </w:r>
    </w:p>
    <w:p w14:paraId="3179C41F">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（3）其他合同主体是指除采购人和供应商以外，</w:t>
      </w:r>
      <w:r>
        <w:rPr>
          <w:rFonts w:hint="eastAsia" w:ascii="宋体" w:hAnsi="宋体" w:eastAsia="宋体" w:cs="宋体"/>
          <w:bCs/>
          <w:color w:val="auto"/>
          <w:sz w:val="24"/>
          <w:szCs w:val="24"/>
          <w:highlight w:val="none"/>
        </w:rPr>
        <w:t>依法参与合同缔结或履行，享有权利、承担义务的合同当事人</w:t>
      </w:r>
      <w:r>
        <w:rPr>
          <w:rFonts w:hint="eastAsia" w:ascii="宋体" w:hAnsi="宋体" w:eastAsia="宋体" w:cs="宋体"/>
          <w:color w:val="auto"/>
          <w:sz w:val="24"/>
          <w:szCs w:val="24"/>
          <w:highlight w:val="none"/>
        </w:rPr>
        <w:t>。</w:t>
      </w:r>
    </w:p>
    <w:p w14:paraId="125896C5">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1.2本合同下列术语应解释为：</w:t>
      </w:r>
    </w:p>
    <w:p w14:paraId="57E50706">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（1）“合同”系指</w:t>
      </w:r>
      <w:r>
        <w:rPr>
          <w:rFonts w:hint="eastAsia" w:ascii="宋体" w:hAnsi="宋体" w:eastAsia="宋体" w:cs="宋体"/>
          <w:bCs/>
          <w:color w:val="auto"/>
          <w:sz w:val="24"/>
          <w:szCs w:val="24"/>
          <w:highlight w:val="none"/>
        </w:rPr>
        <w:t>合同当事人意思表示达成一致的任何协议，包括签署的</w:t>
      </w:r>
      <w:r>
        <w:rPr>
          <w:rFonts w:hint="eastAsia" w:ascii="宋体" w:hAnsi="宋体" w:eastAsia="宋体" w:cs="宋体"/>
          <w:color w:val="auto"/>
          <w:sz w:val="24"/>
          <w:szCs w:val="24"/>
          <w:highlight w:val="none"/>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694D0E02">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（2）“合同价款”系指根据本合同规定乙方在全面履行合同义务后甲方应支付给乙方的价款。</w:t>
      </w:r>
    </w:p>
    <w:p w14:paraId="7D3DE8CC">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（3）“货物”系指乙方根据本合同规定须向甲方提供的各种形态和种类的物品，包括原材料、设备、产品（包括软件）及相关的其备品备件、工具、手册及</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技术资料和材料等。</w:t>
      </w:r>
    </w:p>
    <w:p w14:paraId="1E914D9E">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（4）“相关服务”系指根据合同规定，乙方应提供的与货物有关的技术、管理和</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服务，包括但不限于：管理和质量保证、运输、保险、检验、现场准备、安装、集成、调试、培训、维修、废弃处置、技术支持等以及合同中规定乙方应承担的</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义务。</w:t>
      </w:r>
    </w:p>
    <w:p w14:paraId="7182A164">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（5）“分包”系指中标（成交）供应商按采购文件、投标（响应）文件的规定，根据分包意向协议，将中标（成交）项目中的部分履约内容，分给具有相应资质条件的供应商履行合同的行为。</w:t>
      </w:r>
    </w:p>
    <w:p w14:paraId="6411CCF8">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w:t>
      </w:r>
    </w:p>
    <w:p w14:paraId="7DD1399A">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（7）其他术语解释，见【</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w:t>
      </w:r>
    </w:p>
    <w:p w14:paraId="0D301B0C">
      <w:pPr>
        <w:numPr>
          <w:ilvl w:val="0"/>
          <w:numId w:val="6"/>
        </w:num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合同标的及金额</w:t>
      </w:r>
    </w:p>
    <w:p w14:paraId="02A05F14">
      <w:pPr>
        <w:autoSpaceDE w:val="0"/>
        <w:autoSpaceDN w:val="0"/>
        <w:adjustRightInd w:val="0"/>
        <w:snapToGrid w:val="0"/>
        <w:spacing w:line="360" w:lineRule="auto"/>
        <w:ind w:firstLine="480" w:firstLineChars="200"/>
        <w:jc w:val="left"/>
        <w:rPr>
          <w:rFonts w:hint="eastAsia" w:ascii="宋体" w:hAnsi="宋体" w:eastAsia="宋体" w:cs="宋体"/>
          <w:b/>
          <w:bCs/>
          <w:i/>
          <w:iCs/>
          <w:color w:val="auto"/>
          <w:sz w:val="24"/>
          <w:szCs w:val="24"/>
          <w:highlight w:val="none"/>
        </w:rPr>
      </w:pPr>
      <w:r>
        <w:rPr>
          <w:rFonts w:hint="eastAsia" w:ascii="宋体" w:hAnsi="宋体" w:eastAsia="宋体" w:cs="宋体"/>
          <w:color w:val="auto"/>
          <w:sz w:val="24"/>
          <w:szCs w:val="24"/>
          <w:highlight w:val="none"/>
        </w:rPr>
        <w:t>2.1 合同标的及金额应与中标（成交）结果一致。乙方为履行本合同而发生的所有费用均应包含在合同价款中，甲方不再另行支付</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任何费用。</w:t>
      </w:r>
    </w:p>
    <w:p w14:paraId="3C11F30D">
      <w:pPr>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 履行合同的时间、地点和方式</w:t>
      </w:r>
    </w:p>
    <w:p w14:paraId="3B81F751">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乙方应当在约定的时间、地点，按照约定方式履行合同。</w:t>
      </w:r>
    </w:p>
    <w:p w14:paraId="120939DC">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 甲方的权利和义务</w:t>
      </w:r>
    </w:p>
    <w:p w14:paraId="7156E91C">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60C08014">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甲方有权要求乙方按时提交各阶段有关安排计划，并有权定期核对乙方提供货物数量、规格、质量等内容。甲方有权督促乙方工作并要求乙方更换不符合要求的货物。</w:t>
      </w:r>
    </w:p>
    <w:p w14:paraId="22FDCD0E">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甲方有权要求乙方对缺陷部分予以修复，并按合同约定享有货物保修及其他合同约定的权利。</w:t>
      </w:r>
    </w:p>
    <w:p w14:paraId="7D8809C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甲方应当按照合同约定及时对交付的货物进行验收，未在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约定的期限内对乙方履约提出任何异议或者向乙方作出任何说明的，视为验收通过。</w:t>
      </w:r>
    </w:p>
    <w:p w14:paraId="6ACBE77E">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 甲方应当根据合同约定及时向乙方支付合同价款，不得以内部人员变更、履行内部付款流程等为由，拒绝或迟延支付。</w:t>
      </w:r>
    </w:p>
    <w:p w14:paraId="072F1C2D">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 国家法律法规规定及</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约定应由甲方承担的其他义务和责任。</w:t>
      </w:r>
    </w:p>
    <w:p w14:paraId="1CD5D8F0">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 乙方的权利和义务</w:t>
      </w:r>
    </w:p>
    <w:p w14:paraId="672374F5">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签署合同后，乙方应确定项目负责人（或项目联系人），负责与本合同有关的事务。</w:t>
      </w:r>
    </w:p>
    <w:p w14:paraId="44654926">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53EA64D9">
      <w:pPr>
        <w:pStyle w:val="9"/>
        <w:spacing w:after="0" w:line="360" w:lineRule="auto"/>
        <w:ind w:firstLine="422" w:firstLineChars="176"/>
        <w:rPr>
          <w:rFonts w:hint="eastAsia" w:ascii="宋体" w:hAnsi="宋体" w:eastAsia="宋体" w:cs="宋体"/>
          <w:color w:val="auto"/>
          <w:sz w:val="24"/>
          <w:highlight w:val="none"/>
        </w:rPr>
      </w:pPr>
      <w:r>
        <w:rPr>
          <w:rFonts w:hint="eastAsia" w:ascii="宋体" w:hAnsi="宋体" w:eastAsia="宋体" w:cs="宋体"/>
          <w:color w:val="auto"/>
          <w:sz w:val="24"/>
          <w:highlight w:val="none"/>
        </w:rPr>
        <w:t>5.3乙方有权根据合同约定向甲方收取合同价款。</w:t>
      </w:r>
    </w:p>
    <w:p w14:paraId="2A20650B">
      <w:pPr>
        <w:pStyle w:val="9"/>
        <w:spacing w:after="0" w:line="360" w:lineRule="auto"/>
        <w:ind w:firstLine="422" w:firstLineChars="176"/>
        <w:rPr>
          <w:rFonts w:hint="eastAsia" w:ascii="宋体" w:hAnsi="宋体" w:eastAsia="宋体" w:cs="宋体"/>
          <w:color w:val="auto"/>
          <w:sz w:val="24"/>
          <w:highlight w:val="none"/>
        </w:rPr>
      </w:pPr>
      <w:r>
        <w:rPr>
          <w:rFonts w:hint="eastAsia" w:ascii="宋体" w:hAnsi="宋体" w:eastAsia="宋体" w:cs="宋体"/>
          <w:color w:val="auto"/>
          <w:sz w:val="24"/>
          <w:highlight w:val="none"/>
        </w:rPr>
        <w:t>5.4国家法律法规规定及</w:t>
      </w:r>
      <w:r>
        <w:rPr>
          <w:rFonts w:hint="eastAsia" w:ascii="宋体" w:hAnsi="宋体" w:eastAsia="宋体" w:cs="宋体"/>
          <w:b/>
          <w:bCs/>
          <w:color w:val="auto"/>
          <w:sz w:val="24"/>
          <w:highlight w:val="none"/>
        </w:rPr>
        <w:t>【政府采购合同专用条款】</w:t>
      </w:r>
      <w:r>
        <w:rPr>
          <w:rFonts w:hint="eastAsia" w:ascii="宋体" w:hAnsi="宋体" w:eastAsia="宋体" w:cs="宋体"/>
          <w:color w:val="auto"/>
          <w:sz w:val="24"/>
          <w:highlight w:val="none"/>
        </w:rPr>
        <w:t>约定应由乙方承担的其他义务和责任。</w:t>
      </w:r>
    </w:p>
    <w:p w14:paraId="4915B01D">
      <w:pPr>
        <w:numPr>
          <w:ilvl w:val="0"/>
          <w:numId w:val="7"/>
        </w:num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合同履行</w:t>
      </w:r>
    </w:p>
    <w:p w14:paraId="11395897">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甲乙双方应当按照</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约定顺序履行合同义务；如果没有先后顺序的，应当同时履行。</w:t>
      </w:r>
    </w:p>
    <w:p w14:paraId="757CB85A">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甲乙双方按照合同约定顺序履行合同义务时，应当先履行一方未履行的，后履行一方有权拒绝其履行请求。先履行一方履行不符合约定的，后履行一方有权拒绝其相应的履行请求。</w:t>
      </w:r>
    </w:p>
    <w:p w14:paraId="32176DE0">
      <w:p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 货物包装、运输、保险和交付要求</w:t>
      </w:r>
    </w:p>
    <w:p w14:paraId="05DF8B19">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本合同</w:t>
      </w:r>
      <w:r>
        <w:rPr>
          <w:rFonts w:hint="eastAsia" w:ascii="宋体" w:hAnsi="宋体" w:eastAsia="宋体" w:cs="宋体"/>
          <w:bCs/>
          <w:color w:val="auto"/>
          <w:sz w:val="24"/>
          <w:szCs w:val="24"/>
          <w:highlight w:val="none"/>
        </w:rPr>
        <w:t>涉及商品包装、快递包装的，</w:t>
      </w:r>
      <w:r>
        <w:rPr>
          <w:rFonts w:hint="eastAsia" w:ascii="宋体" w:hAnsi="宋体" w:eastAsia="宋体" w:cs="宋体"/>
          <w:color w:val="auto"/>
          <w:sz w:val="24"/>
          <w:szCs w:val="24"/>
          <w:highlight w:val="none"/>
        </w:rPr>
        <w:t>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另有约定外，</w:t>
      </w:r>
      <w:r>
        <w:rPr>
          <w:rFonts w:hint="eastAsia" w:ascii="宋体" w:hAnsi="宋体" w:eastAsia="宋体" w:cs="宋体"/>
          <w:color w:val="auto"/>
          <w:sz w:val="24"/>
          <w:szCs w:val="24"/>
          <w:highlight w:val="none"/>
        </w:rPr>
        <w:t>包装应适应远距离运输、防潮、防震、防锈和防野蛮装卸等要求，确保货物安全无损地运抵</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约定的</w:t>
      </w:r>
      <w:r>
        <w:rPr>
          <w:rFonts w:hint="eastAsia" w:ascii="宋体" w:hAnsi="宋体" w:eastAsia="宋体" w:cs="宋体"/>
          <w:color w:val="auto"/>
          <w:sz w:val="24"/>
          <w:szCs w:val="24"/>
          <w:highlight w:val="none"/>
        </w:rPr>
        <w:t>指定现场。</w:t>
      </w:r>
    </w:p>
    <w:p w14:paraId="3B732CFE">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另有约定外，</w:t>
      </w:r>
      <w:r>
        <w:rPr>
          <w:rFonts w:hint="eastAsia" w:ascii="宋体" w:hAnsi="宋体" w:eastAsia="宋体" w:cs="宋体"/>
          <w:color w:val="auto"/>
          <w:sz w:val="24"/>
          <w:szCs w:val="24"/>
          <w:highlight w:val="none"/>
        </w:rPr>
        <w:t>乙方负责办理将货物运抵本合同规定的交货地点，并装卸、交付至甲方的一切运输事项，相关费用应包含在合同价款中。</w:t>
      </w:r>
    </w:p>
    <w:p w14:paraId="731BCF9D">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货物保险要求按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规定执行</w:t>
      </w:r>
      <w:r>
        <w:rPr>
          <w:rFonts w:hint="eastAsia" w:ascii="宋体" w:hAnsi="宋体" w:eastAsia="宋体" w:cs="宋体"/>
          <w:color w:val="auto"/>
          <w:sz w:val="24"/>
          <w:szCs w:val="24"/>
          <w:highlight w:val="none"/>
        </w:rPr>
        <w:t>。</w:t>
      </w:r>
    </w:p>
    <w:p w14:paraId="0872D504">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17B9A6CC">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乙方在运输到达之前应提前通知甲方，并提示货物运输装卸的注意事项，甲方配合乙方做好货物的接收工作。</w:t>
      </w:r>
    </w:p>
    <w:p w14:paraId="27F40230">
      <w:pPr>
        <w:pStyle w:val="71"/>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7.6 如因包装、运输问题导致货物损毁、丢失或者品质下降，甲方有权要求降价、换货、拒收部分或整批货物，由此产生的费用和损失，均由乙方承担。</w:t>
      </w:r>
    </w:p>
    <w:p w14:paraId="2A70D18B">
      <w:pPr>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 质量标准和保证</w:t>
      </w:r>
    </w:p>
    <w:p w14:paraId="767A2C3B">
      <w:pPr>
        <w:pStyle w:val="13"/>
        <w:adjustRightInd w:val="0"/>
        <w:snapToGrid w:val="0"/>
        <w:spacing w:line="360" w:lineRule="auto"/>
        <w:ind w:firstLine="480" w:firstLineChars="200"/>
        <w:jc w:val="left"/>
        <w:rPr>
          <w:rFonts w:hint="eastAsia" w:hAnsi="宋体" w:eastAsia="宋体" w:cs="宋体"/>
          <w:b/>
          <w:color w:val="auto"/>
          <w:sz w:val="24"/>
          <w:szCs w:val="24"/>
          <w:highlight w:val="none"/>
        </w:rPr>
      </w:pPr>
      <w:r>
        <w:rPr>
          <w:rFonts w:hint="eastAsia" w:hAnsi="宋体" w:eastAsia="宋体" w:cs="宋体"/>
          <w:color w:val="auto"/>
          <w:sz w:val="24"/>
          <w:szCs w:val="24"/>
          <w:highlight w:val="none"/>
        </w:rPr>
        <w:t>8.1 质量标准</w:t>
      </w:r>
    </w:p>
    <w:p w14:paraId="392B1BF8">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255FCE39">
      <w:pPr>
        <w:pStyle w:val="13"/>
        <w:adjustRightInd w:val="0"/>
        <w:snapToGrid w:val="0"/>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（2）采用中华人民共和国法定计量单位。</w:t>
      </w:r>
    </w:p>
    <w:p w14:paraId="39941FFC">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（3）乙方所提供的货物应符合国家有关安全、环保、卫生的规定。</w:t>
      </w:r>
    </w:p>
    <w:p w14:paraId="6D1A0594">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（4）乙方应向甲方提交所提供货物的技术文件，包括相应的中文技术文件，如：产品目录、图纸、操作手册、使用说明、维护手册或服务指南等。上述文件应包装好随货物一同发运。</w:t>
      </w:r>
    </w:p>
    <w:p w14:paraId="239CA8D5">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保证</w:t>
      </w:r>
    </w:p>
    <w:p w14:paraId="257DF37B">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规定或乙方书面承诺（两者以较长的为准）的质量保证期内，本保证保持有效。</w:t>
      </w:r>
    </w:p>
    <w:p w14:paraId="0981C273">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（2）在质量保证期内所发现的缺陷，甲方应尽快以书面形式通知乙方。</w:t>
      </w:r>
    </w:p>
    <w:p w14:paraId="207A4689">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（3）乙方收到通知后，应在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规定的响应时间内以合理的速度免费维修或更换有缺陷的货物或部件。</w:t>
      </w:r>
    </w:p>
    <w:p w14:paraId="22891C63">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3348DEAB">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（5）乙方在约定的时间内未能弥补缺陷，甲方可采取必要的补救措施，但其风险和费用将由乙方承担，甲方根据合同约定对乙方行使的其他权利不受影响。</w:t>
      </w:r>
    </w:p>
    <w:p w14:paraId="0B882F95">
      <w:p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 权利瑕疵担保</w:t>
      </w:r>
    </w:p>
    <w:p w14:paraId="4EB1DF14">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 乙方保证对其出售的货物享有合法的权利。</w:t>
      </w:r>
    </w:p>
    <w:p w14:paraId="32F361BC">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乙方保证在交付的货物上不存在抵押权等担保物权。</w:t>
      </w:r>
    </w:p>
    <w:p w14:paraId="60198B37">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 如甲方使用上述货物构成对第三人侵权的，则由乙方承担全部责任。</w:t>
      </w:r>
    </w:p>
    <w:p w14:paraId="3D1E1E33">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 知识产权保护</w:t>
      </w:r>
    </w:p>
    <w:p w14:paraId="0C2E8B2A">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乙方对其所销售的货物应当享有知识产权或经权利人合法授权，保证没有侵犯任何第三人的知识产权等权利。</w:t>
      </w:r>
      <w:bookmarkStart w:id="36" w:name="_Hlk163047038"/>
      <w:r>
        <w:rPr>
          <w:rFonts w:hint="eastAsia" w:ascii="宋体" w:hAnsi="宋体" w:eastAsia="宋体" w:cs="宋体"/>
          <w:color w:val="auto"/>
          <w:sz w:val="24"/>
          <w:szCs w:val="24"/>
          <w:highlight w:val="none"/>
        </w:rPr>
        <w:t>因违反前述约定对第三人构成侵权的，应当由乙方向第三人承担法律责任；甲方依法向第三人赔偿后，有权向乙方追偿。甲方有其他损失的，乙方应当赔偿</w:t>
      </w:r>
      <w:bookmarkEnd w:id="36"/>
      <w:r>
        <w:rPr>
          <w:rFonts w:hint="eastAsia" w:ascii="宋体" w:hAnsi="宋体" w:eastAsia="宋体" w:cs="宋体"/>
          <w:color w:val="auto"/>
          <w:sz w:val="24"/>
          <w:szCs w:val="24"/>
          <w:highlight w:val="none"/>
        </w:rPr>
        <w:t>。</w:t>
      </w:r>
    </w:p>
    <w:p w14:paraId="6001F363">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 保密义务</w:t>
      </w:r>
    </w:p>
    <w:p w14:paraId="07009F8A">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中约定。</w:t>
      </w:r>
    </w:p>
    <w:p w14:paraId="7D5D0EF4">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 合同价款支付</w:t>
      </w:r>
    </w:p>
    <w:p w14:paraId="6561E0CA">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合同价款支付按照国库集中支付制度及财政管理相关规定执行。</w:t>
      </w:r>
    </w:p>
    <w:p w14:paraId="4C4604EF">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对于满足合同约定支付条件的，甲方原则上应当自收到发票后7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】中约定。</w:t>
      </w:r>
    </w:p>
    <w:p w14:paraId="0DE7638C">
      <w:pPr>
        <w:pStyle w:val="9"/>
        <w:spacing w:after="0"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w:t>
      </w:r>
      <w:r>
        <w:rPr>
          <w:rFonts w:hint="eastAsia" w:ascii="宋体" w:hAnsi="宋体" w:eastAsia="宋体" w:cs="宋体"/>
          <w:b/>
          <w:bCs/>
          <w:color w:val="auto"/>
          <w:sz w:val="24"/>
          <w:highlight w:val="none"/>
          <w:lang w:val="en-US"/>
        </w:rPr>
        <w:t xml:space="preserve"> </w:t>
      </w:r>
      <w:r>
        <w:rPr>
          <w:rFonts w:hint="eastAsia" w:ascii="宋体" w:hAnsi="宋体" w:eastAsia="宋体" w:cs="宋体"/>
          <w:b/>
          <w:bCs/>
          <w:color w:val="auto"/>
          <w:sz w:val="24"/>
          <w:highlight w:val="none"/>
        </w:rPr>
        <w:t>履约保证金</w:t>
      </w:r>
    </w:p>
    <w:p w14:paraId="17265623">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乙方应当以支票、汇票、本票或者金融机构、担保机构出具的保函等非现金形式提交。</w:t>
      </w:r>
    </w:p>
    <w:p w14:paraId="22647DEC">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如果乙方出现</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约定情形的，履约保证金不予退还；如果乙方未能按合同约定全面履行义务，甲方有权从履约保证金中取得补偿或赔偿，且不影响甲方要求乙方承担合同约定的超过履约保证金的违约责任的权利。</w:t>
      </w:r>
    </w:p>
    <w:p w14:paraId="68E759AC">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甲方在项目通过验收后按照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规定的时间内将履约保证金退还乙方；逾期退还的，乙方可要求甲方支付违约金，违约金按照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规定支付。</w:t>
      </w:r>
    </w:p>
    <w:p w14:paraId="1E4E94BA">
      <w:pPr>
        <w:autoSpaceDE w:val="0"/>
        <w:autoSpaceDN w:val="0"/>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 xml:space="preserve">14. </w:t>
      </w:r>
      <w:r>
        <w:rPr>
          <w:rFonts w:hint="eastAsia" w:ascii="宋体" w:hAnsi="宋体" w:eastAsia="宋体" w:cs="宋体"/>
          <w:b/>
          <w:color w:val="auto"/>
          <w:sz w:val="24"/>
          <w:szCs w:val="24"/>
          <w:highlight w:val="none"/>
        </w:rPr>
        <w:t>售后服务</w:t>
      </w:r>
    </w:p>
    <w:p w14:paraId="6DC6298D">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除项目不涉及或采购活动中明确约定无须承担外，乙方还应提供下列服务：</w:t>
      </w:r>
    </w:p>
    <w:p w14:paraId="2A576646">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（1）货物的现场移动、安装、调试、启动监督及技术支持；</w:t>
      </w:r>
    </w:p>
    <w:p w14:paraId="76212D44">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（2）提供货物组装和维修所需的专用工具和辅助材料；</w:t>
      </w:r>
    </w:p>
    <w:p w14:paraId="4E48D547">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约定的期限内对所有的货物实施运行监督、维修，但前提条件是该服务并不能免除乙方在质量保证期内所承担的义务；</w:t>
      </w:r>
    </w:p>
    <w:p w14:paraId="37E74BBC">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（4）在制造商所在地或指定现场就货物的安装、启动、运营、维护、废弃处置等对甲方操作人员进行培训；</w:t>
      </w:r>
    </w:p>
    <w:p w14:paraId="186B9759">
      <w:pPr>
        <w:pStyle w:val="71"/>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（5）依照法律、行政法规的规定或者按照</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约定，货物在有效使用年限届满后应予回收的，乙方负有自行或者委托第三人对货物予以回收的义务；</w:t>
      </w:r>
    </w:p>
    <w:p w14:paraId="7E3E85C0">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规定由乙方提供的其他服务。</w:t>
      </w:r>
    </w:p>
    <w:p w14:paraId="29ED5E4F">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乙方提供的售后服务的费用已包含在合同价款中，甲方不再另行支付。</w:t>
      </w:r>
    </w:p>
    <w:p w14:paraId="536DA9DB">
      <w:p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 违约责任</w:t>
      </w:r>
    </w:p>
    <w:p w14:paraId="511FC5D2">
      <w:pPr>
        <w:adjustRightInd w:val="0"/>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15.1质量瑕疵的违约责任</w:t>
      </w:r>
    </w:p>
    <w:p w14:paraId="10B67730">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乙方提供的产品不符合合同约定的质量标准或存在产品质量缺陷，甲方有权要求乙方根据</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要求</w:t>
      </w:r>
      <w:r>
        <w:rPr>
          <w:rFonts w:hint="eastAsia" w:ascii="宋体" w:hAnsi="宋体" w:eastAsia="宋体" w:cs="宋体"/>
          <w:color w:val="auto"/>
          <w:sz w:val="24"/>
          <w:szCs w:val="24"/>
          <w:highlight w:val="none"/>
        </w:rPr>
        <w:t>及时修理、重作、更换，并承担由此给甲方造成的损失。</w:t>
      </w:r>
    </w:p>
    <w:p w14:paraId="2A66D116">
      <w:pPr>
        <w:autoSpaceDE w:val="0"/>
        <w:autoSpaceDN w:val="0"/>
        <w:adjustRightInd w:val="0"/>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15.2 迟延交货的违约责任</w:t>
      </w:r>
    </w:p>
    <w:p w14:paraId="4EE23A50">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1270EF49">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（2）如果乙方没有按照合同规定的时间交货和提供相关服务，甲方有权从货款中扣除误期赔偿费而不影响合同项下的其他补救方法，赔偿费按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规定执行。如果涉及公共利益，且赔偿金额无法弥补公共利益损失，甲方可要求继续履行或者采取其他补救措施。</w:t>
      </w:r>
    </w:p>
    <w:p w14:paraId="2ECFEAEA">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迟延支付的违约责任</w:t>
      </w:r>
    </w:p>
    <w:p w14:paraId="10A1D8B6">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甲方存在迟延支付乙方合同款项的，应当承担</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规定的逾期付款利息。</w:t>
      </w:r>
    </w:p>
    <w:p w14:paraId="462CBEEE">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15.4其他违约责任根据项目实际需要按</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规定执行。</w:t>
      </w:r>
    </w:p>
    <w:p w14:paraId="221EB6D2">
      <w:pPr>
        <w:numPr>
          <w:ilvl w:val="0"/>
          <w:numId w:val="8"/>
        </w:numPr>
        <w:autoSpaceDE w:val="0"/>
        <w:autoSpaceDN w:val="0"/>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合同变更、中止与终止</w:t>
      </w:r>
    </w:p>
    <w:p w14:paraId="2266FBF9">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16.1合同的变更</w:t>
      </w:r>
    </w:p>
    <w:p w14:paraId="100F4BC5">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政府采购合同履行中，在不改变合同其他条款的前提下，甲方可以在合同价款10%的范围内追加与合同标的相同的货物，并就此与乙方协商一致后签订补充协议。</w:t>
      </w:r>
    </w:p>
    <w:p w14:paraId="7F5098D5">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16.2合同的中止</w:t>
      </w:r>
    </w:p>
    <w:p w14:paraId="7A0B53E1">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（1）合同履行过程中因供应商就采购文件、采购过程或结果提起投诉的，甲方认为有必要的，可以中止合同的履行。</w:t>
      </w:r>
    </w:p>
    <w:p w14:paraId="31AFC364">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504BFBFD">
      <w:pPr>
        <w:pStyle w:val="71"/>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（3）乙方分立、合并或者变更住所的，应当及时以书面形式告知甲方。乙方没有及时告知甲方，致使合同履行发生困难的，甲方可以中止合同履行并要求乙方承担由此给甲方造成的损失。</w:t>
      </w:r>
    </w:p>
    <w:p w14:paraId="75DC4B54">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（4）甲方不得以行政区划调整、政府换届、机构或者职能调整以及相关责任人更替为由中止合同。</w:t>
      </w:r>
    </w:p>
    <w:p w14:paraId="68245EF0">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16.3合同的终止</w:t>
      </w:r>
    </w:p>
    <w:p w14:paraId="6A9DC4C1">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（1）合同因有效期限届满而终止；</w:t>
      </w:r>
    </w:p>
    <w:p w14:paraId="3C10984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（2）乙方未按合同约定履行，构成根本性违约的，甲方有权终止合同，并追究乙方的违约责任。</w:t>
      </w:r>
    </w:p>
    <w:p w14:paraId="28A311E2">
      <w:pPr>
        <w:pStyle w:val="71"/>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16.4 </w:t>
      </w:r>
      <w:r>
        <w:rPr>
          <w:rFonts w:hint="eastAsia" w:ascii="宋体" w:hAnsi="宋体" w:eastAsia="宋体" w:cs="宋体"/>
          <w:color w:val="auto"/>
          <w:kern w:val="2"/>
          <w:sz w:val="24"/>
          <w:szCs w:val="24"/>
          <w:highlight w:val="none"/>
        </w:rPr>
        <w:t>涉及国家利益、社会公共利益的情形</w:t>
      </w:r>
    </w:p>
    <w:p w14:paraId="4705B11E">
      <w:pPr>
        <w:pStyle w:val="71"/>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政府采购合同继续履行将损害国家利益和社会公共利益的，双方当事人应当变更、中止或者终止合同。有过错的一方应当承担赔偿责任，双方都有过错的，各自承担相应的责任。</w:t>
      </w:r>
    </w:p>
    <w:p w14:paraId="70F5D611">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 合同分包</w:t>
      </w:r>
    </w:p>
    <w:p w14:paraId="36B2FDFA">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乙方不得将合同转包给其他供应商。涉及合同分包的，乙方应根据采购文件和投标（响应）文件规定进行合同分包。</w:t>
      </w:r>
    </w:p>
    <w:p w14:paraId="5BC756D8">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乙方执行政府采购政策向中小企业依法分包的，乙方应当按采购文件和投标（响应）文件签订分包意向协议，分包意向协议属于本合同组成部分。</w:t>
      </w:r>
    </w:p>
    <w:p w14:paraId="154E300F">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 不可抗力</w:t>
      </w:r>
    </w:p>
    <w:p w14:paraId="747023F6">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不可抗力是指合同双方不能预见、不能避免且不能克服的客观情况。</w:t>
      </w:r>
    </w:p>
    <w:p w14:paraId="14522ACF">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 任何一方对由于不可抗力造成的部分或全部不能履行合同不承担违约责任。但迟延履行后发生不可抗力的，不能免除责任。</w:t>
      </w:r>
    </w:p>
    <w:p w14:paraId="05A8B5AF">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2057F4F9">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19. 解决争议的方法</w:t>
      </w:r>
    </w:p>
    <w:p w14:paraId="4AE7D692">
      <w:pPr>
        <w:pStyle w:val="71"/>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7EEFD644">
      <w:pPr>
        <w:pStyle w:val="71"/>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选择仲裁的，应在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中明确仲裁机构及仲裁地；通过诉讼方式解决的，可以在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中进一步约定选择与争议有实际联系的地点的人民法院管辖，但管辖法院的约定不得违反级别管辖和专属管辖的规定。</w:t>
      </w:r>
    </w:p>
    <w:p w14:paraId="2836AE11">
      <w:pPr>
        <w:pStyle w:val="71"/>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 如甲乙双方有争议的事项不影响合同其他部分的履行，在争议解决期间，合同其他部分应当继续履行。</w:t>
      </w:r>
    </w:p>
    <w:p w14:paraId="7B8C86E4">
      <w:pPr>
        <w:autoSpaceDE w:val="0"/>
        <w:autoSpaceDN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20. 政府采购政策</w:t>
      </w:r>
    </w:p>
    <w:p w14:paraId="00225839">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20.1 </w:t>
      </w:r>
      <w:r>
        <w:rPr>
          <w:rFonts w:hint="eastAsia" w:ascii="宋体" w:hAnsi="宋体" w:eastAsia="宋体" w:cs="宋体"/>
          <w:color w:val="auto"/>
          <w:sz w:val="24"/>
          <w:szCs w:val="24"/>
          <w:highlight w:val="none"/>
          <w:lang w:val="en-GB"/>
        </w:rPr>
        <w:t>本合同应当按照规定执行政府采购政策。</w:t>
      </w:r>
    </w:p>
    <w:p w14:paraId="3B6AD6D9">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 本合同依法执行政府采购政策的方式和内容，属于合同履约验收的范围。甲乙双方</w:t>
      </w:r>
      <w:r>
        <w:rPr>
          <w:rFonts w:hint="eastAsia" w:ascii="宋体" w:hAnsi="宋体" w:eastAsia="宋体" w:cs="宋体"/>
          <w:color w:val="auto"/>
          <w:sz w:val="24"/>
          <w:szCs w:val="24"/>
          <w:highlight w:val="none"/>
          <w:lang w:val="en-GB"/>
        </w:rPr>
        <w:t>未按规定要求执行政府采购政策造成损失的</w:t>
      </w:r>
      <w:r>
        <w:rPr>
          <w:rFonts w:hint="eastAsia" w:ascii="宋体" w:hAnsi="宋体" w:eastAsia="宋体" w:cs="宋体"/>
          <w:color w:val="auto"/>
          <w:sz w:val="24"/>
          <w:szCs w:val="24"/>
          <w:highlight w:val="none"/>
        </w:rPr>
        <w:t>，有过错的一方应当承担赔偿责任，双方都有过错的，各自承担相应的责任。</w:t>
      </w:r>
    </w:p>
    <w:p w14:paraId="0CC18EBC">
      <w:pPr>
        <w:pStyle w:val="9"/>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rPr>
        <w:t>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rPr>
        <w:t>3</w:t>
      </w:r>
      <w:r>
        <w:rPr>
          <w:rFonts w:hint="eastAsia" w:ascii="宋体" w:hAnsi="宋体" w:eastAsia="宋体" w:cs="宋体"/>
          <w:color w:val="auto"/>
          <w:sz w:val="24"/>
          <w:highlight w:val="none"/>
        </w:rPr>
        <w:t xml:space="preserve">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50AD863">
      <w:pPr>
        <w:autoSpaceDE w:val="0"/>
        <w:autoSpaceDN w:val="0"/>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 法律适用</w:t>
      </w:r>
    </w:p>
    <w:p w14:paraId="6ADB3C06">
      <w:pPr>
        <w:pStyle w:val="71"/>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本合同的订立、生效、解释、履行及与本合同有关的争议解决，均适用法律、行政法规。</w:t>
      </w:r>
    </w:p>
    <w:p w14:paraId="109D8B3B">
      <w:pPr>
        <w:pStyle w:val="71"/>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本合同条款与法律、行政法规的强制性规定不一致的，双方当事人应按照法律、行政法规的强制性规定修改本合同的相关条款。</w:t>
      </w:r>
    </w:p>
    <w:p w14:paraId="34055EA1">
      <w:pPr>
        <w:numPr>
          <w:ilvl w:val="0"/>
          <w:numId w:val="0"/>
        </w:numPr>
        <w:autoSpaceDE w:val="0"/>
        <w:autoSpaceDN w:val="0"/>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 通知</w:t>
      </w:r>
    </w:p>
    <w:p w14:paraId="7ADA42BA">
      <w:pPr>
        <w:pStyle w:val="71"/>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本合同任何一方向对方发出的通知、信件、数据电文等，应当发送至本合同第一部分《政府采购合同协议书》所约定的通讯地址、联系人、联系电话或电子邮箱。</w:t>
      </w:r>
    </w:p>
    <w:p w14:paraId="54E543CF">
      <w:pPr>
        <w:pStyle w:val="71"/>
        <w:spacing w:line="360" w:lineRule="auto"/>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22.2 一方当事人变更名称、住所、联系人、联系电话或电子邮箱等信息的，应当在变更后3日内及时书面通知对方，对方实际收到变更通知前的送达仍为有效送达。</w:t>
      </w:r>
    </w:p>
    <w:p w14:paraId="6E1B08A3">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22.3本合同一方给另一方的通知均应采用书面形式，传真或快递送到本合同中规定的对方的地址和办理签收手续。</w:t>
      </w:r>
    </w:p>
    <w:p w14:paraId="33607CCB">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22.4通知以送达之日或通知书中规定的生效之日起生效，两者中以较迟之日为准。</w:t>
      </w:r>
    </w:p>
    <w:p w14:paraId="772630A0">
      <w:pPr>
        <w:numPr>
          <w:ilvl w:val="0"/>
          <w:numId w:val="9"/>
        </w:num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合同未尽事项</w:t>
      </w:r>
    </w:p>
    <w:p w14:paraId="32C0E377">
      <w:pPr>
        <w:adjustRightInd w:val="0"/>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23.1合同未尽事项见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w:t>
      </w:r>
    </w:p>
    <w:p w14:paraId="2E4ABA59">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23.2 合同附件与合同正文具有同等的法律效力。</w:t>
      </w:r>
      <w:bookmarkStart w:id="37" w:name="_Toc20313"/>
    </w:p>
    <w:p w14:paraId="5E65A7A2">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8A6FF39">
      <w:pPr>
        <w:pStyle w:val="3"/>
        <w:adjustRightInd w:val="0"/>
        <w:snapToGrid w:val="0"/>
        <w:spacing w:before="156" w:beforeLines="50" w:line="360" w:lineRule="auto"/>
        <w:jc w:val="center"/>
        <w:rPr>
          <w:rFonts w:hint="eastAsia" w:ascii="宋体" w:hAnsi="宋体" w:eastAsia="宋体" w:cs="@仿宋_GB2312"/>
          <w:bCs w:val="0"/>
          <w:color w:val="auto"/>
          <w:sz w:val="24"/>
          <w:szCs w:val="20"/>
          <w:highlight w:val="none"/>
        </w:rPr>
      </w:pPr>
      <w:r>
        <w:rPr>
          <w:rFonts w:hint="eastAsia" w:ascii="宋体" w:hAnsi="宋体" w:eastAsia="宋体" w:cs="@仿宋_GB2312"/>
          <w:bCs w:val="0"/>
          <w:color w:val="auto"/>
          <w:sz w:val="24"/>
          <w:szCs w:val="20"/>
          <w:highlight w:val="none"/>
        </w:rPr>
        <w:t>第三节 政府采购合同专用条款</w:t>
      </w:r>
      <w:bookmarkEnd w:id="37"/>
    </w:p>
    <w:tbl>
      <w:tblPr>
        <w:tblStyle w:val="25"/>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B4EE6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80323C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39A467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第1.2（6）项</w:t>
            </w:r>
          </w:p>
        </w:tc>
        <w:tc>
          <w:tcPr>
            <w:tcW w:w="1742" w:type="dxa"/>
            <w:noWrap w:val="0"/>
            <w:vAlign w:val="center"/>
          </w:tcPr>
          <w:p w14:paraId="6A0ECCF2">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联合体具体要求</w:t>
            </w:r>
          </w:p>
        </w:tc>
        <w:tc>
          <w:tcPr>
            <w:tcW w:w="5170" w:type="dxa"/>
            <w:noWrap w:val="0"/>
            <w:vAlign w:val="center"/>
          </w:tcPr>
          <w:p w14:paraId="50E576AE">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不接受联合体投标</w:t>
            </w:r>
          </w:p>
        </w:tc>
      </w:tr>
      <w:tr w14:paraId="6AE3D6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noWrap w:val="0"/>
            <w:vAlign w:val="center"/>
          </w:tcPr>
          <w:p w14:paraId="25E941A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678FA6F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第1.2（7）项</w:t>
            </w:r>
          </w:p>
        </w:tc>
        <w:tc>
          <w:tcPr>
            <w:tcW w:w="1742" w:type="dxa"/>
            <w:noWrap w:val="0"/>
            <w:vAlign w:val="center"/>
          </w:tcPr>
          <w:p w14:paraId="5B3E6651">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其他术语解释</w:t>
            </w:r>
          </w:p>
        </w:tc>
        <w:tc>
          <w:tcPr>
            <w:tcW w:w="5170" w:type="dxa"/>
            <w:noWrap w:val="0"/>
            <w:vAlign w:val="center"/>
          </w:tcPr>
          <w:p w14:paraId="28CABA40">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116AE3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CD7461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6528F43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第4.4款</w:t>
            </w:r>
          </w:p>
        </w:tc>
        <w:tc>
          <w:tcPr>
            <w:tcW w:w="1742" w:type="dxa"/>
            <w:noWrap w:val="0"/>
            <w:vAlign w:val="center"/>
          </w:tcPr>
          <w:p w14:paraId="261A3FE2">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履约验收中甲方提出异议或作出说明的期限</w:t>
            </w:r>
          </w:p>
        </w:tc>
        <w:tc>
          <w:tcPr>
            <w:tcW w:w="5170" w:type="dxa"/>
            <w:noWrap w:val="0"/>
            <w:vAlign w:val="center"/>
          </w:tcPr>
          <w:p w14:paraId="71F05B7E">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5个工作日</w:t>
            </w:r>
          </w:p>
        </w:tc>
      </w:tr>
      <w:tr w14:paraId="455329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1F686D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51AC356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第4.6款</w:t>
            </w:r>
          </w:p>
        </w:tc>
        <w:tc>
          <w:tcPr>
            <w:tcW w:w="1742" w:type="dxa"/>
            <w:noWrap w:val="0"/>
            <w:vAlign w:val="center"/>
          </w:tcPr>
          <w:p w14:paraId="76899741">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约定甲方承担的其他义务和责任</w:t>
            </w:r>
          </w:p>
        </w:tc>
        <w:tc>
          <w:tcPr>
            <w:tcW w:w="5170" w:type="dxa"/>
            <w:noWrap w:val="0"/>
            <w:vAlign w:val="center"/>
          </w:tcPr>
          <w:p w14:paraId="1D1C4415">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(1)在合同生效后，非因产品质量问题，买方要求退货的，应向卖方偿付合同总价款的5%，作为违约金，违约金不足以补偿损失的，卖方有权要求甲方补足。</w:t>
            </w:r>
          </w:p>
          <w:p w14:paraId="2CCC17FF">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(2)买方逾期付款的应按照逾期付款金额的每天万分之四支付逾期付款违约金。</w:t>
            </w:r>
          </w:p>
          <w:p w14:paraId="0AD93A61">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(3)买方违反合同规定，无正当理由拒绝接收卖方交付的符合招标文件要求的合格标的物，应当承担卖方由此造成的损失。</w:t>
            </w:r>
          </w:p>
        </w:tc>
      </w:tr>
      <w:tr w14:paraId="140E23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AA2ACC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289FCD4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第5.4款</w:t>
            </w:r>
          </w:p>
        </w:tc>
        <w:tc>
          <w:tcPr>
            <w:tcW w:w="1742" w:type="dxa"/>
            <w:noWrap w:val="0"/>
            <w:vAlign w:val="center"/>
          </w:tcPr>
          <w:p w14:paraId="30B1BA57">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约定乙方承担的其他义务和责任</w:t>
            </w:r>
          </w:p>
        </w:tc>
        <w:tc>
          <w:tcPr>
            <w:tcW w:w="5170" w:type="dxa"/>
            <w:noWrap w:val="0"/>
            <w:vAlign w:val="center"/>
          </w:tcPr>
          <w:p w14:paraId="2FC9F9A3">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(1)乙方不能交货（逾期超过五天视为不能交货），或交货不合格从而影响甲方按期正常使用的，应向甲方偿付合同总价款5%的违约金，违约金不足以补偿损失的，甲方有权要求乙方补足。</w:t>
            </w:r>
          </w:p>
          <w:p w14:paraId="2FC6E2D9">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(2)乙方逾期交货的，应在发货前与甲方和政府采购管理部门协商，甲方仍需求的，乙方应立即发货并应按照逾期交货部分货款的每天万分之四支付逾期交货违约金，同时承担甲方因此遭致的损失费用。</w:t>
            </w:r>
          </w:p>
          <w:p w14:paraId="2AB40CFE">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在收到甲方提出的产品维保或者伴随服务要求之日起24小时内未提供相应的维保或者伴随服务，乙方应按照合同总价款的每天万分之四支付违约金。乙方如不按时提供相应的维保或者伴随服务，甲方有权自行委托第三方进行维保或者提供相应服务，产生的费用应由乙方承担，如乙方不支付该费用，甲方有权向乙方追偿。</w:t>
            </w:r>
          </w:p>
        </w:tc>
      </w:tr>
      <w:tr w14:paraId="7616DD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145BA1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1711BBB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第6.1款</w:t>
            </w:r>
          </w:p>
        </w:tc>
        <w:tc>
          <w:tcPr>
            <w:tcW w:w="1742" w:type="dxa"/>
            <w:noWrap w:val="0"/>
            <w:vAlign w:val="center"/>
          </w:tcPr>
          <w:p w14:paraId="00F61ECA">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履行合同义务的顺序</w:t>
            </w:r>
          </w:p>
        </w:tc>
        <w:tc>
          <w:tcPr>
            <w:tcW w:w="5170" w:type="dxa"/>
            <w:noWrap w:val="0"/>
            <w:vAlign w:val="center"/>
          </w:tcPr>
          <w:p w14:paraId="4F6140E4">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乙方按规定履行合同义务后，甲方再履行合同义务。</w:t>
            </w:r>
          </w:p>
        </w:tc>
      </w:tr>
      <w:tr w14:paraId="4C9B29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noWrap w:val="0"/>
            <w:vAlign w:val="center"/>
          </w:tcPr>
          <w:p w14:paraId="05D2B88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4954649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第7.1款</w:t>
            </w:r>
          </w:p>
        </w:tc>
        <w:tc>
          <w:tcPr>
            <w:tcW w:w="1742" w:type="dxa"/>
            <w:noWrap w:val="0"/>
            <w:vAlign w:val="center"/>
          </w:tcPr>
          <w:p w14:paraId="5FFBED5C">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包装特殊要求</w:t>
            </w:r>
          </w:p>
        </w:tc>
        <w:tc>
          <w:tcPr>
            <w:tcW w:w="5170" w:type="dxa"/>
            <w:noWrap w:val="0"/>
            <w:vAlign w:val="center"/>
          </w:tcPr>
          <w:p w14:paraId="5280B1BE">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2A1C6E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noWrap w:val="0"/>
            <w:vAlign w:val="center"/>
          </w:tcPr>
          <w:p w14:paraId="5F78818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42" w:type="dxa"/>
            <w:noWrap w:val="0"/>
            <w:vAlign w:val="center"/>
          </w:tcPr>
          <w:p w14:paraId="1655D6EC">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指定现场</w:t>
            </w:r>
          </w:p>
        </w:tc>
        <w:tc>
          <w:tcPr>
            <w:tcW w:w="5170" w:type="dxa"/>
            <w:noWrap w:val="0"/>
            <w:vAlign w:val="center"/>
          </w:tcPr>
          <w:p w14:paraId="4AB31631">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甲方指定地点</w:t>
            </w:r>
          </w:p>
        </w:tc>
      </w:tr>
      <w:tr w14:paraId="6A0D81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noWrap w:val="0"/>
            <w:vAlign w:val="center"/>
          </w:tcPr>
          <w:p w14:paraId="08E6957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6BE65FA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第7.2款</w:t>
            </w:r>
          </w:p>
        </w:tc>
        <w:tc>
          <w:tcPr>
            <w:tcW w:w="1742" w:type="dxa"/>
            <w:noWrap w:val="0"/>
            <w:vAlign w:val="center"/>
          </w:tcPr>
          <w:p w14:paraId="2EE293D6">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运输特殊要求</w:t>
            </w:r>
          </w:p>
        </w:tc>
        <w:tc>
          <w:tcPr>
            <w:tcW w:w="5170" w:type="dxa"/>
            <w:noWrap w:val="0"/>
            <w:vAlign w:val="center"/>
          </w:tcPr>
          <w:p w14:paraId="3B658F43">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0B391E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noWrap w:val="0"/>
            <w:vAlign w:val="center"/>
          </w:tcPr>
          <w:p w14:paraId="65EA3E1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1AFC88B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第7.3款</w:t>
            </w:r>
          </w:p>
        </w:tc>
        <w:tc>
          <w:tcPr>
            <w:tcW w:w="1742" w:type="dxa"/>
            <w:noWrap w:val="0"/>
            <w:vAlign w:val="center"/>
          </w:tcPr>
          <w:p w14:paraId="453D66E9">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保险要求</w:t>
            </w:r>
          </w:p>
        </w:tc>
        <w:tc>
          <w:tcPr>
            <w:tcW w:w="5170" w:type="dxa"/>
            <w:noWrap w:val="0"/>
            <w:vAlign w:val="center"/>
          </w:tcPr>
          <w:p w14:paraId="41DFA3DD">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按规定购买保险</w:t>
            </w:r>
          </w:p>
        </w:tc>
      </w:tr>
      <w:tr w14:paraId="591C15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40A097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6C3158D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第8.2（1）项</w:t>
            </w:r>
          </w:p>
        </w:tc>
        <w:tc>
          <w:tcPr>
            <w:tcW w:w="1742" w:type="dxa"/>
            <w:noWrap w:val="0"/>
            <w:vAlign w:val="center"/>
          </w:tcPr>
          <w:p w14:paraId="2CFCD5A2">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质量保证期</w:t>
            </w:r>
          </w:p>
        </w:tc>
        <w:tc>
          <w:tcPr>
            <w:tcW w:w="5170" w:type="dxa"/>
            <w:noWrap w:val="0"/>
            <w:vAlign w:val="center"/>
          </w:tcPr>
          <w:p w14:paraId="65863DB3">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乙方书面承诺的期限</w:t>
            </w:r>
          </w:p>
        </w:tc>
      </w:tr>
      <w:tr w14:paraId="656B55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BBDFF6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2480F0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第8.2（3）项</w:t>
            </w:r>
          </w:p>
        </w:tc>
        <w:tc>
          <w:tcPr>
            <w:tcW w:w="1742" w:type="dxa"/>
            <w:noWrap w:val="0"/>
            <w:vAlign w:val="center"/>
          </w:tcPr>
          <w:p w14:paraId="7F65629A">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货物质量缺陷</w:t>
            </w:r>
          </w:p>
          <w:p w14:paraId="05049712">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响应时间</w:t>
            </w:r>
          </w:p>
        </w:tc>
        <w:tc>
          <w:tcPr>
            <w:tcW w:w="5170" w:type="dxa"/>
            <w:noWrap w:val="0"/>
            <w:vAlign w:val="center"/>
          </w:tcPr>
          <w:p w14:paraId="5738BBFD">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如货物出现故障，电话响应无法解决，卖方必须在接报修电话24小时内到现场并解决问题。</w:t>
            </w:r>
          </w:p>
        </w:tc>
      </w:tr>
      <w:tr w14:paraId="6A1E14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7988D5E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1AAEE23">
            <w:pPr>
              <w:pStyle w:val="71"/>
              <w:keepNext w:val="0"/>
              <w:keepLines w:val="0"/>
              <w:widowControl/>
              <w:suppressLineNumbers w:val="0"/>
              <w:spacing w:before="0" w:beforeAutospacing="0" w:after="0" w:afterAutospacing="0" w:line="36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第11.1款</w:t>
            </w:r>
          </w:p>
        </w:tc>
        <w:tc>
          <w:tcPr>
            <w:tcW w:w="1742" w:type="dxa"/>
            <w:noWrap w:val="0"/>
            <w:vAlign w:val="center"/>
          </w:tcPr>
          <w:p w14:paraId="5C654049">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其他应当保密的信息</w:t>
            </w:r>
          </w:p>
        </w:tc>
        <w:tc>
          <w:tcPr>
            <w:tcW w:w="5170" w:type="dxa"/>
            <w:noWrap w:val="0"/>
            <w:vAlign w:val="center"/>
          </w:tcPr>
          <w:p w14:paraId="457B93ED">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558BDA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48AA945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667CD84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第12.2款</w:t>
            </w:r>
          </w:p>
        </w:tc>
        <w:tc>
          <w:tcPr>
            <w:tcW w:w="1742" w:type="dxa"/>
            <w:noWrap w:val="0"/>
            <w:vAlign w:val="center"/>
          </w:tcPr>
          <w:p w14:paraId="138713D7">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合同价款支付时间</w:t>
            </w:r>
          </w:p>
        </w:tc>
        <w:tc>
          <w:tcPr>
            <w:tcW w:w="5170" w:type="dxa"/>
            <w:noWrap w:val="0"/>
            <w:vAlign w:val="center"/>
          </w:tcPr>
          <w:p w14:paraId="1E64A15C">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按第一节政府采购合同协议书相关内容执行</w:t>
            </w:r>
          </w:p>
        </w:tc>
      </w:tr>
      <w:tr w14:paraId="5BE487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08F7FC2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52B3AE5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第13.2款</w:t>
            </w:r>
          </w:p>
        </w:tc>
        <w:tc>
          <w:tcPr>
            <w:tcW w:w="1742" w:type="dxa"/>
            <w:noWrap w:val="0"/>
            <w:vAlign w:val="center"/>
          </w:tcPr>
          <w:p w14:paraId="34C7BACA">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履约保证金不予退还的情形</w:t>
            </w:r>
          </w:p>
        </w:tc>
        <w:tc>
          <w:tcPr>
            <w:tcW w:w="5170" w:type="dxa"/>
            <w:noWrap w:val="0"/>
            <w:vAlign w:val="center"/>
          </w:tcPr>
          <w:p w14:paraId="16533D9A">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按招标文件相关内容执行</w:t>
            </w:r>
          </w:p>
        </w:tc>
      </w:tr>
      <w:tr w14:paraId="590006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EB9982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F12332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第13.3款</w:t>
            </w:r>
          </w:p>
        </w:tc>
        <w:tc>
          <w:tcPr>
            <w:tcW w:w="1742" w:type="dxa"/>
            <w:noWrap w:val="0"/>
            <w:vAlign w:val="center"/>
          </w:tcPr>
          <w:p w14:paraId="44AC6D99">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履约保证金退还时间及逾期退还的违约金</w:t>
            </w:r>
          </w:p>
        </w:tc>
        <w:tc>
          <w:tcPr>
            <w:tcW w:w="5170" w:type="dxa"/>
            <w:noWrap w:val="0"/>
            <w:vAlign w:val="center"/>
          </w:tcPr>
          <w:p w14:paraId="41E27BED">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按招标文件相关内容执行</w:t>
            </w:r>
          </w:p>
        </w:tc>
      </w:tr>
      <w:tr w14:paraId="175FA0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4358A71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3CC69CE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第14.1（3）项</w:t>
            </w:r>
          </w:p>
        </w:tc>
        <w:tc>
          <w:tcPr>
            <w:tcW w:w="1742" w:type="dxa"/>
            <w:noWrap w:val="0"/>
            <w:vAlign w:val="center"/>
          </w:tcPr>
          <w:p w14:paraId="7CF7646D">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运行监督、维修期限</w:t>
            </w:r>
          </w:p>
        </w:tc>
        <w:tc>
          <w:tcPr>
            <w:tcW w:w="5170" w:type="dxa"/>
            <w:noWrap w:val="0"/>
            <w:vAlign w:val="center"/>
          </w:tcPr>
          <w:p w14:paraId="2CF33E71">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乙方书面承诺的质保期内</w:t>
            </w:r>
          </w:p>
        </w:tc>
      </w:tr>
      <w:tr w14:paraId="1513BA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5EAB2E0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4266B57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第14.1（5）项</w:t>
            </w:r>
          </w:p>
        </w:tc>
        <w:tc>
          <w:tcPr>
            <w:tcW w:w="1742" w:type="dxa"/>
            <w:noWrap w:val="0"/>
            <w:vAlign w:val="center"/>
          </w:tcPr>
          <w:p w14:paraId="6DA09A10">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货物回收的约定</w:t>
            </w:r>
          </w:p>
        </w:tc>
        <w:tc>
          <w:tcPr>
            <w:tcW w:w="5170" w:type="dxa"/>
            <w:noWrap w:val="0"/>
            <w:vAlign w:val="center"/>
          </w:tcPr>
          <w:p w14:paraId="35EAD72C">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由乙方在规定时间内自行组织回收，相关费用自行承担，甲方不另行支付相关费用。</w:t>
            </w:r>
          </w:p>
        </w:tc>
      </w:tr>
      <w:tr w14:paraId="619D06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D138C4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35FA37C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第14.1（6）项</w:t>
            </w:r>
          </w:p>
        </w:tc>
        <w:tc>
          <w:tcPr>
            <w:tcW w:w="1742" w:type="dxa"/>
            <w:noWrap w:val="0"/>
            <w:vAlign w:val="center"/>
          </w:tcPr>
          <w:p w14:paraId="415BD9D9">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乙方提供的其他服务</w:t>
            </w:r>
          </w:p>
        </w:tc>
        <w:tc>
          <w:tcPr>
            <w:tcW w:w="5170" w:type="dxa"/>
            <w:noWrap w:val="0"/>
            <w:vAlign w:val="center"/>
          </w:tcPr>
          <w:p w14:paraId="723C5D83">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按甲方要求须提供的其他相关服务</w:t>
            </w:r>
          </w:p>
        </w:tc>
      </w:tr>
      <w:tr w14:paraId="146A8B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C60960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6E0CE5B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第15.1款</w:t>
            </w:r>
          </w:p>
        </w:tc>
        <w:tc>
          <w:tcPr>
            <w:tcW w:w="1742" w:type="dxa"/>
            <w:noWrap w:val="0"/>
            <w:vAlign w:val="center"/>
          </w:tcPr>
          <w:p w14:paraId="25AFA6AA">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修理、重作、更换相关具体规定</w:t>
            </w:r>
          </w:p>
        </w:tc>
        <w:tc>
          <w:tcPr>
            <w:tcW w:w="5170" w:type="dxa"/>
            <w:noWrap w:val="0"/>
            <w:vAlign w:val="center"/>
          </w:tcPr>
          <w:p w14:paraId="10771CCC">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保修期内两次修理仍不能正常使用的的必须更换新设备</w:t>
            </w:r>
          </w:p>
        </w:tc>
      </w:tr>
      <w:tr w14:paraId="111975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3FD72F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25595CA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第15.2（2）项</w:t>
            </w:r>
          </w:p>
        </w:tc>
        <w:tc>
          <w:tcPr>
            <w:tcW w:w="1742" w:type="dxa"/>
            <w:noWrap w:val="0"/>
            <w:vAlign w:val="center"/>
          </w:tcPr>
          <w:p w14:paraId="0D8905DB">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迟延交货赔偿费</w:t>
            </w:r>
          </w:p>
        </w:tc>
        <w:tc>
          <w:tcPr>
            <w:tcW w:w="5170" w:type="dxa"/>
            <w:noWrap w:val="0"/>
            <w:vAlign w:val="center"/>
          </w:tcPr>
          <w:p w14:paraId="02C5AF51">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(1)乙方不能交货（逾期超过五天视为不能交货），或交货不合格从而影响甲方按期正常使用的，应向甲方偿付合同总价款5%的违约金，违约金不足以补偿损失的，甲方有权要求乙方补足。</w:t>
            </w:r>
          </w:p>
          <w:p w14:paraId="6971590E">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(2)乙方逾期交货的，应在发货前与甲方和政府采购管理部门协商，甲方仍需求的，乙方应立即发货并应按照逾期交货部分货款的每天万分之四支付逾期交货违约金，同时承担甲方因此遭致的损失费用。</w:t>
            </w:r>
          </w:p>
        </w:tc>
      </w:tr>
      <w:tr w14:paraId="0381C7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12DC8A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566BC2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第15.3款</w:t>
            </w:r>
          </w:p>
        </w:tc>
        <w:tc>
          <w:tcPr>
            <w:tcW w:w="1742" w:type="dxa"/>
            <w:noWrap w:val="0"/>
            <w:vAlign w:val="center"/>
          </w:tcPr>
          <w:p w14:paraId="3AF0DF34">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逾期付款利息</w:t>
            </w:r>
          </w:p>
        </w:tc>
        <w:tc>
          <w:tcPr>
            <w:tcW w:w="5170" w:type="dxa"/>
            <w:noWrap w:val="0"/>
            <w:vAlign w:val="center"/>
          </w:tcPr>
          <w:p w14:paraId="4D5130F4">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w:t>
            </w:r>
          </w:p>
        </w:tc>
      </w:tr>
      <w:tr w14:paraId="2B68F2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14:paraId="26E95FF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16BD223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第15.4款</w:t>
            </w:r>
          </w:p>
        </w:tc>
        <w:tc>
          <w:tcPr>
            <w:tcW w:w="1742" w:type="dxa"/>
            <w:tcBorders>
              <w:left w:val="single" w:color="auto" w:sz="2" w:space="0"/>
              <w:bottom w:val="single" w:color="auto" w:sz="2" w:space="0"/>
              <w:right w:val="single" w:color="auto" w:sz="2" w:space="0"/>
            </w:tcBorders>
            <w:noWrap w:val="0"/>
            <w:vAlign w:val="center"/>
          </w:tcPr>
          <w:p w14:paraId="4C285422">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其他违约责任</w:t>
            </w:r>
          </w:p>
        </w:tc>
        <w:tc>
          <w:tcPr>
            <w:tcW w:w="5170" w:type="dxa"/>
            <w:tcBorders>
              <w:left w:val="single" w:color="auto" w:sz="2" w:space="0"/>
              <w:bottom w:val="single" w:color="auto" w:sz="2" w:space="0"/>
            </w:tcBorders>
            <w:noWrap w:val="0"/>
            <w:vAlign w:val="center"/>
          </w:tcPr>
          <w:p w14:paraId="72CBEB19">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合同一方不履行合同义务或者履行合同义务不符合约定的，应当承担继续履行、采取补救措施或者赔偿损失等违约责任。</w:t>
            </w:r>
          </w:p>
        </w:tc>
      </w:tr>
      <w:tr w14:paraId="7A3E41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14:paraId="0C6FBB3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25E50F2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第19.2款</w:t>
            </w:r>
          </w:p>
        </w:tc>
        <w:tc>
          <w:tcPr>
            <w:tcW w:w="1742" w:type="dxa"/>
            <w:tcBorders>
              <w:top w:val="single" w:color="auto" w:sz="2" w:space="0"/>
              <w:left w:val="single" w:color="auto" w:sz="2" w:space="0"/>
              <w:right w:val="single" w:color="auto" w:sz="2" w:space="0"/>
            </w:tcBorders>
            <w:noWrap w:val="0"/>
            <w:vAlign w:val="center"/>
          </w:tcPr>
          <w:p w14:paraId="7AD07C4E">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解决争议的方法</w:t>
            </w:r>
          </w:p>
        </w:tc>
        <w:tc>
          <w:tcPr>
            <w:tcW w:w="5170" w:type="dxa"/>
            <w:tcBorders>
              <w:top w:val="single" w:color="auto" w:sz="2" w:space="0"/>
              <w:left w:val="single" w:color="auto" w:sz="2" w:space="0"/>
            </w:tcBorders>
            <w:noWrap w:val="0"/>
            <w:vAlign w:val="center"/>
          </w:tcPr>
          <w:p w14:paraId="7B649843">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因本合同及合同有关事项发生的争议，按下列第</w:t>
            </w:r>
            <w:r>
              <w:rPr>
                <w:rFonts w:hint="eastAsia" w:ascii="宋体" w:hAnsi="宋体" w:eastAsia="宋体" w:cs="宋体"/>
                <w:iCs/>
                <w:color w:val="auto"/>
                <w:sz w:val="24"/>
                <w:szCs w:val="24"/>
                <w:highlight w:val="none"/>
                <w:u w:val="single"/>
              </w:rPr>
              <w:t xml:space="preserve"> （2） </w:t>
            </w:r>
            <w:r>
              <w:rPr>
                <w:rFonts w:hint="eastAsia" w:ascii="宋体" w:hAnsi="宋体" w:eastAsia="宋体" w:cs="宋体"/>
                <w:iCs/>
                <w:color w:val="auto"/>
                <w:sz w:val="24"/>
                <w:szCs w:val="24"/>
                <w:highlight w:val="none"/>
              </w:rPr>
              <w:t>种方式解决：</w:t>
            </w:r>
          </w:p>
          <w:p w14:paraId="74052BFD">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（1）向</w:t>
            </w:r>
            <w:r>
              <w:rPr>
                <w:rFonts w:hint="eastAsia" w:ascii="宋体" w:hAnsi="宋体" w:eastAsia="宋体" w:cs="宋体"/>
                <w:iCs/>
                <w:color w:val="auto"/>
                <w:sz w:val="24"/>
                <w:szCs w:val="24"/>
                <w:highlight w:val="none"/>
                <w:u w:val="single"/>
              </w:rPr>
              <w:t xml:space="preserve"> 滁州 </w:t>
            </w:r>
            <w:r>
              <w:rPr>
                <w:rFonts w:hint="eastAsia" w:ascii="宋体" w:hAnsi="宋体" w:eastAsia="宋体" w:cs="宋体"/>
                <w:iCs/>
                <w:color w:val="auto"/>
                <w:sz w:val="24"/>
                <w:szCs w:val="24"/>
                <w:highlight w:val="none"/>
              </w:rPr>
              <w:t>仲裁委员会申请仲裁，仲裁地点为</w:t>
            </w:r>
            <w:r>
              <w:rPr>
                <w:rFonts w:hint="eastAsia" w:ascii="宋体" w:hAnsi="宋体" w:eastAsia="宋体" w:cs="宋体"/>
                <w:iCs/>
                <w:color w:val="auto"/>
                <w:sz w:val="24"/>
                <w:szCs w:val="24"/>
                <w:highlight w:val="none"/>
                <w:u w:val="single"/>
              </w:rPr>
              <w:t xml:space="preserve">  滁州市 </w:t>
            </w:r>
            <w:r>
              <w:rPr>
                <w:rFonts w:hint="eastAsia" w:ascii="宋体" w:hAnsi="宋体" w:eastAsia="宋体" w:cs="宋体"/>
                <w:iCs/>
                <w:color w:val="auto"/>
                <w:sz w:val="24"/>
                <w:szCs w:val="24"/>
                <w:highlight w:val="none"/>
              </w:rPr>
              <w:t>；</w:t>
            </w:r>
          </w:p>
          <w:p w14:paraId="1C2A8923">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u w:val="single"/>
              </w:rPr>
            </w:pPr>
            <w:r>
              <w:rPr>
                <w:rFonts w:hint="eastAsia" w:ascii="宋体" w:hAnsi="宋体" w:eastAsia="宋体" w:cs="宋体"/>
                <w:iCs/>
                <w:color w:val="auto"/>
                <w:sz w:val="24"/>
                <w:szCs w:val="24"/>
                <w:highlight w:val="none"/>
              </w:rPr>
              <w:t>（2）向</w:t>
            </w:r>
            <w:r>
              <w:rPr>
                <w:rFonts w:hint="eastAsia" w:ascii="宋体" w:hAnsi="宋体" w:eastAsia="宋体" w:cs="宋体"/>
                <w:iCs/>
                <w:color w:val="auto"/>
                <w:sz w:val="24"/>
                <w:szCs w:val="24"/>
                <w:highlight w:val="none"/>
                <w:u w:val="single"/>
              </w:rPr>
              <w:t xml:space="preserve">  项目所在地  </w:t>
            </w:r>
            <w:r>
              <w:rPr>
                <w:rFonts w:hint="eastAsia" w:ascii="宋体" w:hAnsi="宋体" w:eastAsia="宋体" w:cs="宋体"/>
                <w:iCs/>
                <w:color w:val="auto"/>
                <w:sz w:val="24"/>
                <w:szCs w:val="24"/>
                <w:highlight w:val="none"/>
              </w:rPr>
              <w:t>人民法院起诉。</w:t>
            </w:r>
          </w:p>
        </w:tc>
      </w:tr>
      <w:tr w14:paraId="64C0F5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0"/>
            <w:vAlign w:val="center"/>
          </w:tcPr>
          <w:p w14:paraId="16D8BF0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8D3441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第23.1款</w:t>
            </w:r>
          </w:p>
        </w:tc>
        <w:tc>
          <w:tcPr>
            <w:tcW w:w="1742" w:type="dxa"/>
            <w:noWrap w:val="0"/>
            <w:vAlign w:val="center"/>
          </w:tcPr>
          <w:p w14:paraId="750DE700">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其他专用条款</w:t>
            </w:r>
          </w:p>
        </w:tc>
        <w:tc>
          <w:tcPr>
            <w:tcW w:w="5170" w:type="dxa"/>
            <w:noWrap w:val="0"/>
            <w:vAlign w:val="center"/>
          </w:tcPr>
          <w:p w14:paraId="47FDE943">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本合同未尽事宜应按《中华人民共和国政府采购法》、《中华人民共和国民法典》、《中华人民共和国产品质量法》之规定解释或签订合同时补充。</w:t>
            </w:r>
          </w:p>
        </w:tc>
      </w:tr>
    </w:tbl>
    <w:p w14:paraId="2525F31E">
      <w:pPr>
        <w:rPr>
          <w:rFonts w:hint="eastAsia" w:ascii="宋体" w:hAnsi="宋体" w:eastAsia="宋体" w:cs="宋体"/>
          <w:color w:val="auto"/>
          <w:sz w:val="24"/>
          <w:szCs w:val="24"/>
          <w:highlight w:val="none"/>
        </w:rPr>
      </w:pPr>
    </w:p>
    <w:p w14:paraId="1BCCB089">
      <w:pPr>
        <w:widowControl/>
        <w:jc w:val="left"/>
        <w:rPr>
          <w:rFonts w:hint="eastAsia" w:ascii="宋体" w:hAnsi="宋体" w:eastAsia="宋体"/>
          <w:color w:val="auto"/>
          <w:sz w:val="24"/>
          <w:highlight w:val="none"/>
        </w:rPr>
      </w:pPr>
      <w:r>
        <w:rPr>
          <w:rFonts w:ascii="宋体" w:hAnsi="宋体" w:eastAsia="宋体"/>
          <w:color w:val="auto"/>
          <w:sz w:val="24"/>
          <w:highlight w:val="none"/>
        </w:rPr>
        <w:br w:type="page"/>
      </w:r>
    </w:p>
    <w:p w14:paraId="5E52A6E1">
      <w:pPr>
        <w:spacing w:line="360" w:lineRule="auto"/>
        <w:jc w:val="center"/>
        <w:outlineLvl w:val="0"/>
        <w:rPr>
          <w:rFonts w:hint="eastAsia" w:ascii="宋体" w:hAnsi="宋体" w:eastAsia="宋体"/>
          <w:b/>
          <w:color w:val="auto"/>
          <w:sz w:val="28"/>
          <w:highlight w:val="none"/>
        </w:rPr>
      </w:pPr>
      <w:bookmarkStart w:id="38" w:name="_Toc22492"/>
      <w:r>
        <w:rPr>
          <w:rFonts w:hint="eastAsia" w:ascii="宋体" w:hAnsi="宋体" w:eastAsia="宋体"/>
          <w:b/>
          <w:color w:val="auto"/>
          <w:sz w:val="28"/>
          <w:highlight w:val="none"/>
        </w:rPr>
        <w:t>第六章  投标文件格式</w:t>
      </w:r>
      <w:bookmarkEnd w:id="38"/>
    </w:p>
    <w:p w14:paraId="1F118DF7">
      <w:pPr>
        <w:spacing w:line="900" w:lineRule="exact"/>
        <w:jc w:val="center"/>
        <w:rPr>
          <w:rFonts w:hint="eastAsia" w:ascii="宋体" w:hAnsi="宋体" w:eastAsia="宋体"/>
          <w:b/>
          <w:color w:val="auto"/>
          <w:sz w:val="72"/>
          <w:highlight w:val="none"/>
        </w:rPr>
      </w:pPr>
    </w:p>
    <w:p w14:paraId="4A139DC7">
      <w:pPr>
        <w:spacing w:line="900" w:lineRule="exact"/>
        <w:jc w:val="center"/>
        <w:outlineLvl w:val="1"/>
        <w:rPr>
          <w:rFonts w:hint="eastAsia" w:ascii="宋体" w:hAnsi="宋体" w:eastAsia="宋体"/>
          <w:b/>
          <w:color w:val="auto"/>
          <w:sz w:val="72"/>
          <w:highlight w:val="none"/>
        </w:rPr>
      </w:pPr>
      <w:bookmarkStart w:id="39" w:name="_Toc651"/>
      <w:r>
        <w:rPr>
          <w:rFonts w:hint="eastAsia" w:ascii="宋体" w:hAnsi="宋体" w:eastAsia="宋体"/>
          <w:b/>
          <w:color w:val="auto"/>
          <w:sz w:val="72"/>
          <w:highlight w:val="none"/>
        </w:rPr>
        <w:t>投</w:t>
      </w:r>
      <w:bookmarkEnd w:id="39"/>
    </w:p>
    <w:p w14:paraId="005C0503">
      <w:pPr>
        <w:spacing w:line="900" w:lineRule="exact"/>
        <w:jc w:val="center"/>
        <w:rPr>
          <w:rFonts w:hint="eastAsia" w:ascii="宋体" w:hAnsi="宋体" w:eastAsia="宋体"/>
          <w:b/>
          <w:color w:val="auto"/>
          <w:sz w:val="72"/>
          <w:highlight w:val="none"/>
        </w:rPr>
      </w:pPr>
    </w:p>
    <w:p w14:paraId="6C05D1CF">
      <w:pPr>
        <w:spacing w:line="900" w:lineRule="exact"/>
        <w:jc w:val="center"/>
        <w:outlineLvl w:val="1"/>
        <w:rPr>
          <w:rFonts w:hint="eastAsia" w:ascii="宋体" w:hAnsi="宋体" w:eastAsia="宋体"/>
          <w:b/>
          <w:color w:val="auto"/>
          <w:sz w:val="72"/>
          <w:highlight w:val="none"/>
        </w:rPr>
      </w:pPr>
      <w:bookmarkStart w:id="40" w:name="_Toc6148"/>
      <w:r>
        <w:rPr>
          <w:rFonts w:hint="eastAsia" w:ascii="宋体" w:hAnsi="宋体" w:eastAsia="宋体"/>
          <w:b/>
          <w:color w:val="auto"/>
          <w:sz w:val="72"/>
          <w:highlight w:val="none"/>
        </w:rPr>
        <w:t>标</w:t>
      </w:r>
      <w:bookmarkEnd w:id="40"/>
    </w:p>
    <w:p w14:paraId="1017A17E">
      <w:pPr>
        <w:spacing w:line="900" w:lineRule="exact"/>
        <w:jc w:val="center"/>
        <w:rPr>
          <w:rFonts w:hint="eastAsia" w:ascii="宋体" w:hAnsi="宋体" w:eastAsia="宋体"/>
          <w:b/>
          <w:color w:val="auto"/>
          <w:sz w:val="72"/>
          <w:highlight w:val="none"/>
        </w:rPr>
      </w:pPr>
    </w:p>
    <w:p w14:paraId="60FA85E6">
      <w:pPr>
        <w:spacing w:line="900" w:lineRule="exact"/>
        <w:jc w:val="center"/>
        <w:outlineLvl w:val="1"/>
        <w:rPr>
          <w:rFonts w:hint="eastAsia" w:ascii="宋体" w:hAnsi="宋体" w:eastAsia="宋体"/>
          <w:b/>
          <w:color w:val="auto"/>
          <w:sz w:val="72"/>
          <w:highlight w:val="none"/>
        </w:rPr>
      </w:pPr>
      <w:bookmarkStart w:id="41" w:name="_Toc1338"/>
      <w:r>
        <w:rPr>
          <w:rFonts w:hint="eastAsia" w:ascii="宋体" w:hAnsi="宋体" w:eastAsia="宋体"/>
          <w:b/>
          <w:color w:val="auto"/>
          <w:sz w:val="72"/>
          <w:highlight w:val="none"/>
        </w:rPr>
        <w:t>文</w:t>
      </w:r>
      <w:bookmarkEnd w:id="41"/>
    </w:p>
    <w:p w14:paraId="41F66923">
      <w:pPr>
        <w:spacing w:line="900" w:lineRule="exact"/>
        <w:jc w:val="center"/>
        <w:rPr>
          <w:rFonts w:hint="eastAsia" w:ascii="宋体" w:hAnsi="宋体" w:eastAsia="宋体"/>
          <w:b/>
          <w:color w:val="auto"/>
          <w:sz w:val="72"/>
          <w:highlight w:val="none"/>
        </w:rPr>
      </w:pPr>
    </w:p>
    <w:p w14:paraId="68B55D94">
      <w:pPr>
        <w:jc w:val="center"/>
        <w:outlineLvl w:val="1"/>
        <w:rPr>
          <w:rFonts w:hint="eastAsia" w:ascii="宋体" w:hAnsi="宋体" w:eastAsia="宋体"/>
          <w:b/>
          <w:color w:val="auto"/>
          <w:sz w:val="72"/>
          <w:highlight w:val="none"/>
        </w:rPr>
      </w:pPr>
      <w:bookmarkStart w:id="42" w:name="_Toc10796"/>
      <w:r>
        <w:rPr>
          <w:rFonts w:hint="eastAsia" w:ascii="宋体" w:hAnsi="宋体" w:eastAsia="宋体"/>
          <w:b/>
          <w:color w:val="auto"/>
          <w:sz w:val="72"/>
          <w:highlight w:val="none"/>
        </w:rPr>
        <w:t>件</w:t>
      </w:r>
      <w:bookmarkEnd w:id="42"/>
    </w:p>
    <w:p w14:paraId="7F5012EC">
      <w:pPr>
        <w:spacing w:after="156" w:afterLines="50"/>
        <w:jc w:val="center"/>
        <w:rPr>
          <w:rFonts w:hint="eastAsia" w:ascii="宋体" w:hAnsi="宋体" w:eastAsia="宋体"/>
          <w:b/>
          <w:color w:val="auto"/>
          <w:sz w:val="72"/>
          <w:highlight w:val="none"/>
        </w:rPr>
      </w:pPr>
    </w:p>
    <w:p w14:paraId="3B1B22BF">
      <w:pPr>
        <w:pStyle w:val="9"/>
        <w:spacing w:after="0" w:line="360" w:lineRule="auto"/>
        <w:ind w:firstLine="480" w:firstLineChars="200"/>
        <w:jc w:val="center"/>
        <w:outlineLvl w:val="1"/>
        <w:rPr>
          <w:rFonts w:hint="eastAsia" w:ascii="宋体" w:hAnsi="宋体" w:eastAsia="宋体"/>
          <w:color w:val="auto"/>
          <w:sz w:val="24"/>
          <w:szCs w:val="18"/>
          <w:highlight w:val="none"/>
          <w:lang w:val="en-US"/>
        </w:rPr>
      </w:pPr>
    </w:p>
    <w:p w14:paraId="014602B4">
      <w:pPr>
        <w:spacing w:before="156" w:beforeLines="50" w:after="156" w:afterLines="50"/>
        <w:jc w:val="center"/>
        <w:rPr>
          <w:rFonts w:hint="eastAsia" w:ascii="宋体" w:hAnsi="宋体" w:eastAsia="宋体"/>
          <w:b/>
          <w:color w:val="auto"/>
          <w:sz w:val="32"/>
          <w:szCs w:val="32"/>
          <w:highlight w:val="none"/>
        </w:rPr>
      </w:pPr>
    </w:p>
    <w:p w14:paraId="14E3817E">
      <w:pPr>
        <w:spacing w:after="156" w:afterLines="50" w:line="500" w:lineRule="exact"/>
        <w:jc w:val="center"/>
        <w:rPr>
          <w:rFonts w:hint="eastAsia" w:ascii="宋体" w:hAnsi="宋体" w:eastAsia="宋体"/>
          <w:b/>
          <w:color w:val="auto"/>
          <w:sz w:val="28"/>
          <w:szCs w:val="28"/>
          <w:highlight w:val="none"/>
        </w:rPr>
      </w:pPr>
    </w:p>
    <w:p w14:paraId="0D6EFE08">
      <w:pPr>
        <w:tabs>
          <w:tab w:val="left" w:pos="2410"/>
        </w:tabs>
        <w:autoSpaceDE w:val="0"/>
        <w:autoSpaceDN w:val="0"/>
        <w:adjustRightInd w:val="0"/>
        <w:snapToGrid w:val="0"/>
        <w:spacing w:line="360" w:lineRule="auto"/>
        <w:ind w:firstLine="643" w:firstLineChars="200"/>
        <w:rPr>
          <w:rFonts w:hint="eastAsia" w:ascii="宋体" w:hAnsi="宋体" w:eastAsia="宋体"/>
          <w:b/>
          <w:color w:val="auto"/>
          <w:spacing w:val="20"/>
          <w:kern w:val="0"/>
          <w:sz w:val="32"/>
          <w:szCs w:val="32"/>
          <w:highlight w:val="none"/>
        </w:rPr>
      </w:pPr>
      <w:r>
        <w:rPr>
          <w:rFonts w:hint="eastAsia" w:ascii="宋体" w:hAnsi="宋体" w:eastAsia="宋体"/>
          <w:b/>
          <w:color w:val="auto"/>
          <w:sz w:val="32"/>
          <w:highlight w:val="none"/>
        </w:rPr>
        <w:t>项目名称：</w:t>
      </w:r>
      <w:r>
        <w:rPr>
          <w:rFonts w:hint="eastAsia" w:ascii="宋体" w:hAnsi="宋体" w:eastAsia="宋体"/>
          <w:b/>
          <w:color w:val="auto"/>
          <w:sz w:val="32"/>
          <w:highlight w:val="none"/>
          <w:u w:val="single"/>
        </w:rPr>
        <w:t xml:space="preserve">                  </w:t>
      </w:r>
    </w:p>
    <w:p w14:paraId="622D596C">
      <w:pPr>
        <w:tabs>
          <w:tab w:val="left" w:pos="2410"/>
        </w:tabs>
        <w:autoSpaceDE w:val="0"/>
        <w:autoSpaceDN w:val="0"/>
        <w:adjustRightInd w:val="0"/>
        <w:snapToGrid w:val="0"/>
        <w:spacing w:line="360" w:lineRule="auto"/>
        <w:ind w:firstLine="643" w:firstLineChars="200"/>
        <w:rPr>
          <w:rFonts w:hint="eastAsia" w:ascii="宋体" w:hAnsi="宋体" w:eastAsia="宋体"/>
          <w:b/>
          <w:color w:val="auto"/>
          <w:sz w:val="32"/>
          <w:highlight w:val="none"/>
          <w:u w:val="single"/>
        </w:rPr>
      </w:pPr>
      <w:r>
        <w:rPr>
          <w:rFonts w:hint="eastAsia" w:ascii="宋体" w:hAnsi="宋体" w:eastAsia="宋体"/>
          <w:b/>
          <w:color w:val="auto"/>
          <w:sz w:val="32"/>
          <w:highlight w:val="none"/>
        </w:rPr>
        <w:t>项目编号：</w:t>
      </w:r>
      <w:r>
        <w:rPr>
          <w:rFonts w:hint="eastAsia" w:ascii="宋体" w:hAnsi="宋体" w:eastAsia="宋体"/>
          <w:b/>
          <w:color w:val="auto"/>
          <w:sz w:val="32"/>
          <w:highlight w:val="none"/>
          <w:u w:val="single"/>
        </w:rPr>
        <w:t xml:space="preserve">                  </w:t>
      </w:r>
    </w:p>
    <w:p w14:paraId="6EF031DB">
      <w:pPr>
        <w:tabs>
          <w:tab w:val="left" w:pos="2410"/>
        </w:tabs>
        <w:autoSpaceDE w:val="0"/>
        <w:autoSpaceDN w:val="0"/>
        <w:adjustRightInd w:val="0"/>
        <w:snapToGrid w:val="0"/>
        <w:spacing w:line="360" w:lineRule="auto"/>
        <w:ind w:firstLine="643" w:firstLineChars="200"/>
        <w:rPr>
          <w:rFonts w:hint="eastAsia" w:ascii="宋体" w:hAnsi="宋体" w:eastAsia="宋体"/>
          <w:b/>
          <w:color w:val="auto"/>
          <w:sz w:val="32"/>
          <w:highlight w:val="none"/>
          <w:u w:val="single"/>
        </w:rPr>
      </w:pPr>
      <w:r>
        <w:rPr>
          <w:rFonts w:hint="eastAsia" w:ascii="宋体" w:hAnsi="宋体" w:eastAsia="宋体"/>
          <w:b/>
          <w:color w:val="auto"/>
          <w:sz w:val="32"/>
          <w:highlight w:val="none"/>
        </w:rPr>
        <w:t>投 标 人：</w:t>
      </w:r>
      <w:r>
        <w:rPr>
          <w:rFonts w:hint="eastAsia" w:ascii="宋体" w:hAnsi="宋体" w:eastAsia="宋体"/>
          <w:b/>
          <w:color w:val="auto"/>
          <w:sz w:val="32"/>
          <w:highlight w:val="none"/>
          <w:u w:val="single"/>
        </w:rPr>
        <w:t xml:space="preserve">                  </w:t>
      </w:r>
    </w:p>
    <w:p w14:paraId="552640A4">
      <w:pPr>
        <w:spacing w:after="156" w:afterLines="50" w:line="500" w:lineRule="exact"/>
        <w:jc w:val="center"/>
        <w:outlineLvl w:val="1"/>
        <w:rPr>
          <w:rFonts w:hint="eastAsia" w:ascii="宋体" w:hAnsi="宋体" w:eastAsia="宋体"/>
          <w:b/>
          <w:color w:val="auto"/>
          <w:sz w:val="32"/>
          <w:highlight w:val="none"/>
        </w:rPr>
      </w:pPr>
      <w:r>
        <w:rPr>
          <w:rFonts w:hint="eastAsia" w:ascii="宋体" w:hAnsi="宋体" w:eastAsia="宋体"/>
          <w:b/>
          <w:color w:val="auto"/>
          <w:sz w:val="32"/>
          <w:highlight w:val="none"/>
          <w:u w:val="single"/>
        </w:rPr>
        <w:t xml:space="preserve">  </w:t>
      </w:r>
      <w:bookmarkStart w:id="43" w:name="_Toc9994"/>
      <w:bookmarkStart w:id="44" w:name="_Toc8037"/>
      <w:r>
        <w:rPr>
          <w:rFonts w:hint="eastAsia" w:ascii="宋体" w:hAnsi="宋体" w:eastAsia="宋体"/>
          <w:b/>
          <w:color w:val="auto"/>
          <w:sz w:val="32"/>
          <w:highlight w:val="none"/>
        </w:rPr>
        <w:t>年</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月</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日</w:t>
      </w:r>
      <w:bookmarkEnd w:id="43"/>
      <w:bookmarkEnd w:id="44"/>
    </w:p>
    <w:p w14:paraId="2ACE7C13">
      <w:pPr>
        <w:widowControl/>
        <w:jc w:val="left"/>
        <w:rPr>
          <w:rFonts w:hint="eastAsia" w:ascii="宋体" w:hAnsi="宋体" w:eastAsia="宋体"/>
          <w:b/>
          <w:color w:val="auto"/>
          <w:sz w:val="28"/>
          <w:highlight w:val="none"/>
        </w:rPr>
      </w:pPr>
      <w:r>
        <w:rPr>
          <w:rFonts w:ascii="宋体" w:hAnsi="宋体" w:eastAsia="宋体"/>
          <w:b/>
          <w:color w:val="auto"/>
          <w:sz w:val="28"/>
          <w:highlight w:val="none"/>
        </w:rPr>
        <w:br w:type="page"/>
      </w:r>
    </w:p>
    <w:p w14:paraId="7F28FFFD">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t>一、资信证明格式文件</w:t>
      </w:r>
    </w:p>
    <w:p w14:paraId="7677137E">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1CF75CE4">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2AF317D7">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7C7AAE47">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资信证明文件</w:t>
      </w:r>
    </w:p>
    <w:p w14:paraId="387BEF47">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bidi="ar"/>
        </w:rPr>
        <w:t xml:space="preserve"> </w:t>
      </w:r>
    </w:p>
    <w:p w14:paraId="5EC2A468">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bidi="ar"/>
        </w:rPr>
        <w:t>（投标文件一）</w:t>
      </w:r>
    </w:p>
    <w:p w14:paraId="2B4FD3F2">
      <w:pPr>
        <w:jc w:val="center"/>
        <w:rPr>
          <w:rFonts w:hint="eastAsia" w:ascii="黑体" w:hAnsi="宋体" w:eastAsia="黑体" w:cs="黑体"/>
          <w:color w:val="auto"/>
          <w:sz w:val="44"/>
          <w:szCs w:val="44"/>
          <w:highlight w:val="none"/>
        </w:rPr>
      </w:pPr>
      <w:r>
        <w:rPr>
          <w:rFonts w:hint="eastAsia" w:ascii="黑体" w:hAnsi="宋体" w:eastAsia="黑体" w:cs="黑体"/>
          <w:color w:val="auto"/>
          <w:sz w:val="44"/>
          <w:szCs w:val="44"/>
          <w:highlight w:val="none"/>
          <w:lang w:bidi="ar"/>
        </w:rPr>
        <w:t xml:space="preserve"> </w:t>
      </w:r>
    </w:p>
    <w:p w14:paraId="4E90AB35">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lang w:bidi="ar"/>
        </w:rPr>
        <w:t xml:space="preserve">        </w:t>
      </w:r>
      <w:r>
        <w:rPr>
          <w:rFonts w:hint="eastAsia" w:ascii="宋体" w:hAnsi="宋体" w:eastAsia="宋体" w:cs="宋体"/>
          <w:color w:val="auto"/>
          <w:sz w:val="32"/>
          <w:szCs w:val="32"/>
          <w:highlight w:val="none"/>
          <w:lang w:bidi="ar"/>
        </w:rPr>
        <w:t>项目</w:t>
      </w:r>
    </w:p>
    <w:p w14:paraId="7938C695">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0FFE20C1">
      <w:pPr>
        <w:jc w:val="center"/>
        <w:rPr>
          <w:rFonts w:hint="eastAsia" w:ascii="宋体" w:hAnsi="宋体" w:eastAsia="宋体" w:cs="宋体"/>
          <w:color w:val="auto"/>
          <w:sz w:val="44"/>
          <w:szCs w:val="44"/>
          <w:highlight w:val="none"/>
        </w:rPr>
      </w:pPr>
      <w:r>
        <w:rPr>
          <w:rFonts w:hint="eastAsia" w:ascii="宋体" w:hAnsi="宋体" w:eastAsia="宋体" w:cs="宋体"/>
          <w:color w:val="auto"/>
          <w:sz w:val="28"/>
          <w:szCs w:val="28"/>
          <w:highlight w:val="none"/>
          <w:lang w:bidi="ar"/>
        </w:rPr>
        <w:t>项目编号：</w:t>
      </w:r>
      <w:r>
        <w:rPr>
          <w:rFonts w:hint="eastAsia" w:ascii="宋体" w:hAnsi="宋体" w:eastAsia="宋体" w:cs="宋体"/>
          <w:color w:val="auto"/>
          <w:sz w:val="28"/>
          <w:szCs w:val="28"/>
          <w:highlight w:val="none"/>
          <w:u w:val="single"/>
          <w:lang w:bidi="ar"/>
        </w:rPr>
        <w:t xml:space="preserve">     </w:t>
      </w:r>
    </w:p>
    <w:p w14:paraId="44FD261E">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3ABD8192">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63E34C9E">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1CE06236">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16FE8A05">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399A5C8D">
      <w:pPr>
        <w:autoSpaceDE w:val="0"/>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bidi="ar"/>
        </w:rPr>
        <w:t>投标人：</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（签章）</w:t>
      </w:r>
    </w:p>
    <w:p w14:paraId="5483820C">
      <w:pPr>
        <w:autoSpaceDE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法定代表人：</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（签章）</w:t>
      </w:r>
    </w:p>
    <w:p w14:paraId="283DFBEC">
      <w:pPr>
        <w:autoSpaceDE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年</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月</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日</w:t>
      </w:r>
    </w:p>
    <w:p w14:paraId="65213947">
      <w:pPr>
        <w:spacing w:line="400" w:lineRule="exact"/>
        <w:ind w:firstLine="4130" w:firstLineChars="935"/>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61375689">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bidi="ar"/>
        </w:rPr>
        <w:br w:type="page"/>
      </w:r>
    </w:p>
    <w:p w14:paraId="409CFBA5">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36"/>
          <w:szCs w:val="36"/>
          <w:highlight w:val="none"/>
          <w:lang w:bidi="ar"/>
        </w:rPr>
        <w:t>目   录</w:t>
      </w:r>
    </w:p>
    <w:p w14:paraId="6AA458DF">
      <w:pPr>
        <w:spacing w:line="40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t xml:space="preserve"> </w:t>
      </w:r>
    </w:p>
    <w:p w14:paraId="2F5BC1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（1）投标人资格声明书（格式见附件）；</w:t>
      </w:r>
    </w:p>
    <w:p w14:paraId="47C715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（2）授权书（格式见附件）；   </w:t>
      </w:r>
    </w:p>
    <w:p w14:paraId="38DA22B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（3）投标人为企业（包括合伙企业）的，应提供有效的“营业执照”；</w:t>
      </w:r>
    </w:p>
    <w:p w14:paraId="159DAA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投标人为事业单位的，应提供有效的“事业单位法人证书”；</w:t>
      </w:r>
    </w:p>
    <w:p w14:paraId="6B6BECF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投标人是非企业机构的，应提供有效的“执业许可证”、“登记证书”等证明文件；</w:t>
      </w:r>
    </w:p>
    <w:p w14:paraId="6DBBF9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投标人是个体工商户的，应提供有效的“个体工商户营业执照”；</w:t>
      </w:r>
    </w:p>
    <w:p w14:paraId="2A3ED14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投标人是自然人的，应提供有效的自然人身份证明；</w:t>
      </w:r>
    </w:p>
    <w:p w14:paraId="332ACF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（4）诚信投标承诺书（格式见附件）；</w:t>
      </w:r>
    </w:p>
    <w:p w14:paraId="5F4010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val="en-US" w:eastAsia="zh-CN" w:bidi="ar"/>
        </w:rPr>
        <w:t>5</w:t>
      </w:r>
      <w:r>
        <w:rPr>
          <w:rFonts w:hint="eastAsia" w:ascii="宋体" w:hAnsi="宋体" w:eastAsia="宋体" w:cs="宋体"/>
          <w:color w:val="auto"/>
          <w:szCs w:val="21"/>
          <w:highlight w:val="none"/>
          <w:lang w:bidi="ar"/>
        </w:rPr>
        <w:t>）招标文件中要求的资信评审和资信评分的支持资料；</w:t>
      </w:r>
    </w:p>
    <w:p w14:paraId="26C75B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val="en-US" w:eastAsia="zh-CN" w:bidi="ar"/>
        </w:rPr>
        <w:t>6</w:t>
      </w:r>
      <w:r>
        <w:rPr>
          <w:rFonts w:hint="eastAsia" w:ascii="宋体" w:hAnsi="宋体" w:eastAsia="宋体" w:cs="宋体"/>
          <w:color w:val="auto"/>
          <w:szCs w:val="21"/>
          <w:highlight w:val="none"/>
          <w:lang w:bidi="ar"/>
        </w:rPr>
        <w:t>）投标人认为需要提供的其他资信证明材料；</w:t>
      </w:r>
    </w:p>
    <w:p w14:paraId="61D4825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val="en-US" w:eastAsia="zh-CN" w:bidi="ar"/>
        </w:rPr>
        <w:t>7</w:t>
      </w:r>
      <w:r>
        <w:rPr>
          <w:rFonts w:hint="eastAsia" w:ascii="宋体" w:hAnsi="宋体" w:eastAsia="宋体" w:cs="宋体"/>
          <w:color w:val="auto"/>
          <w:szCs w:val="21"/>
          <w:highlight w:val="none"/>
          <w:lang w:bidi="ar"/>
        </w:rPr>
        <w:t>）其他（如有）。</w:t>
      </w:r>
    </w:p>
    <w:p w14:paraId="2ADD3842">
      <w:pPr>
        <w:spacing w:line="360" w:lineRule="auto"/>
        <w:ind w:firstLine="420" w:firstLineChars="200"/>
        <w:rPr>
          <w:rFonts w:hint="eastAsia" w:ascii="宋体" w:hAnsi="宋体" w:eastAsia="宋体" w:cs="宋体"/>
          <w:color w:val="auto"/>
          <w:szCs w:val="21"/>
          <w:highlight w:val="none"/>
        </w:rPr>
      </w:pPr>
    </w:p>
    <w:p w14:paraId="03E5ED94">
      <w:pPr>
        <w:spacing w:line="360" w:lineRule="auto"/>
        <w:ind w:firstLine="420" w:firstLineChars="200"/>
        <w:rPr>
          <w:rFonts w:hint="eastAsia" w:ascii="宋体" w:hAnsi="宋体" w:eastAsia="宋体" w:cs="宋体"/>
          <w:color w:val="auto"/>
          <w:szCs w:val="21"/>
          <w:highlight w:val="none"/>
        </w:rPr>
      </w:pPr>
    </w:p>
    <w:p w14:paraId="12E0029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7EC9614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6EC0898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1878CB3D">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br w:type="page"/>
      </w:r>
    </w:p>
    <w:p w14:paraId="0085090C">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（1）投标人资格声明书</w:t>
      </w:r>
    </w:p>
    <w:p w14:paraId="7DCCD530">
      <w:pPr>
        <w:pStyle w:val="20"/>
        <w:spacing w:before="0" w:beforeAutospacing="0" w:after="0" w:afterAutospacing="0" w:line="360" w:lineRule="auto"/>
        <w:jc w:val="both"/>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lang w:bidi="ar"/>
        </w:rPr>
        <w:t>致：</w:t>
      </w:r>
      <w:r>
        <w:rPr>
          <w:rFonts w:hint="eastAsia" w:ascii="宋体" w:hAnsi="宋体" w:eastAsia="宋体" w:cs="宋体"/>
          <w:b/>
          <w:color w:val="auto"/>
          <w:kern w:val="2"/>
          <w:szCs w:val="24"/>
          <w:highlight w:val="none"/>
          <w:u w:val="single"/>
          <w:lang w:bidi="ar"/>
        </w:rPr>
        <w:t>采购人</w:t>
      </w:r>
    </w:p>
    <w:p w14:paraId="0FF25FC9">
      <w:pPr>
        <w:widowControl/>
        <w:autoSpaceDE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在参与本次项目投标中，我单位承诺：</w:t>
      </w:r>
    </w:p>
    <w:p w14:paraId="39A18E96">
      <w:pPr>
        <w:widowControl/>
        <w:autoSpaceDE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（一）具有良好的商业信誉和健全的财务会计制度；</w:t>
      </w:r>
    </w:p>
    <w:p w14:paraId="080B7093">
      <w:pPr>
        <w:widowControl/>
        <w:autoSpaceDE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（二）具有履行合同所必需的设备和专业技术能力；</w:t>
      </w:r>
    </w:p>
    <w:p w14:paraId="041BD4AD">
      <w:pPr>
        <w:widowControl/>
        <w:autoSpaceDE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（三）有依法缴纳税收和社会保障资金的良好记录；</w:t>
      </w:r>
    </w:p>
    <w:p w14:paraId="35F5EF03">
      <w:pPr>
        <w:widowControl/>
        <w:autoSpaceDE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A00A578">
      <w:pPr>
        <w:widowControl/>
        <w:autoSpaceDE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（五）我单位不存在为采购项目提供整体设计、规范编制或者项目管理、监理、检测等服务后，再参加该采购项目的其他采购活动的情形（单一来源采购项目除外）；</w:t>
      </w:r>
    </w:p>
    <w:p w14:paraId="3596D3B6">
      <w:pPr>
        <w:widowControl/>
        <w:autoSpaceDE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（六）与我单位存在单位负责人为同一人或者存在直接控股、管理关系的其他法人单位信息如下（如有，不论其是否参加同一合同项下的政府采购活动均须填写）：</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46013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noWrap w:val="0"/>
            <w:vAlign w:val="top"/>
          </w:tcPr>
          <w:p w14:paraId="240980C1">
            <w:pPr>
              <w:keepNext w:val="0"/>
              <w:keepLines w:val="0"/>
              <w:widowControl/>
              <w:suppressLineNumbers w:val="0"/>
              <w:autoSpaceDE w:val="0"/>
              <w:spacing w:before="156" w:beforeLines="50" w:beforeAutospacing="0" w:after="1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序号</w:t>
            </w:r>
          </w:p>
        </w:tc>
        <w:tc>
          <w:tcPr>
            <w:tcW w:w="2841" w:type="dxa"/>
            <w:tcBorders>
              <w:top w:val="single" w:color="auto" w:sz="4" w:space="0"/>
              <w:left w:val="nil"/>
              <w:bottom w:val="single" w:color="auto" w:sz="4" w:space="0"/>
              <w:right w:val="single" w:color="auto" w:sz="4" w:space="0"/>
            </w:tcBorders>
            <w:noWrap w:val="0"/>
            <w:vAlign w:val="top"/>
          </w:tcPr>
          <w:p w14:paraId="1286E047">
            <w:pPr>
              <w:pStyle w:val="20"/>
              <w:keepNext w:val="0"/>
              <w:keepLines w:val="0"/>
              <w:suppressLineNumbers w:val="0"/>
              <w:autoSpaceDE w:val="0"/>
              <w:spacing w:before="156" w:beforeLines="50" w:beforeAutospacing="0" w:after="1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单位名称</w:t>
            </w:r>
          </w:p>
        </w:tc>
        <w:tc>
          <w:tcPr>
            <w:tcW w:w="2841" w:type="dxa"/>
            <w:tcBorders>
              <w:top w:val="single" w:color="auto" w:sz="4" w:space="0"/>
              <w:left w:val="nil"/>
              <w:bottom w:val="single" w:color="auto" w:sz="4" w:space="0"/>
              <w:right w:val="single" w:color="auto" w:sz="4" w:space="0"/>
            </w:tcBorders>
            <w:noWrap w:val="0"/>
            <w:vAlign w:val="top"/>
          </w:tcPr>
          <w:p w14:paraId="0948BB7D">
            <w:pPr>
              <w:pStyle w:val="20"/>
              <w:keepNext w:val="0"/>
              <w:keepLines w:val="0"/>
              <w:suppressLineNumbers w:val="0"/>
              <w:autoSpaceDE w:val="0"/>
              <w:spacing w:before="156" w:beforeLines="50" w:beforeAutospacing="0" w:after="1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相互关系</w:t>
            </w:r>
          </w:p>
        </w:tc>
      </w:tr>
      <w:tr w14:paraId="37693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noWrap w:val="0"/>
            <w:vAlign w:val="top"/>
          </w:tcPr>
          <w:p w14:paraId="4D280B00">
            <w:pPr>
              <w:pStyle w:val="20"/>
              <w:keepNext w:val="0"/>
              <w:keepLines w:val="0"/>
              <w:suppressLineNumbers w:val="0"/>
              <w:autoSpaceDE w:val="0"/>
              <w:spacing w:before="156" w:beforeLines="50" w:beforeAutospacing="0" w:after="1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1</w:t>
            </w:r>
          </w:p>
        </w:tc>
        <w:tc>
          <w:tcPr>
            <w:tcW w:w="2841" w:type="dxa"/>
            <w:tcBorders>
              <w:top w:val="single" w:color="auto" w:sz="4" w:space="0"/>
              <w:left w:val="nil"/>
              <w:bottom w:val="single" w:color="auto" w:sz="4" w:space="0"/>
              <w:right w:val="single" w:color="auto" w:sz="4" w:space="0"/>
            </w:tcBorders>
            <w:noWrap w:val="0"/>
            <w:vAlign w:val="top"/>
          </w:tcPr>
          <w:p w14:paraId="1F083911">
            <w:pPr>
              <w:pStyle w:val="20"/>
              <w:keepNext w:val="0"/>
              <w:keepLines w:val="0"/>
              <w:suppressLineNumbers w:val="0"/>
              <w:autoSpaceDE w:val="0"/>
              <w:spacing w:before="156" w:beforeLines="50" w:beforeAutospacing="0" w:after="10" w:afterAutospacing="0"/>
              <w:ind w:left="0" w:right="0"/>
              <w:jc w:val="center"/>
              <w:rPr>
                <w:rFonts w:hint="eastAsia" w:ascii="宋体" w:hAnsi="宋体" w:eastAsia="宋体" w:cs="宋体"/>
                <w:color w:val="auto"/>
                <w:szCs w:val="24"/>
                <w:highlight w:val="none"/>
              </w:rPr>
            </w:pPr>
          </w:p>
        </w:tc>
        <w:tc>
          <w:tcPr>
            <w:tcW w:w="2841" w:type="dxa"/>
            <w:tcBorders>
              <w:top w:val="single" w:color="auto" w:sz="4" w:space="0"/>
              <w:left w:val="nil"/>
              <w:bottom w:val="single" w:color="auto" w:sz="4" w:space="0"/>
              <w:right w:val="single" w:color="auto" w:sz="4" w:space="0"/>
            </w:tcBorders>
            <w:noWrap w:val="0"/>
            <w:vAlign w:val="top"/>
          </w:tcPr>
          <w:p w14:paraId="53AAC33E">
            <w:pPr>
              <w:pStyle w:val="20"/>
              <w:keepNext w:val="0"/>
              <w:keepLines w:val="0"/>
              <w:suppressLineNumbers w:val="0"/>
              <w:autoSpaceDE w:val="0"/>
              <w:spacing w:before="156" w:beforeLines="50" w:beforeAutospacing="0" w:after="10" w:afterAutospacing="0"/>
              <w:ind w:left="0" w:right="0"/>
              <w:jc w:val="center"/>
              <w:rPr>
                <w:rFonts w:hint="eastAsia" w:ascii="宋体" w:hAnsi="宋体" w:eastAsia="宋体" w:cs="宋体"/>
                <w:color w:val="auto"/>
                <w:szCs w:val="24"/>
                <w:highlight w:val="none"/>
              </w:rPr>
            </w:pPr>
          </w:p>
        </w:tc>
      </w:tr>
      <w:tr w14:paraId="3855A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noWrap w:val="0"/>
            <w:vAlign w:val="top"/>
          </w:tcPr>
          <w:p w14:paraId="5D1E71CA">
            <w:pPr>
              <w:pStyle w:val="20"/>
              <w:keepNext w:val="0"/>
              <w:keepLines w:val="0"/>
              <w:suppressLineNumbers w:val="0"/>
              <w:autoSpaceDE w:val="0"/>
              <w:spacing w:before="156" w:beforeLines="50" w:beforeAutospacing="0" w:after="1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2</w:t>
            </w:r>
          </w:p>
        </w:tc>
        <w:tc>
          <w:tcPr>
            <w:tcW w:w="2841" w:type="dxa"/>
            <w:tcBorders>
              <w:top w:val="single" w:color="auto" w:sz="4" w:space="0"/>
              <w:left w:val="nil"/>
              <w:bottom w:val="single" w:color="auto" w:sz="4" w:space="0"/>
              <w:right w:val="single" w:color="auto" w:sz="4" w:space="0"/>
            </w:tcBorders>
            <w:noWrap w:val="0"/>
            <w:vAlign w:val="top"/>
          </w:tcPr>
          <w:p w14:paraId="5611ED53">
            <w:pPr>
              <w:pStyle w:val="20"/>
              <w:keepNext w:val="0"/>
              <w:keepLines w:val="0"/>
              <w:suppressLineNumbers w:val="0"/>
              <w:autoSpaceDE w:val="0"/>
              <w:spacing w:before="156" w:beforeLines="50" w:beforeAutospacing="0" w:after="10" w:afterAutospacing="0"/>
              <w:ind w:left="0" w:right="0"/>
              <w:jc w:val="center"/>
              <w:rPr>
                <w:rFonts w:hint="eastAsia" w:ascii="宋体" w:hAnsi="宋体" w:eastAsia="宋体" w:cs="宋体"/>
                <w:color w:val="auto"/>
                <w:szCs w:val="24"/>
                <w:highlight w:val="none"/>
              </w:rPr>
            </w:pPr>
          </w:p>
        </w:tc>
        <w:tc>
          <w:tcPr>
            <w:tcW w:w="2841" w:type="dxa"/>
            <w:tcBorders>
              <w:top w:val="single" w:color="auto" w:sz="4" w:space="0"/>
              <w:left w:val="nil"/>
              <w:bottom w:val="single" w:color="auto" w:sz="4" w:space="0"/>
              <w:right w:val="single" w:color="auto" w:sz="4" w:space="0"/>
            </w:tcBorders>
            <w:noWrap w:val="0"/>
            <w:vAlign w:val="top"/>
          </w:tcPr>
          <w:p w14:paraId="0E55F8AE">
            <w:pPr>
              <w:pStyle w:val="20"/>
              <w:keepNext w:val="0"/>
              <w:keepLines w:val="0"/>
              <w:suppressLineNumbers w:val="0"/>
              <w:autoSpaceDE w:val="0"/>
              <w:spacing w:before="156" w:beforeLines="50" w:beforeAutospacing="0" w:after="10" w:afterAutospacing="0"/>
              <w:ind w:left="0" w:right="0"/>
              <w:jc w:val="center"/>
              <w:rPr>
                <w:rFonts w:hint="eastAsia" w:ascii="宋体" w:hAnsi="宋体" w:eastAsia="宋体" w:cs="宋体"/>
                <w:color w:val="auto"/>
                <w:szCs w:val="24"/>
                <w:highlight w:val="none"/>
              </w:rPr>
            </w:pPr>
          </w:p>
        </w:tc>
      </w:tr>
    </w:tbl>
    <w:p w14:paraId="67CB13B0">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本单位对上述声明的真实性负责。如有虚假，将依法承担相应责任。</w:t>
      </w:r>
    </w:p>
    <w:p w14:paraId="2502798B">
      <w:pPr>
        <w:spacing w:line="360" w:lineRule="auto"/>
        <w:ind w:firstLine="4800" w:firstLineChars="2000"/>
        <w:rPr>
          <w:rFonts w:hint="eastAsia"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投标人电子签章：</w:t>
      </w:r>
      <w:r>
        <w:rPr>
          <w:rFonts w:hint="eastAsia" w:ascii="宋体" w:hAnsi="宋体" w:eastAsia="宋体"/>
          <w:color w:val="auto"/>
          <w:sz w:val="24"/>
          <w:szCs w:val="24"/>
          <w:highlight w:val="none"/>
          <w:u w:val="single"/>
          <w:lang w:bidi="ar"/>
        </w:rPr>
        <w:t xml:space="preserve">             </w:t>
      </w:r>
    </w:p>
    <w:p w14:paraId="1942DDE0">
      <w:pPr>
        <w:spacing w:line="360" w:lineRule="auto"/>
        <w:ind w:firstLine="4800" w:firstLineChars="2000"/>
        <w:rPr>
          <w:rFonts w:hint="eastAsia"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日</w:t>
      </w:r>
      <w:r>
        <w:rPr>
          <w:rFonts w:hint="eastAsia" w:ascii="宋体" w:hAnsi="宋体" w:eastAsia="宋体"/>
          <w:color w:val="auto"/>
          <w:sz w:val="24"/>
          <w:szCs w:val="24"/>
          <w:highlight w:val="none"/>
          <w:lang w:bidi="ar"/>
        </w:rPr>
        <w:t xml:space="preserve">          </w:t>
      </w:r>
      <w:r>
        <w:rPr>
          <w:rFonts w:hint="eastAsia" w:ascii="宋体" w:hAnsi="宋体" w:eastAsia="宋体" w:cs="宋体"/>
          <w:color w:val="auto"/>
          <w:sz w:val="24"/>
          <w:szCs w:val="24"/>
          <w:highlight w:val="none"/>
          <w:lang w:bidi="ar"/>
        </w:rPr>
        <w:t>期：</w:t>
      </w:r>
      <w:r>
        <w:rPr>
          <w:rFonts w:hint="eastAsia" w:ascii="宋体" w:hAnsi="宋体" w:eastAsia="宋体"/>
          <w:color w:val="auto"/>
          <w:sz w:val="24"/>
          <w:szCs w:val="24"/>
          <w:highlight w:val="none"/>
          <w:u w:val="single"/>
          <w:lang w:bidi="ar"/>
        </w:rPr>
        <w:t xml:space="preserve">             </w:t>
      </w:r>
    </w:p>
    <w:p w14:paraId="5E3FD34A">
      <w:pPr>
        <w:pStyle w:val="20"/>
        <w:spacing w:before="0" w:after="120" w:afterAutospacing="0"/>
        <w:jc w:val="both"/>
        <w:rPr>
          <w:rFonts w:hint="eastAsia" w:ascii="宋体" w:hAnsi="宋体" w:eastAsia="宋体" w:cs="宋体"/>
          <w:color w:val="auto"/>
          <w:szCs w:val="24"/>
          <w:highlight w:val="none"/>
        </w:rPr>
      </w:pPr>
    </w:p>
    <w:p w14:paraId="1F9EF87C">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3C74FD70">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745028CF">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br w:type="page"/>
      </w:r>
    </w:p>
    <w:p w14:paraId="31058F48">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（2）授权书</w:t>
      </w:r>
    </w:p>
    <w:p w14:paraId="30C45DD1">
      <w:pPr>
        <w:pStyle w:val="20"/>
        <w:snapToGrid w:val="0"/>
        <w:spacing w:before="0" w:beforeAutospacing="0" w:after="0" w:afterAutospacing="0" w:line="360" w:lineRule="auto"/>
        <w:ind w:firstLine="480" w:firstLineChars="200"/>
        <w:rPr>
          <w:rFonts w:hint="eastAsia" w:ascii="宋体" w:hAnsi="宋体" w:eastAsia="宋体"/>
          <w:color w:val="auto"/>
          <w:kern w:val="2"/>
          <w:szCs w:val="24"/>
          <w:highlight w:val="none"/>
        </w:rPr>
      </w:pPr>
      <w:r>
        <w:rPr>
          <w:rFonts w:hint="eastAsia" w:ascii="宋体" w:hAnsi="宋体" w:eastAsia="宋体"/>
          <w:color w:val="auto"/>
          <w:kern w:val="2"/>
          <w:szCs w:val="24"/>
          <w:highlight w:val="none"/>
          <w:lang w:bidi="ar"/>
        </w:rPr>
        <w:t xml:space="preserve"> </w:t>
      </w:r>
    </w:p>
    <w:p w14:paraId="50707F40">
      <w:pPr>
        <w:spacing w:line="360" w:lineRule="auto"/>
        <w:ind w:firstLine="435"/>
        <w:rPr>
          <w:rFonts w:hint="eastAsia" w:hAnsi="宋体" w:eastAsia="宋体"/>
          <w:color w:val="auto"/>
          <w:sz w:val="24"/>
          <w:szCs w:val="24"/>
          <w:highlight w:val="none"/>
        </w:rPr>
      </w:pPr>
      <w:r>
        <w:rPr>
          <w:rFonts w:hint="eastAsia" w:ascii="宋体" w:hAnsi="宋体" w:eastAsia="宋体" w:cs="宋体"/>
          <w:color w:val="auto"/>
          <w:sz w:val="24"/>
          <w:szCs w:val="24"/>
          <w:highlight w:val="none"/>
          <w:lang w:bidi="ar"/>
        </w:rPr>
        <w:t>本授权书声明：</w:t>
      </w:r>
      <w:r>
        <w:rPr>
          <w:rFonts w:hint="eastAsia" w:hAnsi="宋体" w:eastAsia="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（投标人名称）授权</w:t>
      </w:r>
      <w:r>
        <w:rPr>
          <w:rFonts w:hint="eastAsia" w:hAnsi="宋体" w:eastAsia="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（投标人授权代表姓名）代表我方参加本项目</w:t>
      </w:r>
      <w:r>
        <w:rPr>
          <w:rFonts w:hint="eastAsia" w:ascii="宋体" w:hAnsi="宋体" w:eastAsia="宋体" w:cs="宋体"/>
          <w:bCs/>
          <w:color w:val="auto"/>
          <w:sz w:val="24"/>
          <w:szCs w:val="24"/>
          <w:highlight w:val="none"/>
          <w:lang w:bidi="ar"/>
        </w:rPr>
        <w:t>采购活动</w:t>
      </w:r>
      <w:r>
        <w:rPr>
          <w:rFonts w:hint="eastAsia" w:ascii="宋体" w:hAnsi="宋体" w:eastAsia="宋体" w:cs="宋体"/>
          <w:color w:val="auto"/>
          <w:sz w:val="24"/>
          <w:szCs w:val="24"/>
          <w:highlight w:val="none"/>
          <w:lang w:bidi="ar"/>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49040976">
      <w:pPr>
        <w:spacing w:line="360" w:lineRule="auto"/>
        <w:ind w:firstLine="435"/>
        <w:rPr>
          <w:rFonts w:hint="eastAsia" w:hAnsi="宋体" w:eastAsia="宋体"/>
          <w:color w:val="auto"/>
          <w:sz w:val="24"/>
          <w:szCs w:val="24"/>
          <w:highlight w:val="none"/>
        </w:rPr>
      </w:pPr>
      <w:r>
        <w:rPr>
          <w:rFonts w:hint="eastAsia" w:ascii="宋体" w:hAnsi="宋体" w:eastAsia="宋体" w:cs="宋体"/>
          <w:color w:val="auto"/>
          <w:sz w:val="24"/>
          <w:szCs w:val="24"/>
          <w:highlight w:val="none"/>
          <w:lang w:bidi="ar"/>
        </w:rPr>
        <w:t>本授权书自出具之日起生效。</w:t>
      </w:r>
    </w:p>
    <w:p w14:paraId="300097E7">
      <w:pPr>
        <w:spacing w:line="360" w:lineRule="auto"/>
        <w:ind w:firstLine="435"/>
        <w:rPr>
          <w:rFonts w:hint="eastAsia" w:hAnsi="宋体" w:eastAsia="宋体"/>
          <w:color w:val="auto"/>
          <w:sz w:val="24"/>
          <w:szCs w:val="24"/>
          <w:highlight w:val="none"/>
        </w:rPr>
      </w:pPr>
      <w:r>
        <w:rPr>
          <w:rFonts w:hint="eastAsia" w:ascii="宋体" w:hAnsi="宋体" w:eastAsia="宋体" w:cs="宋体"/>
          <w:color w:val="auto"/>
          <w:sz w:val="24"/>
          <w:szCs w:val="24"/>
          <w:highlight w:val="none"/>
          <w:lang w:bidi="ar"/>
        </w:rPr>
        <w:t>授权代表身份证明扫描件：</w:t>
      </w:r>
    </w:p>
    <w:p w14:paraId="7C7E2FB0">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14360623">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04BE5327">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20C4A412">
      <w:pPr>
        <w:spacing w:line="360" w:lineRule="auto"/>
        <w:ind w:firstLine="435"/>
        <w:rPr>
          <w:rFonts w:hint="eastAsia" w:hAnsi="宋体" w:eastAsia="宋体"/>
          <w:color w:val="auto"/>
          <w:sz w:val="24"/>
          <w:szCs w:val="24"/>
          <w:highlight w:val="none"/>
          <w:u w:val="single"/>
        </w:rPr>
      </w:pPr>
      <w:r>
        <w:rPr>
          <w:rFonts w:hint="eastAsia" w:ascii="宋体" w:hAnsi="宋体" w:eastAsia="宋体" w:cs="宋体"/>
          <w:color w:val="auto"/>
          <w:sz w:val="24"/>
          <w:szCs w:val="24"/>
          <w:highlight w:val="none"/>
          <w:lang w:bidi="ar"/>
        </w:rPr>
        <w:t>授权代表联系方式：</w:t>
      </w:r>
      <w:r>
        <w:rPr>
          <w:rFonts w:hint="eastAsia" w:hAnsi="宋体" w:eastAsia="宋体"/>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bidi="ar"/>
        </w:rPr>
        <w:t>（请填写手机号码）</w:t>
      </w:r>
    </w:p>
    <w:p w14:paraId="63B47D87">
      <w:pPr>
        <w:spacing w:line="360" w:lineRule="auto"/>
        <w:ind w:firstLine="435"/>
        <w:rPr>
          <w:rFonts w:hint="eastAsia" w:hAnsi="宋体" w:eastAsia="宋体"/>
          <w:color w:val="auto"/>
          <w:sz w:val="24"/>
          <w:szCs w:val="24"/>
          <w:highlight w:val="none"/>
        </w:rPr>
      </w:pPr>
      <w:r>
        <w:rPr>
          <w:rFonts w:hAnsi="宋体" w:eastAsia="宋体"/>
          <w:color w:val="auto"/>
          <w:sz w:val="24"/>
          <w:szCs w:val="24"/>
          <w:highlight w:val="none"/>
          <w:lang w:bidi="ar"/>
        </w:rPr>
        <w:t xml:space="preserve"> </w:t>
      </w:r>
    </w:p>
    <w:p w14:paraId="5D40B5EB">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特此声明。</w:t>
      </w:r>
    </w:p>
    <w:p w14:paraId="09EB2087">
      <w:pP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0088F784">
      <w:pPr>
        <w:spacing w:line="360" w:lineRule="auto"/>
        <w:ind w:firstLine="435"/>
        <w:jc w:val="center"/>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lang w:bidi="ar"/>
        </w:rPr>
        <w:t xml:space="preserve">                            </w:t>
      </w:r>
      <w:r>
        <w:rPr>
          <w:rFonts w:hint="eastAsia" w:ascii="宋体" w:hAnsi="宋体" w:eastAsia="宋体" w:cs="宋体"/>
          <w:bCs/>
          <w:color w:val="auto"/>
          <w:sz w:val="24"/>
          <w:szCs w:val="24"/>
          <w:highlight w:val="none"/>
          <w:lang w:bidi="ar"/>
        </w:rPr>
        <w:t>投标人电子签章：</w:t>
      </w:r>
      <w:r>
        <w:rPr>
          <w:rFonts w:hint="eastAsia" w:ascii="宋体" w:hAnsi="宋体" w:eastAsia="宋体"/>
          <w:bCs/>
          <w:color w:val="auto"/>
          <w:sz w:val="24"/>
          <w:szCs w:val="24"/>
          <w:highlight w:val="none"/>
          <w:u w:val="single"/>
          <w:lang w:bidi="ar"/>
        </w:rPr>
        <w:t xml:space="preserve">                    </w:t>
      </w:r>
    </w:p>
    <w:p w14:paraId="3032601E">
      <w:pPr>
        <w:spacing w:line="360" w:lineRule="auto"/>
        <w:ind w:firstLine="435"/>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r>
        <w:rPr>
          <w:rFonts w:hint="eastAsia" w:ascii="宋体" w:hAnsi="宋体" w:eastAsia="宋体" w:cs="宋体"/>
          <w:color w:val="auto"/>
          <w:sz w:val="24"/>
          <w:szCs w:val="24"/>
          <w:highlight w:val="none"/>
          <w:lang w:bidi="ar"/>
        </w:rPr>
        <w:t>日</w:t>
      </w:r>
      <w:r>
        <w:rPr>
          <w:rFonts w:hint="eastAsia" w:ascii="宋体" w:hAnsi="宋体" w:eastAsia="宋体"/>
          <w:color w:val="auto"/>
          <w:sz w:val="24"/>
          <w:szCs w:val="24"/>
          <w:highlight w:val="none"/>
          <w:lang w:bidi="ar"/>
        </w:rPr>
        <w:t xml:space="preserve">          </w:t>
      </w:r>
      <w:r>
        <w:rPr>
          <w:rFonts w:hint="eastAsia" w:ascii="宋体" w:hAnsi="宋体" w:eastAsia="宋体" w:cs="宋体"/>
          <w:color w:val="auto"/>
          <w:sz w:val="24"/>
          <w:szCs w:val="24"/>
          <w:highlight w:val="none"/>
          <w:lang w:bidi="ar"/>
        </w:rPr>
        <w:t>期：</w:t>
      </w:r>
      <w:r>
        <w:rPr>
          <w:rFonts w:hint="eastAsia" w:ascii="宋体" w:hAnsi="宋体" w:eastAsia="宋体"/>
          <w:b/>
          <w:bCs/>
          <w:color w:val="auto"/>
          <w:sz w:val="24"/>
          <w:szCs w:val="24"/>
          <w:highlight w:val="none"/>
          <w:u w:val="single"/>
          <w:lang w:bidi="ar"/>
        </w:rPr>
        <w:t xml:space="preserve">                    </w:t>
      </w:r>
    </w:p>
    <w:p w14:paraId="341A60FA">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5CCD75B7">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6B9CAC61">
      <w:pPr>
        <w:spacing w:line="360" w:lineRule="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注：</w:t>
      </w:r>
    </w:p>
    <w:p w14:paraId="55D1C0FA">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1.本项目只允许有唯一的投标人授权代表，提供身份证明扫描件；</w:t>
      </w:r>
    </w:p>
    <w:p w14:paraId="10299E7D">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2.法定代表人参加投标的无需提供授权书，提供身份证明扫描件。</w:t>
      </w:r>
    </w:p>
    <w:p w14:paraId="686CC7D1">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5E74724F">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0ED7C1FE">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br w:type="page"/>
      </w:r>
    </w:p>
    <w:p w14:paraId="61B9B676">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（3）诚信投标承诺书</w:t>
      </w:r>
    </w:p>
    <w:p w14:paraId="37CAE11B">
      <w:pPr>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本人以企业法定代表人的身份郑重承诺：</w:t>
      </w:r>
    </w:p>
    <w:p w14:paraId="5584729F">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一、将遵循公开、公正和诚实信用的原则自愿参加</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项目的投标，所提供的一切材料都是真实、有效、合法的；</w:t>
      </w:r>
    </w:p>
    <w:p w14:paraId="7520CC28">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2B5D0908">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三、不出借、转让资质证书，不让他人挂靠投标，不以他人名义投标或者以其他方式弄虚作假，骗取中标；</w:t>
      </w:r>
    </w:p>
    <w:p w14:paraId="70A46F51">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四、不与其他投标人相互串通投标报价，不排挤其他投标人的公平竞争、损害招标人的合法权益；</w:t>
      </w:r>
    </w:p>
    <w:p w14:paraId="5D704D83">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五、不与招标人、招标代理机构或其他投标人串通投标，损害国家利益、社会公共利益或者他人的合法权益；</w:t>
      </w:r>
    </w:p>
    <w:p w14:paraId="14C0B7F7">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六、</w:t>
      </w:r>
      <w:r>
        <w:rPr>
          <w:rFonts w:hint="eastAsia" w:ascii="宋体" w:hAnsi="宋体" w:eastAsia="宋体" w:cs="宋体"/>
          <w:color w:val="auto"/>
          <w:szCs w:val="21"/>
          <w:highlight w:val="none"/>
          <w:u w:val="single"/>
          <w:lang w:bidi="ar"/>
        </w:rPr>
        <w:t xml:space="preserve">       （企业名称）</w:t>
      </w:r>
      <w:r>
        <w:rPr>
          <w:rFonts w:hint="eastAsia" w:ascii="宋体" w:hAnsi="宋体" w:eastAsia="宋体" w:cs="宋体"/>
          <w:color w:val="auto"/>
          <w:szCs w:val="21"/>
          <w:highlight w:val="none"/>
          <w:lang w:bidi="ar"/>
        </w:rPr>
        <w:t>或</w:t>
      </w:r>
      <w:r>
        <w:rPr>
          <w:rFonts w:hint="eastAsia" w:ascii="宋体" w:hAnsi="宋体" w:eastAsia="宋体" w:cs="宋体"/>
          <w:color w:val="auto"/>
          <w:szCs w:val="21"/>
          <w:highlight w:val="none"/>
          <w:u w:val="single"/>
          <w:lang w:bidi="ar"/>
        </w:rPr>
        <w:t xml:space="preserve">       （企业名称）</w:t>
      </w:r>
      <w:r>
        <w:rPr>
          <w:rFonts w:hint="eastAsia" w:ascii="宋体" w:hAnsi="宋体" w:eastAsia="宋体" w:cs="宋体"/>
          <w:color w:val="auto"/>
          <w:szCs w:val="21"/>
          <w:highlight w:val="none"/>
          <w:lang w:bidi="ar"/>
        </w:rPr>
        <w:t>法定代表人或拟派项目经理（负责人）没有下列情形：①被列入“信用中国”网站“失信被执行人”的；②被列入“信用中国”网站“重大税收违法失信主体”的；③被列入“信用中国”网站 “严重失信主体名单”的；④在“信用中国”网站上披露的仍在公示期的严重失信行为(具体行为类别及判定依据见“信用中国”查询的严重失信行为类别及判定依据)的。⑤被列入国家企业信用信息公示系统网站“经营异常名录”或者“严重违法失信名单”的。⑥被列入中国政府采购网站“政府采购严重违法失信行为信息记录”的。⑦前三年有行贿犯罪行为的单位和个人。（若采购文件对投标人所属分公司、办事处等分支机构有上述1-7项信誉要求，在此一并承诺我公司所属分公司、办事处等分支机构没有上述1-7项情形）</w:t>
      </w:r>
    </w:p>
    <w:p w14:paraId="40199719">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七、严格遵守开标现场纪律，服从监管人员管理；</w:t>
      </w:r>
    </w:p>
    <w:p w14:paraId="130742C4">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八、保证中标后不转包，若有分包征得招标人同意；</w:t>
      </w:r>
    </w:p>
    <w:p w14:paraId="32614994">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九、保证中标之后，按照投标文件要求提供相关后续服务；</w:t>
      </w:r>
    </w:p>
    <w:p w14:paraId="0D601F03">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十、保证企业及所属相关人员在本次投标中无行贿等犯罪行为；</w:t>
      </w:r>
    </w:p>
    <w:p w14:paraId="349354E3">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03DC04CD">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以上内容我已仔细阅读，本公司若有违反承诺内容的行为，自愿接受取消投标或者中标（成交）资格、中标（成交）无效、记入不良行为记录等有关处理，愿意承担法律责任，给招标人造成损失的，依法承担赔偿责任。</w:t>
      </w:r>
    </w:p>
    <w:p w14:paraId="46794525">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02D87C9F">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开户银行：                      基本账户：</w:t>
      </w:r>
    </w:p>
    <w:p w14:paraId="54984A88">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投标单位（签章）：               法定代表人（签章）：</w:t>
      </w:r>
    </w:p>
    <w:p w14:paraId="47434938">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0618707A">
      <w:pPr>
        <w:spacing w:line="560" w:lineRule="exact"/>
        <w:jc w:val="right"/>
        <w:rPr>
          <w:rFonts w:hint="eastAsia" w:ascii="仿宋_GB2312" w:eastAsia="仿宋_GB2312" w:cs="仿宋_GB2312"/>
          <w:color w:val="auto"/>
          <w:sz w:val="32"/>
          <w:szCs w:val="32"/>
          <w:highlight w:val="none"/>
        </w:rPr>
      </w:pPr>
      <w:r>
        <w:rPr>
          <w:rFonts w:hint="eastAsia" w:ascii="宋体" w:hAnsi="宋体" w:eastAsia="宋体" w:cs="宋体"/>
          <w:color w:val="auto"/>
          <w:szCs w:val="21"/>
          <w:highlight w:val="none"/>
          <w:lang w:bidi="ar"/>
        </w:rPr>
        <w:t>日期：</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年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月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日</w:t>
      </w:r>
    </w:p>
    <w:p w14:paraId="7444F3CE">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56EE3A0C">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0626E8EE">
      <w:pPr>
        <w:spacing w:line="360" w:lineRule="auto"/>
        <w:jc w:val="center"/>
        <w:outlineLvl w:val="1"/>
        <w:rPr>
          <w:rFonts w:hint="eastAsia" w:ascii="宋体" w:hAnsi="宋体" w:eastAsia="宋体"/>
          <w:b/>
          <w:color w:val="auto"/>
          <w:sz w:val="24"/>
          <w:szCs w:val="24"/>
          <w:highlight w:val="none"/>
        </w:rPr>
      </w:pPr>
    </w:p>
    <w:p w14:paraId="7174FE32">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br w:type="page"/>
      </w:r>
    </w:p>
    <w:p w14:paraId="179A5AE2">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t>二、技术标格式文件</w:t>
      </w:r>
    </w:p>
    <w:p w14:paraId="38432E18">
      <w:pPr>
        <w:jc w:val="center"/>
        <w:rPr>
          <w:rFonts w:hint="eastAsia" w:ascii="黑体" w:hAnsi="宋体" w:eastAsia="黑体" w:cs="黑体"/>
          <w:color w:val="auto"/>
          <w:sz w:val="20"/>
          <w:highlight w:val="none"/>
        </w:rPr>
      </w:pPr>
      <w:r>
        <w:rPr>
          <w:rFonts w:hint="eastAsia" w:ascii="黑体" w:hAnsi="宋体" w:eastAsia="黑体" w:cs="黑体"/>
          <w:color w:val="auto"/>
          <w:sz w:val="20"/>
          <w:highlight w:val="none"/>
          <w:lang w:bidi="ar"/>
        </w:rPr>
        <w:t xml:space="preserve"> </w:t>
      </w:r>
    </w:p>
    <w:p w14:paraId="429C2C23">
      <w:pPr>
        <w:rPr>
          <w:rFonts w:hint="eastAsia" w:ascii="黑体" w:hAnsi="宋体" w:eastAsia="黑体" w:cs="黑体"/>
          <w:color w:val="auto"/>
          <w:sz w:val="20"/>
          <w:highlight w:val="none"/>
        </w:rPr>
      </w:pPr>
      <w:r>
        <w:rPr>
          <w:rFonts w:hint="eastAsia" w:ascii="黑体" w:hAnsi="宋体" w:eastAsia="黑体" w:cs="黑体"/>
          <w:color w:val="auto"/>
          <w:sz w:val="20"/>
          <w:highlight w:val="none"/>
          <w:lang w:bidi="ar"/>
        </w:rPr>
        <w:t xml:space="preserve"> </w:t>
      </w:r>
    </w:p>
    <w:p w14:paraId="12B73EE5">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228817FD">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技术标</w:t>
      </w:r>
    </w:p>
    <w:p w14:paraId="6021238C">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bidi="ar"/>
        </w:rPr>
        <w:t>（投标文件二）</w:t>
      </w:r>
    </w:p>
    <w:p w14:paraId="16E8FC61">
      <w:pPr>
        <w:jc w:val="center"/>
        <w:rPr>
          <w:rFonts w:hint="eastAsia" w:ascii="宋体" w:hAnsi="宋体" w:eastAsia="宋体" w:cs="宋体"/>
          <w:color w:val="auto"/>
          <w:sz w:val="32"/>
          <w:szCs w:val="32"/>
          <w:highlight w:val="none"/>
          <w:u w:val="single"/>
        </w:rPr>
      </w:pPr>
    </w:p>
    <w:p w14:paraId="7786E08B">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lang w:bidi="ar"/>
        </w:rPr>
        <w:t xml:space="preserve">        </w:t>
      </w:r>
      <w:r>
        <w:rPr>
          <w:rFonts w:hint="eastAsia" w:ascii="宋体" w:hAnsi="宋体" w:eastAsia="宋体" w:cs="宋体"/>
          <w:color w:val="auto"/>
          <w:sz w:val="32"/>
          <w:szCs w:val="32"/>
          <w:highlight w:val="none"/>
          <w:lang w:bidi="ar"/>
        </w:rPr>
        <w:t>项目</w:t>
      </w:r>
    </w:p>
    <w:p w14:paraId="07872792">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52CF349E">
      <w:pPr>
        <w:jc w:val="center"/>
        <w:rPr>
          <w:rFonts w:hint="eastAsia" w:ascii="宋体" w:hAnsi="宋体" w:eastAsia="宋体" w:cs="宋体"/>
          <w:color w:val="auto"/>
          <w:sz w:val="44"/>
          <w:szCs w:val="44"/>
          <w:highlight w:val="none"/>
        </w:rPr>
      </w:pPr>
      <w:r>
        <w:rPr>
          <w:rFonts w:hint="eastAsia" w:ascii="宋体" w:hAnsi="宋体" w:eastAsia="宋体" w:cs="宋体"/>
          <w:color w:val="auto"/>
          <w:sz w:val="28"/>
          <w:szCs w:val="28"/>
          <w:highlight w:val="none"/>
          <w:lang w:bidi="ar"/>
        </w:rPr>
        <w:t>项目编号：</w:t>
      </w:r>
      <w:r>
        <w:rPr>
          <w:rFonts w:hint="eastAsia" w:ascii="宋体" w:hAnsi="宋体" w:eastAsia="宋体" w:cs="宋体"/>
          <w:color w:val="auto"/>
          <w:sz w:val="28"/>
          <w:szCs w:val="28"/>
          <w:highlight w:val="none"/>
          <w:u w:val="single"/>
          <w:lang w:bidi="ar"/>
        </w:rPr>
        <w:t xml:space="preserve">     </w:t>
      </w:r>
    </w:p>
    <w:p w14:paraId="3462B4C8">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271AB0B2">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161EB43D">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7B0472D6">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62FDBA8E">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3FC44B52">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7C2DEA4C">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3A21C698">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6FE59FBC">
      <w:pPr>
        <w:autoSpaceDE w:val="0"/>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bidi="ar"/>
        </w:rPr>
        <w:t>投标人：</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（签章）</w:t>
      </w:r>
    </w:p>
    <w:p w14:paraId="74135750">
      <w:pPr>
        <w:autoSpaceDE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法定代表人：</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（签章）</w:t>
      </w:r>
    </w:p>
    <w:p w14:paraId="0BC5FD78">
      <w:pPr>
        <w:autoSpaceDE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年</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月</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日</w:t>
      </w:r>
    </w:p>
    <w:p w14:paraId="152B4645">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2ABCB615">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3A4A57FC">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bidi="ar"/>
        </w:rPr>
        <w:br w:type="page"/>
      </w:r>
    </w:p>
    <w:p w14:paraId="69FAF0CB">
      <w:pPr>
        <w:spacing w:line="400" w:lineRule="exac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bidi="ar"/>
        </w:rPr>
        <w:t>目   录</w:t>
      </w:r>
    </w:p>
    <w:p w14:paraId="79D4EE25">
      <w:pPr>
        <w:spacing w:line="400" w:lineRule="exact"/>
        <w:ind w:firstLine="3744" w:firstLineChars="1036"/>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bidi="ar"/>
        </w:rPr>
        <w:t xml:space="preserve"> </w:t>
      </w:r>
    </w:p>
    <w:p w14:paraId="5C61E9B9">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（1）</w:t>
      </w:r>
      <w:r>
        <w:rPr>
          <w:rFonts w:hint="eastAsia" w:ascii="宋体" w:hAnsi="宋体" w:eastAsia="宋体" w:cs="宋体"/>
          <w:color w:val="auto"/>
          <w:szCs w:val="21"/>
          <w:highlight w:val="none"/>
          <w:lang w:bidi="ar"/>
        </w:rPr>
        <w:t>投标响应表（格式见附件）</w:t>
      </w:r>
      <w:r>
        <w:rPr>
          <w:rFonts w:hint="eastAsia" w:ascii="宋体" w:hAnsi="宋体" w:eastAsia="宋体" w:cs="宋体"/>
          <w:bCs/>
          <w:color w:val="auto"/>
          <w:szCs w:val="21"/>
          <w:highlight w:val="none"/>
          <w:lang w:bidi="ar"/>
        </w:rPr>
        <w:t>；</w:t>
      </w:r>
    </w:p>
    <w:p w14:paraId="45803EC0">
      <w:pPr>
        <w:spacing w:line="400" w:lineRule="exact"/>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bidi="ar"/>
        </w:rPr>
        <w:t>（2）诚信履约承诺函（格式见附件）</w:t>
      </w:r>
      <w:r>
        <w:rPr>
          <w:rFonts w:hint="eastAsia" w:ascii="宋体" w:hAnsi="宋体" w:eastAsia="宋体" w:cs="宋体"/>
          <w:bCs/>
          <w:color w:val="auto"/>
          <w:szCs w:val="21"/>
          <w:highlight w:val="none"/>
          <w:lang w:eastAsia="zh-CN" w:bidi="ar"/>
        </w:rPr>
        <w:t>；</w:t>
      </w:r>
    </w:p>
    <w:p w14:paraId="79D91FFD">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（3）技术方案：为本项目实施所采用的技术措施和实施方案等；</w:t>
      </w:r>
    </w:p>
    <w:p w14:paraId="55BA8689">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（4）招标文件中要求的技术标评审及技术标评分的支持资料；</w:t>
      </w:r>
    </w:p>
    <w:p w14:paraId="6BC41412">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（5）投标人认为需要提供的其他技术证明材料；</w:t>
      </w:r>
    </w:p>
    <w:p w14:paraId="34FA5D9D">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（6）其他（如有）。</w:t>
      </w:r>
    </w:p>
    <w:p w14:paraId="778ED20D">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 xml:space="preserve"> </w:t>
      </w:r>
    </w:p>
    <w:p w14:paraId="13ED03CD">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13EFD114">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4D3755AA">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br w:type="page"/>
      </w:r>
    </w:p>
    <w:p w14:paraId="1F073A5E">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（1）投标响应表</w:t>
      </w:r>
    </w:p>
    <w:p w14:paraId="73698372">
      <w:pPr>
        <w:spacing w:line="360" w:lineRule="auto"/>
        <w:ind w:firstLine="435"/>
        <w:outlineLvl w:val="2"/>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1.1商务响应表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14:paraId="2DB90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tcBorders>
              <w:top w:val="single" w:color="auto" w:sz="4" w:space="0"/>
              <w:left w:val="single" w:color="auto" w:sz="4" w:space="0"/>
              <w:bottom w:val="single" w:color="auto" w:sz="4" w:space="0"/>
              <w:right w:val="single" w:color="auto" w:sz="4" w:space="0"/>
            </w:tcBorders>
            <w:noWrap w:val="0"/>
            <w:vAlign w:val="center"/>
          </w:tcPr>
          <w:p w14:paraId="699CC432">
            <w:pPr>
              <w:pStyle w:val="20"/>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color w:val="auto"/>
                <w:kern w:val="2"/>
                <w:szCs w:val="24"/>
                <w:highlight w:val="none"/>
                <w:lang w:bidi="ar"/>
              </w:rPr>
              <w:t>序号</w:t>
            </w:r>
          </w:p>
        </w:tc>
        <w:tc>
          <w:tcPr>
            <w:tcW w:w="1124" w:type="pct"/>
            <w:tcBorders>
              <w:top w:val="single" w:color="auto" w:sz="4" w:space="0"/>
              <w:left w:val="nil"/>
              <w:bottom w:val="single" w:color="auto" w:sz="4" w:space="0"/>
              <w:right w:val="single" w:color="auto" w:sz="4" w:space="0"/>
            </w:tcBorders>
            <w:noWrap w:val="0"/>
            <w:vAlign w:val="center"/>
          </w:tcPr>
          <w:p w14:paraId="021B3D5F">
            <w:pPr>
              <w:pStyle w:val="20"/>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bCs/>
                <w:color w:val="auto"/>
                <w:kern w:val="2"/>
                <w:szCs w:val="24"/>
                <w:highlight w:val="none"/>
                <w:lang w:bidi="ar"/>
              </w:rPr>
              <w:t>商务条款</w:t>
            </w:r>
          </w:p>
        </w:tc>
        <w:tc>
          <w:tcPr>
            <w:tcW w:w="1465" w:type="pct"/>
            <w:tcBorders>
              <w:top w:val="single" w:color="auto" w:sz="4" w:space="0"/>
              <w:left w:val="nil"/>
              <w:bottom w:val="single" w:color="auto" w:sz="4" w:space="0"/>
              <w:right w:val="single" w:color="auto" w:sz="4" w:space="0"/>
            </w:tcBorders>
            <w:noWrap w:val="0"/>
            <w:vAlign w:val="center"/>
          </w:tcPr>
          <w:p w14:paraId="33DEB394">
            <w:pPr>
              <w:pStyle w:val="20"/>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color w:val="auto"/>
                <w:kern w:val="2"/>
                <w:szCs w:val="24"/>
                <w:highlight w:val="none"/>
                <w:lang w:bidi="ar"/>
              </w:rPr>
              <w:t>招标文件要求</w:t>
            </w:r>
          </w:p>
        </w:tc>
        <w:tc>
          <w:tcPr>
            <w:tcW w:w="1510" w:type="pct"/>
            <w:tcBorders>
              <w:top w:val="single" w:color="auto" w:sz="4" w:space="0"/>
              <w:left w:val="nil"/>
              <w:bottom w:val="single" w:color="auto" w:sz="4" w:space="0"/>
              <w:right w:val="single" w:color="auto" w:sz="4" w:space="0"/>
            </w:tcBorders>
            <w:noWrap w:val="0"/>
            <w:vAlign w:val="center"/>
          </w:tcPr>
          <w:p w14:paraId="0BEE8FA7">
            <w:pPr>
              <w:pStyle w:val="20"/>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color w:val="auto"/>
                <w:kern w:val="2"/>
                <w:szCs w:val="24"/>
                <w:highlight w:val="none"/>
                <w:lang w:bidi="ar"/>
              </w:rPr>
              <w:t>投标人承诺</w:t>
            </w:r>
          </w:p>
        </w:tc>
        <w:tc>
          <w:tcPr>
            <w:tcW w:w="475" w:type="pct"/>
            <w:tcBorders>
              <w:top w:val="single" w:color="auto" w:sz="4" w:space="0"/>
              <w:left w:val="nil"/>
              <w:bottom w:val="single" w:color="auto" w:sz="4" w:space="0"/>
              <w:right w:val="single" w:color="auto" w:sz="4" w:space="0"/>
            </w:tcBorders>
            <w:noWrap w:val="0"/>
            <w:vAlign w:val="center"/>
          </w:tcPr>
          <w:p w14:paraId="14BB15F5">
            <w:pPr>
              <w:pStyle w:val="20"/>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color w:val="auto"/>
                <w:kern w:val="2"/>
                <w:szCs w:val="24"/>
                <w:highlight w:val="none"/>
                <w:lang w:bidi="ar"/>
              </w:rPr>
              <w:t>偏离说明</w:t>
            </w:r>
          </w:p>
        </w:tc>
      </w:tr>
      <w:tr w14:paraId="4BEED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noWrap w:val="0"/>
            <w:vAlign w:val="center"/>
          </w:tcPr>
          <w:p w14:paraId="73ED301D">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w:t>
            </w:r>
          </w:p>
        </w:tc>
        <w:tc>
          <w:tcPr>
            <w:tcW w:w="1124" w:type="pct"/>
            <w:tcBorders>
              <w:top w:val="single" w:color="auto" w:sz="4" w:space="0"/>
              <w:left w:val="nil"/>
              <w:bottom w:val="single" w:color="auto" w:sz="4" w:space="0"/>
              <w:right w:val="single" w:color="auto" w:sz="4" w:space="0"/>
            </w:tcBorders>
            <w:noWrap w:val="0"/>
            <w:vAlign w:val="center"/>
          </w:tcPr>
          <w:p w14:paraId="449805E7">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付款方式</w:t>
            </w:r>
          </w:p>
        </w:tc>
        <w:tc>
          <w:tcPr>
            <w:tcW w:w="1465" w:type="pct"/>
            <w:tcBorders>
              <w:top w:val="single" w:color="auto" w:sz="4" w:space="0"/>
              <w:left w:val="nil"/>
              <w:bottom w:val="single" w:color="auto" w:sz="4" w:space="0"/>
              <w:right w:val="single" w:color="auto" w:sz="4" w:space="0"/>
            </w:tcBorders>
            <w:noWrap w:val="0"/>
            <w:vAlign w:val="center"/>
          </w:tcPr>
          <w:p w14:paraId="1E1ADF28">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510" w:type="pct"/>
            <w:tcBorders>
              <w:top w:val="single" w:color="auto" w:sz="4" w:space="0"/>
              <w:left w:val="nil"/>
              <w:bottom w:val="single" w:color="auto" w:sz="4" w:space="0"/>
              <w:right w:val="single" w:color="auto" w:sz="4" w:space="0"/>
            </w:tcBorders>
            <w:noWrap w:val="0"/>
            <w:vAlign w:val="center"/>
          </w:tcPr>
          <w:p w14:paraId="7EB485ED">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475" w:type="pct"/>
            <w:tcBorders>
              <w:top w:val="single" w:color="auto" w:sz="4" w:space="0"/>
              <w:left w:val="nil"/>
              <w:bottom w:val="single" w:color="auto" w:sz="4" w:space="0"/>
              <w:right w:val="single" w:color="auto" w:sz="4" w:space="0"/>
            </w:tcBorders>
            <w:noWrap w:val="0"/>
            <w:vAlign w:val="center"/>
          </w:tcPr>
          <w:p w14:paraId="1C45684B">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r w14:paraId="25E88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noWrap w:val="0"/>
            <w:vAlign w:val="center"/>
          </w:tcPr>
          <w:p w14:paraId="61B37ECD">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2</w:t>
            </w:r>
          </w:p>
        </w:tc>
        <w:tc>
          <w:tcPr>
            <w:tcW w:w="1124" w:type="pct"/>
            <w:tcBorders>
              <w:top w:val="single" w:color="auto" w:sz="4" w:space="0"/>
              <w:left w:val="nil"/>
              <w:bottom w:val="single" w:color="auto" w:sz="4" w:space="0"/>
              <w:right w:val="single" w:color="auto" w:sz="4" w:space="0"/>
            </w:tcBorders>
            <w:noWrap w:val="0"/>
            <w:vAlign w:val="center"/>
          </w:tcPr>
          <w:p w14:paraId="4170265D">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供货及安装地点</w:t>
            </w:r>
          </w:p>
        </w:tc>
        <w:tc>
          <w:tcPr>
            <w:tcW w:w="1465" w:type="pct"/>
            <w:tcBorders>
              <w:top w:val="single" w:color="auto" w:sz="4" w:space="0"/>
              <w:left w:val="nil"/>
              <w:bottom w:val="single" w:color="auto" w:sz="4" w:space="0"/>
              <w:right w:val="single" w:color="auto" w:sz="4" w:space="0"/>
            </w:tcBorders>
            <w:noWrap w:val="0"/>
            <w:vAlign w:val="center"/>
          </w:tcPr>
          <w:p w14:paraId="030A7026">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510" w:type="pct"/>
            <w:tcBorders>
              <w:top w:val="single" w:color="auto" w:sz="4" w:space="0"/>
              <w:left w:val="nil"/>
              <w:bottom w:val="single" w:color="auto" w:sz="4" w:space="0"/>
              <w:right w:val="single" w:color="auto" w:sz="4" w:space="0"/>
            </w:tcBorders>
            <w:noWrap w:val="0"/>
            <w:vAlign w:val="center"/>
          </w:tcPr>
          <w:p w14:paraId="3615F87B">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475" w:type="pct"/>
            <w:tcBorders>
              <w:top w:val="single" w:color="auto" w:sz="4" w:space="0"/>
              <w:left w:val="nil"/>
              <w:bottom w:val="single" w:color="auto" w:sz="4" w:space="0"/>
              <w:right w:val="single" w:color="auto" w:sz="4" w:space="0"/>
            </w:tcBorders>
            <w:noWrap w:val="0"/>
            <w:vAlign w:val="center"/>
          </w:tcPr>
          <w:p w14:paraId="112E1471">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r w14:paraId="0F91C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noWrap w:val="0"/>
            <w:vAlign w:val="center"/>
          </w:tcPr>
          <w:p w14:paraId="064EC1C3">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3</w:t>
            </w:r>
          </w:p>
        </w:tc>
        <w:tc>
          <w:tcPr>
            <w:tcW w:w="1124" w:type="pct"/>
            <w:tcBorders>
              <w:top w:val="single" w:color="auto" w:sz="4" w:space="0"/>
              <w:left w:val="nil"/>
              <w:bottom w:val="single" w:color="auto" w:sz="4" w:space="0"/>
              <w:right w:val="single" w:color="auto" w:sz="4" w:space="0"/>
            </w:tcBorders>
            <w:noWrap w:val="0"/>
            <w:vAlign w:val="center"/>
          </w:tcPr>
          <w:p w14:paraId="33087095">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供货及安装期限</w:t>
            </w:r>
          </w:p>
        </w:tc>
        <w:tc>
          <w:tcPr>
            <w:tcW w:w="1465" w:type="pct"/>
            <w:tcBorders>
              <w:top w:val="single" w:color="auto" w:sz="4" w:space="0"/>
              <w:left w:val="nil"/>
              <w:bottom w:val="single" w:color="auto" w:sz="4" w:space="0"/>
              <w:right w:val="single" w:color="auto" w:sz="4" w:space="0"/>
            </w:tcBorders>
            <w:noWrap w:val="0"/>
            <w:vAlign w:val="center"/>
          </w:tcPr>
          <w:p w14:paraId="3EBE3322">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510" w:type="pct"/>
            <w:tcBorders>
              <w:top w:val="single" w:color="auto" w:sz="4" w:space="0"/>
              <w:left w:val="nil"/>
              <w:bottom w:val="single" w:color="auto" w:sz="4" w:space="0"/>
              <w:right w:val="single" w:color="auto" w:sz="4" w:space="0"/>
            </w:tcBorders>
            <w:noWrap w:val="0"/>
            <w:vAlign w:val="center"/>
          </w:tcPr>
          <w:p w14:paraId="221BB414">
            <w:pPr>
              <w:pStyle w:val="20"/>
              <w:keepNext w:val="0"/>
              <w:keepLines w:val="0"/>
              <w:suppressLineNumbers w:val="0"/>
              <w:spacing w:before="0" w:beforeAutospacing="0" w:after="0" w:afterAutospacing="0"/>
              <w:ind w:left="0" w:right="0"/>
              <w:jc w:val="center"/>
              <w:rPr>
                <w:rFonts w:hint="eastAsia" w:ascii="宋体" w:hAnsi="宋体" w:eastAsia="宋体" w:cs="Arial"/>
                <w:color w:val="auto"/>
                <w:kern w:val="2"/>
                <w:szCs w:val="24"/>
                <w:highlight w:val="none"/>
              </w:rPr>
            </w:pPr>
          </w:p>
        </w:tc>
        <w:tc>
          <w:tcPr>
            <w:tcW w:w="475" w:type="pct"/>
            <w:tcBorders>
              <w:top w:val="single" w:color="auto" w:sz="4" w:space="0"/>
              <w:left w:val="nil"/>
              <w:bottom w:val="single" w:color="auto" w:sz="4" w:space="0"/>
              <w:right w:val="single" w:color="auto" w:sz="4" w:space="0"/>
            </w:tcBorders>
            <w:noWrap w:val="0"/>
            <w:vAlign w:val="center"/>
          </w:tcPr>
          <w:p w14:paraId="1C622EC9">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r w14:paraId="104F4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noWrap w:val="0"/>
            <w:vAlign w:val="center"/>
          </w:tcPr>
          <w:p w14:paraId="164CFEDE">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4</w:t>
            </w:r>
          </w:p>
        </w:tc>
        <w:tc>
          <w:tcPr>
            <w:tcW w:w="1124" w:type="pct"/>
            <w:tcBorders>
              <w:top w:val="single" w:color="auto" w:sz="4" w:space="0"/>
              <w:left w:val="nil"/>
              <w:bottom w:val="single" w:color="auto" w:sz="4" w:space="0"/>
              <w:right w:val="single" w:color="auto" w:sz="4" w:space="0"/>
            </w:tcBorders>
            <w:noWrap w:val="0"/>
            <w:vAlign w:val="center"/>
          </w:tcPr>
          <w:p w14:paraId="5C79267F">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免费质保期</w:t>
            </w:r>
          </w:p>
        </w:tc>
        <w:tc>
          <w:tcPr>
            <w:tcW w:w="1465" w:type="pct"/>
            <w:tcBorders>
              <w:top w:val="single" w:color="auto" w:sz="4" w:space="0"/>
              <w:left w:val="nil"/>
              <w:bottom w:val="single" w:color="auto" w:sz="4" w:space="0"/>
              <w:right w:val="single" w:color="auto" w:sz="4" w:space="0"/>
            </w:tcBorders>
            <w:noWrap w:val="0"/>
            <w:vAlign w:val="center"/>
          </w:tcPr>
          <w:p w14:paraId="460D30A9">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510" w:type="pct"/>
            <w:tcBorders>
              <w:top w:val="single" w:color="auto" w:sz="4" w:space="0"/>
              <w:left w:val="nil"/>
              <w:bottom w:val="single" w:color="auto" w:sz="4" w:space="0"/>
              <w:right w:val="single" w:color="auto" w:sz="4" w:space="0"/>
            </w:tcBorders>
            <w:noWrap w:val="0"/>
            <w:vAlign w:val="center"/>
          </w:tcPr>
          <w:p w14:paraId="053A2C8B">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475" w:type="pct"/>
            <w:tcBorders>
              <w:top w:val="single" w:color="auto" w:sz="4" w:space="0"/>
              <w:left w:val="nil"/>
              <w:bottom w:val="single" w:color="auto" w:sz="4" w:space="0"/>
              <w:right w:val="single" w:color="auto" w:sz="4" w:space="0"/>
            </w:tcBorders>
            <w:noWrap w:val="0"/>
            <w:vAlign w:val="center"/>
          </w:tcPr>
          <w:p w14:paraId="3EF976B8">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r w14:paraId="10BEC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noWrap w:val="0"/>
            <w:vAlign w:val="center"/>
          </w:tcPr>
          <w:p w14:paraId="22C1D05C">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w:t>
            </w:r>
          </w:p>
        </w:tc>
        <w:tc>
          <w:tcPr>
            <w:tcW w:w="1124" w:type="pct"/>
            <w:tcBorders>
              <w:top w:val="single" w:color="auto" w:sz="4" w:space="0"/>
              <w:left w:val="nil"/>
              <w:bottom w:val="single" w:color="auto" w:sz="4" w:space="0"/>
              <w:right w:val="single" w:color="auto" w:sz="4" w:space="0"/>
            </w:tcBorders>
            <w:noWrap w:val="0"/>
            <w:vAlign w:val="center"/>
          </w:tcPr>
          <w:p w14:paraId="723EF72D">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465" w:type="pct"/>
            <w:tcBorders>
              <w:top w:val="single" w:color="auto" w:sz="4" w:space="0"/>
              <w:left w:val="nil"/>
              <w:bottom w:val="single" w:color="auto" w:sz="4" w:space="0"/>
              <w:right w:val="single" w:color="auto" w:sz="4" w:space="0"/>
            </w:tcBorders>
            <w:noWrap w:val="0"/>
            <w:vAlign w:val="center"/>
          </w:tcPr>
          <w:p w14:paraId="0DAFF01B">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510" w:type="pct"/>
            <w:tcBorders>
              <w:top w:val="single" w:color="auto" w:sz="4" w:space="0"/>
              <w:left w:val="nil"/>
              <w:bottom w:val="single" w:color="auto" w:sz="4" w:space="0"/>
              <w:right w:val="single" w:color="auto" w:sz="4" w:space="0"/>
            </w:tcBorders>
            <w:noWrap w:val="0"/>
            <w:vAlign w:val="center"/>
          </w:tcPr>
          <w:p w14:paraId="157B6AA2">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475" w:type="pct"/>
            <w:tcBorders>
              <w:top w:val="single" w:color="auto" w:sz="4" w:space="0"/>
              <w:left w:val="nil"/>
              <w:bottom w:val="single" w:color="auto" w:sz="4" w:space="0"/>
              <w:right w:val="single" w:color="auto" w:sz="4" w:space="0"/>
            </w:tcBorders>
            <w:noWrap w:val="0"/>
            <w:vAlign w:val="center"/>
          </w:tcPr>
          <w:p w14:paraId="69FD23E1">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bl>
    <w:p w14:paraId="4ABAE3DB">
      <w:pPr>
        <w:spacing w:line="360" w:lineRule="auto"/>
        <w:ind w:firstLine="435"/>
        <w:outlineLvl w:val="2"/>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1.2技术响应表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560"/>
        <w:gridCol w:w="2864"/>
        <w:gridCol w:w="2483"/>
        <w:gridCol w:w="855"/>
      </w:tblGrid>
      <w:tr w14:paraId="4B58B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tcBorders>
              <w:top w:val="single" w:color="auto" w:sz="4" w:space="0"/>
              <w:left w:val="single" w:color="auto" w:sz="4" w:space="0"/>
              <w:bottom w:val="single" w:color="auto" w:sz="4" w:space="0"/>
              <w:right w:val="single" w:color="auto" w:sz="4" w:space="0"/>
            </w:tcBorders>
            <w:noWrap w:val="0"/>
            <w:vAlign w:val="center"/>
          </w:tcPr>
          <w:p w14:paraId="4914DFD2">
            <w:pPr>
              <w:pStyle w:val="20"/>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color w:val="auto"/>
                <w:kern w:val="2"/>
                <w:szCs w:val="24"/>
                <w:highlight w:val="none"/>
                <w:lang w:bidi="ar"/>
              </w:rPr>
              <w:t>序号</w:t>
            </w:r>
          </w:p>
        </w:tc>
        <w:tc>
          <w:tcPr>
            <w:tcW w:w="915" w:type="pct"/>
            <w:tcBorders>
              <w:top w:val="single" w:color="auto" w:sz="4" w:space="0"/>
              <w:left w:val="nil"/>
              <w:bottom w:val="single" w:color="auto" w:sz="4" w:space="0"/>
              <w:right w:val="single" w:color="auto" w:sz="4" w:space="0"/>
            </w:tcBorders>
            <w:noWrap w:val="0"/>
            <w:vAlign w:val="center"/>
          </w:tcPr>
          <w:p w14:paraId="0C4C0640">
            <w:pPr>
              <w:pStyle w:val="20"/>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bCs/>
                <w:color w:val="auto"/>
                <w:kern w:val="2"/>
                <w:szCs w:val="24"/>
                <w:highlight w:val="none"/>
                <w:lang w:bidi="ar"/>
              </w:rPr>
              <w:t>货物名称</w:t>
            </w:r>
          </w:p>
        </w:tc>
        <w:tc>
          <w:tcPr>
            <w:tcW w:w="1680" w:type="pct"/>
            <w:tcBorders>
              <w:top w:val="single" w:color="auto" w:sz="4" w:space="0"/>
              <w:left w:val="nil"/>
              <w:bottom w:val="single" w:color="auto" w:sz="4" w:space="0"/>
              <w:right w:val="single" w:color="auto" w:sz="4" w:space="0"/>
            </w:tcBorders>
            <w:noWrap w:val="0"/>
            <w:vAlign w:val="center"/>
          </w:tcPr>
          <w:p w14:paraId="1CC70830">
            <w:pPr>
              <w:pStyle w:val="20"/>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color w:val="auto"/>
                <w:kern w:val="2"/>
                <w:szCs w:val="24"/>
                <w:highlight w:val="none"/>
                <w:lang w:bidi="ar"/>
              </w:rPr>
              <w:t>招标文件规定的技术参数及要求</w:t>
            </w:r>
          </w:p>
        </w:tc>
        <w:tc>
          <w:tcPr>
            <w:tcW w:w="1456" w:type="pct"/>
            <w:tcBorders>
              <w:top w:val="single" w:color="auto" w:sz="4" w:space="0"/>
              <w:left w:val="nil"/>
              <w:bottom w:val="single" w:color="auto" w:sz="4" w:space="0"/>
              <w:right w:val="single" w:color="auto" w:sz="4" w:space="0"/>
            </w:tcBorders>
            <w:noWrap w:val="0"/>
            <w:vAlign w:val="center"/>
          </w:tcPr>
          <w:p w14:paraId="2EE000C8">
            <w:pPr>
              <w:pStyle w:val="20"/>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color w:val="auto"/>
                <w:kern w:val="2"/>
                <w:szCs w:val="24"/>
                <w:highlight w:val="none"/>
                <w:lang w:bidi="ar"/>
              </w:rPr>
              <w:t>所投产品的品牌、型号及技术参数</w:t>
            </w:r>
          </w:p>
        </w:tc>
        <w:tc>
          <w:tcPr>
            <w:tcW w:w="501" w:type="pct"/>
            <w:tcBorders>
              <w:top w:val="single" w:color="auto" w:sz="4" w:space="0"/>
              <w:left w:val="nil"/>
              <w:bottom w:val="single" w:color="auto" w:sz="4" w:space="0"/>
              <w:right w:val="single" w:color="auto" w:sz="4" w:space="0"/>
            </w:tcBorders>
            <w:noWrap w:val="0"/>
            <w:vAlign w:val="center"/>
          </w:tcPr>
          <w:p w14:paraId="566B0033">
            <w:pPr>
              <w:pStyle w:val="20"/>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color w:val="auto"/>
                <w:kern w:val="2"/>
                <w:szCs w:val="24"/>
                <w:highlight w:val="none"/>
                <w:lang w:bidi="ar"/>
              </w:rPr>
              <w:t>偏离说明</w:t>
            </w:r>
          </w:p>
        </w:tc>
      </w:tr>
      <w:tr w14:paraId="0F5F2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noWrap w:val="0"/>
            <w:vAlign w:val="center"/>
          </w:tcPr>
          <w:p w14:paraId="54CB8C11">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w:t>
            </w:r>
          </w:p>
        </w:tc>
        <w:tc>
          <w:tcPr>
            <w:tcW w:w="915" w:type="pct"/>
            <w:tcBorders>
              <w:top w:val="single" w:color="auto" w:sz="4" w:space="0"/>
              <w:left w:val="nil"/>
              <w:bottom w:val="single" w:color="auto" w:sz="4" w:space="0"/>
              <w:right w:val="single" w:color="auto" w:sz="4" w:space="0"/>
            </w:tcBorders>
            <w:noWrap w:val="0"/>
            <w:vAlign w:val="center"/>
          </w:tcPr>
          <w:p w14:paraId="11698290">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680" w:type="pct"/>
            <w:tcBorders>
              <w:top w:val="single" w:color="auto" w:sz="4" w:space="0"/>
              <w:left w:val="nil"/>
              <w:bottom w:val="single" w:color="auto" w:sz="4" w:space="0"/>
              <w:right w:val="single" w:color="auto" w:sz="4" w:space="0"/>
            </w:tcBorders>
            <w:noWrap w:val="0"/>
            <w:vAlign w:val="center"/>
          </w:tcPr>
          <w:p w14:paraId="2618F4F8">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456" w:type="pct"/>
            <w:tcBorders>
              <w:top w:val="single" w:color="auto" w:sz="4" w:space="0"/>
              <w:left w:val="nil"/>
              <w:bottom w:val="single" w:color="auto" w:sz="4" w:space="0"/>
              <w:right w:val="single" w:color="auto" w:sz="4" w:space="0"/>
            </w:tcBorders>
            <w:noWrap w:val="0"/>
            <w:vAlign w:val="center"/>
          </w:tcPr>
          <w:p w14:paraId="7E899C46">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501" w:type="pct"/>
            <w:tcBorders>
              <w:top w:val="single" w:color="auto" w:sz="4" w:space="0"/>
              <w:left w:val="nil"/>
              <w:bottom w:val="single" w:color="auto" w:sz="4" w:space="0"/>
              <w:right w:val="single" w:color="auto" w:sz="4" w:space="0"/>
            </w:tcBorders>
            <w:noWrap w:val="0"/>
            <w:vAlign w:val="center"/>
          </w:tcPr>
          <w:p w14:paraId="229F9708">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r w14:paraId="504C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noWrap w:val="0"/>
            <w:vAlign w:val="center"/>
          </w:tcPr>
          <w:p w14:paraId="109D6582">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2</w:t>
            </w:r>
          </w:p>
        </w:tc>
        <w:tc>
          <w:tcPr>
            <w:tcW w:w="915" w:type="pct"/>
            <w:tcBorders>
              <w:top w:val="single" w:color="auto" w:sz="4" w:space="0"/>
              <w:left w:val="nil"/>
              <w:bottom w:val="single" w:color="auto" w:sz="4" w:space="0"/>
              <w:right w:val="single" w:color="auto" w:sz="4" w:space="0"/>
            </w:tcBorders>
            <w:noWrap w:val="0"/>
            <w:vAlign w:val="center"/>
          </w:tcPr>
          <w:p w14:paraId="2F053D4A">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680" w:type="pct"/>
            <w:tcBorders>
              <w:top w:val="single" w:color="auto" w:sz="4" w:space="0"/>
              <w:left w:val="nil"/>
              <w:bottom w:val="single" w:color="auto" w:sz="4" w:space="0"/>
              <w:right w:val="single" w:color="auto" w:sz="4" w:space="0"/>
            </w:tcBorders>
            <w:noWrap w:val="0"/>
            <w:vAlign w:val="center"/>
          </w:tcPr>
          <w:p w14:paraId="64356B3D">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456" w:type="pct"/>
            <w:tcBorders>
              <w:top w:val="single" w:color="auto" w:sz="4" w:space="0"/>
              <w:left w:val="nil"/>
              <w:bottom w:val="single" w:color="auto" w:sz="4" w:space="0"/>
              <w:right w:val="single" w:color="auto" w:sz="4" w:space="0"/>
            </w:tcBorders>
            <w:noWrap w:val="0"/>
            <w:vAlign w:val="center"/>
          </w:tcPr>
          <w:p w14:paraId="57F1C6AA">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501" w:type="pct"/>
            <w:tcBorders>
              <w:top w:val="single" w:color="auto" w:sz="4" w:space="0"/>
              <w:left w:val="nil"/>
              <w:bottom w:val="single" w:color="auto" w:sz="4" w:space="0"/>
              <w:right w:val="single" w:color="auto" w:sz="4" w:space="0"/>
            </w:tcBorders>
            <w:noWrap w:val="0"/>
            <w:vAlign w:val="center"/>
          </w:tcPr>
          <w:p w14:paraId="0B900F87">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r w14:paraId="1A704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noWrap w:val="0"/>
            <w:vAlign w:val="center"/>
          </w:tcPr>
          <w:p w14:paraId="2F8FCF1A">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3</w:t>
            </w:r>
          </w:p>
        </w:tc>
        <w:tc>
          <w:tcPr>
            <w:tcW w:w="915" w:type="pct"/>
            <w:tcBorders>
              <w:top w:val="single" w:color="auto" w:sz="4" w:space="0"/>
              <w:left w:val="nil"/>
              <w:bottom w:val="single" w:color="auto" w:sz="4" w:space="0"/>
              <w:right w:val="single" w:color="auto" w:sz="4" w:space="0"/>
            </w:tcBorders>
            <w:noWrap w:val="0"/>
            <w:vAlign w:val="center"/>
          </w:tcPr>
          <w:p w14:paraId="7CBFC9C9">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680" w:type="pct"/>
            <w:tcBorders>
              <w:top w:val="single" w:color="auto" w:sz="4" w:space="0"/>
              <w:left w:val="nil"/>
              <w:bottom w:val="single" w:color="auto" w:sz="4" w:space="0"/>
              <w:right w:val="single" w:color="auto" w:sz="4" w:space="0"/>
            </w:tcBorders>
            <w:noWrap w:val="0"/>
            <w:vAlign w:val="center"/>
          </w:tcPr>
          <w:p w14:paraId="5D8A5F19">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456" w:type="pct"/>
            <w:tcBorders>
              <w:top w:val="single" w:color="auto" w:sz="4" w:space="0"/>
              <w:left w:val="nil"/>
              <w:bottom w:val="single" w:color="auto" w:sz="4" w:space="0"/>
              <w:right w:val="single" w:color="auto" w:sz="4" w:space="0"/>
            </w:tcBorders>
            <w:noWrap w:val="0"/>
            <w:vAlign w:val="center"/>
          </w:tcPr>
          <w:p w14:paraId="19265A93">
            <w:pPr>
              <w:pStyle w:val="20"/>
              <w:keepNext w:val="0"/>
              <w:keepLines w:val="0"/>
              <w:suppressLineNumbers w:val="0"/>
              <w:spacing w:before="0" w:beforeAutospacing="0" w:after="0" w:afterAutospacing="0"/>
              <w:ind w:left="0" w:right="0"/>
              <w:jc w:val="center"/>
              <w:rPr>
                <w:rFonts w:hint="eastAsia" w:ascii="宋体" w:hAnsi="宋体" w:eastAsia="宋体" w:cs="Arial"/>
                <w:color w:val="auto"/>
                <w:kern w:val="2"/>
                <w:szCs w:val="24"/>
                <w:highlight w:val="none"/>
              </w:rPr>
            </w:pPr>
          </w:p>
        </w:tc>
        <w:tc>
          <w:tcPr>
            <w:tcW w:w="501" w:type="pct"/>
            <w:tcBorders>
              <w:top w:val="single" w:color="auto" w:sz="4" w:space="0"/>
              <w:left w:val="nil"/>
              <w:bottom w:val="single" w:color="auto" w:sz="4" w:space="0"/>
              <w:right w:val="single" w:color="auto" w:sz="4" w:space="0"/>
            </w:tcBorders>
            <w:noWrap w:val="0"/>
            <w:vAlign w:val="center"/>
          </w:tcPr>
          <w:p w14:paraId="5F3AE4CD">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r w14:paraId="6AAB5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noWrap w:val="0"/>
            <w:vAlign w:val="center"/>
          </w:tcPr>
          <w:p w14:paraId="693254C9">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4</w:t>
            </w:r>
          </w:p>
        </w:tc>
        <w:tc>
          <w:tcPr>
            <w:tcW w:w="915" w:type="pct"/>
            <w:tcBorders>
              <w:top w:val="single" w:color="auto" w:sz="4" w:space="0"/>
              <w:left w:val="nil"/>
              <w:bottom w:val="single" w:color="auto" w:sz="4" w:space="0"/>
              <w:right w:val="single" w:color="auto" w:sz="4" w:space="0"/>
            </w:tcBorders>
            <w:noWrap w:val="0"/>
            <w:vAlign w:val="center"/>
          </w:tcPr>
          <w:p w14:paraId="3877F8A1">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680" w:type="pct"/>
            <w:tcBorders>
              <w:top w:val="single" w:color="auto" w:sz="4" w:space="0"/>
              <w:left w:val="nil"/>
              <w:bottom w:val="single" w:color="auto" w:sz="4" w:space="0"/>
              <w:right w:val="single" w:color="auto" w:sz="4" w:space="0"/>
            </w:tcBorders>
            <w:noWrap w:val="0"/>
            <w:vAlign w:val="center"/>
          </w:tcPr>
          <w:p w14:paraId="72D6F902">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456" w:type="pct"/>
            <w:tcBorders>
              <w:top w:val="single" w:color="auto" w:sz="4" w:space="0"/>
              <w:left w:val="nil"/>
              <w:bottom w:val="single" w:color="auto" w:sz="4" w:space="0"/>
              <w:right w:val="single" w:color="auto" w:sz="4" w:space="0"/>
            </w:tcBorders>
            <w:noWrap w:val="0"/>
            <w:vAlign w:val="center"/>
          </w:tcPr>
          <w:p w14:paraId="482C2387">
            <w:pPr>
              <w:pStyle w:val="20"/>
              <w:keepNext w:val="0"/>
              <w:keepLines w:val="0"/>
              <w:suppressLineNumbers w:val="0"/>
              <w:spacing w:before="0" w:beforeAutospacing="0" w:after="0" w:afterAutospacing="0"/>
              <w:ind w:left="0" w:right="0"/>
              <w:jc w:val="center"/>
              <w:rPr>
                <w:rFonts w:hint="eastAsia" w:ascii="宋体" w:hAnsi="宋体" w:eastAsia="宋体" w:cs="Arial"/>
                <w:color w:val="auto"/>
                <w:kern w:val="2"/>
                <w:szCs w:val="24"/>
                <w:highlight w:val="none"/>
              </w:rPr>
            </w:pPr>
          </w:p>
        </w:tc>
        <w:tc>
          <w:tcPr>
            <w:tcW w:w="501" w:type="pct"/>
            <w:tcBorders>
              <w:top w:val="single" w:color="auto" w:sz="4" w:space="0"/>
              <w:left w:val="nil"/>
              <w:bottom w:val="single" w:color="auto" w:sz="4" w:space="0"/>
              <w:right w:val="single" w:color="auto" w:sz="4" w:space="0"/>
            </w:tcBorders>
            <w:noWrap w:val="0"/>
            <w:vAlign w:val="center"/>
          </w:tcPr>
          <w:p w14:paraId="0BFE9A44">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r w14:paraId="2BF58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noWrap w:val="0"/>
            <w:vAlign w:val="center"/>
          </w:tcPr>
          <w:p w14:paraId="6E5A4D3D">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w:t>
            </w:r>
          </w:p>
        </w:tc>
        <w:tc>
          <w:tcPr>
            <w:tcW w:w="915" w:type="pct"/>
            <w:tcBorders>
              <w:top w:val="single" w:color="auto" w:sz="4" w:space="0"/>
              <w:left w:val="nil"/>
              <w:bottom w:val="single" w:color="auto" w:sz="4" w:space="0"/>
              <w:right w:val="single" w:color="auto" w:sz="4" w:space="0"/>
            </w:tcBorders>
            <w:noWrap w:val="0"/>
            <w:vAlign w:val="center"/>
          </w:tcPr>
          <w:p w14:paraId="3144DC5A">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680" w:type="pct"/>
            <w:tcBorders>
              <w:top w:val="single" w:color="auto" w:sz="4" w:space="0"/>
              <w:left w:val="nil"/>
              <w:bottom w:val="single" w:color="auto" w:sz="4" w:space="0"/>
              <w:right w:val="single" w:color="auto" w:sz="4" w:space="0"/>
            </w:tcBorders>
            <w:noWrap w:val="0"/>
            <w:vAlign w:val="center"/>
          </w:tcPr>
          <w:p w14:paraId="3CD88228">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456" w:type="pct"/>
            <w:tcBorders>
              <w:top w:val="single" w:color="auto" w:sz="4" w:space="0"/>
              <w:left w:val="nil"/>
              <w:bottom w:val="single" w:color="auto" w:sz="4" w:space="0"/>
              <w:right w:val="single" w:color="auto" w:sz="4" w:space="0"/>
            </w:tcBorders>
            <w:noWrap w:val="0"/>
            <w:vAlign w:val="center"/>
          </w:tcPr>
          <w:p w14:paraId="774275CE">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501" w:type="pct"/>
            <w:tcBorders>
              <w:top w:val="single" w:color="auto" w:sz="4" w:space="0"/>
              <w:left w:val="nil"/>
              <w:bottom w:val="single" w:color="auto" w:sz="4" w:space="0"/>
              <w:right w:val="single" w:color="auto" w:sz="4" w:space="0"/>
            </w:tcBorders>
            <w:noWrap w:val="0"/>
            <w:vAlign w:val="center"/>
          </w:tcPr>
          <w:p w14:paraId="173C185D">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bl>
    <w:p w14:paraId="066F90D3">
      <w:pPr>
        <w:spacing w:line="360" w:lineRule="auto"/>
        <w:ind w:firstLine="4800" w:firstLineChars="2000"/>
        <w:rPr>
          <w:rFonts w:hint="eastAsia"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投标人电子签章：</w:t>
      </w:r>
      <w:r>
        <w:rPr>
          <w:rFonts w:hint="eastAsia" w:ascii="宋体" w:hAnsi="宋体" w:eastAsia="宋体"/>
          <w:color w:val="auto"/>
          <w:sz w:val="24"/>
          <w:szCs w:val="24"/>
          <w:highlight w:val="none"/>
          <w:u w:val="single"/>
          <w:lang w:bidi="ar"/>
        </w:rPr>
        <w:t xml:space="preserve">             </w:t>
      </w:r>
    </w:p>
    <w:p w14:paraId="5B678AF9">
      <w:pPr>
        <w:spacing w:line="360" w:lineRule="auto"/>
        <w:ind w:firstLine="4800" w:firstLineChars="2000"/>
        <w:rPr>
          <w:rFonts w:hint="eastAsia"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日</w:t>
      </w:r>
      <w:r>
        <w:rPr>
          <w:rFonts w:hint="eastAsia" w:ascii="宋体" w:hAnsi="宋体" w:eastAsia="宋体"/>
          <w:color w:val="auto"/>
          <w:sz w:val="24"/>
          <w:szCs w:val="24"/>
          <w:highlight w:val="none"/>
          <w:lang w:bidi="ar"/>
        </w:rPr>
        <w:t xml:space="preserve">          </w:t>
      </w:r>
      <w:r>
        <w:rPr>
          <w:rFonts w:hint="eastAsia" w:ascii="宋体" w:hAnsi="宋体" w:eastAsia="宋体" w:cs="宋体"/>
          <w:color w:val="auto"/>
          <w:sz w:val="24"/>
          <w:szCs w:val="24"/>
          <w:highlight w:val="none"/>
          <w:lang w:bidi="ar"/>
        </w:rPr>
        <w:t>期：</w:t>
      </w:r>
      <w:r>
        <w:rPr>
          <w:rFonts w:hint="eastAsia" w:ascii="宋体" w:hAnsi="宋体" w:eastAsia="宋体"/>
          <w:color w:val="auto"/>
          <w:sz w:val="24"/>
          <w:szCs w:val="24"/>
          <w:highlight w:val="none"/>
          <w:u w:val="single"/>
          <w:lang w:bidi="ar"/>
        </w:rPr>
        <w:t xml:space="preserve">             </w:t>
      </w:r>
    </w:p>
    <w:p w14:paraId="7572B889">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72216E12">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7A11249B">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br w:type="page"/>
      </w:r>
    </w:p>
    <w:p w14:paraId="40AFA92E">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（2）诚信履约承诺函</w:t>
      </w:r>
    </w:p>
    <w:p w14:paraId="31432A78">
      <w:pPr>
        <w:spacing w:line="360" w:lineRule="auto"/>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lang w:bidi="ar"/>
        </w:rPr>
        <w:t xml:space="preserve"> </w:t>
      </w:r>
    </w:p>
    <w:p w14:paraId="7A1175DF">
      <w:pPr>
        <w:spacing w:line="360" w:lineRule="auto"/>
        <w:rPr>
          <w:rFonts w:hint="eastAsia" w:ascii="宋体" w:hAnsi="宋体" w:eastAsia="宋体"/>
          <w:b/>
          <w:bCs/>
          <w:color w:val="auto"/>
          <w:sz w:val="24"/>
          <w:szCs w:val="24"/>
          <w:highlight w:val="none"/>
          <w:u w:val="single"/>
        </w:rPr>
      </w:pPr>
      <w:r>
        <w:rPr>
          <w:rFonts w:hint="eastAsia" w:ascii="宋体" w:hAnsi="宋体" w:eastAsia="宋体" w:cs="宋体"/>
          <w:b/>
          <w:bCs/>
          <w:color w:val="auto"/>
          <w:sz w:val="24"/>
          <w:szCs w:val="24"/>
          <w:highlight w:val="none"/>
          <w:lang w:bidi="ar"/>
        </w:rPr>
        <w:t>致：采购人</w:t>
      </w:r>
    </w:p>
    <w:p w14:paraId="6A9E9E7C">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069A23CD">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（1）中标或者成交后无正当理由拒不与采购人签订政府采购合同；</w:t>
      </w:r>
    </w:p>
    <w:p w14:paraId="3BDE7D87">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（2）未按照采购文件确定的事项签订政府采购合同；</w:t>
      </w:r>
    </w:p>
    <w:p w14:paraId="1EF05812">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（3）将政府采购合同转包；</w:t>
      </w:r>
    </w:p>
    <w:p w14:paraId="2E4C79FE">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（4）提供假冒伪劣产品；</w:t>
      </w:r>
    </w:p>
    <w:p w14:paraId="4CEE2833">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（5）擅自变更、中止或者终止政府采购合同。</w:t>
      </w:r>
    </w:p>
    <w:p w14:paraId="7DF933E6">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C1BB549">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本承诺声明：</w:t>
      </w:r>
      <w:r>
        <w:rPr>
          <w:rFonts w:hint="eastAsia" w:ascii="宋体" w:hAnsi="宋体" w:eastAsia="宋体"/>
          <w:bCs/>
          <w:color w:val="auto"/>
          <w:sz w:val="24"/>
          <w:szCs w:val="24"/>
          <w:highlight w:val="none"/>
          <w:u w:val="single"/>
          <w:lang w:bidi="ar"/>
        </w:rPr>
        <w:t xml:space="preserve">                   </w:t>
      </w:r>
      <w:r>
        <w:rPr>
          <w:rFonts w:hint="eastAsia" w:ascii="宋体" w:hAnsi="宋体" w:eastAsia="宋体" w:cs="宋体"/>
          <w:bCs/>
          <w:color w:val="auto"/>
          <w:sz w:val="24"/>
          <w:szCs w:val="24"/>
          <w:highlight w:val="none"/>
          <w:u w:val="single"/>
          <w:lang w:bidi="ar"/>
        </w:rPr>
        <w:t>（投标人名称）</w:t>
      </w:r>
      <w:r>
        <w:rPr>
          <w:rFonts w:hint="eastAsia" w:ascii="宋体" w:hAnsi="宋体" w:eastAsia="宋体" w:cs="宋体"/>
          <w:bCs/>
          <w:color w:val="auto"/>
          <w:sz w:val="24"/>
          <w:szCs w:val="24"/>
          <w:highlight w:val="none"/>
          <w:lang w:bidi="ar"/>
        </w:rPr>
        <w:t>对本招标文件的相关要求完全响应。若有幸中标将严格按照以上承诺进行供货和服务。</w:t>
      </w:r>
    </w:p>
    <w:p w14:paraId="7049F5E1">
      <w:pPr>
        <w:spacing w:line="360" w:lineRule="auto"/>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lang w:bidi="ar"/>
        </w:rPr>
        <w:t xml:space="preserve"> </w:t>
      </w:r>
    </w:p>
    <w:p w14:paraId="2F0B2EC0">
      <w:pPr>
        <w:spacing w:line="360" w:lineRule="auto"/>
        <w:ind w:firstLine="4320" w:firstLineChars="18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14C0D65A">
      <w:pPr>
        <w:spacing w:line="360" w:lineRule="auto"/>
        <w:ind w:firstLine="4320" w:firstLineChars="1800"/>
        <w:rPr>
          <w:rFonts w:hint="eastAsia" w:ascii="宋体" w:hAnsi="宋体" w:eastAsia="宋体"/>
          <w:bCs/>
          <w:color w:val="auto"/>
          <w:sz w:val="24"/>
          <w:szCs w:val="24"/>
          <w:highlight w:val="none"/>
          <w:u w:val="single"/>
        </w:rPr>
      </w:pPr>
      <w:r>
        <w:rPr>
          <w:rFonts w:hint="eastAsia" w:ascii="宋体" w:hAnsi="宋体" w:eastAsia="宋体" w:cs="宋体"/>
          <w:bCs/>
          <w:color w:val="auto"/>
          <w:sz w:val="24"/>
          <w:szCs w:val="24"/>
          <w:highlight w:val="none"/>
          <w:lang w:bidi="ar"/>
        </w:rPr>
        <w:t>投标人电子签章：</w:t>
      </w:r>
      <w:r>
        <w:rPr>
          <w:rFonts w:hint="eastAsia" w:ascii="宋体" w:hAnsi="宋体" w:eastAsia="宋体"/>
          <w:bCs/>
          <w:color w:val="auto"/>
          <w:sz w:val="24"/>
          <w:szCs w:val="24"/>
          <w:highlight w:val="none"/>
          <w:u w:val="single"/>
          <w:lang w:bidi="ar"/>
        </w:rPr>
        <w:t xml:space="preserve">             </w:t>
      </w:r>
    </w:p>
    <w:p w14:paraId="5EDCF2C6">
      <w:pPr>
        <w:spacing w:line="360" w:lineRule="auto"/>
        <w:ind w:firstLine="4320" w:firstLineChars="18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日</w:t>
      </w:r>
      <w:r>
        <w:rPr>
          <w:rFonts w:hint="eastAsia" w:ascii="宋体" w:hAnsi="宋体" w:eastAsia="宋体"/>
          <w:bCs/>
          <w:color w:val="auto"/>
          <w:sz w:val="24"/>
          <w:szCs w:val="24"/>
          <w:highlight w:val="none"/>
          <w:lang w:bidi="ar"/>
        </w:rPr>
        <w:t xml:space="preserve">          </w:t>
      </w:r>
      <w:r>
        <w:rPr>
          <w:rFonts w:hint="eastAsia" w:ascii="宋体" w:hAnsi="宋体" w:eastAsia="宋体" w:cs="宋体"/>
          <w:bCs/>
          <w:color w:val="auto"/>
          <w:sz w:val="24"/>
          <w:szCs w:val="24"/>
          <w:highlight w:val="none"/>
          <w:lang w:bidi="ar"/>
        </w:rPr>
        <w:t>期：</w:t>
      </w:r>
      <w:r>
        <w:rPr>
          <w:rFonts w:hint="eastAsia" w:ascii="宋体" w:hAnsi="宋体" w:eastAsia="宋体"/>
          <w:bCs/>
          <w:color w:val="auto"/>
          <w:sz w:val="24"/>
          <w:szCs w:val="24"/>
          <w:highlight w:val="none"/>
          <w:u w:val="single"/>
          <w:lang w:bidi="ar"/>
        </w:rPr>
        <w:t xml:space="preserve">             </w:t>
      </w:r>
    </w:p>
    <w:p w14:paraId="360131B7">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2456E051">
      <w:pPr>
        <w:spacing w:line="360" w:lineRule="auto"/>
        <w:jc w:val="center"/>
        <w:outlineLvl w:val="1"/>
        <w:rPr>
          <w:rFonts w:hint="eastAsia" w:ascii="宋体" w:hAnsi="宋体" w:eastAsia="宋体"/>
          <w:b/>
          <w:color w:val="auto"/>
          <w:sz w:val="24"/>
          <w:szCs w:val="24"/>
          <w:highlight w:val="none"/>
          <w:lang w:eastAsia="zh-CN" w:bidi="ar"/>
        </w:rPr>
      </w:pPr>
    </w:p>
    <w:p w14:paraId="3411A405">
      <w:pPr>
        <w:spacing w:line="360" w:lineRule="auto"/>
        <w:jc w:val="center"/>
        <w:outlineLvl w:val="1"/>
        <w:rPr>
          <w:rFonts w:hint="eastAsia" w:ascii="宋体" w:hAnsi="宋体" w:eastAsia="宋体"/>
          <w:b/>
          <w:color w:val="auto"/>
          <w:sz w:val="24"/>
          <w:szCs w:val="24"/>
          <w:highlight w:val="none"/>
          <w:lang w:eastAsia="zh-CN" w:bidi="ar"/>
        </w:rPr>
      </w:pPr>
      <w:r>
        <w:rPr>
          <w:rFonts w:hint="eastAsia" w:ascii="宋体" w:hAnsi="宋体" w:eastAsia="宋体"/>
          <w:b/>
          <w:color w:val="auto"/>
          <w:sz w:val="24"/>
          <w:szCs w:val="24"/>
          <w:highlight w:val="none"/>
          <w:lang w:eastAsia="zh-CN" w:bidi="ar"/>
        </w:rPr>
        <w:t>（</w:t>
      </w:r>
      <w:r>
        <w:rPr>
          <w:rFonts w:hint="eastAsia" w:ascii="宋体" w:hAnsi="宋体" w:eastAsia="宋体"/>
          <w:b/>
          <w:color w:val="auto"/>
          <w:sz w:val="24"/>
          <w:szCs w:val="24"/>
          <w:highlight w:val="none"/>
          <w:lang w:val="en-US" w:eastAsia="zh-CN" w:bidi="ar"/>
        </w:rPr>
        <w:t>3</w:t>
      </w:r>
      <w:r>
        <w:rPr>
          <w:rFonts w:hint="eastAsia" w:ascii="宋体" w:hAnsi="宋体" w:eastAsia="宋体"/>
          <w:b/>
          <w:color w:val="auto"/>
          <w:sz w:val="24"/>
          <w:szCs w:val="24"/>
          <w:highlight w:val="none"/>
          <w:lang w:eastAsia="zh-CN" w:bidi="ar"/>
        </w:rPr>
        <w:t>）</w:t>
      </w:r>
      <w:r>
        <w:rPr>
          <w:rFonts w:hint="eastAsia" w:ascii="宋体" w:hAnsi="宋体" w:eastAsia="宋体"/>
          <w:b/>
          <w:color w:val="auto"/>
          <w:sz w:val="24"/>
          <w:szCs w:val="24"/>
          <w:highlight w:val="none"/>
          <w:lang w:bidi="ar"/>
        </w:rPr>
        <w:t xml:space="preserve"> </w:t>
      </w:r>
      <w:r>
        <w:rPr>
          <w:rFonts w:hint="eastAsia" w:ascii="宋体" w:hAnsi="宋体" w:eastAsia="宋体"/>
          <w:b/>
          <w:color w:val="auto"/>
          <w:sz w:val="24"/>
          <w:szCs w:val="24"/>
          <w:highlight w:val="none"/>
          <w:lang w:val="en-US" w:eastAsia="zh-CN" w:bidi="ar"/>
        </w:rPr>
        <w:t>响应承诺函</w:t>
      </w:r>
    </w:p>
    <w:p w14:paraId="37404448">
      <w:pPr>
        <w:spacing w:line="360" w:lineRule="auto"/>
        <w:jc w:val="center"/>
        <w:outlineLvl w:val="1"/>
        <w:rPr>
          <w:rFonts w:hint="default" w:ascii="宋体" w:hAnsi="宋体" w:eastAsia="宋体"/>
          <w:b/>
          <w:color w:val="auto"/>
          <w:sz w:val="24"/>
          <w:szCs w:val="24"/>
          <w:highlight w:val="none"/>
          <w:lang w:val="en-US" w:eastAsia="zh-CN"/>
        </w:rPr>
      </w:pPr>
      <w:r>
        <w:rPr>
          <w:rFonts w:hint="eastAsia" w:ascii="宋体" w:hAnsi="宋体" w:eastAsia="宋体"/>
          <w:b w:val="0"/>
          <w:bCs/>
          <w:color w:val="auto"/>
          <w:sz w:val="24"/>
          <w:szCs w:val="24"/>
          <w:highlight w:val="none"/>
          <w:lang w:val="en-US" w:eastAsia="zh-CN"/>
        </w:rPr>
        <w:t>按招标文件P66页评审要求提供响应承诺函，格式自拟</w:t>
      </w:r>
    </w:p>
    <w:p w14:paraId="67890DD4">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br w:type="page"/>
      </w:r>
    </w:p>
    <w:p w14:paraId="27CA8BB0">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t>三、商务标格式文件</w:t>
      </w:r>
    </w:p>
    <w:p w14:paraId="204C94A3">
      <w:pPr>
        <w:jc w:val="center"/>
        <w:rPr>
          <w:rFonts w:hint="eastAsia" w:ascii="黑体" w:hAnsi="宋体" w:eastAsia="黑体" w:cs="黑体"/>
          <w:color w:val="auto"/>
          <w:sz w:val="20"/>
          <w:highlight w:val="none"/>
        </w:rPr>
      </w:pPr>
      <w:r>
        <w:rPr>
          <w:rFonts w:hint="eastAsia" w:ascii="黑体" w:hAnsi="宋体" w:eastAsia="黑体" w:cs="黑体"/>
          <w:color w:val="auto"/>
          <w:sz w:val="20"/>
          <w:highlight w:val="none"/>
          <w:lang w:bidi="ar"/>
        </w:rPr>
        <w:t xml:space="preserve"> </w:t>
      </w:r>
    </w:p>
    <w:p w14:paraId="6CD99411">
      <w:pPr>
        <w:rPr>
          <w:rFonts w:hint="eastAsia" w:ascii="黑体" w:hAnsi="宋体" w:eastAsia="黑体" w:cs="黑体"/>
          <w:color w:val="auto"/>
          <w:sz w:val="20"/>
          <w:highlight w:val="none"/>
        </w:rPr>
      </w:pPr>
      <w:r>
        <w:rPr>
          <w:rFonts w:hint="eastAsia" w:ascii="黑体" w:hAnsi="宋体" w:eastAsia="黑体" w:cs="黑体"/>
          <w:color w:val="auto"/>
          <w:sz w:val="20"/>
          <w:highlight w:val="none"/>
          <w:lang w:bidi="ar"/>
        </w:rPr>
        <w:t xml:space="preserve"> </w:t>
      </w:r>
    </w:p>
    <w:p w14:paraId="522281A9">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4DEC5513">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2503328C">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商务标</w:t>
      </w:r>
    </w:p>
    <w:p w14:paraId="0C1D0D1A">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bidi="ar"/>
        </w:rPr>
        <w:t>（投标文件三）</w:t>
      </w:r>
    </w:p>
    <w:p w14:paraId="0AB700A0">
      <w:pPr>
        <w:jc w:val="center"/>
        <w:rPr>
          <w:rFonts w:hint="eastAsia" w:ascii="宋体" w:hAnsi="宋体" w:eastAsia="宋体" w:cs="宋体"/>
          <w:color w:val="auto"/>
          <w:sz w:val="32"/>
          <w:szCs w:val="32"/>
          <w:highlight w:val="none"/>
          <w:u w:val="single"/>
        </w:rPr>
      </w:pPr>
    </w:p>
    <w:p w14:paraId="217489F5">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lang w:bidi="ar"/>
        </w:rPr>
        <w:t xml:space="preserve">        </w:t>
      </w:r>
      <w:r>
        <w:rPr>
          <w:rFonts w:hint="eastAsia" w:ascii="宋体" w:hAnsi="宋体" w:eastAsia="宋体" w:cs="宋体"/>
          <w:color w:val="auto"/>
          <w:sz w:val="32"/>
          <w:szCs w:val="32"/>
          <w:highlight w:val="none"/>
          <w:lang w:bidi="ar"/>
        </w:rPr>
        <w:t>项目</w:t>
      </w:r>
    </w:p>
    <w:p w14:paraId="09CDE066">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7776A2DE">
      <w:pPr>
        <w:jc w:val="center"/>
        <w:rPr>
          <w:rFonts w:hint="eastAsia" w:ascii="宋体" w:hAnsi="宋体" w:eastAsia="宋体" w:cs="宋体"/>
          <w:color w:val="auto"/>
          <w:sz w:val="44"/>
          <w:szCs w:val="44"/>
          <w:highlight w:val="none"/>
        </w:rPr>
      </w:pPr>
      <w:r>
        <w:rPr>
          <w:rFonts w:hint="eastAsia" w:ascii="宋体" w:hAnsi="宋体" w:eastAsia="宋体" w:cs="宋体"/>
          <w:color w:val="auto"/>
          <w:sz w:val="28"/>
          <w:szCs w:val="28"/>
          <w:highlight w:val="none"/>
          <w:lang w:bidi="ar"/>
        </w:rPr>
        <w:t>项目编号：</w:t>
      </w:r>
      <w:r>
        <w:rPr>
          <w:rFonts w:hint="eastAsia" w:ascii="宋体" w:hAnsi="宋体" w:eastAsia="宋体" w:cs="宋体"/>
          <w:color w:val="auto"/>
          <w:sz w:val="28"/>
          <w:szCs w:val="28"/>
          <w:highlight w:val="none"/>
          <w:u w:val="single"/>
          <w:lang w:bidi="ar"/>
        </w:rPr>
        <w:t xml:space="preserve">     </w:t>
      </w:r>
    </w:p>
    <w:p w14:paraId="15891CEF">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1FA627BB">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4CB4E974">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232D02A9">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2187A7C2">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6B52622A">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21DB1014">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0996F6E9">
      <w:pPr>
        <w:autoSpaceDE w:val="0"/>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bidi="ar"/>
        </w:rPr>
        <w:t>投标人：</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（签章）</w:t>
      </w:r>
    </w:p>
    <w:p w14:paraId="1713A90C">
      <w:pPr>
        <w:autoSpaceDE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法定代表人：</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（签章）</w:t>
      </w:r>
    </w:p>
    <w:p w14:paraId="72E5822D">
      <w:pPr>
        <w:autoSpaceDE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年</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月</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日</w:t>
      </w:r>
    </w:p>
    <w:p w14:paraId="06CA281B">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390E1E14">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br w:type="page"/>
      </w:r>
    </w:p>
    <w:p w14:paraId="5BB21128">
      <w:pPr>
        <w:spacing w:line="400" w:lineRule="exact"/>
        <w:ind w:firstLine="3379" w:firstLineChars="935"/>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bidi="ar"/>
        </w:rPr>
        <w:t>目   录</w:t>
      </w:r>
    </w:p>
    <w:p w14:paraId="4FA06A40">
      <w:pPr>
        <w:spacing w:line="400" w:lineRule="exact"/>
        <w:ind w:firstLine="4130" w:firstLineChars="935"/>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6BE732C8">
      <w:pPr>
        <w:spacing w:line="440" w:lineRule="exact"/>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（1）开标一览表（格式见附件）；</w:t>
      </w:r>
    </w:p>
    <w:p w14:paraId="5368EE37">
      <w:pPr>
        <w:spacing w:line="440" w:lineRule="exact"/>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（2）投标函（格式见附件）；</w:t>
      </w:r>
    </w:p>
    <w:p w14:paraId="038A3E2B">
      <w:pPr>
        <w:spacing w:line="440" w:lineRule="exact"/>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（3）投标分项报价表（格式见附件）；</w:t>
      </w:r>
    </w:p>
    <w:p w14:paraId="4E1EE0BD">
      <w:pPr>
        <w:spacing w:line="440" w:lineRule="exact"/>
        <w:ind w:left="42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（4）中小企业声明函，残疾人福利性企业（格式见附件）；</w:t>
      </w:r>
    </w:p>
    <w:p w14:paraId="464648AA">
      <w:pPr>
        <w:spacing w:line="440" w:lineRule="exact"/>
        <w:ind w:left="42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（5）省级以上监狱管理局、戒毒管理局（含新疆生产建设兵团）出具的属于监狱企业的证明（如是）</w:t>
      </w:r>
    </w:p>
    <w:p w14:paraId="6A0721CD">
      <w:pPr>
        <w:spacing w:line="440" w:lineRule="exact"/>
        <w:ind w:left="42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val="en-US" w:eastAsia="zh-CN" w:bidi="ar"/>
        </w:rPr>
        <w:t>6</w:t>
      </w:r>
      <w:r>
        <w:rPr>
          <w:rFonts w:hint="eastAsia" w:ascii="宋体" w:hAnsi="宋体" w:eastAsia="宋体" w:cs="宋体"/>
          <w:color w:val="auto"/>
          <w:szCs w:val="21"/>
          <w:highlight w:val="none"/>
          <w:lang w:bidi="ar"/>
        </w:rPr>
        <w:t>）招标文件商务评审中要求提供的其他相关资料；</w:t>
      </w:r>
    </w:p>
    <w:p w14:paraId="7B6442C8">
      <w:pPr>
        <w:spacing w:line="440" w:lineRule="exact"/>
        <w:ind w:left="42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val="en-US" w:eastAsia="zh-CN" w:bidi="ar"/>
        </w:rPr>
        <w:t>7</w:t>
      </w:r>
      <w:r>
        <w:rPr>
          <w:rFonts w:hint="eastAsia" w:ascii="宋体" w:hAnsi="宋体" w:eastAsia="宋体" w:cs="宋体"/>
          <w:color w:val="auto"/>
          <w:szCs w:val="21"/>
          <w:highlight w:val="none"/>
          <w:lang w:bidi="ar"/>
        </w:rPr>
        <w:t>）投标人认为需要提供的其他材料；</w:t>
      </w:r>
    </w:p>
    <w:p w14:paraId="5D8A80D4">
      <w:pPr>
        <w:spacing w:line="440" w:lineRule="exact"/>
        <w:ind w:left="42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val="en-US" w:eastAsia="zh-CN" w:bidi="ar"/>
        </w:rPr>
        <w:t>8</w:t>
      </w:r>
      <w:r>
        <w:rPr>
          <w:rFonts w:hint="eastAsia" w:ascii="宋体" w:hAnsi="宋体" w:eastAsia="宋体" w:cs="宋体"/>
          <w:color w:val="auto"/>
          <w:szCs w:val="21"/>
          <w:highlight w:val="none"/>
          <w:lang w:bidi="ar"/>
        </w:rPr>
        <w:t>）其他（如有）。</w:t>
      </w:r>
    </w:p>
    <w:p w14:paraId="665189ED">
      <w:pPr>
        <w:spacing w:line="440" w:lineRule="exact"/>
        <w:ind w:left="420"/>
        <w:rPr>
          <w:rFonts w:hint="eastAsia" w:ascii="宋体" w:hAnsi="宋体" w:eastAsia="宋体" w:cs="宋体"/>
          <w:color w:val="auto"/>
          <w:szCs w:val="21"/>
          <w:highlight w:val="none"/>
        </w:rPr>
      </w:pPr>
    </w:p>
    <w:p w14:paraId="60B0A7B8">
      <w:pPr>
        <w:spacing w:line="440" w:lineRule="exact"/>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4A202CCF">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113311CE">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br w:type="page"/>
      </w:r>
    </w:p>
    <w:p w14:paraId="1DCCF4C9">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（1）开标一览表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3"/>
        <w:gridCol w:w="6219"/>
      </w:tblGrid>
      <w:tr w14:paraId="3119C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51" w:type="pct"/>
            <w:tcBorders>
              <w:top w:val="single" w:color="auto" w:sz="4" w:space="0"/>
              <w:left w:val="single" w:color="auto" w:sz="4" w:space="0"/>
              <w:bottom w:val="single" w:color="auto" w:sz="4" w:space="0"/>
              <w:right w:val="single" w:color="auto" w:sz="4" w:space="0"/>
            </w:tcBorders>
            <w:noWrap w:val="0"/>
            <w:vAlign w:val="center"/>
          </w:tcPr>
          <w:p w14:paraId="4DE0FD01">
            <w:pPr>
              <w:keepNext w:val="0"/>
              <w:keepLines w:val="0"/>
              <w:widowControl/>
              <w:suppressLineNumbers w:val="0"/>
              <w:spacing w:before="0" w:beforeAutospacing="0" w:after="0" w:afterAutospacing="0" w:line="360" w:lineRule="exact"/>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项目名称</w:t>
            </w:r>
          </w:p>
        </w:tc>
        <w:tc>
          <w:tcPr>
            <w:tcW w:w="3647" w:type="pct"/>
            <w:tcBorders>
              <w:top w:val="single" w:color="auto" w:sz="4" w:space="0"/>
              <w:left w:val="nil"/>
              <w:bottom w:val="single" w:color="auto" w:sz="4" w:space="0"/>
              <w:right w:val="single" w:color="auto" w:sz="4" w:space="0"/>
            </w:tcBorders>
            <w:noWrap w:val="0"/>
            <w:vAlign w:val="center"/>
          </w:tcPr>
          <w:p w14:paraId="32218E2D">
            <w:pPr>
              <w:keepNext w:val="0"/>
              <w:keepLines w:val="0"/>
              <w:suppressLineNumbers w:val="0"/>
              <w:spacing w:before="0" w:beforeAutospacing="0" w:after="0" w:afterAutospacing="0" w:line="360" w:lineRule="exact"/>
              <w:ind w:left="0" w:right="0"/>
              <w:jc w:val="center"/>
              <w:rPr>
                <w:rFonts w:hint="eastAsia" w:ascii="宋体" w:hAnsi="宋体" w:eastAsia="宋体"/>
                <w:bCs/>
                <w:color w:val="auto"/>
                <w:sz w:val="24"/>
                <w:szCs w:val="24"/>
                <w:highlight w:val="none"/>
                <w:u w:val="single"/>
              </w:rPr>
            </w:pPr>
          </w:p>
        </w:tc>
      </w:tr>
      <w:tr w14:paraId="47614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1" w:type="pct"/>
            <w:tcBorders>
              <w:top w:val="nil"/>
              <w:left w:val="single" w:color="auto" w:sz="4" w:space="0"/>
              <w:bottom w:val="single" w:color="auto" w:sz="4" w:space="0"/>
              <w:right w:val="single" w:color="auto" w:sz="4" w:space="0"/>
            </w:tcBorders>
            <w:noWrap w:val="0"/>
            <w:vAlign w:val="center"/>
          </w:tcPr>
          <w:p w14:paraId="6395EEDE">
            <w:pPr>
              <w:keepNext w:val="0"/>
              <w:keepLines w:val="0"/>
              <w:suppressLineNumbers w:val="0"/>
              <w:spacing w:before="0" w:beforeAutospacing="0" w:after="0" w:afterAutospacing="0" w:line="360" w:lineRule="exact"/>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投标人全称</w:t>
            </w:r>
          </w:p>
        </w:tc>
        <w:tc>
          <w:tcPr>
            <w:tcW w:w="3647" w:type="pct"/>
            <w:tcBorders>
              <w:top w:val="nil"/>
              <w:left w:val="single" w:color="auto" w:sz="4" w:space="0"/>
              <w:bottom w:val="single" w:color="auto" w:sz="4" w:space="0"/>
              <w:right w:val="single" w:color="auto" w:sz="4" w:space="0"/>
            </w:tcBorders>
            <w:noWrap w:val="0"/>
            <w:vAlign w:val="center"/>
          </w:tcPr>
          <w:p w14:paraId="45460F41">
            <w:pPr>
              <w:keepNext w:val="0"/>
              <w:keepLines w:val="0"/>
              <w:suppressLineNumbers w:val="0"/>
              <w:spacing w:before="0" w:beforeAutospacing="0" w:after="0" w:afterAutospacing="0" w:line="360" w:lineRule="auto"/>
              <w:ind w:left="0" w:right="0"/>
              <w:rPr>
                <w:rFonts w:hint="eastAsia" w:ascii="宋体" w:hAnsi="宋体" w:eastAsia="宋体"/>
                <w:color w:val="auto"/>
                <w:sz w:val="24"/>
                <w:szCs w:val="24"/>
                <w:highlight w:val="none"/>
              </w:rPr>
            </w:pPr>
          </w:p>
        </w:tc>
      </w:tr>
      <w:tr w14:paraId="6CD72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351" w:type="pct"/>
            <w:tcBorders>
              <w:top w:val="nil"/>
              <w:left w:val="single" w:color="auto" w:sz="4" w:space="0"/>
              <w:bottom w:val="single" w:color="auto" w:sz="4" w:space="0"/>
              <w:right w:val="single" w:color="auto" w:sz="4" w:space="0"/>
            </w:tcBorders>
            <w:noWrap w:val="0"/>
            <w:vAlign w:val="center"/>
          </w:tcPr>
          <w:p w14:paraId="7985FD75">
            <w:pPr>
              <w:keepNext w:val="0"/>
              <w:keepLines w:val="0"/>
              <w:suppressLineNumbers w:val="0"/>
              <w:spacing w:before="0" w:beforeAutospacing="0" w:after="0" w:afterAutospacing="0" w:line="360" w:lineRule="exact"/>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投标范围</w:t>
            </w:r>
          </w:p>
        </w:tc>
        <w:tc>
          <w:tcPr>
            <w:tcW w:w="3647" w:type="pct"/>
            <w:tcBorders>
              <w:top w:val="nil"/>
              <w:left w:val="single" w:color="auto" w:sz="4" w:space="0"/>
              <w:bottom w:val="single" w:color="auto" w:sz="4" w:space="0"/>
              <w:right w:val="single" w:color="auto" w:sz="4" w:space="0"/>
            </w:tcBorders>
            <w:noWrap w:val="0"/>
            <w:vAlign w:val="center"/>
          </w:tcPr>
          <w:p w14:paraId="2FC33AA4">
            <w:pPr>
              <w:keepNext w:val="0"/>
              <w:keepLines w:val="0"/>
              <w:widowControl/>
              <w:suppressLineNumbers w:val="0"/>
              <w:autoSpaceDE w:val="0"/>
              <w:spacing w:before="0" w:beforeAutospacing="0" w:after="0" w:afterAutospacing="0" w:line="360" w:lineRule="auto"/>
              <w:ind w:left="0" w:right="0"/>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全部</w:t>
            </w:r>
          </w:p>
        </w:tc>
      </w:tr>
      <w:tr w14:paraId="18AA8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1351" w:type="pct"/>
            <w:tcBorders>
              <w:top w:val="nil"/>
              <w:left w:val="single" w:color="auto" w:sz="4" w:space="0"/>
              <w:bottom w:val="single" w:color="auto" w:sz="4" w:space="0"/>
              <w:right w:val="single" w:color="auto" w:sz="4" w:space="0"/>
            </w:tcBorders>
            <w:noWrap w:val="0"/>
            <w:vAlign w:val="center"/>
          </w:tcPr>
          <w:p w14:paraId="4205ADB5">
            <w:pPr>
              <w:keepNext w:val="0"/>
              <w:keepLines w:val="0"/>
              <w:suppressLineNumbers w:val="0"/>
              <w:spacing w:before="0" w:beforeAutospacing="0" w:after="0" w:afterAutospacing="0" w:line="360" w:lineRule="exact"/>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投标报价</w:t>
            </w:r>
          </w:p>
        </w:tc>
        <w:tc>
          <w:tcPr>
            <w:tcW w:w="3647" w:type="pct"/>
            <w:tcBorders>
              <w:top w:val="nil"/>
              <w:left w:val="single" w:color="auto" w:sz="4" w:space="0"/>
              <w:bottom w:val="single" w:color="auto" w:sz="4" w:space="0"/>
              <w:right w:val="single" w:color="auto" w:sz="4" w:space="0"/>
            </w:tcBorders>
            <w:noWrap w:val="0"/>
            <w:vAlign w:val="center"/>
          </w:tcPr>
          <w:p w14:paraId="417E0FCF">
            <w:pPr>
              <w:keepNext w:val="0"/>
              <w:keepLines w:val="0"/>
              <w:suppressLineNumbers w:val="0"/>
              <w:autoSpaceDE w:val="0"/>
              <w:snapToGrid w:val="0"/>
              <w:spacing w:before="0" w:beforeAutospacing="0" w:after="0" w:afterAutospacing="0" w:line="360" w:lineRule="auto"/>
              <w:ind w:left="0" w:right="0"/>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lang w:bidi="ar"/>
              </w:rPr>
              <w:t>大写：</w:t>
            </w:r>
            <w:r>
              <w:rPr>
                <w:rFonts w:hint="eastAsia" w:ascii="宋体" w:hAnsi="宋体" w:eastAsia="宋体" w:cs="宋体"/>
                <w:bCs/>
                <w:color w:val="auto"/>
                <w:sz w:val="24"/>
                <w:szCs w:val="24"/>
                <w:highlight w:val="none"/>
                <w:u w:val="single"/>
                <w:lang w:bidi="ar"/>
              </w:rPr>
              <w:t xml:space="preserve">                     </w:t>
            </w:r>
          </w:p>
          <w:p w14:paraId="2F512C30">
            <w:pPr>
              <w:keepNext w:val="0"/>
              <w:keepLines w:val="0"/>
              <w:suppressLineNumbers w:val="0"/>
              <w:autoSpaceDE w:val="0"/>
              <w:spacing w:before="0" w:beforeAutospacing="0" w:after="0" w:afterAutospacing="0" w:line="360" w:lineRule="auto"/>
              <w:ind w:left="0" w:right="-670"/>
              <w:rPr>
                <w:rFonts w:hint="eastAsia" w:ascii="宋体" w:hAnsi="宋体" w:eastAsia="宋体"/>
                <w:color w:val="auto"/>
                <w:sz w:val="24"/>
                <w:szCs w:val="24"/>
                <w:highlight w:val="none"/>
              </w:rPr>
            </w:pPr>
            <w:r>
              <w:rPr>
                <w:rFonts w:hint="eastAsia" w:ascii="宋体" w:hAnsi="宋体" w:eastAsia="宋体" w:cs="宋体"/>
                <w:bCs/>
                <w:color w:val="auto"/>
                <w:sz w:val="24"/>
                <w:szCs w:val="24"/>
                <w:highlight w:val="none"/>
                <w:lang w:bidi="ar"/>
              </w:rPr>
              <w:t>小写：</w:t>
            </w:r>
            <w:r>
              <w:rPr>
                <w:rFonts w:hint="eastAsia" w:ascii="宋体" w:hAnsi="宋体" w:eastAsia="宋体" w:cs="宋体"/>
                <w:bCs/>
                <w:color w:val="auto"/>
                <w:sz w:val="24"/>
                <w:szCs w:val="24"/>
                <w:highlight w:val="none"/>
                <w:u w:val="single"/>
                <w:lang w:bidi="ar"/>
              </w:rPr>
              <w:t xml:space="preserve">                     </w:t>
            </w:r>
          </w:p>
        </w:tc>
      </w:tr>
      <w:tr w14:paraId="7A68C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1" w:type="pct"/>
            <w:tcBorders>
              <w:top w:val="nil"/>
              <w:left w:val="single" w:color="auto" w:sz="4" w:space="0"/>
              <w:bottom w:val="single" w:color="auto" w:sz="4" w:space="0"/>
              <w:right w:val="single" w:color="auto" w:sz="4" w:space="0"/>
            </w:tcBorders>
            <w:noWrap w:val="0"/>
            <w:vAlign w:val="center"/>
          </w:tcPr>
          <w:p w14:paraId="252E81F5">
            <w:pPr>
              <w:keepNext w:val="0"/>
              <w:keepLines w:val="0"/>
              <w:suppressLineNumbers w:val="0"/>
              <w:spacing w:before="0" w:beforeAutospacing="0" w:after="0" w:afterAutospacing="0" w:line="360" w:lineRule="auto"/>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其他</w:t>
            </w:r>
          </w:p>
        </w:tc>
        <w:tc>
          <w:tcPr>
            <w:tcW w:w="3647" w:type="pct"/>
            <w:tcBorders>
              <w:top w:val="nil"/>
              <w:left w:val="single" w:color="auto" w:sz="4" w:space="0"/>
              <w:bottom w:val="single" w:color="auto" w:sz="4" w:space="0"/>
              <w:right w:val="single" w:color="auto" w:sz="4" w:space="0"/>
            </w:tcBorders>
            <w:noWrap w:val="0"/>
            <w:vAlign w:val="center"/>
          </w:tcPr>
          <w:p w14:paraId="54805FFA">
            <w:pPr>
              <w:keepNext w:val="0"/>
              <w:keepLines w:val="0"/>
              <w:suppressLineNumbers w:val="0"/>
              <w:spacing w:before="0" w:beforeAutospacing="0" w:after="0" w:afterAutospacing="0" w:line="360" w:lineRule="auto"/>
              <w:ind w:left="0" w:right="0"/>
              <w:jc w:val="left"/>
              <w:rPr>
                <w:rFonts w:hint="eastAsia" w:ascii="宋体" w:hAnsi="宋体" w:eastAsia="宋体"/>
                <w:color w:val="auto"/>
                <w:sz w:val="24"/>
                <w:szCs w:val="24"/>
                <w:highlight w:val="none"/>
              </w:rPr>
            </w:pPr>
          </w:p>
        </w:tc>
      </w:tr>
    </w:tbl>
    <w:p w14:paraId="64025DD0">
      <w:pPr>
        <w:spacing w:line="360" w:lineRule="auto"/>
        <w:ind w:firstLine="4320" w:firstLineChars="1800"/>
        <w:jc w:val="center"/>
        <w:rPr>
          <w:rFonts w:hint="eastAsia" w:ascii="宋体" w:hAnsi="宋体" w:eastAsia="宋体"/>
          <w:bCs/>
          <w:color w:val="auto"/>
          <w:sz w:val="24"/>
          <w:szCs w:val="24"/>
          <w:highlight w:val="none"/>
          <w:u w:val="single"/>
        </w:rPr>
      </w:pPr>
      <w:r>
        <w:rPr>
          <w:rFonts w:hint="eastAsia" w:ascii="宋体" w:hAnsi="宋体" w:eastAsia="宋体" w:cs="宋体"/>
          <w:bCs/>
          <w:color w:val="auto"/>
          <w:sz w:val="24"/>
          <w:szCs w:val="24"/>
          <w:highlight w:val="none"/>
          <w:lang w:bidi="ar"/>
        </w:rPr>
        <w:t>投标人电子签章：</w:t>
      </w:r>
      <w:r>
        <w:rPr>
          <w:rFonts w:hint="eastAsia" w:ascii="宋体" w:hAnsi="宋体" w:eastAsia="宋体"/>
          <w:bCs/>
          <w:color w:val="auto"/>
          <w:sz w:val="24"/>
          <w:szCs w:val="24"/>
          <w:highlight w:val="none"/>
          <w:u w:val="single"/>
          <w:lang w:bidi="ar"/>
        </w:rPr>
        <w:t xml:space="preserve">             </w:t>
      </w:r>
    </w:p>
    <w:p w14:paraId="08F8A9AE">
      <w:pPr>
        <w:spacing w:line="360" w:lineRule="auto"/>
        <w:ind w:firstLine="4320" w:firstLineChars="1800"/>
        <w:jc w:val="center"/>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日</w:t>
      </w:r>
      <w:r>
        <w:rPr>
          <w:rFonts w:hint="eastAsia" w:ascii="宋体" w:hAnsi="宋体" w:eastAsia="宋体"/>
          <w:bCs/>
          <w:color w:val="auto"/>
          <w:sz w:val="24"/>
          <w:szCs w:val="24"/>
          <w:highlight w:val="none"/>
          <w:lang w:bidi="ar"/>
        </w:rPr>
        <w:t xml:space="preserve">          </w:t>
      </w:r>
      <w:r>
        <w:rPr>
          <w:rFonts w:hint="eastAsia" w:ascii="宋体" w:hAnsi="宋体" w:eastAsia="宋体" w:cs="宋体"/>
          <w:bCs/>
          <w:color w:val="auto"/>
          <w:sz w:val="24"/>
          <w:szCs w:val="24"/>
          <w:highlight w:val="none"/>
          <w:lang w:bidi="ar"/>
        </w:rPr>
        <w:t>期：</w:t>
      </w:r>
      <w:r>
        <w:rPr>
          <w:rFonts w:hint="eastAsia" w:ascii="宋体" w:hAnsi="宋体" w:eastAsia="宋体"/>
          <w:bCs/>
          <w:color w:val="auto"/>
          <w:sz w:val="24"/>
          <w:szCs w:val="24"/>
          <w:highlight w:val="none"/>
          <w:u w:val="single"/>
          <w:lang w:bidi="ar"/>
        </w:rPr>
        <w:t xml:space="preserve">             </w:t>
      </w:r>
    </w:p>
    <w:p w14:paraId="665EBE15">
      <w:pP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6C42448E">
      <w:pPr>
        <w:spacing w:line="360" w:lineRule="auto"/>
        <w:ind w:firstLine="360" w:firstLineChars="15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3372F2FF">
      <w:pPr>
        <w:spacing w:line="360" w:lineRule="auto"/>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注：</w:t>
      </w:r>
    </w:p>
    <w:p w14:paraId="185CC043">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1</w:t>
      </w:r>
      <w:r>
        <w:rPr>
          <w:rFonts w:hint="eastAsia" w:ascii="宋体" w:hAnsi="宋体" w:eastAsia="宋体" w:cs="宋体"/>
          <w:color w:val="auto"/>
          <w:sz w:val="24"/>
          <w:szCs w:val="24"/>
          <w:highlight w:val="none"/>
          <w:lang w:bidi="ar"/>
        </w:rPr>
        <w:t>.此表用于开标唱标之用。</w:t>
      </w:r>
    </w:p>
    <w:p w14:paraId="23E88F8A">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2</w:t>
      </w:r>
      <w:r>
        <w:rPr>
          <w:rFonts w:hint="eastAsia" w:ascii="宋体" w:hAnsi="宋体" w:eastAsia="宋体" w:cs="宋体"/>
          <w:color w:val="auto"/>
          <w:sz w:val="24"/>
          <w:szCs w:val="24"/>
          <w:highlight w:val="none"/>
          <w:lang w:bidi="ar"/>
        </w:rPr>
        <w:t>.表中投标报价即为优惠后报价，并作为评审及定标依据。任何有选择或有条件的投标报价，或者表中某一包别填写多个报价，均为无效报价。</w:t>
      </w:r>
    </w:p>
    <w:p w14:paraId="154392CC">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3.表中大写金额与小写金额不一致的，以大写金额为准。</w:t>
      </w:r>
      <w:r>
        <w:rPr>
          <w:rFonts w:hint="eastAsia" w:ascii="宋体" w:hAnsi="宋体" w:eastAsia="宋体"/>
          <w:color w:val="auto"/>
          <w:sz w:val="24"/>
          <w:szCs w:val="24"/>
          <w:highlight w:val="none"/>
          <w:lang w:bidi="ar"/>
        </w:rPr>
        <w:br w:type="page"/>
      </w:r>
    </w:p>
    <w:p w14:paraId="2B53E39E">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（2）投标函</w:t>
      </w:r>
    </w:p>
    <w:p w14:paraId="29BD24B0">
      <w:pPr>
        <w:pStyle w:val="20"/>
        <w:spacing w:before="0" w:beforeAutospacing="0" w:after="0" w:afterAutospacing="0" w:line="360" w:lineRule="auto"/>
        <w:jc w:val="both"/>
        <w:rPr>
          <w:rFonts w:hint="eastAsia" w:ascii="宋体" w:hAnsi="宋体" w:eastAsia="宋体" w:cs="Arial"/>
          <w:b/>
          <w:color w:val="auto"/>
          <w:kern w:val="2"/>
          <w:szCs w:val="24"/>
          <w:highlight w:val="none"/>
          <w:u w:val="single"/>
        </w:rPr>
      </w:pPr>
      <w:r>
        <w:rPr>
          <w:rFonts w:hint="eastAsia" w:ascii="宋体" w:hAnsi="宋体" w:eastAsia="宋体" w:cs="宋体"/>
          <w:b/>
          <w:color w:val="auto"/>
          <w:kern w:val="2"/>
          <w:szCs w:val="24"/>
          <w:highlight w:val="none"/>
          <w:lang w:bidi="ar"/>
        </w:rPr>
        <w:t>致：</w:t>
      </w:r>
      <w:r>
        <w:rPr>
          <w:rFonts w:hint="eastAsia" w:ascii="宋体" w:hAnsi="宋体" w:eastAsia="宋体" w:cs="宋体"/>
          <w:b/>
          <w:color w:val="auto"/>
          <w:kern w:val="2"/>
          <w:szCs w:val="24"/>
          <w:highlight w:val="none"/>
          <w:u w:val="single"/>
          <w:lang w:bidi="ar"/>
        </w:rPr>
        <w:t>采购人</w:t>
      </w:r>
    </w:p>
    <w:p w14:paraId="796BA2B7">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根据贵方的招标公告和投标邀请，我方兹宣布同意如下：</w:t>
      </w:r>
    </w:p>
    <w:p w14:paraId="063D0EE1">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1.我方根据招标文件的规定，严格履行合同的责任和义务,并保证于买方要求的日期内完成，并通过买方验收。</w:t>
      </w:r>
    </w:p>
    <w:p w14:paraId="3E881DC1">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2.我方已详细审核全部招标文件，包括招标文件附件及更正公告（如有），我方正式认可并遵守本次招标文件，并对招标文件各项条款、规定及要求均无异议。</w:t>
      </w:r>
    </w:p>
    <w:p w14:paraId="57954B28">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3.我方同意从招标文件规定的开标日期起遵循本招标文件，并在招标文件规定的投标有效期之前均具有约束力。</w:t>
      </w:r>
    </w:p>
    <w:p w14:paraId="4D6FA667">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4.我方声明投标文件所提供的一切资料均真实无误、及时、有效，企业运营正常。由于我方提供资料不实而造成的责任和后果由我方承担。我方同意按照贵方提出的要求，提供与投标有关的任何证据、数据或资料。</w:t>
      </w:r>
    </w:p>
    <w:p w14:paraId="3B8D1D59">
      <w:pPr>
        <w:spacing w:line="360" w:lineRule="auto"/>
        <w:ind w:firstLine="4800" w:firstLineChars="200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1A0F52EB">
      <w:pPr>
        <w:spacing w:line="360" w:lineRule="auto"/>
        <w:ind w:firstLine="4800" w:firstLineChars="2000"/>
        <w:rPr>
          <w:rFonts w:hint="eastAsia"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投标人电子签章：</w:t>
      </w:r>
      <w:r>
        <w:rPr>
          <w:rFonts w:hint="eastAsia" w:ascii="宋体" w:hAnsi="宋体" w:eastAsia="宋体"/>
          <w:color w:val="auto"/>
          <w:sz w:val="24"/>
          <w:szCs w:val="24"/>
          <w:highlight w:val="none"/>
          <w:u w:val="single"/>
          <w:lang w:bidi="ar"/>
        </w:rPr>
        <w:t xml:space="preserve">             </w:t>
      </w:r>
    </w:p>
    <w:p w14:paraId="69B9FC7F">
      <w:pPr>
        <w:spacing w:line="360" w:lineRule="auto"/>
        <w:ind w:firstLine="4800" w:firstLineChars="2000"/>
        <w:rPr>
          <w:rFonts w:hint="eastAsia"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日</w:t>
      </w:r>
      <w:r>
        <w:rPr>
          <w:rFonts w:hint="eastAsia" w:ascii="宋体" w:hAnsi="宋体" w:eastAsia="宋体"/>
          <w:color w:val="auto"/>
          <w:sz w:val="24"/>
          <w:szCs w:val="24"/>
          <w:highlight w:val="none"/>
          <w:lang w:bidi="ar"/>
        </w:rPr>
        <w:t xml:space="preserve">          </w:t>
      </w:r>
      <w:r>
        <w:rPr>
          <w:rFonts w:hint="eastAsia" w:ascii="宋体" w:hAnsi="宋体" w:eastAsia="宋体" w:cs="宋体"/>
          <w:color w:val="auto"/>
          <w:sz w:val="24"/>
          <w:szCs w:val="24"/>
          <w:highlight w:val="none"/>
          <w:lang w:bidi="ar"/>
        </w:rPr>
        <w:t>期：</w:t>
      </w:r>
      <w:r>
        <w:rPr>
          <w:rFonts w:hint="eastAsia" w:ascii="宋体" w:hAnsi="宋体" w:eastAsia="宋体"/>
          <w:color w:val="auto"/>
          <w:sz w:val="24"/>
          <w:szCs w:val="24"/>
          <w:highlight w:val="none"/>
          <w:u w:val="single"/>
          <w:lang w:bidi="ar"/>
        </w:rPr>
        <w:t xml:space="preserve">             </w:t>
      </w:r>
    </w:p>
    <w:p w14:paraId="5D481402">
      <w:pPr>
        <w:widowControl/>
        <w:jc w:val="left"/>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u w:val="single"/>
          <w:lang w:bidi="ar"/>
        </w:rPr>
        <w:br w:type="page"/>
      </w:r>
    </w:p>
    <w:p w14:paraId="01C46B0E">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（3）投标分项报价表</w:t>
      </w:r>
    </w:p>
    <w:p w14:paraId="1396787A">
      <w:pPr>
        <w:spacing w:line="360" w:lineRule="auto"/>
        <w:ind w:firstLine="435"/>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323"/>
        <w:gridCol w:w="1318"/>
        <w:gridCol w:w="1318"/>
        <w:gridCol w:w="672"/>
        <w:gridCol w:w="672"/>
        <w:gridCol w:w="939"/>
        <w:gridCol w:w="939"/>
        <w:gridCol w:w="670"/>
      </w:tblGrid>
      <w:tr w14:paraId="53E84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3"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center"/>
          </w:tcPr>
          <w:p w14:paraId="2F8F6AFA">
            <w:pPr>
              <w:pStyle w:val="20"/>
              <w:keepNext w:val="0"/>
              <w:keepLines w:val="0"/>
              <w:suppressLineNumbers w:val="0"/>
              <w:spacing w:before="0" w:beforeAutospacing="0" w:after="0" w:afterAutospacing="0"/>
              <w:ind w:left="0" w:right="0"/>
              <w:jc w:val="center"/>
              <w:rPr>
                <w:rFonts w:hint="eastAsia" w:ascii="宋体" w:hAnsi="宋体" w:eastAsia="宋体" w:cs="@仿宋_GB2312"/>
                <w:b/>
                <w:color w:val="auto"/>
                <w:kern w:val="2"/>
                <w:szCs w:val="24"/>
                <w:highlight w:val="none"/>
              </w:rPr>
            </w:pPr>
            <w:r>
              <w:rPr>
                <w:rFonts w:hint="eastAsia" w:ascii="宋体" w:hAnsi="宋体" w:eastAsia="宋体" w:cs="宋体"/>
                <w:b/>
                <w:color w:val="auto"/>
                <w:kern w:val="2"/>
                <w:szCs w:val="24"/>
                <w:highlight w:val="none"/>
                <w:lang w:bidi="ar"/>
              </w:rPr>
              <w:t>序号</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762721BA">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货物名称</w:t>
            </w:r>
          </w:p>
        </w:tc>
        <w:tc>
          <w:tcPr>
            <w:tcW w:w="773" w:type="pct"/>
            <w:tcBorders>
              <w:top w:val="single" w:color="auto" w:sz="4" w:space="0"/>
              <w:left w:val="single" w:color="auto" w:sz="4" w:space="0"/>
              <w:bottom w:val="single" w:color="auto" w:sz="4" w:space="0"/>
              <w:right w:val="single" w:color="auto" w:sz="4" w:space="0"/>
            </w:tcBorders>
            <w:noWrap w:val="0"/>
            <w:vAlign w:val="center"/>
          </w:tcPr>
          <w:p w14:paraId="614FD5D7">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品牌、型</w:t>
            </w:r>
          </w:p>
          <w:p w14:paraId="1D37F49A">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号</w:t>
            </w:r>
          </w:p>
        </w:tc>
        <w:tc>
          <w:tcPr>
            <w:tcW w:w="773" w:type="pct"/>
            <w:tcBorders>
              <w:top w:val="single" w:color="auto" w:sz="4" w:space="0"/>
              <w:left w:val="single" w:color="auto" w:sz="4" w:space="0"/>
              <w:bottom w:val="single" w:color="auto" w:sz="4" w:space="0"/>
              <w:right w:val="single" w:color="auto" w:sz="4" w:space="0"/>
            </w:tcBorders>
            <w:noWrap w:val="0"/>
            <w:vAlign w:val="center"/>
          </w:tcPr>
          <w:p w14:paraId="1C76228D">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原产地及</w:t>
            </w:r>
          </w:p>
          <w:p w14:paraId="2E6C6018">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生产厂商</w:t>
            </w:r>
          </w:p>
        </w:tc>
        <w:tc>
          <w:tcPr>
            <w:tcW w:w="394" w:type="pct"/>
            <w:tcBorders>
              <w:top w:val="single" w:color="auto" w:sz="4" w:space="0"/>
              <w:left w:val="single" w:color="auto" w:sz="4" w:space="0"/>
              <w:bottom w:val="single" w:color="auto" w:sz="4" w:space="0"/>
              <w:right w:val="single" w:color="auto" w:sz="4" w:space="0"/>
            </w:tcBorders>
            <w:noWrap w:val="0"/>
            <w:vAlign w:val="center"/>
          </w:tcPr>
          <w:p w14:paraId="720947C5">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单位</w:t>
            </w:r>
          </w:p>
        </w:tc>
        <w:tc>
          <w:tcPr>
            <w:tcW w:w="394" w:type="pct"/>
            <w:tcBorders>
              <w:top w:val="single" w:color="auto" w:sz="4" w:space="0"/>
              <w:left w:val="single" w:color="auto" w:sz="4" w:space="0"/>
              <w:bottom w:val="single" w:color="auto" w:sz="4" w:space="0"/>
              <w:right w:val="single" w:color="auto" w:sz="4" w:space="0"/>
            </w:tcBorders>
            <w:noWrap w:val="0"/>
            <w:vAlign w:val="center"/>
          </w:tcPr>
          <w:p w14:paraId="3F811F0A">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数量</w:t>
            </w:r>
          </w:p>
        </w:tc>
        <w:tc>
          <w:tcPr>
            <w:tcW w:w="551" w:type="pct"/>
            <w:tcBorders>
              <w:top w:val="single" w:color="auto" w:sz="4" w:space="0"/>
              <w:left w:val="single" w:color="auto" w:sz="4" w:space="0"/>
              <w:bottom w:val="single" w:color="auto" w:sz="4" w:space="0"/>
              <w:right w:val="single" w:color="auto" w:sz="4" w:space="0"/>
            </w:tcBorders>
            <w:noWrap w:val="0"/>
            <w:vAlign w:val="center"/>
          </w:tcPr>
          <w:p w14:paraId="0697D67F">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单价</w:t>
            </w:r>
          </w:p>
          <w:p w14:paraId="74A27EB6">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（元）</w:t>
            </w:r>
          </w:p>
        </w:tc>
        <w:tc>
          <w:tcPr>
            <w:tcW w:w="551" w:type="pct"/>
            <w:tcBorders>
              <w:top w:val="single" w:color="auto" w:sz="4" w:space="0"/>
              <w:left w:val="single" w:color="auto" w:sz="4" w:space="0"/>
              <w:bottom w:val="single" w:color="auto" w:sz="4" w:space="0"/>
              <w:right w:val="single" w:color="auto" w:sz="4" w:space="0"/>
            </w:tcBorders>
            <w:noWrap w:val="0"/>
            <w:vAlign w:val="center"/>
          </w:tcPr>
          <w:p w14:paraId="4D91A38D">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小计</w:t>
            </w:r>
          </w:p>
          <w:p w14:paraId="5C4FD3C5">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（元）</w:t>
            </w:r>
          </w:p>
        </w:tc>
        <w:tc>
          <w:tcPr>
            <w:tcW w:w="393" w:type="pct"/>
            <w:tcBorders>
              <w:top w:val="single" w:color="auto" w:sz="4" w:space="0"/>
              <w:left w:val="single" w:color="auto" w:sz="4" w:space="0"/>
              <w:bottom w:val="single" w:color="auto" w:sz="4" w:space="0"/>
              <w:right w:val="single" w:color="auto" w:sz="4" w:space="0"/>
            </w:tcBorders>
            <w:noWrap w:val="0"/>
            <w:vAlign w:val="center"/>
          </w:tcPr>
          <w:p w14:paraId="66E856AB">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备注</w:t>
            </w:r>
          </w:p>
        </w:tc>
      </w:tr>
      <w:tr w14:paraId="1DC5D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top"/>
          </w:tcPr>
          <w:p w14:paraId="31E1E839">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w:t>
            </w:r>
          </w:p>
        </w:tc>
        <w:tc>
          <w:tcPr>
            <w:tcW w:w="776" w:type="pct"/>
            <w:tcBorders>
              <w:top w:val="single" w:color="auto" w:sz="4" w:space="0"/>
              <w:left w:val="single" w:color="auto" w:sz="4" w:space="0"/>
              <w:bottom w:val="single" w:color="auto" w:sz="4" w:space="0"/>
              <w:right w:val="single" w:color="auto" w:sz="4" w:space="0"/>
            </w:tcBorders>
            <w:noWrap w:val="0"/>
            <w:vAlign w:val="top"/>
          </w:tcPr>
          <w:p w14:paraId="00135B3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7F3FB8E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02368E13">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6D3B955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3C8F2C8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0EFD1E2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07ABF1C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noWrap w:val="0"/>
            <w:vAlign w:val="top"/>
          </w:tcPr>
          <w:p w14:paraId="5DEB3CE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410A7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top"/>
          </w:tcPr>
          <w:p w14:paraId="2E82ED2B">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2</w:t>
            </w:r>
          </w:p>
        </w:tc>
        <w:tc>
          <w:tcPr>
            <w:tcW w:w="776" w:type="pct"/>
            <w:tcBorders>
              <w:top w:val="single" w:color="auto" w:sz="4" w:space="0"/>
              <w:left w:val="single" w:color="auto" w:sz="4" w:space="0"/>
              <w:bottom w:val="single" w:color="auto" w:sz="4" w:space="0"/>
              <w:right w:val="single" w:color="auto" w:sz="4" w:space="0"/>
            </w:tcBorders>
            <w:noWrap w:val="0"/>
            <w:vAlign w:val="top"/>
          </w:tcPr>
          <w:p w14:paraId="20995523">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3A73979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5836BDF9">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4913C76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7079C59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3E10671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1F31CCF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noWrap w:val="0"/>
            <w:vAlign w:val="top"/>
          </w:tcPr>
          <w:p w14:paraId="55BD9A2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2A284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top"/>
          </w:tcPr>
          <w:p w14:paraId="08E51FA9">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3</w:t>
            </w:r>
          </w:p>
        </w:tc>
        <w:tc>
          <w:tcPr>
            <w:tcW w:w="776" w:type="pct"/>
            <w:tcBorders>
              <w:top w:val="single" w:color="auto" w:sz="4" w:space="0"/>
              <w:left w:val="single" w:color="auto" w:sz="4" w:space="0"/>
              <w:bottom w:val="single" w:color="auto" w:sz="4" w:space="0"/>
              <w:right w:val="single" w:color="auto" w:sz="4" w:space="0"/>
            </w:tcBorders>
            <w:noWrap w:val="0"/>
            <w:vAlign w:val="top"/>
          </w:tcPr>
          <w:p w14:paraId="0607D1E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10CE7A8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36D7301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1F20398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4D17E34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7CFED10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60D8BBF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noWrap w:val="0"/>
            <w:vAlign w:val="top"/>
          </w:tcPr>
          <w:p w14:paraId="2F150BA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63757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top"/>
          </w:tcPr>
          <w:p w14:paraId="0E56EA72">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4</w:t>
            </w:r>
          </w:p>
        </w:tc>
        <w:tc>
          <w:tcPr>
            <w:tcW w:w="776" w:type="pct"/>
            <w:tcBorders>
              <w:top w:val="single" w:color="auto" w:sz="4" w:space="0"/>
              <w:left w:val="single" w:color="auto" w:sz="4" w:space="0"/>
              <w:bottom w:val="single" w:color="auto" w:sz="4" w:space="0"/>
              <w:right w:val="single" w:color="auto" w:sz="4" w:space="0"/>
            </w:tcBorders>
            <w:noWrap w:val="0"/>
            <w:vAlign w:val="top"/>
          </w:tcPr>
          <w:p w14:paraId="74F8556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3A9C9027">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21BC9181">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7CD5F31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521531C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22E046D3">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74E99B05">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noWrap w:val="0"/>
            <w:vAlign w:val="top"/>
          </w:tcPr>
          <w:p w14:paraId="725DE82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74D8C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top"/>
          </w:tcPr>
          <w:p w14:paraId="1BD79586">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5</w:t>
            </w:r>
          </w:p>
        </w:tc>
        <w:tc>
          <w:tcPr>
            <w:tcW w:w="776" w:type="pct"/>
            <w:tcBorders>
              <w:top w:val="single" w:color="auto" w:sz="4" w:space="0"/>
              <w:left w:val="single" w:color="auto" w:sz="4" w:space="0"/>
              <w:bottom w:val="single" w:color="auto" w:sz="4" w:space="0"/>
              <w:right w:val="single" w:color="auto" w:sz="4" w:space="0"/>
            </w:tcBorders>
            <w:noWrap w:val="0"/>
            <w:vAlign w:val="top"/>
          </w:tcPr>
          <w:p w14:paraId="75474F13">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33759E3B">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38418867">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1A0AB53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389BA16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0C71F42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64B386FC">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noWrap w:val="0"/>
            <w:vAlign w:val="top"/>
          </w:tcPr>
          <w:p w14:paraId="2BDD6407">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5DDDE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top"/>
          </w:tcPr>
          <w:p w14:paraId="6AEDDF1D">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6</w:t>
            </w:r>
          </w:p>
        </w:tc>
        <w:tc>
          <w:tcPr>
            <w:tcW w:w="776" w:type="pct"/>
            <w:tcBorders>
              <w:top w:val="single" w:color="auto" w:sz="4" w:space="0"/>
              <w:left w:val="single" w:color="auto" w:sz="4" w:space="0"/>
              <w:bottom w:val="single" w:color="auto" w:sz="4" w:space="0"/>
              <w:right w:val="single" w:color="auto" w:sz="4" w:space="0"/>
            </w:tcBorders>
            <w:noWrap w:val="0"/>
            <w:vAlign w:val="top"/>
          </w:tcPr>
          <w:p w14:paraId="7340D0B6">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70EF611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1DC1BD9B">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73BCA551">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411023A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15D6745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20E62CE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noWrap w:val="0"/>
            <w:vAlign w:val="top"/>
          </w:tcPr>
          <w:p w14:paraId="230F2E11">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3C81E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top"/>
          </w:tcPr>
          <w:p w14:paraId="3F42CC89">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7</w:t>
            </w:r>
          </w:p>
        </w:tc>
        <w:tc>
          <w:tcPr>
            <w:tcW w:w="776" w:type="pct"/>
            <w:tcBorders>
              <w:top w:val="single" w:color="auto" w:sz="4" w:space="0"/>
              <w:left w:val="single" w:color="auto" w:sz="4" w:space="0"/>
              <w:bottom w:val="single" w:color="auto" w:sz="4" w:space="0"/>
              <w:right w:val="single" w:color="auto" w:sz="4" w:space="0"/>
            </w:tcBorders>
            <w:noWrap w:val="0"/>
            <w:vAlign w:val="top"/>
          </w:tcPr>
          <w:p w14:paraId="49326DF1">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7390FAB1">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5BFF2985">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06E3AF6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461E2B1C">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6A8D16E1">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06A348E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noWrap w:val="0"/>
            <w:vAlign w:val="top"/>
          </w:tcPr>
          <w:p w14:paraId="6B6A433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11351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top"/>
          </w:tcPr>
          <w:p w14:paraId="13CAA597">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8</w:t>
            </w:r>
          </w:p>
        </w:tc>
        <w:tc>
          <w:tcPr>
            <w:tcW w:w="776" w:type="pct"/>
            <w:tcBorders>
              <w:top w:val="single" w:color="auto" w:sz="4" w:space="0"/>
              <w:left w:val="single" w:color="auto" w:sz="4" w:space="0"/>
              <w:bottom w:val="single" w:color="auto" w:sz="4" w:space="0"/>
              <w:right w:val="single" w:color="auto" w:sz="4" w:space="0"/>
            </w:tcBorders>
            <w:noWrap w:val="0"/>
            <w:vAlign w:val="top"/>
          </w:tcPr>
          <w:p w14:paraId="158B0783">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4BCF2DC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050163E3">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38DF9A9B">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35A00BE3">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5BF8D4F5">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6333AD15">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noWrap w:val="0"/>
            <w:vAlign w:val="top"/>
          </w:tcPr>
          <w:p w14:paraId="5F1718A7">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5FCFD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top"/>
          </w:tcPr>
          <w:p w14:paraId="73DF04D7">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9</w:t>
            </w:r>
          </w:p>
        </w:tc>
        <w:tc>
          <w:tcPr>
            <w:tcW w:w="776" w:type="pct"/>
            <w:tcBorders>
              <w:top w:val="single" w:color="auto" w:sz="4" w:space="0"/>
              <w:left w:val="single" w:color="auto" w:sz="4" w:space="0"/>
              <w:bottom w:val="single" w:color="auto" w:sz="4" w:space="0"/>
              <w:right w:val="single" w:color="auto" w:sz="4" w:space="0"/>
            </w:tcBorders>
            <w:noWrap w:val="0"/>
            <w:vAlign w:val="top"/>
          </w:tcPr>
          <w:p w14:paraId="4750AA93">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6948ED6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120A9C06">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550ECB7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0794115B">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361A27C6">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6FA397A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noWrap w:val="0"/>
            <w:vAlign w:val="top"/>
          </w:tcPr>
          <w:p w14:paraId="5892E081">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13481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top"/>
          </w:tcPr>
          <w:p w14:paraId="0719DCCA">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10</w:t>
            </w:r>
          </w:p>
        </w:tc>
        <w:tc>
          <w:tcPr>
            <w:tcW w:w="776" w:type="pct"/>
            <w:tcBorders>
              <w:top w:val="single" w:color="auto" w:sz="4" w:space="0"/>
              <w:left w:val="single" w:color="auto" w:sz="4" w:space="0"/>
              <w:bottom w:val="single" w:color="auto" w:sz="4" w:space="0"/>
              <w:right w:val="single" w:color="auto" w:sz="4" w:space="0"/>
            </w:tcBorders>
            <w:noWrap w:val="0"/>
            <w:vAlign w:val="top"/>
          </w:tcPr>
          <w:p w14:paraId="3FFF4FC1">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78F53C59">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20F21EB7">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2430DB38">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0E969F39">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50352935">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6510572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noWrap w:val="0"/>
            <w:vAlign w:val="top"/>
          </w:tcPr>
          <w:p w14:paraId="30635738">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1B26E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top"/>
          </w:tcPr>
          <w:p w14:paraId="787DD49A">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11</w:t>
            </w:r>
          </w:p>
        </w:tc>
        <w:tc>
          <w:tcPr>
            <w:tcW w:w="776" w:type="pct"/>
            <w:tcBorders>
              <w:top w:val="single" w:color="auto" w:sz="4" w:space="0"/>
              <w:left w:val="single" w:color="auto" w:sz="4" w:space="0"/>
              <w:bottom w:val="single" w:color="auto" w:sz="4" w:space="0"/>
              <w:right w:val="single" w:color="auto" w:sz="4" w:space="0"/>
            </w:tcBorders>
            <w:noWrap w:val="0"/>
            <w:vAlign w:val="top"/>
          </w:tcPr>
          <w:p w14:paraId="7393B34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05F4419B">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70F8F5F6">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6F1B1598">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601543F9">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105A140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1242E093">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noWrap w:val="0"/>
            <w:vAlign w:val="top"/>
          </w:tcPr>
          <w:p w14:paraId="41194F65">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5DDFF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top"/>
          </w:tcPr>
          <w:p w14:paraId="651C51F8">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12</w:t>
            </w:r>
          </w:p>
        </w:tc>
        <w:tc>
          <w:tcPr>
            <w:tcW w:w="776" w:type="pct"/>
            <w:tcBorders>
              <w:top w:val="single" w:color="auto" w:sz="4" w:space="0"/>
              <w:left w:val="single" w:color="auto" w:sz="4" w:space="0"/>
              <w:bottom w:val="single" w:color="auto" w:sz="4" w:space="0"/>
              <w:right w:val="single" w:color="auto" w:sz="4" w:space="0"/>
            </w:tcBorders>
            <w:noWrap w:val="0"/>
            <w:vAlign w:val="top"/>
          </w:tcPr>
          <w:p w14:paraId="4765D491">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044D2278">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0DA10E25">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6E132329">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4241A8D5">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027B7C78">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5D3146D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noWrap w:val="0"/>
            <w:vAlign w:val="top"/>
          </w:tcPr>
          <w:p w14:paraId="43EBFCD7">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34E3F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top"/>
          </w:tcPr>
          <w:p w14:paraId="03AD7068">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13</w:t>
            </w:r>
          </w:p>
        </w:tc>
        <w:tc>
          <w:tcPr>
            <w:tcW w:w="776" w:type="pct"/>
            <w:tcBorders>
              <w:top w:val="single" w:color="auto" w:sz="4" w:space="0"/>
              <w:left w:val="single" w:color="auto" w:sz="4" w:space="0"/>
              <w:bottom w:val="single" w:color="auto" w:sz="4" w:space="0"/>
              <w:right w:val="single" w:color="auto" w:sz="4" w:space="0"/>
            </w:tcBorders>
            <w:noWrap w:val="0"/>
            <w:vAlign w:val="top"/>
          </w:tcPr>
          <w:p w14:paraId="6FFF5B0C">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76885FA7">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36D0207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683243A3">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55E178B5">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01A715B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1D0A272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noWrap w:val="0"/>
            <w:vAlign w:val="top"/>
          </w:tcPr>
          <w:p w14:paraId="7B57D88B">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1EFDF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top"/>
          </w:tcPr>
          <w:p w14:paraId="08E92956">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776" w:type="pct"/>
            <w:tcBorders>
              <w:top w:val="single" w:color="auto" w:sz="4" w:space="0"/>
              <w:left w:val="single" w:color="auto" w:sz="4" w:space="0"/>
              <w:bottom w:val="single" w:color="auto" w:sz="4" w:space="0"/>
              <w:right w:val="single" w:color="auto" w:sz="4" w:space="0"/>
            </w:tcBorders>
            <w:noWrap w:val="0"/>
            <w:vAlign w:val="center"/>
          </w:tcPr>
          <w:p w14:paraId="0895334A">
            <w:pPr>
              <w:pStyle w:val="20"/>
              <w:keepNext w:val="0"/>
              <w:keepLines w:val="0"/>
              <w:suppressLineNumbers w:val="0"/>
              <w:spacing w:before="0" w:beforeAutospacing="0" w:after="0" w:afterAutospacing="0"/>
              <w:ind w:left="0" w:right="0"/>
              <w:jc w:val="both"/>
              <w:rPr>
                <w:rFonts w:hint="eastAsia" w:ascii="宋体" w:hAnsi="宋体" w:eastAsia="宋体" w:cs="Arial"/>
                <w:color w:val="auto"/>
                <w:kern w:val="2"/>
                <w:szCs w:val="24"/>
                <w:highlight w:val="none"/>
              </w:rPr>
            </w:pPr>
            <w:r>
              <w:rPr>
                <w:rFonts w:hint="eastAsia" w:ascii="宋体" w:hAnsi="宋体" w:eastAsia="宋体" w:cs="宋体"/>
                <w:color w:val="auto"/>
                <w:kern w:val="2"/>
                <w:szCs w:val="24"/>
                <w:highlight w:val="none"/>
                <w:lang w:bidi="ar"/>
              </w:rPr>
              <w:t>其他费用</w:t>
            </w:r>
          </w:p>
        </w:tc>
        <w:tc>
          <w:tcPr>
            <w:tcW w:w="773" w:type="pct"/>
            <w:tcBorders>
              <w:top w:val="single" w:color="auto" w:sz="4" w:space="0"/>
              <w:left w:val="single" w:color="auto" w:sz="4" w:space="0"/>
              <w:bottom w:val="single" w:color="auto" w:sz="4" w:space="0"/>
              <w:right w:val="single" w:color="auto" w:sz="4" w:space="0"/>
            </w:tcBorders>
            <w:noWrap w:val="0"/>
            <w:vAlign w:val="top"/>
          </w:tcPr>
          <w:p w14:paraId="6C10D99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3635B70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07840AD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50B5F4D6">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01F577A9">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4EFEC53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noWrap w:val="0"/>
            <w:vAlign w:val="top"/>
          </w:tcPr>
          <w:p w14:paraId="6692E267">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082B4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top"/>
          </w:tcPr>
          <w:p w14:paraId="1469B475">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776" w:type="pct"/>
            <w:tcBorders>
              <w:top w:val="single" w:color="auto" w:sz="4" w:space="0"/>
              <w:left w:val="single" w:color="auto" w:sz="4" w:space="0"/>
              <w:bottom w:val="single" w:color="auto" w:sz="4" w:space="0"/>
              <w:right w:val="single" w:color="auto" w:sz="4" w:space="0"/>
            </w:tcBorders>
            <w:noWrap w:val="0"/>
            <w:vAlign w:val="top"/>
          </w:tcPr>
          <w:p w14:paraId="03D2244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w:t>
            </w:r>
          </w:p>
        </w:tc>
        <w:tc>
          <w:tcPr>
            <w:tcW w:w="773" w:type="pct"/>
            <w:tcBorders>
              <w:top w:val="single" w:color="auto" w:sz="4" w:space="0"/>
              <w:left w:val="single" w:color="auto" w:sz="4" w:space="0"/>
              <w:bottom w:val="single" w:color="auto" w:sz="4" w:space="0"/>
              <w:right w:val="single" w:color="auto" w:sz="4" w:space="0"/>
            </w:tcBorders>
            <w:noWrap w:val="0"/>
            <w:vAlign w:val="top"/>
          </w:tcPr>
          <w:p w14:paraId="64B0098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6D87A2B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6D9A84CB">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76699A87">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256271F3">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7DDA319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noWrap w:val="0"/>
            <w:vAlign w:val="top"/>
          </w:tcPr>
          <w:p w14:paraId="71AB77B7">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01CAF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top"/>
          </w:tcPr>
          <w:p w14:paraId="0E6C3974">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776" w:type="pct"/>
            <w:tcBorders>
              <w:top w:val="single" w:color="auto" w:sz="4" w:space="0"/>
              <w:left w:val="single" w:color="auto" w:sz="4" w:space="0"/>
              <w:bottom w:val="single" w:color="auto" w:sz="4" w:space="0"/>
              <w:right w:val="single" w:color="auto" w:sz="4" w:space="0"/>
            </w:tcBorders>
            <w:noWrap w:val="0"/>
            <w:vAlign w:val="top"/>
          </w:tcPr>
          <w:p w14:paraId="7A41778F">
            <w:pPr>
              <w:pStyle w:val="20"/>
              <w:keepNext w:val="0"/>
              <w:keepLines w:val="0"/>
              <w:suppressLineNumbers w:val="0"/>
              <w:spacing w:before="0" w:beforeAutospacing="0" w:after="0" w:afterAutospacing="0"/>
              <w:ind w:left="0" w:right="0"/>
              <w:jc w:val="both"/>
              <w:rPr>
                <w:rFonts w:hint="eastAsia" w:ascii="宋体" w:hAnsi="宋体" w:eastAsia="宋体" w:cs="Arial"/>
                <w:color w:val="auto"/>
                <w:kern w:val="2"/>
                <w:szCs w:val="24"/>
                <w:highlight w:val="none"/>
              </w:rPr>
            </w:pPr>
            <w:r>
              <w:rPr>
                <w:rFonts w:hint="eastAsia" w:ascii="宋体" w:hAnsi="宋体" w:eastAsia="宋体" w:cs="宋体"/>
                <w:color w:val="auto"/>
                <w:kern w:val="2"/>
                <w:szCs w:val="24"/>
                <w:highlight w:val="none"/>
                <w:lang w:bidi="ar"/>
              </w:rPr>
              <w:t>…</w:t>
            </w:r>
          </w:p>
        </w:tc>
        <w:tc>
          <w:tcPr>
            <w:tcW w:w="773" w:type="pct"/>
            <w:tcBorders>
              <w:top w:val="single" w:color="auto" w:sz="4" w:space="0"/>
              <w:left w:val="single" w:color="auto" w:sz="4" w:space="0"/>
              <w:bottom w:val="single" w:color="auto" w:sz="4" w:space="0"/>
              <w:right w:val="single" w:color="auto" w:sz="4" w:space="0"/>
            </w:tcBorders>
            <w:noWrap w:val="0"/>
            <w:vAlign w:val="top"/>
          </w:tcPr>
          <w:p w14:paraId="00B55FB8">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377C606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5B8957E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70AE3D6C">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3650C76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49E16909">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noWrap w:val="0"/>
            <w:vAlign w:val="top"/>
          </w:tcPr>
          <w:p w14:paraId="3F2C7B5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0E652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top"/>
          </w:tcPr>
          <w:p w14:paraId="0A423C73">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776" w:type="pct"/>
            <w:tcBorders>
              <w:top w:val="single" w:color="auto" w:sz="4" w:space="0"/>
              <w:left w:val="single" w:color="auto" w:sz="4" w:space="0"/>
              <w:bottom w:val="single" w:color="auto" w:sz="4" w:space="0"/>
              <w:right w:val="single" w:color="auto" w:sz="4" w:space="0"/>
            </w:tcBorders>
            <w:noWrap w:val="0"/>
            <w:vAlign w:val="top"/>
          </w:tcPr>
          <w:p w14:paraId="00A9D43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w:t>
            </w:r>
          </w:p>
        </w:tc>
        <w:tc>
          <w:tcPr>
            <w:tcW w:w="773" w:type="pct"/>
            <w:tcBorders>
              <w:top w:val="single" w:color="auto" w:sz="4" w:space="0"/>
              <w:left w:val="single" w:color="auto" w:sz="4" w:space="0"/>
              <w:bottom w:val="single" w:color="auto" w:sz="4" w:space="0"/>
              <w:right w:val="single" w:color="auto" w:sz="4" w:space="0"/>
            </w:tcBorders>
            <w:noWrap w:val="0"/>
            <w:vAlign w:val="top"/>
          </w:tcPr>
          <w:p w14:paraId="3E287D4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6C52AA2C">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05A3BCD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45C6460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67519B6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622DBC13">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noWrap w:val="0"/>
            <w:vAlign w:val="top"/>
          </w:tcPr>
          <w:p w14:paraId="572B7C8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641DD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71" w:type="pct"/>
            <w:gridSpan w:val="2"/>
            <w:tcBorders>
              <w:top w:val="single" w:color="auto" w:sz="4" w:space="0"/>
              <w:left w:val="single" w:color="auto" w:sz="4" w:space="0"/>
              <w:bottom w:val="single" w:color="auto" w:sz="4" w:space="0"/>
              <w:right w:val="single" w:color="auto" w:sz="4" w:space="0"/>
            </w:tcBorders>
            <w:noWrap w:val="0"/>
            <w:vAlign w:val="center"/>
          </w:tcPr>
          <w:p w14:paraId="78DB9A92">
            <w:pPr>
              <w:pStyle w:val="20"/>
              <w:keepNext w:val="0"/>
              <w:keepLines w:val="0"/>
              <w:suppressLineNumbers w:val="0"/>
              <w:spacing w:before="0" w:beforeAutospacing="0" w:after="0" w:afterAutospacing="0"/>
              <w:ind w:left="0" w:right="0"/>
              <w:jc w:val="center"/>
              <w:rPr>
                <w:rFonts w:hint="eastAsia" w:ascii="宋体" w:hAnsi="宋体" w:eastAsia="宋体" w:cs="Arial"/>
                <w:color w:val="auto"/>
                <w:kern w:val="2"/>
                <w:szCs w:val="24"/>
                <w:highlight w:val="none"/>
              </w:rPr>
            </w:pPr>
            <w:r>
              <w:rPr>
                <w:rFonts w:hint="eastAsia" w:ascii="宋体" w:hAnsi="宋体" w:eastAsia="宋体" w:cs="宋体"/>
                <w:color w:val="auto"/>
                <w:kern w:val="2"/>
                <w:szCs w:val="24"/>
                <w:highlight w:val="none"/>
                <w:lang w:bidi="ar"/>
              </w:rPr>
              <w:t>合计（元）</w:t>
            </w:r>
          </w:p>
        </w:tc>
        <w:tc>
          <w:tcPr>
            <w:tcW w:w="773" w:type="pct"/>
            <w:tcBorders>
              <w:top w:val="single" w:color="auto" w:sz="4" w:space="0"/>
              <w:left w:val="single" w:color="auto" w:sz="4" w:space="0"/>
              <w:bottom w:val="single" w:color="auto" w:sz="4" w:space="0"/>
              <w:right w:val="single" w:color="auto" w:sz="4" w:space="0"/>
            </w:tcBorders>
            <w:noWrap w:val="0"/>
            <w:vAlign w:val="top"/>
          </w:tcPr>
          <w:p w14:paraId="5292FDBB">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5E5ADAC6">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3F45BC13">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3E302D7C">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3788F895">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1B2E4FB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noWrap w:val="0"/>
            <w:vAlign w:val="top"/>
          </w:tcPr>
          <w:p w14:paraId="58D429A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bl>
    <w:p w14:paraId="5440FEFE">
      <w:pPr>
        <w:spacing w:line="360" w:lineRule="auto"/>
        <w:ind w:firstLine="4800" w:firstLineChars="2000"/>
        <w:rPr>
          <w:rFonts w:hint="eastAsia"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投标人电子签章：</w:t>
      </w:r>
      <w:r>
        <w:rPr>
          <w:rFonts w:hint="eastAsia" w:ascii="宋体" w:hAnsi="宋体" w:eastAsia="宋体"/>
          <w:color w:val="auto"/>
          <w:sz w:val="24"/>
          <w:szCs w:val="24"/>
          <w:highlight w:val="none"/>
          <w:u w:val="single"/>
          <w:lang w:bidi="ar"/>
        </w:rPr>
        <w:t xml:space="preserve">             </w:t>
      </w:r>
    </w:p>
    <w:p w14:paraId="3F06F5D2">
      <w:pPr>
        <w:spacing w:line="360" w:lineRule="auto"/>
        <w:ind w:firstLine="4800" w:firstLineChars="2000"/>
        <w:rPr>
          <w:rFonts w:hint="eastAsia"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日</w:t>
      </w:r>
      <w:r>
        <w:rPr>
          <w:rFonts w:hint="eastAsia" w:ascii="宋体" w:hAnsi="宋体" w:eastAsia="宋体"/>
          <w:color w:val="auto"/>
          <w:sz w:val="24"/>
          <w:szCs w:val="24"/>
          <w:highlight w:val="none"/>
          <w:lang w:bidi="ar"/>
        </w:rPr>
        <w:t xml:space="preserve">          </w:t>
      </w:r>
      <w:r>
        <w:rPr>
          <w:rFonts w:hint="eastAsia" w:ascii="宋体" w:hAnsi="宋体" w:eastAsia="宋体" w:cs="宋体"/>
          <w:color w:val="auto"/>
          <w:sz w:val="24"/>
          <w:szCs w:val="24"/>
          <w:highlight w:val="none"/>
          <w:lang w:bidi="ar"/>
        </w:rPr>
        <w:t>期：</w:t>
      </w:r>
      <w:r>
        <w:rPr>
          <w:rFonts w:hint="eastAsia" w:ascii="宋体" w:hAnsi="宋体" w:eastAsia="宋体"/>
          <w:color w:val="auto"/>
          <w:sz w:val="24"/>
          <w:szCs w:val="24"/>
          <w:highlight w:val="none"/>
          <w:u w:val="single"/>
          <w:lang w:bidi="ar"/>
        </w:rPr>
        <w:t xml:space="preserve">             </w:t>
      </w:r>
    </w:p>
    <w:p w14:paraId="643778BE">
      <w:pPr>
        <w:adjustRightInd w:val="0"/>
        <w:snapToGrid w:val="0"/>
        <w:spacing w:line="360" w:lineRule="auto"/>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lang w:bidi="ar"/>
        </w:rPr>
        <w:t xml:space="preserve"> </w:t>
      </w:r>
    </w:p>
    <w:p w14:paraId="6E66AFA8">
      <w:pPr>
        <w:adjustRightInd w:val="0"/>
        <w:snapToGrid w:val="0"/>
        <w:spacing w:line="360" w:lineRule="auto"/>
        <w:rPr>
          <w:rFonts w:hint="eastAsia" w:ascii="宋体" w:hAnsi="宋体" w:eastAsia="宋体"/>
          <w:b/>
          <w:bCs/>
          <w:color w:val="auto"/>
          <w:sz w:val="24"/>
          <w:szCs w:val="24"/>
          <w:highlight w:val="none"/>
        </w:rPr>
      </w:pPr>
      <w:r>
        <w:rPr>
          <w:rFonts w:hint="eastAsia" w:ascii="宋体" w:hAnsi="宋体" w:eastAsia="宋体" w:cs="宋体"/>
          <w:b/>
          <w:bCs/>
          <w:color w:val="auto"/>
          <w:sz w:val="24"/>
          <w:szCs w:val="24"/>
          <w:highlight w:val="none"/>
          <w:lang w:bidi="ar"/>
        </w:rPr>
        <w:t>注：</w:t>
      </w:r>
    </w:p>
    <w:p w14:paraId="6A952EBD">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表中所列货物为对应本项目需求的全部货物及所需附件购置费、包装费、运输费、人工费、保险费、安装调试费、各种税费、资料费、售后服务费及完成项目应有的全部费用。如有漏项或缺项，投标人承担全部责任。</w:t>
      </w:r>
    </w:p>
    <w:p w14:paraId="648E32CE">
      <w:pPr>
        <w:spacing w:line="360" w:lineRule="auto"/>
        <w:ind w:firstLine="435"/>
        <w:rPr>
          <w:rFonts w:hint="eastAsia"/>
          <w:color w:val="auto"/>
          <w:szCs w:val="21"/>
          <w:highlight w:val="none"/>
        </w:rPr>
      </w:pPr>
      <w:r>
        <w:rPr>
          <w:rFonts w:hint="eastAsia" w:ascii="宋体" w:hAnsi="宋体" w:eastAsia="宋体" w:cs="宋体"/>
          <w:color w:val="auto"/>
          <w:sz w:val="24"/>
          <w:szCs w:val="24"/>
          <w:highlight w:val="none"/>
          <w:lang w:bidi="ar"/>
        </w:rPr>
        <w:t>2.表中须明确列出所投产品的货物名称、品牌、型号规格、原产地及生产厂商，否则可能导致</w:t>
      </w:r>
      <w:r>
        <w:rPr>
          <w:rFonts w:hint="eastAsia" w:ascii="宋体" w:hAnsi="宋体" w:eastAsia="宋体" w:cs="宋体"/>
          <w:b/>
          <w:bCs/>
          <w:color w:val="auto"/>
          <w:sz w:val="24"/>
          <w:szCs w:val="24"/>
          <w:highlight w:val="none"/>
          <w:lang w:bidi="ar"/>
        </w:rPr>
        <w:t>投标无效</w:t>
      </w:r>
      <w:r>
        <w:rPr>
          <w:rFonts w:hint="eastAsia" w:ascii="宋体" w:hAnsi="宋体" w:eastAsia="宋体" w:cs="宋体"/>
          <w:color w:val="auto"/>
          <w:sz w:val="24"/>
          <w:szCs w:val="24"/>
          <w:highlight w:val="none"/>
          <w:lang w:bidi="ar"/>
        </w:rPr>
        <w:t>。</w:t>
      </w:r>
    </w:p>
    <w:p w14:paraId="21CF67BA">
      <w:pPr>
        <w:widowControl/>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br w:type="page"/>
      </w:r>
    </w:p>
    <w:p w14:paraId="595C7016">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仿宋_GB2312"/>
          <w:b/>
          <w:bCs w:val="0"/>
          <w:color w:val="auto"/>
          <w:kern w:val="2"/>
          <w:sz w:val="24"/>
          <w:szCs w:val="24"/>
          <w:highlight w:val="none"/>
        </w:rPr>
      </w:pPr>
      <w:r>
        <w:rPr>
          <w:rFonts w:hint="eastAsia" w:ascii="宋体" w:hAnsi="宋体" w:eastAsia="宋体" w:cs="宋体"/>
          <w:b/>
          <w:color w:val="auto"/>
          <w:sz w:val="24"/>
          <w:szCs w:val="24"/>
          <w:highlight w:val="none"/>
          <w:lang w:bidi="ar"/>
        </w:rPr>
        <w:t>（4）</w:t>
      </w:r>
      <w:r>
        <w:rPr>
          <w:rFonts w:hint="eastAsia" w:ascii="宋体" w:hAnsi="宋体" w:eastAsia="宋体" w:cs="宋体"/>
          <w:b/>
          <w:bCs w:val="0"/>
          <w:color w:val="auto"/>
          <w:kern w:val="2"/>
          <w:sz w:val="24"/>
          <w:szCs w:val="24"/>
          <w:highlight w:val="none"/>
          <w:lang w:val="en-US" w:eastAsia="zh-CN" w:bidi="ar"/>
        </w:rPr>
        <w:t>中小企业声明函</w:t>
      </w:r>
    </w:p>
    <w:p w14:paraId="06F66BD3">
      <w:pPr>
        <w:pStyle w:val="20"/>
        <w:widowControl/>
        <w:spacing w:before="0" w:beforeAutospacing="0" w:after="120" w:afterAutospacing="0" w:line="360" w:lineRule="auto"/>
        <w:ind w:left="0" w:right="0"/>
        <w:jc w:val="center"/>
        <w:rPr>
          <w:rFonts w:hint="eastAsia" w:ascii="宋体" w:hAnsi="宋体" w:eastAsia="宋体" w:cs="@微软简标宋"/>
          <w:i/>
          <w:iCs w:val="0"/>
          <w:color w:val="auto"/>
          <w:kern w:val="2"/>
          <w:sz w:val="24"/>
          <w:szCs w:val="24"/>
          <w:highlight w:val="none"/>
        </w:rPr>
      </w:pPr>
      <w:r>
        <w:rPr>
          <w:rFonts w:hint="eastAsia" w:ascii="宋体" w:hAnsi="宋体" w:eastAsia="宋体" w:cs="宋体"/>
          <w:i/>
          <w:iCs w:val="0"/>
          <w:color w:val="auto"/>
          <w:kern w:val="2"/>
          <w:sz w:val="24"/>
          <w:szCs w:val="24"/>
          <w:highlight w:val="none"/>
          <w:lang w:val="en-US" w:eastAsia="zh-CN" w:bidi="ar"/>
        </w:rPr>
        <w:t>（非中小企业投标，不需此件，请删去“中小企业声明函”）</w:t>
      </w:r>
    </w:p>
    <w:p w14:paraId="734B1B50">
      <w:pPr>
        <w:keepNext w:val="0"/>
        <w:keepLines w:val="0"/>
        <w:widowControl w:val="0"/>
        <w:suppressLineNumbers w:val="0"/>
        <w:spacing w:before="0" w:beforeAutospacing="0" w:after="0" w:afterAutospacing="0"/>
        <w:ind w:left="0" w:right="0"/>
        <w:jc w:val="both"/>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5C608AB0">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本公司（联合体）郑重声明，根据《政府采购促进中小企业发展管理办法》（财库﹝2020﹞46号）的规定，本公司（联合体）参加（</w:t>
      </w:r>
      <w:r>
        <w:rPr>
          <w:rFonts w:hint="eastAsia" w:ascii="宋体" w:hAnsi="宋体" w:eastAsia="宋体" w:cs="宋体"/>
          <w:color w:val="auto"/>
          <w:kern w:val="2"/>
          <w:sz w:val="24"/>
          <w:szCs w:val="24"/>
          <w:highlight w:val="none"/>
          <w:u w:val="single"/>
          <w:lang w:val="en-US" w:eastAsia="zh-CN" w:bidi="ar"/>
        </w:rPr>
        <w:t>单位名称</w:t>
      </w:r>
      <w:r>
        <w:rPr>
          <w:rFonts w:hint="eastAsia" w:ascii="宋体" w:hAnsi="宋体" w:eastAsia="宋体" w:cs="宋体"/>
          <w:color w:val="auto"/>
          <w:kern w:val="2"/>
          <w:sz w:val="24"/>
          <w:szCs w:val="24"/>
          <w:highlight w:val="none"/>
          <w:lang w:val="en-US" w:eastAsia="zh-CN" w:bidi="ar"/>
        </w:rPr>
        <w:t>）的（</w:t>
      </w:r>
      <w:r>
        <w:rPr>
          <w:rFonts w:hint="eastAsia" w:ascii="宋体" w:hAnsi="宋体" w:eastAsia="宋体" w:cs="宋体"/>
          <w:color w:val="auto"/>
          <w:kern w:val="2"/>
          <w:sz w:val="24"/>
          <w:szCs w:val="24"/>
          <w:highlight w:val="none"/>
          <w:u w:val="single"/>
          <w:lang w:val="en-US" w:eastAsia="zh-CN" w:bidi="ar"/>
        </w:rPr>
        <w:t>项目名称</w:t>
      </w:r>
      <w:r>
        <w:rPr>
          <w:rFonts w:hint="eastAsia" w:ascii="宋体" w:hAnsi="宋体" w:eastAsia="宋体" w:cs="宋体"/>
          <w:color w:val="auto"/>
          <w:kern w:val="2"/>
          <w:sz w:val="24"/>
          <w:szCs w:val="24"/>
          <w:highlight w:val="none"/>
          <w:lang w:val="en-US" w:eastAsia="zh-CN" w:bidi="ar"/>
        </w:rPr>
        <w:t>）采购活动，提供的货物全部由符合政策要求的中小企业制造。相关企业（含联合体中的中小企业、签订分包意向协议的中小企业）的具体情况如下：</w:t>
      </w:r>
      <w:r>
        <w:rPr>
          <w:rFonts w:hint="eastAsia" w:ascii="宋体" w:hAnsi="宋体" w:eastAsia="宋体" w:cs="@仿宋_GB2312"/>
          <w:color w:val="auto"/>
          <w:kern w:val="2"/>
          <w:sz w:val="24"/>
          <w:szCs w:val="24"/>
          <w:highlight w:val="none"/>
          <w:lang w:val="en-US" w:eastAsia="zh-CN" w:bidi="ar"/>
        </w:rPr>
        <w:t xml:space="preserve"> </w:t>
      </w:r>
    </w:p>
    <w:p w14:paraId="36528DA8">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u w:val="single"/>
          <w:lang w:val="en-US" w:eastAsia="zh-CN" w:bidi="ar"/>
        </w:rPr>
        <w:t>（标的名称）</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，属于</w:t>
      </w:r>
      <w:r>
        <w:rPr>
          <w:rFonts w:hint="eastAsia" w:ascii="宋体" w:hAnsi="宋体" w:eastAsia="宋体" w:cs="宋体"/>
          <w:color w:val="auto"/>
          <w:kern w:val="2"/>
          <w:sz w:val="24"/>
          <w:szCs w:val="24"/>
          <w:highlight w:val="none"/>
          <w:u w:val="single"/>
          <w:lang w:val="en-US" w:eastAsia="zh-CN" w:bidi="ar"/>
        </w:rPr>
        <w:t>（采购文件中明确的所属行业）</w:t>
      </w:r>
      <w:r>
        <w:rPr>
          <w:rFonts w:hint="eastAsia" w:ascii="宋体" w:hAnsi="宋体" w:eastAsia="宋体" w:cs="宋体"/>
          <w:color w:val="auto"/>
          <w:kern w:val="2"/>
          <w:sz w:val="24"/>
          <w:szCs w:val="24"/>
          <w:highlight w:val="none"/>
          <w:lang w:val="en-US" w:eastAsia="zh-CN" w:bidi="ar"/>
        </w:rPr>
        <w:t>行业；制造商为</w:t>
      </w:r>
      <w:r>
        <w:rPr>
          <w:rFonts w:hint="eastAsia" w:ascii="宋体" w:hAnsi="宋体" w:eastAsia="宋体" w:cs="宋体"/>
          <w:color w:val="auto"/>
          <w:kern w:val="2"/>
          <w:sz w:val="24"/>
          <w:szCs w:val="24"/>
          <w:highlight w:val="none"/>
          <w:u w:val="single"/>
          <w:lang w:val="en-US" w:eastAsia="zh-CN" w:bidi="ar"/>
        </w:rPr>
        <w:t>（企业名称）</w:t>
      </w:r>
      <w:r>
        <w:rPr>
          <w:rFonts w:hint="eastAsia" w:ascii="宋体" w:hAnsi="宋体" w:eastAsia="宋体" w:cs="宋体"/>
          <w:color w:val="auto"/>
          <w:kern w:val="2"/>
          <w:sz w:val="24"/>
          <w:szCs w:val="24"/>
          <w:highlight w:val="none"/>
          <w:lang w:val="en-US" w:eastAsia="zh-CN" w:bidi="ar"/>
        </w:rPr>
        <w:t>，从业人员</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人，营业收入为</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万元，资产总额为</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万元，属于</w:t>
      </w:r>
      <w:r>
        <w:rPr>
          <w:rFonts w:hint="eastAsia" w:ascii="宋体" w:hAnsi="宋体" w:eastAsia="宋体" w:cs="宋体"/>
          <w:color w:val="auto"/>
          <w:kern w:val="2"/>
          <w:sz w:val="24"/>
          <w:szCs w:val="24"/>
          <w:highlight w:val="none"/>
          <w:u w:val="single"/>
          <w:lang w:val="en-US" w:eastAsia="zh-CN" w:bidi="ar"/>
        </w:rPr>
        <w:t>（中型企业、小型企业、微型企业）</w:t>
      </w: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仿宋_GB2312"/>
          <w:color w:val="auto"/>
          <w:kern w:val="2"/>
          <w:sz w:val="24"/>
          <w:szCs w:val="24"/>
          <w:highlight w:val="none"/>
          <w:lang w:val="en-US" w:eastAsia="zh-CN" w:bidi="ar"/>
        </w:rPr>
        <w:t xml:space="preserve"> </w:t>
      </w:r>
    </w:p>
    <w:p w14:paraId="0847AC2D">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u w:val="single"/>
          <w:lang w:val="en-US" w:eastAsia="zh-CN" w:bidi="ar"/>
        </w:rPr>
        <w:t>（标的名称）</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，属于</w:t>
      </w:r>
      <w:r>
        <w:rPr>
          <w:rFonts w:hint="eastAsia" w:ascii="宋体" w:hAnsi="宋体" w:eastAsia="宋体" w:cs="宋体"/>
          <w:color w:val="auto"/>
          <w:kern w:val="2"/>
          <w:sz w:val="24"/>
          <w:szCs w:val="24"/>
          <w:highlight w:val="none"/>
          <w:u w:val="single"/>
          <w:lang w:val="en-US" w:eastAsia="zh-CN" w:bidi="ar"/>
        </w:rPr>
        <w:t>（采购文件中明确的所属行业）</w:t>
      </w:r>
      <w:r>
        <w:rPr>
          <w:rFonts w:hint="eastAsia" w:ascii="宋体" w:hAnsi="宋体" w:eastAsia="宋体" w:cs="宋体"/>
          <w:color w:val="auto"/>
          <w:kern w:val="2"/>
          <w:sz w:val="24"/>
          <w:szCs w:val="24"/>
          <w:highlight w:val="none"/>
          <w:lang w:val="en-US" w:eastAsia="zh-CN" w:bidi="ar"/>
        </w:rPr>
        <w:t>行业；制造商为</w:t>
      </w:r>
      <w:r>
        <w:rPr>
          <w:rFonts w:hint="eastAsia" w:ascii="宋体" w:hAnsi="宋体" w:eastAsia="宋体" w:cs="宋体"/>
          <w:color w:val="auto"/>
          <w:kern w:val="2"/>
          <w:sz w:val="24"/>
          <w:szCs w:val="24"/>
          <w:highlight w:val="none"/>
          <w:u w:val="single"/>
          <w:lang w:val="en-US" w:eastAsia="zh-CN" w:bidi="ar"/>
        </w:rPr>
        <w:t>（企业名称）</w:t>
      </w:r>
      <w:r>
        <w:rPr>
          <w:rFonts w:hint="eastAsia" w:ascii="宋体" w:hAnsi="宋体" w:eastAsia="宋体" w:cs="宋体"/>
          <w:color w:val="auto"/>
          <w:kern w:val="2"/>
          <w:sz w:val="24"/>
          <w:szCs w:val="24"/>
          <w:highlight w:val="none"/>
          <w:lang w:val="en-US" w:eastAsia="zh-CN" w:bidi="ar"/>
        </w:rPr>
        <w:t>，从业人员</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人，营业收入为</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万元，资产总额为</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万元，属于</w:t>
      </w:r>
      <w:r>
        <w:rPr>
          <w:rFonts w:hint="eastAsia" w:ascii="宋体" w:hAnsi="宋体" w:eastAsia="宋体" w:cs="宋体"/>
          <w:color w:val="auto"/>
          <w:kern w:val="2"/>
          <w:sz w:val="24"/>
          <w:szCs w:val="24"/>
          <w:highlight w:val="none"/>
          <w:u w:val="single"/>
          <w:lang w:val="en-US" w:eastAsia="zh-CN" w:bidi="ar"/>
        </w:rPr>
        <w:t>（中型企业、小型企业、微型企业）</w:t>
      </w: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仿宋_GB2312"/>
          <w:color w:val="auto"/>
          <w:kern w:val="2"/>
          <w:sz w:val="24"/>
          <w:szCs w:val="24"/>
          <w:highlight w:val="none"/>
          <w:lang w:val="en-US" w:eastAsia="zh-CN" w:bidi="ar"/>
        </w:rPr>
        <w:t xml:space="preserve"> </w:t>
      </w:r>
    </w:p>
    <w:p w14:paraId="4456A4F5">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p>
    <w:p w14:paraId="10876DAE">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以上企业，不属于大企业的分支机构，不存在控股股东为大企业的情形，也不存在与大企业的负责人为同一人的情形。</w:t>
      </w:r>
    </w:p>
    <w:p w14:paraId="4864A6A3">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本企业对上述声明内容的真实性负责。如有虚假，将依法承担相应责任。</w:t>
      </w:r>
      <w:r>
        <w:rPr>
          <w:rFonts w:hint="eastAsia" w:ascii="宋体" w:hAnsi="宋体" w:eastAsia="宋体" w:cs="@仿宋_GB2312"/>
          <w:color w:val="auto"/>
          <w:kern w:val="2"/>
          <w:sz w:val="24"/>
          <w:szCs w:val="24"/>
          <w:highlight w:val="none"/>
          <w:lang w:val="en-US" w:eastAsia="zh-CN" w:bidi="ar"/>
        </w:rPr>
        <w:t xml:space="preserve"> </w:t>
      </w:r>
    </w:p>
    <w:p w14:paraId="413BA86A">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0A53C6C2">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451EF7EC">
      <w:pPr>
        <w:keepNext w:val="0"/>
        <w:keepLines w:val="0"/>
        <w:widowControl w:val="0"/>
        <w:suppressLineNumbers w:val="0"/>
        <w:spacing w:before="0" w:beforeAutospacing="0" w:after="0" w:afterAutospacing="0" w:line="360" w:lineRule="auto"/>
        <w:ind w:left="0" w:right="0" w:firstLine="4228" w:firstLineChars="1762"/>
        <w:jc w:val="both"/>
        <w:rPr>
          <w:rFonts w:hint="eastAsia" w:ascii="宋体" w:hAnsi="宋体" w:eastAsia="宋体" w:cs="@仿宋_GB2312"/>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投标人电子签章：</w:t>
      </w:r>
      <w:r>
        <w:rPr>
          <w:rFonts w:hint="eastAsia" w:ascii="宋体" w:hAnsi="宋体" w:eastAsia="宋体" w:cs="@仿宋_GB2312"/>
          <w:color w:val="auto"/>
          <w:kern w:val="2"/>
          <w:sz w:val="24"/>
          <w:szCs w:val="24"/>
          <w:highlight w:val="none"/>
          <w:u w:val="single"/>
          <w:lang w:val="en-US" w:eastAsia="zh-CN" w:bidi="ar"/>
        </w:rPr>
        <w:t xml:space="preserve">             </w:t>
      </w:r>
    </w:p>
    <w:p w14:paraId="6B4907A3">
      <w:pPr>
        <w:keepNext w:val="0"/>
        <w:keepLines w:val="0"/>
        <w:widowControl w:val="0"/>
        <w:suppressLineNumbers w:val="0"/>
        <w:spacing w:before="0" w:beforeAutospacing="0" w:after="0" w:afterAutospacing="0" w:line="360" w:lineRule="auto"/>
        <w:ind w:left="0" w:right="0" w:firstLine="4252" w:firstLineChars="1772"/>
        <w:jc w:val="both"/>
        <w:rPr>
          <w:rFonts w:hint="eastAsia" w:ascii="宋体" w:hAnsi="宋体" w:eastAsia="宋体" w:cs="@仿宋_GB2312"/>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日</w:t>
      </w:r>
      <w:r>
        <w:rPr>
          <w:rFonts w:hint="eastAsia" w:ascii="宋体" w:hAnsi="宋体" w:eastAsia="宋体" w:cs="@仿宋_GB2312"/>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期：</w:t>
      </w:r>
      <w:r>
        <w:rPr>
          <w:rFonts w:hint="eastAsia" w:ascii="宋体" w:hAnsi="宋体" w:eastAsia="宋体" w:cs="@仿宋_GB2312"/>
          <w:color w:val="auto"/>
          <w:kern w:val="2"/>
          <w:sz w:val="24"/>
          <w:szCs w:val="24"/>
          <w:highlight w:val="none"/>
          <w:u w:val="single"/>
          <w:lang w:val="en-US" w:eastAsia="zh-CN" w:bidi="ar"/>
        </w:rPr>
        <w:t xml:space="preserve">             </w:t>
      </w:r>
    </w:p>
    <w:p w14:paraId="1B39CF6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241F4E4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49B1DA7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2FB77D71">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7EB67F0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366F0015">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注：</w:t>
      </w:r>
    </w:p>
    <w:p w14:paraId="617DBE87">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1.从业人员、营业收入、资产总额填报上一年数据，无上一年数据的新成立企业可不填报。</w:t>
      </w:r>
    </w:p>
    <w:p w14:paraId="3E4ADFE0">
      <w:pPr>
        <w:keepNext w:val="0"/>
        <w:keepLines w:val="0"/>
        <w:widowControl w:val="0"/>
        <w:suppressLineNumbers w:val="0"/>
        <w:wordWrap w:val="0"/>
        <w:spacing w:before="0" w:beforeAutospacing="0" w:after="0" w:afterAutospacing="0" w:line="360" w:lineRule="auto"/>
        <w:ind w:left="0" w:right="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2.投标人应根据《政府采购促进中小企业发展管理办法》（财库﹝2020﹞46号）和《关于印发中小企业划型标准规定的通知》(工信部联企业〔2011〕300号)相关规定，如实填写中小企业声明函。如有虚假，将依法承担相应责任。投标人自行登录工业和信息化部官网进行中小企业规模类型自测（查询网址https://www.miit.gov.cn/）。</w:t>
      </w:r>
    </w:p>
    <w:p w14:paraId="33E94E76">
      <w:pPr>
        <w:keepNext w:val="0"/>
        <w:keepLines w:val="0"/>
        <w:widowControl w:val="0"/>
        <w:suppressLineNumbers w:val="0"/>
        <w:wordWrap w:val="0"/>
        <w:spacing w:before="0" w:beforeAutospacing="0" w:after="0" w:afterAutospacing="0" w:line="360" w:lineRule="auto"/>
        <w:ind w:left="0" w:right="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3.上述“</w:t>
      </w:r>
      <w:r>
        <w:rPr>
          <w:rFonts w:hint="eastAsia" w:ascii="宋体" w:hAnsi="宋体" w:eastAsia="宋体" w:cs="宋体"/>
          <w:b/>
          <w:bCs/>
          <w:color w:val="auto"/>
          <w:kern w:val="2"/>
          <w:sz w:val="21"/>
          <w:szCs w:val="21"/>
          <w:highlight w:val="none"/>
          <w:u w:val="single"/>
          <w:lang w:val="en-US" w:eastAsia="zh-CN" w:bidi="ar"/>
        </w:rPr>
        <w:t>标的名称</w:t>
      </w:r>
      <w:r>
        <w:rPr>
          <w:rFonts w:hint="eastAsia" w:ascii="宋体" w:hAnsi="宋体" w:eastAsia="宋体" w:cs="宋体"/>
          <w:b/>
          <w:bCs/>
          <w:color w:val="auto"/>
          <w:kern w:val="2"/>
          <w:sz w:val="21"/>
          <w:szCs w:val="21"/>
          <w:highlight w:val="none"/>
          <w:lang w:val="en-US" w:eastAsia="zh-CN" w:bidi="ar"/>
        </w:rPr>
        <w:t>”，详见第三章采购需求中明确的“货物名称”。</w:t>
      </w:r>
    </w:p>
    <w:p w14:paraId="1DFB8B14">
      <w:pPr>
        <w:keepNext w:val="0"/>
        <w:keepLines w:val="0"/>
        <w:widowControl w:val="0"/>
        <w:suppressLineNumbers w:val="0"/>
        <w:wordWrap w:val="0"/>
        <w:spacing w:before="0" w:beforeAutospacing="0" w:after="0" w:afterAutospacing="0" w:line="360" w:lineRule="auto"/>
        <w:ind w:left="0" w:right="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4.上述“</w:t>
      </w:r>
      <w:r>
        <w:rPr>
          <w:rFonts w:hint="eastAsia" w:ascii="宋体" w:hAnsi="宋体" w:eastAsia="宋体" w:cs="宋体"/>
          <w:b/>
          <w:bCs/>
          <w:color w:val="auto"/>
          <w:kern w:val="2"/>
          <w:sz w:val="21"/>
          <w:szCs w:val="21"/>
          <w:highlight w:val="none"/>
          <w:u w:val="single"/>
          <w:lang w:val="en-US" w:eastAsia="zh-CN" w:bidi="ar"/>
        </w:rPr>
        <w:t>采购文件中明确的所属行业</w:t>
      </w:r>
      <w:r>
        <w:rPr>
          <w:rFonts w:hint="eastAsia" w:ascii="宋体" w:hAnsi="宋体" w:eastAsia="宋体" w:cs="宋体"/>
          <w:b/>
          <w:bCs/>
          <w:color w:val="auto"/>
          <w:kern w:val="2"/>
          <w:sz w:val="21"/>
          <w:szCs w:val="21"/>
          <w:highlight w:val="none"/>
          <w:lang w:val="en-US" w:eastAsia="zh-CN" w:bidi="ar"/>
        </w:rPr>
        <w:t>”，详见第三章采购需求中明确的“所属行业”。</w:t>
      </w:r>
    </w:p>
    <w:p w14:paraId="757A1095">
      <w:pPr>
        <w:keepNext w:val="0"/>
        <w:keepLines w:val="0"/>
        <w:widowControl w:val="0"/>
        <w:suppressLineNumbers w:val="0"/>
        <w:wordWrap w:val="0"/>
        <w:spacing w:before="0" w:beforeAutospacing="0" w:after="0" w:afterAutospacing="0" w:line="360" w:lineRule="auto"/>
        <w:ind w:left="0" w:right="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5．填写示例：</w:t>
      </w:r>
      <w:r>
        <w:rPr>
          <w:rFonts w:hint="eastAsia" w:ascii="宋体" w:hAnsi="宋体" w:eastAsia="宋体" w:cs="宋体"/>
          <w:b/>
          <w:bCs/>
          <w:color w:val="auto"/>
          <w:kern w:val="2"/>
          <w:sz w:val="21"/>
          <w:szCs w:val="21"/>
          <w:highlight w:val="none"/>
          <w:u w:val="single"/>
          <w:lang w:val="en-US" w:eastAsia="zh-CN" w:bidi="ar"/>
        </w:rPr>
        <w:t>某设备</w:t>
      </w:r>
      <w:r>
        <w:rPr>
          <w:rFonts w:hint="eastAsia" w:ascii="宋体" w:hAnsi="宋体" w:eastAsia="宋体" w:cs="宋体"/>
          <w:b/>
          <w:bCs/>
          <w:color w:val="auto"/>
          <w:kern w:val="2"/>
          <w:sz w:val="21"/>
          <w:szCs w:val="21"/>
          <w:highlight w:val="none"/>
          <w:lang w:val="en-US" w:eastAsia="zh-CN" w:bidi="ar"/>
        </w:rPr>
        <w:t>，属于</w:t>
      </w:r>
      <w:r>
        <w:rPr>
          <w:rFonts w:hint="eastAsia" w:ascii="宋体" w:hAnsi="宋体" w:eastAsia="宋体" w:cs="宋体"/>
          <w:b/>
          <w:bCs/>
          <w:color w:val="auto"/>
          <w:kern w:val="2"/>
          <w:sz w:val="21"/>
          <w:szCs w:val="21"/>
          <w:highlight w:val="none"/>
          <w:u w:val="single"/>
          <w:lang w:val="en-US" w:eastAsia="zh-CN" w:bidi="ar"/>
        </w:rPr>
        <w:t>（填写第三章采购需求中对应货物的“所属行业”，如工业）</w:t>
      </w:r>
      <w:r>
        <w:rPr>
          <w:rFonts w:hint="eastAsia" w:ascii="宋体" w:hAnsi="宋体" w:eastAsia="宋体" w:cs="宋体"/>
          <w:b/>
          <w:bCs/>
          <w:color w:val="auto"/>
          <w:kern w:val="2"/>
          <w:sz w:val="21"/>
          <w:szCs w:val="21"/>
          <w:highlight w:val="none"/>
          <w:lang w:val="en-US" w:eastAsia="zh-CN" w:bidi="ar"/>
        </w:rPr>
        <w:t>行业；承接企业为</w:t>
      </w:r>
      <w:r>
        <w:rPr>
          <w:rFonts w:hint="eastAsia" w:ascii="宋体" w:hAnsi="宋体" w:eastAsia="宋体" w:cs="宋体"/>
          <w:b/>
          <w:bCs/>
          <w:color w:val="auto"/>
          <w:kern w:val="2"/>
          <w:sz w:val="21"/>
          <w:szCs w:val="21"/>
          <w:highlight w:val="none"/>
          <w:u w:val="single"/>
          <w:lang w:val="en-US" w:eastAsia="zh-CN" w:bidi="ar"/>
        </w:rPr>
        <w:t>某企业</w:t>
      </w:r>
      <w:r>
        <w:rPr>
          <w:rFonts w:hint="eastAsia" w:ascii="宋体" w:hAnsi="宋体" w:eastAsia="宋体" w:cs="宋体"/>
          <w:b/>
          <w:bCs/>
          <w:color w:val="auto"/>
          <w:kern w:val="2"/>
          <w:sz w:val="21"/>
          <w:szCs w:val="21"/>
          <w:highlight w:val="none"/>
          <w:lang w:val="en-US" w:eastAsia="zh-CN" w:bidi="ar"/>
        </w:rPr>
        <w:t>，从业人员</w:t>
      </w:r>
      <w:r>
        <w:rPr>
          <w:rFonts w:hint="eastAsia" w:ascii="宋体" w:hAnsi="宋体" w:eastAsia="宋体" w:cs="宋体"/>
          <w:b/>
          <w:bCs/>
          <w:color w:val="auto"/>
          <w:kern w:val="2"/>
          <w:sz w:val="21"/>
          <w:szCs w:val="21"/>
          <w:highlight w:val="none"/>
          <w:u w:val="single"/>
          <w:lang w:val="en-US" w:eastAsia="zh-CN" w:bidi="ar"/>
        </w:rPr>
        <w:t>100</w:t>
      </w:r>
      <w:r>
        <w:rPr>
          <w:rFonts w:hint="eastAsia" w:ascii="宋体" w:hAnsi="宋体" w:eastAsia="宋体" w:cs="宋体"/>
          <w:b/>
          <w:bCs/>
          <w:color w:val="auto"/>
          <w:kern w:val="2"/>
          <w:sz w:val="21"/>
          <w:szCs w:val="21"/>
          <w:highlight w:val="none"/>
          <w:lang w:val="en-US" w:eastAsia="zh-CN" w:bidi="ar"/>
        </w:rPr>
        <w:t>人，营业收入为</w:t>
      </w:r>
      <w:r>
        <w:rPr>
          <w:rFonts w:hint="eastAsia" w:ascii="宋体" w:hAnsi="宋体" w:eastAsia="宋体" w:cs="宋体"/>
          <w:b/>
          <w:bCs/>
          <w:color w:val="auto"/>
          <w:kern w:val="2"/>
          <w:sz w:val="21"/>
          <w:szCs w:val="21"/>
          <w:highlight w:val="none"/>
          <w:u w:val="single"/>
          <w:lang w:val="en-US" w:eastAsia="zh-CN" w:bidi="ar"/>
        </w:rPr>
        <w:t>10000</w:t>
      </w:r>
      <w:r>
        <w:rPr>
          <w:rFonts w:hint="eastAsia" w:ascii="宋体" w:hAnsi="宋体" w:eastAsia="宋体" w:cs="宋体"/>
          <w:b/>
          <w:bCs/>
          <w:color w:val="auto"/>
          <w:kern w:val="2"/>
          <w:sz w:val="21"/>
          <w:szCs w:val="21"/>
          <w:highlight w:val="none"/>
          <w:lang w:val="en-US" w:eastAsia="zh-CN" w:bidi="ar"/>
        </w:rPr>
        <w:t>万元，资产总额为</w:t>
      </w:r>
      <w:r>
        <w:rPr>
          <w:rFonts w:hint="eastAsia" w:ascii="宋体" w:hAnsi="宋体" w:eastAsia="宋体" w:cs="宋体"/>
          <w:b/>
          <w:bCs/>
          <w:color w:val="auto"/>
          <w:kern w:val="2"/>
          <w:sz w:val="21"/>
          <w:szCs w:val="21"/>
          <w:highlight w:val="none"/>
          <w:u w:val="single"/>
          <w:lang w:val="en-US" w:eastAsia="zh-CN" w:bidi="ar"/>
        </w:rPr>
        <w:t>5000</w:t>
      </w:r>
      <w:r>
        <w:rPr>
          <w:rFonts w:hint="eastAsia" w:ascii="宋体" w:hAnsi="宋体" w:eastAsia="宋体" w:cs="宋体"/>
          <w:b/>
          <w:bCs/>
          <w:color w:val="auto"/>
          <w:kern w:val="2"/>
          <w:sz w:val="21"/>
          <w:szCs w:val="21"/>
          <w:highlight w:val="none"/>
          <w:lang w:val="en-US" w:eastAsia="zh-CN" w:bidi="ar"/>
        </w:rPr>
        <w:t>万元，属于</w:t>
      </w:r>
      <w:r>
        <w:rPr>
          <w:rFonts w:hint="eastAsia" w:ascii="宋体" w:hAnsi="宋体" w:eastAsia="宋体" w:cs="宋体"/>
          <w:b/>
          <w:bCs/>
          <w:color w:val="auto"/>
          <w:kern w:val="2"/>
          <w:sz w:val="21"/>
          <w:szCs w:val="21"/>
          <w:highlight w:val="none"/>
          <w:u w:val="single"/>
          <w:lang w:val="en-US" w:eastAsia="zh-CN" w:bidi="ar"/>
        </w:rPr>
        <w:t>小型</w:t>
      </w:r>
      <w:r>
        <w:rPr>
          <w:rFonts w:hint="eastAsia" w:ascii="宋体" w:hAnsi="宋体" w:eastAsia="宋体" w:cs="宋体"/>
          <w:b/>
          <w:bCs/>
          <w:color w:val="auto"/>
          <w:kern w:val="2"/>
          <w:sz w:val="21"/>
          <w:szCs w:val="21"/>
          <w:highlight w:val="none"/>
          <w:lang w:val="en-US" w:eastAsia="zh-CN" w:bidi="ar"/>
        </w:rPr>
        <w:t>企业[投标人自行登录工业和信息化部官网进行中小企业规模类型自测（查询网址https://www.miit.gov.cn/）]。</w:t>
      </w:r>
    </w:p>
    <w:p w14:paraId="3C205BA5">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仿宋_GB2312"/>
          <w:b/>
          <w:bCs w:val="0"/>
          <w:color w:val="auto"/>
          <w:kern w:val="2"/>
          <w:sz w:val="24"/>
          <w:szCs w:val="24"/>
          <w:highlight w:val="none"/>
        </w:rPr>
      </w:pPr>
      <w:r>
        <w:rPr>
          <w:rFonts w:hint="eastAsia" w:ascii="宋体" w:hAnsi="宋体" w:eastAsia="宋体" w:cs="@仿宋_GB2312"/>
          <w:b/>
          <w:bCs w:val="0"/>
          <w:color w:val="auto"/>
          <w:kern w:val="2"/>
          <w:sz w:val="24"/>
          <w:szCs w:val="24"/>
          <w:highlight w:val="none"/>
          <w:lang w:val="en-US" w:eastAsia="zh-CN" w:bidi="ar"/>
        </w:rPr>
        <w:t xml:space="preserve"> </w:t>
      </w:r>
    </w:p>
    <w:p w14:paraId="466B31C5">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仿宋_GB2312"/>
          <w:b/>
          <w:bCs w:val="0"/>
          <w:color w:val="auto"/>
          <w:kern w:val="2"/>
          <w:sz w:val="24"/>
          <w:szCs w:val="24"/>
          <w:highlight w:val="none"/>
        </w:rPr>
      </w:pPr>
      <w:r>
        <w:rPr>
          <w:rFonts w:hint="eastAsia" w:ascii="宋体" w:hAnsi="宋体" w:eastAsia="宋体" w:cs="@仿宋_GB2312"/>
          <w:b/>
          <w:bCs w:val="0"/>
          <w:color w:val="auto"/>
          <w:kern w:val="2"/>
          <w:sz w:val="24"/>
          <w:szCs w:val="24"/>
          <w:highlight w:val="none"/>
          <w:lang w:val="en-US" w:eastAsia="zh-CN" w:bidi="ar"/>
        </w:rPr>
        <w:t xml:space="preserve"> </w:t>
      </w:r>
    </w:p>
    <w:p w14:paraId="15903C8C">
      <w:pPr>
        <w:keepNext w:val="0"/>
        <w:keepLines w:val="0"/>
        <w:widowControl w:val="0"/>
        <w:suppressLineNumbers w:val="0"/>
        <w:spacing w:before="0" w:beforeAutospacing="0" w:after="0" w:afterAutospacing="0"/>
        <w:ind w:left="0" w:right="0"/>
        <w:jc w:val="both"/>
        <w:rPr>
          <w:rFonts w:hint="eastAsia" w:ascii="宋体" w:hAnsi="宋体" w:eastAsia="宋体" w:cs="@仿宋_GB2312"/>
          <w:b/>
          <w:bCs w:val="0"/>
          <w:color w:val="auto"/>
          <w:kern w:val="2"/>
          <w:sz w:val="24"/>
          <w:szCs w:val="24"/>
          <w:highlight w:val="none"/>
        </w:rPr>
      </w:pPr>
      <w:r>
        <w:rPr>
          <w:rFonts w:hint="eastAsia" w:ascii="宋体" w:hAnsi="宋体" w:eastAsia="宋体" w:cs="@仿宋_GB2312"/>
          <w:b/>
          <w:bCs w:val="0"/>
          <w:color w:val="auto"/>
          <w:kern w:val="2"/>
          <w:sz w:val="24"/>
          <w:szCs w:val="24"/>
          <w:highlight w:val="none"/>
          <w:lang w:val="en-US" w:eastAsia="zh-CN" w:bidi="ar"/>
        </w:rPr>
        <w:br w:type="page"/>
      </w:r>
    </w:p>
    <w:p w14:paraId="070133E6">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（5）残疾人福利性单位声明函</w:t>
      </w:r>
    </w:p>
    <w:p w14:paraId="0FED3FDB">
      <w:pPr>
        <w:pStyle w:val="20"/>
        <w:widowControl/>
        <w:spacing w:before="0" w:beforeAutospacing="0" w:after="120" w:afterAutospacing="0" w:line="360" w:lineRule="auto"/>
        <w:ind w:left="0" w:right="0"/>
        <w:jc w:val="center"/>
        <w:rPr>
          <w:rFonts w:hint="eastAsia" w:ascii="宋体" w:hAnsi="宋体" w:eastAsia="宋体" w:cs="@微软简标宋"/>
          <w:i/>
          <w:iCs w:val="0"/>
          <w:color w:val="auto"/>
          <w:kern w:val="2"/>
          <w:sz w:val="24"/>
          <w:szCs w:val="24"/>
          <w:highlight w:val="none"/>
        </w:rPr>
      </w:pPr>
      <w:r>
        <w:rPr>
          <w:rFonts w:hint="eastAsia" w:ascii="宋体" w:hAnsi="宋体" w:eastAsia="宋体" w:cs="宋体"/>
          <w:i/>
          <w:iCs w:val="0"/>
          <w:color w:val="auto"/>
          <w:kern w:val="2"/>
          <w:sz w:val="24"/>
          <w:szCs w:val="24"/>
          <w:highlight w:val="none"/>
          <w:lang w:val="en-US" w:eastAsia="zh-CN" w:bidi="ar"/>
        </w:rPr>
        <w:t>（非残疾人福利性单位投标，请删去“残疾人福利性单位声明函”）</w:t>
      </w:r>
    </w:p>
    <w:p w14:paraId="330E7E69">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spacing w:val="6"/>
          <w:kern w:val="2"/>
          <w:sz w:val="24"/>
          <w:szCs w:val="24"/>
          <w:highlight w:val="none"/>
        </w:rPr>
      </w:pPr>
      <w:r>
        <w:rPr>
          <w:rFonts w:hint="eastAsia" w:ascii="宋体" w:hAnsi="宋体" w:eastAsia="宋体" w:cs="宋体"/>
          <w:color w:val="auto"/>
          <w:spacing w:val="6"/>
          <w:kern w:val="2"/>
          <w:sz w:val="24"/>
          <w:szCs w:val="24"/>
          <w:highlight w:val="none"/>
          <w:lang w:val="en-US" w:eastAsia="zh-CN" w:bidi="ar"/>
        </w:rPr>
        <w:t>本单位</w:t>
      </w:r>
      <w:r>
        <w:rPr>
          <w:rFonts w:hint="eastAsia" w:ascii="宋体" w:hAnsi="宋体" w:eastAsia="宋体" w:cs="宋体"/>
          <w:color w:val="auto"/>
          <w:kern w:val="2"/>
          <w:sz w:val="24"/>
          <w:szCs w:val="24"/>
          <w:highlight w:val="none"/>
          <w:lang w:val="en-US" w:eastAsia="zh-CN" w:bidi="ar"/>
        </w:rPr>
        <w:t>郑重</w:t>
      </w:r>
      <w:r>
        <w:rPr>
          <w:rFonts w:hint="eastAsia" w:ascii="宋体" w:hAnsi="宋体" w:eastAsia="宋体" w:cs="宋体"/>
          <w:color w:val="auto"/>
          <w:spacing w:val="6"/>
          <w:kern w:val="2"/>
          <w:sz w:val="24"/>
          <w:szCs w:val="24"/>
          <w:highlight w:val="none"/>
          <w:lang w:val="en-US" w:eastAsia="zh-CN" w:bidi="ar"/>
        </w:rPr>
        <w:t>声明，根据《财政部</w:t>
      </w:r>
      <w:r>
        <w:rPr>
          <w:rFonts w:hint="eastAsia" w:ascii="宋体" w:hAnsi="宋体" w:eastAsia="宋体" w:cs="@仿宋_GB2312"/>
          <w:color w:val="auto"/>
          <w:spacing w:val="6"/>
          <w:kern w:val="2"/>
          <w:sz w:val="24"/>
          <w:szCs w:val="24"/>
          <w:highlight w:val="none"/>
          <w:lang w:val="en-US" w:eastAsia="zh-CN" w:bidi="ar"/>
        </w:rPr>
        <w:t xml:space="preserve"> </w:t>
      </w:r>
      <w:r>
        <w:rPr>
          <w:rFonts w:hint="eastAsia" w:ascii="宋体" w:hAnsi="宋体" w:eastAsia="宋体" w:cs="宋体"/>
          <w:color w:val="auto"/>
          <w:spacing w:val="6"/>
          <w:kern w:val="2"/>
          <w:sz w:val="24"/>
          <w:szCs w:val="24"/>
          <w:highlight w:val="none"/>
          <w:lang w:val="en-US" w:eastAsia="zh-CN" w:bidi="ar"/>
        </w:rPr>
        <w:t>民政部</w:t>
      </w:r>
      <w:r>
        <w:rPr>
          <w:rFonts w:hint="eastAsia" w:ascii="宋体" w:hAnsi="宋体" w:eastAsia="宋体" w:cs="@仿宋_GB2312"/>
          <w:color w:val="auto"/>
          <w:spacing w:val="6"/>
          <w:kern w:val="2"/>
          <w:sz w:val="24"/>
          <w:szCs w:val="24"/>
          <w:highlight w:val="none"/>
          <w:lang w:val="en-US" w:eastAsia="zh-CN" w:bidi="ar"/>
        </w:rPr>
        <w:t xml:space="preserve"> </w:t>
      </w:r>
      <w:r>
        <w:rPr>
          <w:rFonts w:hint="eastAsia" w:ascii="宋体" w:hAnsi="宋体" w:eastAsia="宋体" w:cs="宋体"/>
          <w:color w:val="auto"/>
          <w:spacing w:val="6"/>
          <w:kern w:val="2"/>
          <w:sz w:val="24"/>
          <w:szCs w:val="24"/>
          <w:highlight w:val="none"/>
          <w:lang w:val="en-US" w:eastAsia="zh-CN" w:bidi="ar"/>
        </w:rPr>
        <w:t>中国残疾人联合会关于促进残疾人就业政府采购政策的通知》（财库</w:t>
      </w:r>
      <w:r>
        <w:rPr>
          <w:rFonts w:hint="eastAsia" w:ascii="宋体" w:hAnsi="宋体" w:eastAsia="宋体" w:cs="宋体"/>
          <w:color w:val="auto"/>
          <w:kern w:val="2"/>
          <w:sz w:val="24"/>
          <w:szCs w:val="24"/>
          <w:highlight w:val="none"/>
          <w:lang w:val="en-US" w:eastAsia="zh-CN" w:bidi="ar"/>
        </w:rPr>
        <w:t>〔2017〕141</w:t>
      </w:r>
      <w:r>
        <w:rPr>
          <w:rFonts w:hint="eastAsia" w:ascii="宋体" w:hAnsi="宋体" w:eastAsia="宋体" w:cs="宋体"/>
          <w:color w:val="auto"/>
          <w:spacing w:val="6"/>
          <w:kern w:val="2"/>
          <w:sz w:val="24"/>
          <w:szCs w:val="24"/>
          <w:highlight w:val="none"/>
          <w:lang w:val="en-US" w:eastAsia="zh-CN" w:bidi="ar"/>
        </w:rPr>
        <w:t>号）的规定，本单位为</w:t>
      </w:r>
      <w:r>
        <w:rPr>
          <w:rFonts w:hint="eastAsia" w:ascii="宋体" w:hAnsi="宋体" w:eastAsia="宋体" w:cs="宋体"/>
          <w:bCs/>
          <w:color w:val="auto"/>
          <w:kern w:val="2"/>
          <w:sz w:val="24"/>
          <w:szCs w:val="24"/>
          <w:highlight w:val="none"/>
          <w:lang w:val="en-US" w:eastAsia="zh-CN" w:bidi="ar"/>
        </w:rPr>
        <w:t>符合</w:t>
      </w:r>
      <w:r>
        <w:rPr>
          <w:rFonts w:hint="eastAsia" w:ascii="宋体" w:hAnsi="宋体" w:eastAsia="宋体" w:cs="宋体"/>
          <w:color w:val="auto"/>
          <w:spacing w:val="6"/>
          <w:kern w:val="2"/>
          <w:sz w:val="24"/>
          <w:szCs w:val="24"/>
          <w:highlight w:val="none"/>
          <w:lang w:val="en-US" w:eastAsia="zh-CN" w:bidi="ar"/>
        </w:rPr>
        <w:t>条件的残疾人福利性单位，且本单位参加</w:t>
      </w:r>
      <w:r>
        <w:rPr>
          <w:rFonts w:hint="eastAsia" w:ascii="宋体" w:hAnsi="宋体" w:eastAsia="宋体" w:cs="@仿宋_GB2312"/>
          <w:color w:val="auto"/>
          <w:spacing w:val="6"/>
          <w:kern w:val="2"/>
          <w:sz w:val="24"/>
          <w:szCs w:val="24"/>
          <w:highlight w:val="none"/>
          <w:u w:val="single"/>
          <w:lang w:val="en-US" w:eastAsia="zh-CN" w:bidi="ar"/>
        </w:rPr>
        <w:t xml:space="preserve">      </w:t>
      </w:r>
      <w:r>
        <w:rPr>
          <w:rFonts w:hint="eastAsia" w:ascii="宋体" w:hAnsi="宋体" w:eastAsia="宋体" w:cs="宋体"/>
          <w:color w:val="auto"/>
          <w:spacing w:val="6"/>
          <w:kern w:val="2"/>
          <w:sz w:val="24"/>
          <w:szCs w:val="24"/>
          <w:highlight w:val="none"/>
          <w:lang w:val="en-US" w:eastAsia="zh-CN" w:bidi="ar"/>
        </w:rPr>
        <w:t>单位的</w:t>
      </w:r>
      <w:r>
        <w:rPr>
          <w:rFonts w:hint="eastAsia" w:ascii="宋体" w:hAnsi="宋体" w:eastAsia="宋体" w:cs="@仿宋_GB2312"/>
          <w:color w:val="auto"/>
          <w:spacing w:val="6"/>
          <w:kern w:val="2"/>
          <w:sz w:val="24"/>
          <w:szCs w:val="24"/>
          <w:highlight w:val="none"/>
          <w:u w:val="single"/>
          <w:lang w:val="en-US" w:eastAsia="zh-CN" w:bidi="ar"/>
        </w:rPr>
        <w:t xml:space="preserve">      </w:t>
      </w:r>
      <w:r>
        <w:rPr>
          <w:rFonts w:hint="eastAsia" w:ascii="宋体" w:hAnsi="宋体" w:eastAsia="宋体" w:cs="宋体"/>
          <w:color w:val="auto"/>
          <w:spacing w:val="6"/>
          <w:kern w:val="2"/>
          <w:sz w:val="24"/>
          <w:szCs w:val="24"/>
          <w:highlight w:val="none"/>
          <w:lang w:val="en-US" w:eastAsia="zh-CN" w:bidi="ar"/>
        </w:rPr>
        <w:t>项目采购活动提供本单位制造的货物（由本单位承担工程/提供服务），或者提供其他残疾人福利性单位制造的货物（不包括使用非残疾人福利性单位注册商标的货物）。</w:t>
      </w:r>
    </w:p>
    <w:p w14:paraId="3CC88BE9">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spacing w:val="6"/>
          <w:kern w:val="2"/>
          <w:sz w:val="24"/>
          <w:szCs w:val="24"/>
          <w:highlight w:val="none"/>
        </w:rPr>
      </w:pPr>
      <w:r>
        <w:rPr>
          <w:rFonts w:hint="eastAsia" w:ascii="宋体" w:hAnsi="宋体" w:eastAsia="宋体" w:cs="宋体"/>
          <w:color w:val="auto"/>
          <w:spacing w:val="6"/>
          <w:kern w:val="2"/>
          <w:sz w:val="24"/>
          <w:szCs w:val="24"/>
          <w:highlight w:val="none"/>
          <w:lang w:val="en-US" w:eastAsia="zh-CN" w:bidi="ar"/>
        </w:rPr>
        <w:t>本单位对上述声明的真实性负责。如有虚假，将依法承担相应责任。</w:t>
      </w:r>
    </w:p>
    <w:p w14:paraId="1C62DCE0">
      <w:pPr>
        <w:keepNext w:val="0"/>
        <w:keepLines w:val="0"/>
        <w:widowControl w:val="0"/>
        <w:suppressLineNumbers w:val="0"/>
        <w:spacing w:before="0" w:beforeAutospacing="0" w:after="0" w:afterAutospacing="0" w:line="360" w:lineRule="auto"/>
        <w:ind w:left="0" w:right="0" w:firstLine="4228" w:firstLineChars="1762"/>
        <w:jc w:val="both"/>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3688D6A4">
      <w:pPr>
        <w:keepNext w:val="0"/>
        <w:keepLines w:val="0"/>
        <w:widowControl w:val="0"/>
        <w:suppressLineNumbers w:val="0"/>
        <w:spacing w:before="0" w:beforeAutospacing="0" w:after="0" w:afterAutospacing="0" w:line="360" w:lineRule="auto"/>
        <w:ind w:left="0" w:right="0" w:firstLine="4228" w:firstLineChars="1762"/>
        <w:jc w:val="both"/>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124888BE">
      <w:pPr>
        <w:keepNext w:val="0"/>
        <w:keepLines w:val="0"/>
        <w:widowControl w:val="0"/>
        <w:suppressLineNumbers w:val="0"/>
        <w:spacing w:before="0" w:beforeAutospacing="0" w:after="0" w:afterAutospacing="0" w:line="360" w:lineRule="auto"/>
        <w:ind w:left="0" w:right="0" w:firstLine="4228" w:firstLineChars="1762"/>
        <w:jc w:val="both"/>
        <w:rPr>
          <w:rFonts w:hint="eastAsia" w:ascii="宋体" w:hAnsi="宋体" w:eastAsia="宋体" w:cs="@仿宋_GB2312"/>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投标人电子签章：</w:t>
      </w:r>
      <w:r>
        <w:rPr>
          <w:rFonts w:hint="eastAsia" w:ascii="宋体" w:hAnsi="宋体" w:eastAsia="宋体" w:cs="@仿宋_GB2312"/>
          <w:color w:val="auto"/>
          <w:kern w:val="2"/>
          <w:sz w:val="24"/>
          <w:szCs w:val="24"/>
          <w:highlight w:val="none"/>
          <w:u w:val="single"/>
          <w:lang w:val="en-US" w:eastAsia="zh-CN" w:bidi="ar"/>
        </w:rPr>
        <w:t xml:space="preserve">             </w:t>
      </w:r>
    </w:p>
    <w:p w14:paraId="798E8E5F">
      <w:pPr>
        <w:keepNext w:val="0"/>
        <w:keepLines w:val="0"/>
        <w:widowControl w:val="0"/>
        <w:suppressLineNumbers w:val="0"/>
        <w:spacing w:before="0" w:beforeAutospacing="0" w:after="0" w:afterAutospacing="0" w:line="360" w:lineRule="auto"/>
        <w:ind w:left="0" w:right="0" w:firstLine="4252" w:firstLineChars="1772"/>
        <w:jc w:val="both"/>
        <w:rPr>
          <w:rFonts w:hint="eastAsia" w:ascii="宋体" w:hAnsi="宋体" w:eastAsia="宋体" w:cs="@仿宋_GB2312"/>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日</w:t>
      </w:r>
      <w:r>
        <w:rPr>
          <w:rFonts w:hint="eastAsia" w:ascii="宋体" w:hAnsi="宋体" w:eastAsia="宋体" w:cs="@仿宋_GB2312"/>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期：</w:t>
      </w:r>
      <w:r>
        <w:rPr>
          <w:rFonts w:hint="eastAsia" w:ascii="宋体" w:hAnsi="宋体" w:eastAsia="宋体" w:cs="@仿宋_GB2312"/>
          <w:color w:val="auto"/>
          <w:kern w:val="2"/>
          <w:sz w:val="24"/>
          <w:szCs w:val="24"/>
          <w:highlight w:val="none"/>
          <w:u w:val="single"/>
          <w:lang w:val="en-US" w:eastAsia="zh-CN" w:bidi="ar"/>
        </w:rPr>
        <w:t xml:space="preserve">             </w:t>
      </w:r>
    </w:p>
    <w:p w14:paraId="44EB7C48">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仿宋_GB2312"/>
          <w:b/>
          <w:bCs w:val="0"/>
          <w:color w:val="auto"/>
          <w:kern w:val="2"/>
          <w:sz w:val="24"/>
          <w:szCs w:val="24"/>
          <w:highlight w:val="none"/>
        </w:rPr>
      </w:pPr>
      <w:r>
        <w:rPr>
          <w:rFonts w:hint="eastAsia" w:ascii="宋体" w:hAnsi="宋体" w:eastAsia="宋体" w:cs="@仿宋_GB2312"/>
          <w:b/>
          <w:bCs w:val="0"/>
          <w:color w:val="auto"/>
          <w:kern w:val="2"/>
          <w:sz w:val="24"/>
          <w:szCs w:val="24"/>
          <w:highlight w:val="none"/>
          <w:lang w:val="en-US" w:eastAsia="zh-CN" w:bidi="ar"/>
        </w:rPr>
        <w:t xml:space="preserve"> </w:t>
      </w:r>
    </w:p>
    <w:p w14:paraId="0B40E013">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仿宋_GB2312"/>
          <w:b/>
          <w:bCs w:val="0"/>
          <w:color w:val="auto"/>
          <w:kern w:val="2"/>
          <w:sz w:val="24"/>
          <w:szCs w:val="24"/>
          <w:highlight w:val="none"/>
        </w:rPr>
      </w:pPr>
      <w:r>
        <w:rPr>
          <w:rFonts w:hint="eastAsia" w:ascii="宋体" w:hAnsi="宋体" w:eastAsia="宋体" w:cs="@仿宋_GB2312"/>
          <w:b/>
          <w:bCs w:val="0"/>
          <w:color w:val="auto"/>
          <w:kern w:val="2"/>
          <w:sz w:val="24"/>
          <w:szCs w:val="24"/>
          <w:highlight w:val="none"/>
          <w:lang w:val="en-US" w:eastAsia="zh-CN" w:bidi="ar"/>
        </w:rPr>
        <w:t xml:space="preserve"> </w:t>
      </w:r>
    </w:p>
    <w:p w14:paraId="4E08E929">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 xml:space="preserve"> </w:t>
      </w:r>
    </w:p>
    <w:p w14:paraId="1249050F">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宋体"/>
          <w:b/>
          <w:bCs w:val="0"/>
          <w:color w:val="auto"/>
          <w:kern w:val="2"/>
          <w:sz w:val="24"/>
          <w:szCs w:val="24"/>
          <w:highlight w:val="none"/>
          <w:lang w:val="en-US" w:eastAsia="zh-CN" w:bidi="ar"/>
        </w:rPr>
      </w:pPr>
      <w:r>
        <w:rPr>
          <w:rFonts w:hint="eastAsia" w:ascii="宋体" w:hAnsi="宋体" w:eastAsia="宋体" w:cs="宋体"/>
          <w:b/>
          <w:bCs w:val="0"/>
          <w:color w:val="auto"/>
          <w:kern w:val="2"/>
          <w:sz w:val="24"/>
          <w:szCs w:val="24"/>
          <w:highlight w:val="none"/>
          <w:lang w:val="en-US" w:eastAsia="zh-CN" w:bidi="ar"/>
        </w:rPr>
        <w:t>（6）其他相关证明材料</w:t>
      </w:r>
    </w:p>
    <w:p w14:paraId="7F339637">
      <w:pPr>
        <w:spacing w:line="360" w:lineRule="auto"/>
        <w:ind w:firstLine="435"/>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如有。</w:t>
      </w:r>
    </w:p>
    <w:p w14:paraId="468FD865">
      <w:pPr>
        <w:spacing w:line="360" w:lineRule="auto"/>
        <w:ind w:firstLine="435"/>
        <w:rPr>
          <w:rFonts w:hint="eastAsia" w:ascii="宋体" w:hAnsi="宋体" w:eastAsia="宋体"/>
          <w:color w:val="auto"/>
          <w:sz w:val="24"/>
          <w:highlight w:val="none"/>
        </w:rPr>
      </w:pPr>
    </w:p>
    <w:p w14:paraId="123E1872">
      <w:pPr>
        <w:spacing w:line="360" w:lineRule="auto"/>
        <w:ind w:firstLine="435"/>
        <w:rPr>
          <w:rFonts w:hint="eastAsia" w:ascii="宋体" w:hAnsi="宋体" w:eastAsia="宋体"/>
          <w:color w:val="auto"/>
          <w:sz w:val="24"/>
          <w:highlight w:val="none"/>
        </w:rPr>
      </w:pPr>
    </w:p>
    <w:p w14:paraId="6A242C01">
      <w:pPr>
        <w:rPr>
          <w:rFonts w:hint="eastAsia" w:ascii="宋体" w:hAnsi="宋体" w:eastAsia="宋体" w:cs="宋体"/>
          <w:b/>
          <w:color w:val="auto"/>
          <w:sz w:val="28"/>
          <w:szCs w:val="28"/>
          <w:highlight w:val="none"/>
          <w:lang w:bidi="ar"/>
        </w:rPr>
      </w:pPr>
      <w:r>
        <w:rPr>
          <w:rFonts w:hint="eastAsia" w:ascii="宋体" w:hAnsi="宋体" w:eastAsia="宋体" w:cs="宋体"/>
          <w:b/>
          <w:color w:val="auto"/>
          <w:sz w:val="28"/>
          <w:szCs w:val="28"/>
          <w:highlight w:val="none"/>
          <w:lang w:bidi="ar"/>
        </w:rPr>
        <w:br w:type="page"/>
      </w:r>
    </w:p>
    <w:p w14:paraId="4C99146D">
      <w:pPr>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lang w:bidi="ar"/>
        </w:rPr>
        <w:t>附件</w:t>
      </w:r>
      <w:r>
        <w:rPr>
          <w:rFonts w:ascii="Times New Roman" w:hAnsi="Times New Roman" w:eastAsia="宋体" w:cs="Times New Roman"/>
          <w:b/>
          <w:color w:val="auto"/>
          <w:sz w:val="28"/>
          <w:szCs w:val="28"/>
          <w:highlight w:val="none"/>
          <w:lang w:bidi="ar"/>
        </w:rPr>
        <w:t>1</w:t>
      </w:r>
    </w:p>
    <w:p w14:paraId="7C5F8C33">
      <w:pPr>
        <w:spacing w:line="440" w:lineRule="exact"/>
        <w:jc w:val="center"/>
        <w:rPr>
          <w:rFonts w:hint="eastAsia" w:ascii="黑体" w:hAnsi="宋体" w:eastAsia="黑体" w:cs="黑体"/>
          <w:b/>
          <w:color w:val="auto"/>
          <w:sz w:val="30"/>
          <w:szCs w:val="30"/>
          <w:highlight w:val="none"/>
        </w:rPr>
      </w:pPr>
      <w:r>
        <w:rPr>
          <w:rFonts w:hint="eastAsia" w:ascii="黑体" w:hAnsi="宋体" w:eastAsia="黑体" w:cs="黑体"/>
          <w:b/>
          <w:color w:val="auto"/>
          <w:sz w:val="30"/>
          <w:szCs w:val="30"/>
          <w:highlight w:val="none"/>
          <w:lang w:bidi="ar"/>
        </w:rPr>
        <w:t>关于联合惩戒失信行为 加强信用查询管理的通知</w:t>
      </w:r>
    </w:p>
    <w:p w14:paraId="533E532A">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一、失信行为联合惩戒的范围和查询渠道</w:t>
      </w:r>
    </w:p>
    <w:p w14:paraId="636F7162">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在我市公共资源交易活动中对存在下列失信行为的投标人、法定代表人及其项目经理（建造师）实施联合惩戒，禁止参与我市公共资源交易活动。</w:t>
      </w:r>
    </w:p>
    <w:p w14:paraId="00229241">
      <w:pPr>
        <w:widowControl/>
        <w:autoSpaceDE w:val="0"/>
        <w:spacing w:line="52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（一）工程建设项目</w:t>
      </w:r>
    </w:p>
    <w:p w14:paraId="7D0A8EB1">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1、“信用中国”网站（www.creditchina.gov.cn）查询投标人、法定代表人及其项目经理(建造师)以下失信行为：</w:t>
      </w:r>
    </w:p>
    <w:p w14:paraId="7852524D">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①被列入“失信被执行人”的;</w:t>
      </w:r>
    </w:p>
    <w:p w14:paraId="79603A49">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②被列入“重大税收违法失信主体”的；</w:t>
      </w:r>
    </w:p>
    <w:p w14:paraId="6C8A2DC3">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③被列入“拖欠农民工工资失信联合惩戒对象名单”的；</w:t>
      </w:r>
    </w:p>
    <w:p w14:paraId="2386F2D2">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④被列入 “严重失信主体名单”的；</w:t>
      </w:r>
    </w:p>
    <w:p w14:paraId="4CF06447">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⑤在“信用中国”网站上披露的仍在公示期的严重失信行为(具体行为类别及判定依据见附件2)的。</w:t>
      </w:r>
    </w:p>
    <w:p w14:paraId="16E28D65">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2、国家企业信用信息公示系统网站（www.gsxt.gov.cn）查询投标人以下失信行为：</w:t>
      </w:r>
    </w:p>
    <w:p w14:paraId="20ECC885">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①被列入“经营异常名录”或者“严重违法失信名单”的。</w:t>
      </w:r>
    </w:p>
    <w:p w14:paraId="7C545732">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3、由投标人、法定代表人及其项目经理(建造师)进行承诺，不进行现场网上信用查询的失信行为：</w:t>
      </w:r>
    </w:p>
    <w:p w14:paraId="274C7EDD">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①前三年有行贿犯罪行为的单位和个人；</w:t>
      </w:r>
    </w:p>
    <w:p w14:paraId="0435064A">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②被滁州市县两级公管部门取消在一定期限内的投标资格且在取消期限内的；</w:t>
      </w:r>
    </w:p>
    <w:p w14:paraId="06471EC2">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③被滁州市县两级各行业主管部门取消在一定期限内的投标资格且在取消期限内的；</w:t>
      </w:r>
    </w:p>
    <w:p w14:paraId="1AA09013">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④因拖欠农民工工资被县级及以上有关行政主管部门限制投标资格且在限制期限内的；</w:t>
      </w:r>
    </w:p>
    <w:p w14:paraId="678FC177">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2B6DD20C">
      <w:pPr>
        <w:widowControl/>
        <w:autoSpaceDE w:val="0"/>
        <w:spacing w:line="52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（二）政府采购项目</w:t>
      </w:r>
    </w:p>
    <w:p w14:paraId="01BC5231">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1、“信用中国”网站（www.creditchina.gov.cn）查询供应商、法定代表人及其项目负责人以下失信行为：</w:t>
      </w:r>
    </w:p>
    <w:p w14:paraId="1AA17631">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①被列入“失信被执行人”的;</w:t>
      </w:r>
    </w:p>
    <w:p w14:paraId="028C1925">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②被列入“重大税收违法失信主体”的；</w:t>
      </w:r>
    </w:p>
    <w:p w14:paraId="41A81E93">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③被列入 “严重失信主体名单”的；</w:t>
      </w:r>
    </w:p>
    <w:p w14:paraId="7F0DD366">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④在“信用中国”网站上披露的仍在公示期的严重失信行为(具体行为类别及判定依据见附件2)的。</w:t>
      </w:r>
    </w:p>
    <w:p w14:paraId="20230BDC">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2、国家企业信用信息公示系统网站（www.gsxt.gov.cn）查询供应商以下失信行为：</w:t>
      </w:r>
    </w:p>
    <w:p w14:paraId="28905019">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①被列入“经营异常名录”或者“严重违法失信名单”的。</w:t>
      </w:r>
    </w:p>
    <w:p w14:paraId="12AE7323">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3、中国政府采购网站（www.ccgp.gov.cn）查询以下失信行为：</w:t>
      </w:r>
    </w:p>
    <w:p w14:paraId="19075B54">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①被列入“政府采购严重违法失信行为信息记录”的。</w:t>
      </w:r>
    </w:p>
    <w:p w14:paraId="5F5A8FD7">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4、由竞争主体进行承诺，不进行现场网上信用查询的失信行为：</w:t>
      </w:r>
    </w:p>
    <w:p w14:paraId="17EA7AF3">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①前三年有行贿犯罪行为的单位和个人。</w:t>
      </w:r>
    </w:p>
    <w:p w14:paraId="4FF462CC">
      <w:pPr>
        <w:widowControl/>
        <w:autoSpaceDE w:val="0"/>
        <w:spacing w:line="52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二、在开评标活动中的查询程序</w:t>
      </w:r>
    </w:p>
    <w:p w14:paraId="2D55B737">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3A6B3EAF">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620C2AF2">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3、项目单位及其委托的代理机构应当做好信用查询结果截图和记录留存。</w:t>
      </w:r>
    </w:p>
    <w:p w14:paraId="1FDF4DDD">
      <w:pPr>
        <w:widowControl/>
        <w:autoSpaceDE w:val="0"/>
        <w:spacing w:line="52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三、相关要求</w:t>
      </w:r>
    </w:p>
    <w:p w14:paraId="6857B8F8">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1、参与公共资源交易活动的竞争主体根据上述范围查询的内容进行自查并承诺，出具《诚信投标承诺书》（诚信投标承诺书包括但不限于上述自查并承诺内容）并注明承诺日期（投标截止时间前5日内）。</w:t>
      </w:r>
    </w:p>
    <w:p w14:paraId="5F9C3D7D">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70199E2C">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https://credit.ah.gov.cn/xinyong-fuwu/xvbahv/index.html)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6E043B17">
      <w:pPr>
        <w:widowControl/>
        <w:autoSpaceDE w:val="0"/>
        <w:spacing w:line="520" w:lineRule="exact"/>
        <w:ind w:firstLine="482" w:firstLineChars="200"/>
        <w:textAlignment w:val="baseline"/>
        <w:rPr>
          <w:rFonts w:hint="eastAsia" w:ascii="宋体" w:hAnsi="宋体" w:eastAsia="宋体" w:cs="宋体"/>
          <w:b/>
          <w:color w:val="auto"/>
          <w:kern w:val="0"/>
          <w:sz w:val="24"/>
          <w:szCs w:val="24"/>
          <w:highlight w:val="none"/>
          <w:lang w:bidi="ar"/>
        </w:rPr>
      </w:pPr>
      <w:r>
        <w:rPr>
          <w:rFonts w:hint="eastAsia" w:ascii="宋体" w:hAnsi="宋体" w:eastAsia="宋体" w:cs="宋体"/>
          <w:b/>
          <w:color w:val="auto"/>
          <w:kern w:val="0"/>
          <w:sz w:val="24"/>
          <w:szCs w:val="24"/>
          <w:highlight w:val="none"/>
          <w:lang w:bidi="ar"/>
        </w:rPr>
        <w:t>2、“信用中国”查询的严重失信行为判定依据为各行业主管部门下发的联合惩戒文件中规定的行为（按附件2执行）。</w:t>
      </w:r>
    </w:p>
    <w:p w14:paraId="4057A680">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bidi="ar"/>
        </w:rPr>
        <w:t>3、资格预审的项目以递交资格预审申请文件截止时间查询为准；资格后审的项目以递交投标文件截止时间查询为准。</w:t>
      </w:r>
    </w:p>
    <w:p w14:paraId="36C8F2EC">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br w:type="page"/>
      </w:r>
      <w:r>
        <w:rPr>
          <w:rFonts w:hint="eastAsia" w:ascii="宋体" w:hAnsi="宋体" w:eastAsia="宋体" w:cs="宋体"/>
          <w:b/>
          <w:color w:val="auto"/>
          <w:sz w:val="24"/>
          <w:szCs w:val="24"/>
          <w:highlight w:val="none"/>
          <w:lang w:bidi="ar"/>
        </w:rPr>
        <w:t>附件</w:t>
      </w:r>
      <w:r>
        <w:rPr>
          <w:rFonts w:ascii="Times New Roman" w:hAnsi="Times New Roman" w:eastAsia="宋体" w:cs="Times New Roman"/>
          <w:b/>
          <w:color w:val="auto"/>
          <w:sz w:val="24"/>
          <w:szCs w:val="24"/>
          <w:highlight w:val="none"/>
          <w:lang w:bidi="ar"/>
        </w:rPr>
        <w:t>2</w:t>
      </w:r>
    </w:p>
    <w:p w14:paraId="68181CD2">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“信用中国”查询的严重失信行为类别及判定依据</w:t>
      </w:r>
    </w:p>
    <w:p w14:paraId="44C3CC45">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 xml:space="preserve"> </w:t>
      </w:r>
    </w:p>
    <w:p w14:paraId="02E3EE72">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“信用中国”查询的严重失信行为判定依据为各行业主管部门下发的联合惩戒文件中规定的行为。下面将部分类别的严重失信行为列举如下：</w:t>
      </w:r>
    </w:p>
    <w:p w14:paraId="2B2397BB">
      <w:pPr>
        <w:widowControl/>
        <w:autoSpaceDE w:val="0"/>
        <w:spacing w:line="480" w:lineRule="exact"/>
        <w:ind w:firstLine="482" w:firstLineChars="200"/>
        <w:jc w:val="left"/>
        <w:textAlignment w:val="baseline"/>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kern w:val="0"/>
          <w:sz w:val="24"/>
          <w:szCs w:val="24"/>
          <w:highlight w:val="none"/>
          <w:lang w:bidi="ar"/>
        </w:rPr>
        <w:t xml:space="preserve"> </w:t>
      </w:r>
    </w:p>
    <w:p w14:paraId="64F7C03B">
      <w:pPr>
        <w:widowControl/>
        <w:autoSpaceDE w:val="0"/>
        <w:spacing w:line="480" w:lineRule="exact"/>
        <w:ind w:firstLine="482" w:firstLineChars="200"/>
        <w:jc w:val="left"/>
        <w:textAlignment w:val="baseline"/>
        <w:rPr>
          <w:rFonts w:hint="eastAsia" w:ascii="宋体" w:hAnsi="宋体" w:eastAsia="宋体" w:cs="Times New Roman"/>
          <w:b/>
          <w:bCs/>
          <w:color w:val="auto"/>
          <w:sz w:val="24"/>
          <w:szCs w:val="24"/>
          <w:highlight w:val="none"/>
        </w:rPr>
      </w:pPr>
      <w:r>
        <w:rPr>
          <w:rFonts w:hint="eastAsia" w:ascii="宋体" w:hAnsi="宋体" w:eastAsia="宋体" w:cs="宋体"/>
          <w:b/>
          <w:bCs/>
          <w:color w:val="auto"/>
          <w:kern w:val="0"/>
          <w:sz w:val="24"/>
          <w:szCs w:val="24"/>
          <w:highlight w:val="none"/>
          <w:lang w:bidi="ar"/>
        </w:rPr>
        <w:t>一、安全生产领域严重失信行为：</w:t>
      </w:r>
    </w:p>
    <w:p w14:paraId="6A9ACB7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（一）下列发生生产安全事故的生产经营单位及其有关人员应当列入严重失信主体名单：</w:t>
      </w:r>
    </w:p>
    <w:p w14:paraId="1E0B364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1、发生特别重大、重大生产安全事故的生产经营单位及其主要负责人，以及经调查认定对该事故发生负有责任，应当列入名单的其他单位和人员；</w:t>
      </w:r>
    </w:p>
    <w:p w14:paraId="0556CBD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2、12个月内累计发生2起以上较大生产安全事故的生产经营单位及其主要负责人；</w:t>
      </w:r>
    </w:p>
    <w:p w14:paraId="20D61AF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3、发生生产安全事故，情节特别严重、影响特别恶劣，依照《中华人民共和国安全生产法》第一百一十四条的规定被处以罚款数额2倍以上5倍以下罚款的生产经营单位及其主要负责人；</w:t>
      </w:r>
    </w:p>
    <w:p w14:paraId="1B44C01A">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4、瞒报、谎报生产安全事故的生产经营单位及其有关责任人员；</w:t>
      </w:r>
    </w:p>
    <w:p w14:paraId="79931E2A">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5、发生生产安全事故后，不立即组织抢救或者在事故调查处理期间擅离职守或者逃匿的生产经营单位主要负责人。</w:t>
      </w:r>
    </w:p>
    <w:p w14:paraId="5E1EECC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（二）下列未发生生产安全事故，但因安全生产违法行为，受到行政处罚的生产经营单位或者机构及其有关人员，应当列入严重失信主体名单：</w:t>
      </w:r>
    </w:p>
    <w:p w14:paraId="3AA4CDFE">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1、未依法取得安全生产相关许可或者许可被暂扣、吊销期间从事相关生产经营活动的生产经营单位及其主要负责人；</w:t>
      </w:r>
    </w:p>
    <w:p w14:paraId="29A6FE9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2、承担安全评价、认证、检测、检验职责的机构及其直接责任人员租借资质、挂靠、出具虚假报告或者证书的；</w:t>
      </w:r>
    </w:p>
    <w:p w14:paraId="3D39C5A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3、在应急管理部门作出行政处罚后，有执行能力拒不执行或者逃避执行的生产经营单位及其主要负责人；</w:t>
      </w:r>
    </w:p>
    <w:p w14:paraId="42CA99B9">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4、其他违反安全生产法律法规受到行政处罚，且性质恶劣、情节严重的。</w:t>
      </w:r>
    </w:p>
    <w:p w14:paraId="4FE05BB7">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依据：《安全生产严重失信主体名单管理办法》（2023年8月8日应急管理部令第11号）</w:t>
      </w:r>
    </w:p>
    <w:p w14:paraId="3D98F176">
      <w:pPr>
        <w:widowControl/>
        <w:autoSpaceDE w:val="0"/>
        <w:spacing w:line="480" w:lineRule="exact"/>
        <w:ind w:firstLine="482" w:firstLineChars="200"/>
        <w:jc w:val="left"/>
        <w:textAlignment w:val="baseline"/>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kern w:val="0"/>
          <w:sz w:val="24"/>
          <w:szCs w:val="24"/>
          <w:highlight w:val="none"/>
          <w:lang w:bidi="ar"/>
        </w:rPr>
        <w:t xml:space="preserve"> </w:t>
      </w:r>
    </w:p>
    <w:p w14:paraId="572D4A98">
      <w:pPr>
        <w:widowControl/>
        <w:autoSpaceDE w:val="0"/>
        <w:spacing w:line="480" w:lineRule="exact"/>
        <w:ind w:firstLine="482" w:firstLineChars="200"/>
        <w:jc w:val="left"/>
        <w:textAlignment w:val="baseline"/>
        <w:rPr>
          <w:rFonts w:hint="eastAsia" w:ascii="宋体" w:hAnsi="宋体" w:eastAsia="宋体" w:cs="Times New Roman"/>
          <w:b/>
          <w:bCs/>
          <w:color w:val="auto"/>
          <w:sz w:val="24"/>
          <w:szCs w:val="24"/>
          <w:highlight w:val="none"/>
        </w:rPr>
      </w:pPr>
      <w:r>
        <w:rPr>
          <w:rFonts w:hint="eastAsia" w:ascii="宋体" w:hAnsi="宋体" w:eastAsia="宋体" w:cs="宋体"/>
          <w:b/>
          <w:bCs/>
          <w:color w:val="auto"/>
          <w:kern w:val="0"/>
          <w:sz w:val="24"/>
          <w:szCs w:val="24"/>
          <w:highlight w:val="none"/>
          <w:lang w:bidi="ar"/>
        </w:rPr>
        <w:t>二、环境保护领域严重失信行为：</w:t>
      </w:r>
    </w:p>
    <w:p w14:paraId="3D61B4BC">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（一）因为环境违法构成环境犯罪的；</w:t>
      </w:r>
    </w:p>
    <w:p w14:paraId="36C43AE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（二）建设项目环境影响评价文件未按规定通过审批，擅自开工建设的；</w:t>
      </w:r>
    </w:p>
    <w:p w14:paraId="023D238A">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（三）建设项目环保设施未建成、环保措施未落实、未通过竣工环保验收或者验收不合格，主体工程正式投入生产或者使用的；</w:t>
      </w:r>
    </w:p>
    <w:p w14:paraId="31D99DD2">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（四）建设项目性质、规模、地点、采用的生产工艺或者防治污染、防止生态破坏的措施发生重大变动，未重新报批环境影响评价文件，擅自投入生产或者使用的；</w:t>
      </w:r>
    </w:p>
    <w:p w14:paraId="01DBB0A2">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（五）主要污染物排放总量超过控制指标的；</w:t>
      </w:r>
    </w:p>
    <w:p w14:paraId="0E7B83EE">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（六）私设暗管或者利用渗井、渗坑、裂隙、溶洞等排放、倾倒、处置水污染物，或者通过私设旁路排放大气污染物的；</w:t>
      </w:r>
    </w:p>
    <w:p w14:paraId="031ABEA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（七）非法排放、倾倒、处置危险废物，或者向无经营许可证或者超出经营许可范围的单位或个人提供或者委托其收集、贮存、利用、处置危险废物的；</w:t>
      </w:r>
    </w:p>
    <w:p w14:paraId="68A657AC">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（八）环境违法行为造成集中式生活饮用水水源取水中断的；</w:t>
      </w:r>
    </w:p>
    <w:p w14:paraId="122D9A37">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（九）环境违法行为对生活饮用水水源保护区、自然保护区、国家重点生态功能区、风景名胜区、居住功能区、基本农田保护区等环境敏感区造成重大不利影响的；</w:t>
      </w:r>
    </w:p>
    <w:p w14:paraId="4571595C">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（十）违法从事自然资源开发、交通基础设施建设，以及其他开发建设活动，造成严重生态破坏的；</w:t>
      </w:r>
    </w:p>
    <w:p w14:paraId="4422204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（十一）发生较大及以上突发环境事件的；</w:t>
      </w:r>
    </w:p>
    <w:p w14:paraId="0BF535B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（十二）被环保部门挂牌督办，整改逾期未完成的；</w:t>
      </w:r>
    </w:p>
    <w:p w14:paraId="360D4BE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（十三）以暴力、威胁等方式拒绝、阻挠环保部门工作人员现场检查的；</w:t>
      </w:r>
    </w:p>
    <w:p w14:paraId="6F940D86">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（十四）违反重污染天气应急预案有关规定，对重污染天气响应不力的。</w:t>
      </w:r>
    </w:p>
    <w:p w14:paraId="416DF315">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依据：《关于对环境保护领域失信生产经营单位及其有关人员开展联合惩戒的合作备忘录》、《企业环境信用评价办法（试行）》（环发〔2013〕150号）</w:t>
      </w:r>
    </w:p>
    <w:p w14:paraId="0473D8F4">
      <w:pPr>
        <w:widowControl/>
        <w:autoSpaceDE w:val="0"/>
        <w:spacing w:line="480" w:lineRule="exact"/>
        <w:ind w:firstLine="482" w:firstLineChars="200"/>
        <w:jc w:val="left"/>
        <w:textAlignment w:val="baseline"/>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kern w:val="0"/>
          <w:sz w:val="24"/>
          <w:szCs w:val="24"/>
          <w:highlight w:val="none"/>
          <w:lang w:bidi="ar"/>
        </w:rPr>
        <w:t xml:space="preserve"> </w:t>
      </w:r>
    </w:p>
    <w:p w14:paraId="3DCEF019">
      <w:pPr>
        <w:widowControl/>
        <w:autoSpaceDE w:val="0"/>
        <w:spacing w:line="480" w:lineRule="exact"/>
        <w:ind w:firstLine="482" w:firstLineChars="200"/>
        <w:jc w:val="left"/>
        <w:textAlignment w:val="baseline"/>
        <w:rPr>
          <w:rFonts w:hint="eastAsia" w:ascii="宋体" w:hAnsi="宋体" w:eastAsia="宋体" w:cs="Times New Roman"/>
          <w:b/>
          <w:bCs/>
          <w:color w:val="auto"/>
          <w:sz w:val="24"/>
          <w:szCs w:val="24"/>
          <w:highlight w:val="none"/>
        </w:rPr>
      </w:pPr>
      <w:r>
        <w:rPr>
          <w:rFonts w:hint="eastAsia" w:ascii="宋体" w:hAnsi="宋体" w:eastAsia="宋体" w:cs="宋体"/>
          <w:b/>
          <w:bCs/>
          <w:color w:val="auto"/>
          <w:kern w:val="0"/>
          <w:sz w:val="24"/>
          <w:szCs w:val="24"/>
          <w:highlight w:val="none"/>
          <w:lang w:bidi="ar"/>
        </w:rPr>
        <w:t>三、公共资源交易领域严重失信行为</w:t>
      </w:r>
    </w:p>
    <w:p w14:paraId="402B922B">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（一）违反法律规定，必须进行招标的项目而不招标的，将必须进行招标的项目化整为零或者以其他任何方式规避招标的； </w:t>
      </w:r>
    </w:p>
    <w:p w14:paraId="318AB8E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（二）招标代理机构违反法律规定，泄露应当保密的与招标投标活动有关的情况和资料的，或者与招标人、投标人串通损害 国家利益、社会公共利益或者他人合法权益的；</w:t>
      </w:r>
    </w:p>
    <w:p w14:paraId="4BFCF38B">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（三）招标人以不合理的条件限制或者排斥潜在投标人的，对潜在投标人实行歧视待遇的，强制要求投标人组成联合体共同 投标的，或者限制投标人之间竞争的；</w:t>
      </w:r>
    </w:p>
    <w:p w14:paraId="7F8C0FCC">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（四）依法必须进行招标的项目的招标人向他人透露已获取招标文件的潜在投标人的名称、数量或者可能影响公平竞争的有 关招标投标的其他情况的，或者泄露标底的；</w:t>
      </w:r>
    </w:p>
    <w:p w14:paraId="43E5A0C7">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（五）投标人相互串通投标或者与招标人串通投标的，投标人以向招标人或者评标委员会成员行贿的手段谋取中标的； </w:t>
      </w:r>
    </w:p>
    <w:p w14:paraId="64E002D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（六）投标人以他人名义投标或者以其他方式弄虚作假，骗取中标的；</w:t>
      </w:r>
    </w:p>
    <w:p w14:paraId="67C9936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（七）依法必须进行招标的项目，招标人违反法律规定，与投标人就投标价格、投标方案等实质性内容进行谈判的；</w:t>
      </w:r>
    </w:p>
    <w:p w14:paraId="683BEF9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097E201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（九）招标人在评标委员会依法推荐的中标候选人以外确定中标人的，依法必须进行招标的项目在所有投标被评标委员会否 决后自行确定中标人的； </w:t>
      </w:r>
    </w:p>
    <w:p w14:paraId="7EA059F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（十）中标人将中标项目转让给他人的，将中标项目肢解后分别转让给他人的，违反法律规定将中标项目的部分主体、关键 性工作分包给他人的，或者分包人再次分包的； </w:t>
      </w:r>
    </w:p>
    <w:p w14:paraId="6CD036E8">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（十一）招标人与中标人不按照招标文件和中标人的投标文件订立合同的，或者招标人、中标人订立背离合同实质性内容的 协议的； </w:t>
      </w:r>
    </w:p>
    <w:p w14:paraId="046CD1FE">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（十二）中标人不按照与招标人订立的合同履行义务，情节严重的； </w:t>
      </w:r>
    </w:p>
    <w:p w14:paraId="1B32550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34029E0A">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33A93F97">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（十五）采购人对应当实行集中采购的政府采购项目，不委托集中采购机构实行集中采购的； </w:t>
      </w:r>
    </w:p>
    <w:p w14:paraId="39039987">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（十六）采购人、采购代理机构违反法律规定隐匿、销毁应当保存的采购文件或者伪造、变造采购文件的； </w:t>
      </w:r>
    </w:p>
    <w:p w14:paraId="34678FC2">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0CBD597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（十八）疫苗生产企业向县级疾病预防控制机构以外的单位或者个人销售第二类疫苗的； </w:t>
      </w:r>
    </w:p>
    <w:p w14:paraId="492F234E">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（十九）存在其他违反公共资源交易法律法规行为的。</w:t>
      </w:r>
    </w:p>
    <w:p w14:paraId="3F979F26">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依据：《关于对公共资源交易领域严重失信主体开展联合惩戒的备忘录》（发改法规〔2018〕457号）</w:t>
      </w:r>
    </w:p>
    <w:p w14:paraId="08169397">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38C4C90B">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四、社会保险领域严重失信行为</w:t>
      </w:r>
    </w:p>
    <w:p w14:paraId="78D76077">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（一）用人单位未按相关规定参加社会保险且拒不整改的； </w:t>
      </w:r>
    </w:p>
    <w:p w14:paraId="00AD657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（二）用人单位未如实申报社会保险缴费基数且拒不整改的； </w:t>
      </w:r>
    </w:p>
    <w:p w14:paraId="1AF0B93B">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（三）应缴纳社会保险费却拒不缴纳的； </w:t>
      </w:r>
    </w:p>
    <w:p w14:paraId="64090BF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（四）隐匿、转移、侵占、挪用社会保险费款、基金或者违规投资运营的；</w:t>
      </w:r>
    </w:p>
    <w:p w14:paraId="101EF64A">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（五）以欺诈、伪造证明材料或者其他手段参加、申报社会保险和骗取社会保险基金支出或社会保险待遇的； </w:t>
      </w:r>
    </w:p>
    <w:p w14:paraId="1DA44A2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（六）非法获取、出售或变相交易社会保险个人权益数据的； </w:t>
      </w:r>
    </w:p>
    <w:p w14:paraId="5C15E057">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（七）社会保险服务机构违反服务协议或相关规定的； </w:t>
      </w:r>
    </w:p>
    <w:p w14:paraId="7C08FC4C">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（八）拒绝协助社会保险行政部门、经办机构对事故和问题进 行调查核实的；拒绝接受或协助税务部门对社会保险实施监督检查， 不如实提供与社会保险相关各项资料的； </w:t>
      </w:r>
    </w:p>
    <w:p w14:paraId="079F6021">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（九）其他违反法律法规规定的。</w:t>
      </w:r>
    </w:p>
    <w:p w14:paraId="30143999">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依据：《关于对社会保险领域严重失信企业及其有关人员实施联合惩戒的合作备忘录》（发改财金〔2018〕1704号）</w:t>
      </w:r>
    </w:p>
    <w:p w14:paraId="523D4214">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76633000">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五、建筑市场领域严重失信行为</w:t>
      </w:r>
    </w:p>
    <w:p w14:paraId="211C822C">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（一）利用虚假材料、以欺骗手段取得企业资质的；</w:t>
      </w:r>
    </w:p>
    <w:p w14:paraId="450D2F9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（二）发生转包、出借资质，受到行政处罚的；</w:t>
      </w:r>
    </w:p>
    <w:p w14:paraId="39B12C4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（三）发生重大及以上工程质量安全事故，或1年内累计发生2次及以上较大工程质量安全事故，或发生性质恶劣、危害性严重、社会影响大的较大工程质量安全事故，受到行政处罚的；</w:t>
      </w:r>
    </w:p>
    <w:p w14:paraId="2A10EC9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（四）经法院判决或仲裁机构裁决，认定为拖欠工程款,且拒不履行生效法律文书确定的义务的。</w:t>
      </w:r>
    </w:p>
    <w:p w14:paraId="41197325">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各级住房城乡建设主管部门应当参照建筑市场主体“黑名单”，对被人力资源社会保障行政部门列入拖欠农民工工资“黑名单”的建筑市场各方主体加强监管。</w:t>
      </w:r>
    </w:p>
    <w:p w14:paraId="657A454A">
      <w:pPr>
        <w:widowControl/>
        <w:autoSpaceDE w:val="0"/>
        <w:spacing w:line="480" w:lineRule="exact"/>
        <w:ind w:firstLine="482"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bidi="ar"/>
        </w:rPr>
        <w:t>依据：《建筑市场信用管理暂行办法》（建市〔2017〕241号）</w:t>
      </w:r>
    </w:p>
    <w:p w14:paraId="630DC75D">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04540602">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六、政府采购严重失信行为</w:t>
      </w:r>
    </w:p>
    <w:p w14:paraId="389AA4DC">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供应商、采购代理机构在三年内受到财政部门作出下列情形之一的行政处罚，列入政府采购严重违法失信行为记录名单。</w:t>
      </w:r>
    </w:p>
    <w:p w14:paraId="00FAA757">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（一）三万元以上罚款；</w:t>
      </w:r>
    </w:p>
    <w:p w14:paraId="7CD9700C">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（二）在一至三年内禁止参加政府采购活动（处罚期限届满的除外）；</w:t>
      </w:r>
    </w:p>
    <w:p w14:paraId="5098727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（三）在一至三年内禁止代理政府采购业务（处罚期限届满的除外）；</w:t>
      </w:r>
    </w:p>
    <w:p w14:paraId="5E1B753B">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（四）撤销政府采购代理机构资格（仅针对《政府采购法》第78条修改前作出的处罚决定）。</w:t>
      </w:r>
    </w:p>
    <w:p w14:paraId="6CEA9870">
      <w:pPr>
        <w:widowControl/>
        <w:autoSpaceDE w:val="0"/>
        <w:spacing w:line="480" w:lineRule="exact"/>
        <w:ind w:firstLine="482" w:firstLineChars="200"/>
        <w:jc w:val="left"/>
        <w:textAlignment w:val="baseline"/>
        <w:rPr>
          <w:rFonts w:hint="eastAsia" w:ascii="宋体" w:hAnsi="宋体" w:eastAsia="宋体" w:cs="Times New Roman"/>
          <w:b/>
          <w:color w:val="auto"/>
          <w:sz w:val="24"/>
          <w:szCs w:val="24"/>
          <w:highlight w:val="none"/>
        </w:rPr>
      </w:pPr>
      <w:r>
        <w:rPr>
          <w:rFonts w:hint="eastAsia" w:ascii="宋体" w:hAnsi="宋体" w:eastAsia="宋体" w:cs="宋体"/>
          <w:b/>
          <w:color w:val="auto"/>
          <w:kern w:val="0"/>
          <w:sz w:val="24"/>
          <w:szCs w:val="24"/>
          <w:highlight w:val="none"/>
          <w:lang w:bidi="ar"/>
        </w:rPr>
        <w:t>依据：《关于报送政府采购严重违法失信行为信息记录的通知》（财办库〔2014〕526号）</w:t>
      </w:r>
    </w:p>
    <w:p w14:paraId="77B558E2">
      <w:pPr>
        <w:widowControl/>
        <w:autoSpaceDE w:val="0"/>
        <w:spacing w:line="48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p w14:paraId="1EC50314">
      <w:pPr>
        <w:widowControl/>
        <w:autoSpaceDE w:val="0"/>
        <w:spacing w:line="480" w:lineRule="exact"/>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未列出的其他类别严重失信行为，由招标人（代理机构）根据各类别行业主管部门下发的联合惩戒文件进行判断。</w:t>
      </w:r>
    </w:p>
    <w:p w14:paraId="355F8106">
      <w:pPr>
        <w:spacing w:line="440" w:lineRule="exact"/>
        <w:ind w:firstLine="61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 xml:space="preserve"> </w:t>
      </w:r>
    </w:p>
    <w:p w14:paraId="3298EFBF">
      <w:pPr>
        <w:spacing w:line="360" w:lineRule="auto"/>
        <w:ind w:firstLine="435"/>
        <w:rPr>
          <w:rFonts w:hint="eastAsia" w:ascii="宋体" w:hAnsi="宋体" w:eastAsia="宋体"/>
          <w:color w:val="auto"/>
          <w:sz w:val="24"/>
          <w:highlight w:val="none"/>
        </w:rPr>
      </w:pPr>
    </w:p>
    <w:p w14:paraId="4CE0CA03">
      <w:pPr>
        <w:spacing w:line="360" w:lineRule="auto"/>
        <w:ind w:firstLine="435"/>
        <w:rPr>
          <w:rFonts w:hint="eastAsia" w:ascii="宋体" w:hAnsi="宋体" w:eastAsia="宋体"/>
          <w:color w:val="auto"/>
          <w:sz w:val="24"/>
          <w:highlight w:val="none"/>
        </w:rPr>
      </w:pPr>
    </w:p>
    <w:p w14:paraId="15773A28">
      <w:pPr>
        <w:rPr>
          <w:rFonts w:hint="eastAsia" w:ascii="宋体" w:hAnsi="宋体" w:eastAsia="宋体" w:cs="宋体"/>
          <w:b/>
          <w:color w:val="auto"/>
          <w:sz w:val="28"/>
          <w:szCs w:val="28"/>
          <w:highlight w:val="none"/>
          <w:lang w:bidi="ar"/>
        </w:rPr>
      </w:pPr>
      <w:r>
        <w:rPr>
          <w:rFonts w:hint="eastAsia" w:ascii="宋体" w:hAnsi="宋体" w:eastAsia="宋体" w:cs="宋体"/>
          <w:b/>
          <w:color w:val="auto"/>
          <w:sz w:val="28"/>
          <w:szCs w:val="28"/>
          <w:highlight w:val="none"/>
          <w:lang w:bidi="ar"/>
        </w:rPr>
        <w:br w:type="page"/>
      </w:r>
    </w:p>
    <w:p w14:paraId="44ADA514">
      <w:pPr>
        <w:spacing w:line="360" w:lineRule="auto"/>
        <w:jc w:val="center"/>
        <w:outlineLvl w:val="0"/>
        <w:rPr>
          <w:rFonts w:hint="eastAsia" w:ascii="宋体" w:hAnsi="宋体" w:eastAsia="宋体"/>
          <w:b/>
          <w:bCs/>
          <w:color w:val="auto"/>
          <w:sz w:val="28"/>
          <w:highlight w:val="none"/>
        </w:rPr>
      </w:pPr>
      <w:bookmarkStart w:id="45" w:name="_Toc18131"/>
      <w:bookmarkStart w:id="46" w:name="_Toc6435"/>
      <w:r>
        <w:rPr>
          <w:rFonts w:hint="eastAsia" w:ascii="宋体" w:hAnsi="宋体" w:eastAsia="宋体"/>
          <w:b/>
          <w:color w:val="auto"/>
          <w:sz w:val="28"/>
          <w:highlight w:val="none"/>
        </w:rPr>
        <w:t>第七章</w:t>
      </w:r>
      <w:r>
        <w:rPr>
          <w:rFonts w:hint="eastAsia" w:ascii="宋体" w:hAnsi="宋体" w:eastAsia="宋体"/>
          <w:b/>
          <w:bCs/>
          <w:color w:val="auto"/>
          <w:sz w:val="28"/>
          <w:highlight w:val="none"/>
        </w:rPr>
        <w:t xml:space="preserve">  政府采购</w:t>
      </w:r>
      <w:r>
        <w:rPr>
          <w:rFonts w:hint="eastAsia" w:ascii="宋体" w:hAnsi="宋体" w:eastAsia="宋体"/>
          <w:b/>
          <w:color w:val="auto"/>
          <w:sz w:val="28"/>
          <w:highlight w:val="none"/>
        </w:rPr>
        <w:t>供应</w:t>
      </w:r>
      <w:r>
        <w:rPr>
          <w:rFonts w:hint="eastAsia" w:ascii="宋体" w:hAnsi="宋体" w:eastAsia="宋体"/>
          <w:b/>
          <w:bCs/>
          <w:color w:val="auto"/>
          <w:sz w:val="28"/>
          <w:highlight w:val="none"/>
        </w:rPr>
        <w:t>商询问函和质疑函范本</w:t>
      </w:r>
      <w:bookmarkEnd w:id="45"/>
      <w:bookmarkEnd w:id="46"/>
    </w:p>
    <w:p w14:paraId="5F92856A">
      <w:pPr>
        <w:spacing w:line="360" w:lineRule="auto"/>
        <w:jc w:val="center"/>
        <w:outlineLvl w:val="1"/>
        <w:rPr>
          <w:rFonts w:hint="eastAsia" w:ascii="仿宋" w:hAnsi="仿宋" w:eastAsia="仿宋" w:cs="仿宋"/>
          <w:b/>
          <w:bCs/>
          <w:color w:val="auto"/>
          <w:sz w:val="32"/>
          <w:szCs w:val="44"/>
          <w:highlight w:val="none"/>
        </w:rPr>
      </w:pPr>
      <w:bookmarkStart w:id="47" w:name="_Toc27159"/>
      <w:bookmarkStart w:id="48" w:name="_Toc27489"/>
      <w:r>
        <w:rPr>
          <w:rFonts w:hint="eastAsia" w:ascii="仿宋" w:hAnsi="仿宋" w:eastAsia="仿宋" w:cs="仿宋"/>
          <w:b/>
          <w:bCs/>
          <w:color w:val="auto"/>
          <w:sz w:val="32"/>
          <w:szCs w:val="44"/>
          <w:highlight w:val="none"/>
        </w:rPr>
        <w:t>询问函范本</w:t>
      </w:r>
      <w:bookmarkEnd w:id="47"/>
      <w:bookmarkEnd w:id="48"/>
    </w:p>
    <w:p w14:paraId="65B89248">
      <w:pPr>
        <w:adjustRightInd w:val="0"/>
        <w:snapToGrid w:val="0"/>
        <w:spacing w:line="360" w:lineRule="auto"/>
        <w:ind w:firstLine="480" w:firstLineChars="200"/>
        <w:jc w:val="center"/>
        <w:rPr>
          <w:rFonts w:hint="eastAsia" w:ascii="仿宋" w:hAnsi="仿宋" w:eastAsia="仿宋" w:cs="仿宋"/>
          <w:b/>
          <w:bCs/>
          <w:color w:val="auto"/>
          <w:sz w:val="32"/>
          <w:szCs w:val="44"/>
          <w:highlight w:val="none"/>
        </w:rPr>
      </w:pPr>
      <w:r>
        <w:rPr>
          <w:rFonts w:hint="eastAsia" w:ascii="宋体" w:hAnsi="宋体" w:eastAsia="宋体" w:cs="仿宋"/>
          <w:i/>
          <w:iCs/>
          <w:color w:val="auto"/>
          <w:sz w:val="24"/>
          <w:szCs w:val="24"/>
          <w:highlight w:val="none"/>
        </w:rPr>
        <w:t>（如为对采购文件或采购程序的询问或疑问，请按询问函范本或电子交易系统中网上询问格式附件进行提交）</w:t>
      </w:r>
    </w:p>
    <w:p w14:paraId="6CC37285">
      <w:pPr>
        <w:adjustRightInd w:val="0"/>
        <w:snapToGrid w:val="0"/>
        <w:spacing w:line="360" w:lineRule="auto"/>
        <w:rPr>
          <w:rFonts w:hint="eastAsia" w:ascii="宋体" w:hAnsi="宋体" w:eastAsia="宋体" w:cs="仿宋"/>
          <w:b/>
          <w:bCs/>
          <w:color w:val="auto"/>
          <w:sz w:val="24"/>
          <w:szCs w:val="24"/>
          <w:highlight w:val="none"/>
          <w:u w:val="single"/>
        </w:rPr>
      </w:pPr>
      <w:r>
        <w:rPr>
          <w:rFonts w:hint="eastAsia" w:ascii="宋体" w:hAnsi="宋体" w:eastAsia="宋体" w:cs="仿宋"/>
          <w:b/>
          <w:bCs/>
          <w:color w:val="auto"/>
          <w:sz w:val="24"/>
          <w:szCs w:val="24"/>
          <w:highlight w:val="none"/>
        </w:rPr>
        <w:t>致：采购人</w:t>
      </w:r>
    </w:p>
    <w:p w14:paraId="0256EB0A">
      <w:pPr>
        <w:adjustRightInd w:val="0"/>
        <w:snapToGrid w:val="0"/>
        <w:spacing w:line="360" w:lineRule="auto"/>
        <w:ind w:firstLine="480" w:firstLineChars="200"/>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我单位拟参与</w:t>
      </w:r>
      <w:r>
        <w:rPr>
          <w:rFonts w:hint="eastAsia"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w:t>
      </w:r>
      <w:r>
        <w:rPr>
          <w:rFonts w:hint="eastAsia" w:ascii="宋体" w:hAnsi="宋体" w:eastAsia="宋体" w:cs="仿宋"/>
          <w:i/>
          <w:iCs/>
          <w:color w:val="auto"/>
          <w:sz w:val="24"/>
          <w:szCs w:val="24"/>
          <w:highlight w:val="none"/>
        </w:rPr>
        <w:t>项目名称、编号</w:t>
      </w:r>
      <w:r>
        <w:rPr>
          <w:rFonts w:hint="eastAsia" w:ascii="宋体" w:hAnsi="宋体" w:eastAsia="宋体" w:cs="仿宋"/>
          <w:color w:val="auto"/>
          <w:sz w:val="24"/>
          <w:szCs w:val="24"/>
          <w:highlight w:val="none"/>
        </w:rPr>
        <w:t>）的采购活动，现有以下内容(或条款)存在疑问(或无法理解)，特提出询问。</w:t>
      </w:r>
    </w:p>
    <w:p w14:paraId="1EA8A56D">
      <w:pPr>
        <w:adjustRightInd w:val="0"/>
        <w:snapToGrid w:val="0"/>
        <w:spacing w:line="360" w:lineRule="auto"/>
        <w:ind w:firstLine="480" w:firstLineChars="200"/>
        <w:rPr>
          <w:rFonts w:hint="eastAsia" w:ascii="宋体" w:hAnsi="宋体" w:eastAsia="宋体" w:cs="仿宋"/>
          <w:color w:val="auto"/>
          <w:sz w:val="24"/>
          <w:szCs w:val="24"/>
          <w:highlight w:val="none"/>
        </w:rPr>
      </w:pPr>
      <w:bookmarkStart w:id="49" w:name="_Toc13899"/>
      <w:r>
        <w:rPr>
          <w:rFonts w:hint="eastAsia" w:ascii="宋体" w:hAnsi="宋体" w:eastAsia="宋体" w:cs="仿宋"/>
          <w:color w:val="auto"/>
          <w:sz w:val="24"/>
          <w:szCs w:val="24"/>
          <w:highlight w:val="none"/>
        </w:rPr>
        <w:t>一、(事项一)</w:t>
      </w:r>
      <w:bookmarkEnd w:id="49"/>
    </w:p>
    <w:p w14:paraId="743377ED">
      <w:pPr>
        <w:adjustRightInd w:val="0"/>
        <w:snapToGrid w:val="0"/>
        <w:spacing w:line="360" w:lineRule="auto"/>
        <w:ind w:firstLine="480" w:firstLineChars="200"/>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1、(内容或条款)</w:t>
      </w:r>
    </w:p>
    <w:p w14:paraId="24A38F5B">
      <w:pPr>
        <w:adjustRightInd w:val="0"/>
        <w:snapToGrid w:val="0"/>
        <w:spacing w:line="360" w:lineRule="auto"/>
        <w:ind w:firstLine="480" w:firstLineChars="200"/>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2、(说明疑问或无法理解原因)</w:t>
      </w:r>
    </w:p>
    <w:p w14:paraId="09B81C4E">
      <w:pPr>
        <w:adjustRightInd w:val="0"/>
        <w:snapToGrid w:val="0"/>
        <w:spacing w:line="360" w:lineRule="auto"/>
        <w:ind w:firstLine="480" w:firstLineChars="200"/>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3、(建议)</w:t>
      </w:r>
    </w:p>
    <w:p w14:paraId="2DE550B9">
      <w:pPr>
        <w:adjustRightInd w:val="0"/>
        <w:snapToGrid w:val="0"/>
        <w:spacing w:line="360" w:lineRule="auto"/>
        <w:ind w:firstLine="480" w:firstLineChars="200"/>
        <w:rPr>
          <w:rFonts w:hint="eastAsia" w:ascii="宋体" w:hAnsi="宋体" w:eastAsia="宋体" w:cs="仿宋"/>
          <w:color w:val="auto"/>
          <w:sz w:val="24"/>
          <w:szCs w:val="24"/>
          <w:highlight w:val="none"/>
        </w:rPr>
      </w:pPr>
      <w:bookmarkStart w:id="50" w:name="_Toc3352"/>
      <w:r>
        <w:rPr>
          <w:rFonts w:hint="eastAsia" w:ascii="宋体" w:hAnsi="宋体" w:eastAsia="宋体" w:cs="仿宋"/>
          <w:color w:val="auto"/>
          <w:sz w:val="24"/>
          <w:szCs w:val="24"/>
          <w:highlight w:val="none"/>
        </w:rPr>
        <w:t>二、(事项二)</w:t>
      </w:r>
      <w:bookmarkEnd w:id="50"/>
    </w:p>
    <w:p w14:paraId="64180E4F">
      <w:pPr>
        <w:adjustRightInd w:val="0"/>
        <w:snapToGrid w:val="0"/>
        <w:spacing w:line="360" w:lineRule="auto"/>
        <w:ind w:firstLine="480" w:firstLineChars="200"/>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w:t>
      </w:r>
    </w:p>
    <w:p w14:paraId="20C6D7D3">
      <w:pPr>
        <w:adjustRightInd w:val="0"/>
        <w:snapToGrid w:val="0"/>
        <w:spacing w:line="360" w:lineRule="auto"/>
        <w:ind w:firstLine="480" w:firstLineChars="200"/>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随附相关证明材料如下： </w:t>
      </w:r>
    </w:p>
    <w:p w14:paraId="0D33883F">
      <w:pPr>
        <w:spacing w:line="360" w:lineRule="auto"/>
        <w:ind w:firstLine="4228" w:firstLineChars="1762"/>
        <w:rPr>
          <w:rFonts w:hint="eastAsia" w:ascii="宋体" w:hAnsi="宋体" w:eastAsia="宋体"/>
          <w:color w:val="auto"/>
          <w:sz w:val="24"/>
          <w:highlight w:val="none"/>
          <w:u w:val="single"/>
        </w:rPr>
      </w:pPr>
      <w:r>
        <w:rPr>
          <w:rFonts w:hint="eastAsia" w:ascii="宋体" w:hAnsi="宋体" w:eastAsia="宋体"/>
          <w:color w:val="auto"/>
          <w:sz w:val="24"/>
          <w:highlight w:val="none"/>
        </w:rPr>
        <w:t>联 系 人：</w:t>
      </w:r>
      <w:r>
        <w:rPr>
          <w:rFonts w:hint="eastAsia" w:ascii="宋体" w:hAnsi="宋体" w:eastAsia="宋体"/>
          <w:color w:val="auto"/>
          <w:sz w:val="24"/>
          <w:highlight w:val="none"/>
          <w:u w:val="single"/>
        </w:rPr>
        <w:t xml:space="preserve">              </w:t>
      </w:r>
    </w:p>
    <w:p w14:paraId="4556F7F9">
      <w:pPr>
        <w:spacing w:line="360" w:lineRule="auto"/>
        <w:ind w:firstLine="4228" w:firstLineChars="1762"/>
        <w:rPr>
          <w:rFonts w:hint="eastAsia" w:ascii="宋体" w:hAnsi="宋体" w:eastAsia="宋体"/>
          <w:color w:val="auto"/>
          <w:sz w:val="24"/>
          <w:highlight w:val="none"/>
          <w:u w:val="single"/>
        </w:rPr>
      </w:pPr>
      <w:r>
        <w:rPr>
          <w:rFonts w:hint="eastAsia" w:ascii="宋体" w:hAnsi="宋体" w:eastAsia="宋体"/>
          <w:color w:val="auto"/>
          <w:sz w:val="24"/>
          <w:highlight w:val="none"/>
        </w:rPr>
        <w:t>联系电话：</w:t>
      </w:r>
      <w:r>
        <w:rPr>
          <w:rFonts w:hint="eastAsia" w:ascii="宋体" w:hAnsi="宋体" w:eastAsia="宋体"/>
          <w:color w:val="auto"/>
          <w:sz w:val="24"/>
          <w:highlight w:val="none"/>
          <w:u w:val="single"/>
        </w:rPr>
        <w:t xml:space="preserve">              </w:t>
      </w:r>
    </w:p>
    <w:p w14:paraId="2C04B59B">
      <w:pPr>
        <w:tabs>
          <w:tab w:val="left" w:pos="630"/>
        </w:tabs>
        <w:spacing w:line="360" w:lineRule="auto"/>
        <w:ind w:firstLine="4228" w:firstLineChars="1762"/>
        <w:rPr>
          <w:rFonts w:hint="eastAsia"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153F6A0A">
      <w:pPr>
        <w:rPr>
          <w:rFonts w:hint="eastAsia"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br w:type="page"/>
      </w:r>
    </w:p>
    <w:p w14:paraId="536AD67C">
      <w:pPr>
        <w:jc w:val="center"/>
        <w:outlineLvl w:val="1"/>
        <w:rPr>
          <w:rFonts w:hint="eastAsia" w:ascii="仿宋" w:hAnsi="仿宋" w:eastAsia="仿宋" w:cs="仿宋"/>
          <w:b/>
          <w:bCs/>
          <w:color w:val="auto"/>
          <w:sz w:val="32"/>
          <w:szCs w:val="44"/>
          <w:highlight w:val="none"/>
        </w:rPr>
      </w:pPr>
      <w:bookmarkStart w:id="51" w:name="_Toc3245"/>
      <w:bookmarkStart w:id="52" w:name="_Toc1575"/>
      <w:r>
        <w:rPr>
          <w:rFonts w:hint="eastAsia" w:ascii="仿宋" w:hAnsi="仿宋" w:eastAsia="仿宋" w:cs="仿宋"/>
          <w:b/>
          <w:bCs/>
          <w:color w:val="auto"/>
          <w:sz w:val="32"/>
          <w:szCs w:val="44"/>
          <w:highlight w:val="none"/>
        </w:rPr>
        <w:t>质疑函范本</w:t>
      </w:r>
      <w:bookmarkEnd w:id="51"/>
      <w:bookmarkEnd w:id="52"/>
    </w:p>
    <w:p w14:paraId="72449D9D">
      <w:pPr>
        <w:adjustRightInd w:val="0"/>
        <w:snapToGrid w:val="0"/>
        <w:spacing w:before="312" w:beforeLines="100" w:line="360" w:lineRule="auto"/>
        <w:rPr>
          <w:rFonts w:hint="eastAsia" w:ascii="宋体" w:hAnsi="宋体" w:eastAsia="宋体" w:cs="仿宋"/>
          <w:b/>
          <w:bCs/>
          <w:color w:val="auto"/>
          <w:sz w:val="24"/>
          <w:szCs w:val="24"/>
          <w:highlight w:val="none"/>
        </w:rPr>
      </w:pPr>
      <w:bookmarkStart w:id="53" w:name="_Toc21381"/>
      <w:r>
        <w:rPr>
          <w:rFonts w:hint="eastAsia" w:ascii="宋体" w:hAnsi="宋体" w:eastAsia="宋体" w:cs="仿宋"/>
          <w:b/>
          <w:bCs/>
          <w:color w:val="auto"/>
          <w:sz w:val="24"/>
          <w:szCs w:val="24"/>
          <w:highlight w:val="none"/>
        </w:rPr>
        <w:t>一、质疑供应商基本信息</w:t>
      </w:r>
      <w:bookmarkEnd w:id="53"/>
    </w:p>
    <w:p w14:paraId="3B0C2CBD">
      <w:pPr>
        <w:adjustRightInd w:val="0"/>
        <w:snapToGrid w:val="0"/>
        <w:spacing w:line="360" w:lineRule="auto"/>
        <w:rPr>
          <w:rFonts w:hint="eastAsia"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质疑供应商：</w:t>
      </w:r>
      <w:r>
        <w:rPr>
          <w:rFonts w:hint="eastAsia" w:ascii="宋体" w:hAnsi="宋体" w:eastAsia="宋体" w:cs="仿宋"/>
          <w:color w:val="auto"/>
          <w:sz w:val="24"/>
          <w:szCs w:val="24"/>
          <w:highlight w:val="none"/>
          <w:u w:val="dotted"/>
        </w:rPr>
        <w:t xml:space="preserve">                                        </w:t>
      </w:r>
    </w:p>
    <w:p w14:paraId="509A1AFB">
      <w:pPr>
        <w:adjustRightInd w:val="0"/>
        <w:snapToGrid w:val="0"/>
        <w:spacing w:line="360" w:lineRule="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地址：</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邮编：</w:t>
      </w:r>
      <w:r>
        <w:rPr>
          <w:rFonts w:hint="eastAsia" w:ascii="宋体" w:hAnsi="宋体" w:eastAsia="宋体" w:cs="仿宋"/>
          <w:color w:val="auto"/>
          <w:sz w:val="24"/>
          <w:szCs w:val="24"/>
          <w:highlight w:val="none"/>
          <w:u w:val="dotted"/>
        </w:rPr>
        <w:t xml:space="preserve">                                 </w:t>
      </w:r>
    </w:p>
    <w:p w14:paraId="65579B02">
      <w:pPr>
        <w:adjustRightInd w:val="0"/>
        <w:snapToGrid w:val="0"/>
        <w:spacing w:line="360" w:lineRule="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联系人：</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联系电话：</w:t>
      </w:r>
      <w:r>
        <w:rPr>
          <w:rFonts w:hint="eastAsia" w:ascii="宋体" w:hAnsi="宋体" w:eastAsia="宋体" w:cs="仿宋"/>
          <w:color w:val="auto"/>
          <w:sz w:val="24"/>
          <w:szCs w:val="24"/>
          <w:highlight w:val="none"/>
          <w:u w:val="dotted"/>
        </w:rPr>
        <w:t xml:space="preserve">                              </w:t>
      </w:r>
    </w:p>
    <w:p w14:paraId="25522A02">
      <w:pPr>
        <w:adjustRightInd w:val="0"/>
        <w:snapToGrid w:val="0"/>
        <w:spacing w:line="360" w:lineRule="auto"/>
        <w:rPr>
          <w:rFonts w:hint="eastAsia"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授权代表：</w:t>
      </w:r>
      <w:r>
        <w:rPr>
          <w:rFonts w:hint="eastAsia" w:ascii="宋体" w:hAnsi="宋体" w:eastAsia="宋体" w:cs="仿宋"/>
          <w:color w:val="auto"/>
          <w:sz w:val="24"/>
          <w:szCs w:val="24"/>
          <w:highlight w:val="none"/>
          <w:u w:val="dotted"/>
        </w:rPr>
        <w:t xml:space="preserve">                                          </w:t>
      </w:r>
    </w:p>
    <w:p w14:paraId="3AA62E2E">
      <w:pPr>
        <w:adjustRightInd w:val="0"/>
        <w:snapToGrid w:val="0"/>
        <w:spacing w:line="360" w:lineRule="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联系电话：</w:t>
      </w:r>
      <w:r>
        <w:rPr>
          <w:rFonts w:hint="eastAsia" w:ascii="宋体" w:hAnsi="宋体" w:eastAsia="宋体" w:cs="仿宋"/>
          <w:color w:val="auto"/>
          <w:sz w:val="24"/>
          <w:szCs w:val="24"/>
          <w:highlight w:val="none"/>
          <w:u w:val="dotted"/>
        </w:rPr>
        <w:t xml:space="preserve">                                           </w:t>
      </w:r>
      <w:r>
        <w:rPr>
          <w:rFonts w:ascii="宋体" w:hAnsi="宋体" w:eastAsia="宋体" w:cs="仿宋"/>
          <w:color w:val="auto"/>
          <w:sz w:val="24"/>
          <w:szCs w:val="24"/>
          <w:highlight w:val="none"/>
        </w:rPr>
        <w:t xml:space="preserve"> </w:t>
      </w:r>
    </w:p>
    <w:p w14:paraId="08C502B3">
      <w:pPr>
        <w:adjustRightInd w:val="0"/>
        <w:snapToGrid w:val="0"/>
        <w:spacing w:line="360" w:lineRule="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地址：</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邮编：</w:t>
      </w:r>
      <w:r>
        <w:rPr>
          <w:rFonts w:hint="eastAsia" w:ascii="宋体" w:hAnsi="宋体" w:eastAsia="宋体" w:cs="仿宋"/>
          <w:color w:val="auto"/>
          <w:sz w:val="24"/>
          <w:szCs w:val="24"/>
          <w:highlight w:val="none"/>
          <w:u w:val="dotted"/>
        </w:rPr>
        <w:t xml:space="preserve">                                   </w:t>
      </w:r>
    </w:p>
    <w:p w14:paraId="13CB0BAE">
      <w:pPr>
        <w:adjustRightInd w:val="0"/>
        <w:snapToGrid w:val="0"/>
        <w:spacing w:line="360" w:lineRule="auto"/>
        <w:rPr>
          <w:rFonts w:hint="eastAsia" w:ascii="宋体" w:hAnsi="宋体" w:eastAsia="宋体" w:cs="仿宋"/>
          <w:b/>
          <w:bCs/>
          <w:color w:val="auto"/>
          <w:sz w:val="24"/>
          <w:szCs w:val="24"/>
          <w:highlight w:val="none"/>
        </w:rPr>
      </w:pPr>
      <w:bookmarkStart w:id="54" w:name="_Toc28415"/>
      <w:r>
        <w:rPr>
          <w:rFonts w:hint="eastAsia" w:ascii="宋体" w:hAnsi="宋体" w:eastAsia="宋体" w:cs="仿宋"/>
          <w:b/>
          <w:bCs/>
          <w:color w:val="auto"/>
          <w:sz w:val="24"/>
          <w:szCs w:val="24"/>
          <w:highlight w:val="none"/>
        </w:rPr>
        <w:t>二、质疑项目基本情况</w:t>
      </w:r>
      <w:bookmarkEnd w:id="54"/>
    </w:p>
    <w:p w14:paraId="6EF885FD">
      <w:pPr>
        <w:adjustRightInd w:val="0"/>
        <w:snapToGrid w:val="0"/>
        <w:spacing w:line="360" w:lineRule="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质疑项目的名称：</w:t>
      </w:r>
      <w:r>
        <w:rPr>
          <w:rFonts w:hint="eastAsia" w:ascii="宋体" w:hAnsi="宋体" w:eastAsia="宋体" w:cs="仿宋"/>
          <w:color w:val="auto"/>
          <w:sz w:val="24"/>
          <w:szCs w:val="24"/>
          <w:highlight w:val="none"/>
          <w:u w:val="dotted"/>
        </w:rPr>
        <w:t xml:space="preserve">                                      </w:t>
      </w:r>
    </w:p>
    <w:p w14:paraId="118B6FE9">
      <w:pPr>
        <w:adjustRightInd w:val="0"/>
        <w:snapToGrid w:val="0"/>
        <w:spacing w:line="360" w:lineRule="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质疑项目的编号：</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包号：</w:t>
      </w:r>
      <w:r>
        <w:rPr>
          <w:rFonts w:hint="eastAsia" w:ascii="宋体" w:hAnsi="宋体" w:eastAsia="宋体" w:cs="仿宋"/>
          <w:color w:val="auto"/>
          <w:sz w:val="24"/>
          <w:szCs w:val="24"/>
          <w:highlight w:val="none"/>
          <w:u w:val="dotted"/>
        </w:rPr>
        <w:t xml:space="preserve">                 </w:t>
      </w:r>
    </w:p>
    <w:p w14:paraId="7C309C86">
      <w:pPr>
        <w:adjustRightInd w:val="0"/>
        <w:snapToGrid w:val="0"/>
        <w:spacing w:line="360" w:lineRule="auto"/>
        <w:rPr>
          <w:rFonts w:hint="eastAsia"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采购人名称：</w:t>
      </w:r>
      <w:r>
        <w:rPr>
          <w:rFonts w:hint="eastAsia" w:ascii="宋体" w:hAnsi="宋体" w:eastAsia="宋体" w:cs="仿宋"/>
          <w:color w:val="auto"/>
          <w:sz w:val="24"/>
          <w:szCs w:val="24"/>
          <w:highlight w:val="none"/>
          <w:u w:val="dotted"/>
        </w:rPr>
        <w:t xml:space="preserve">                                         </w:t>
      </w:r>
    </w:p>
    <w:p w14:paraId="5495F25D">
      <w:pPr>
        <w:adjustRightInd w:val="0"/>
        <w:snapToGrid w:val="0"/>
        <w:spacing w:line="360" w:lineRule="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采购文件获取日期：</w:t>
      </w:r>
      <w:r>
        <w:rPr>
          <w:rFonts w:hint="eastAsia" w:ascii="宋体" w:hAnsi="宋体" w:eastAsia="宋体" w:cs="仿宋"/>
          <w:color w:val="auto"/>
          <w:sz w:val="24"/>
          <w:szCs w:val="24"/>
          <w:highlight w:val="none"/>
          <w:u w:val="dotted"/>
        </w:rPr>
        <w:t xml:space="preserve">                                           </w:t>
      </w:r>
    </w:p>
    <w:p w14:paraId="741154BF">
      <w:pPr>
        <w:adjustRightInd w:val="0"/>
        <w:snapToGrid w:val="0"/>
        <w:spacing w:line="360" w:lineRule="auto"/>
        <w:rPr>
          <w:rFonts w:hint="eastAsia" w:ascii="宋体" w:hAnsi="宋体" w:eastAsia="宋体" w:cs="仿宋"/>
          <w:b/>
          <w:bCs/>
          <w:color w:val="auto"/>
          <w:sz w:val="24"/>
          <w:szCs w:val="24"/>
          <w:highlight w:val="none"/>
        </w:rPr>
      </w:pPr>
      <w:bookmarkStart w:id="55" w:name="_Toc19014"/>
      <w:r>
        <w:rPr>
          <w:rFonts w:hint="eastAsia" w:ascii="宋体" w:hAnsi="宋体" w:eastAsia="宋体" w:cs="仿宋"/>
          <w:b/>
          <w:bCs/>
          <w:color w:val="auto"/>
          <w:sz w:val="24"/>
          <w:szCs w:val="24"/>
          <w:highlight w:val="none"/>
        </w:rPr>
        <w:t>三、质疑事项具体内容</w:t>
      </w:r>
      <w:bookmarkEnd w:id="55"/>
    </w:p>
    <w:p w14:paraId="54AB0385">
      <w:pPr>
        <w:adjustRightInd w:val="0"/>
        <w:snapToGrid w:val="0"/>
        <w:spacing w:line="360" w:lineRule="auto"/>
        <w:rPr>
          <w:rFonts w:hint="eastAsia"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质疑事项1：</w:t>
      </w:r>
      <w:r>
        <w:rPr>
          <w:rFonts w:hint="eastAsia" w:ascii="宋体" w:hAnsi="宋体" w:eastAsia="宋体" w:cs="仿宋"/>
          <w:color w:val="auto"/>
          <w:sz w:val="24"/>
          <w:szCs w:val="24"/>
          <w:highlight w:val="none"/>
          <w:u w:val="dotted"/>
        </w:rPr>
        <w:t xml:space="preserve">                                         </w:t>
      </w:r>
    </w:p>
    <w:p w14:paraId="5E8FA5C1">
      <w:pPr>
        <w:adjustRightInd w:val="0"/>
        <w:snapToGrid w:val="0"/>
        <w:spacing w:line="360" w:lineRule="auto"/>
        <w:rPr>
          <w:rFonts w:hint="eastAsia"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事实依据：</w:t>
      </w:r>
      <w:r>
        <w:rPr>
          <w:rFonts w:hint="eastAsia" w:ascii="宋体" w:hAnsi="宋体" w:eastAsia="宋体" w:cs="仿宋"/>
          <w:color w:val="auto"/>
          <w:sz w:val="24"/>
          <w:szCs w:val="24"/>
          <w:highlight w:val="none"/>
          <w:u w:val="dotted"/>
        </w:rPr>
        <w:t xml:space="preserve">                                          </w:t>
      </w:r>
    </w:p>
    <w:p w14:paraId="72D555BD">
      <w:pPr>
        <w:adjustRightInd w:val="0"/>
        <w:snapToGrid w:val="0"/>
        <w:spacing w:line="360" w:lineRule="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u w:val="dotted"/>
        </w:rPr>
        <w:t xml:space="preserve">                                                       </w:t>
      </w:r>
    </w:p>
    <w:p w14:paraId="511EE02D">
      <w:pPr>
        <w:adjustRightInd w:val="0"/>
        <w:snapToGrid w:val="0"/>
        <w:spacing w:line="360" w:lineRule="auto"/>
        <w:rPr>
          <w:rFonts w:hint="eastAsia"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法律依据：</w:t>
      </w:r>
      <w:r>
        <w:rPr>
          <w:rFonts w:hint="eastAsia" w:ascii="宋体" w:hAnsi="宋体" w:eastAsia="宋体" w:cs="仿宋"/>
          <w:color w:val="auto"/>
          <w:sz w:val="24"/>
          <w:szCs w:val="24"/>
          <w:highlight w:val="none"/>
          <w:u w:val="dotted"/>
        </w:rPr>
        <w:t xml:space="preserve">                                          </w:t>
      </w:r>
    </w:p>
    <w:p w14:paraId="05F4F625">
      <w:pPr>
        <w:adjustRightInd w:val="0"/>
        <w:snapToGrid w:val="0"/>
        <w:spacing w:line="360" w:lineRule="auto"/>
        <w:rPr>
          <w:rFonts w:hint="eastAsia"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u w:val="dotted"/>
        </w:rPr>
        <w:t xml:space="preserve">                                                     </w:t>
      </w:r>
    </w:p>
    <w:p w14:paraId="7B73D113">
      <w:pPr>
        <w:adjustRightInd w:val="0"/>
        <w:snapToGrid w:val="0"/>
        <w:spacing w:line="360" w:lineRule="auto"/>
        <w:rPr>
          <w:rFonts w:hint="eastAsia"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质疑事项2</w:t>
      </w:r>
    </w:p>
    <w:p w14:paraId="2BCD332A">
      <w:pPr>
        <w:adjustRightInd w:val="0"/>
        <w:snapToGrid w:val="0"/>
        <w:spacing w:line="360" w:lineRule="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w:t>
      </w:r>
    </w:p>
    <w:p w14:paraId="26CFC310">
      <w:pPr>
        <w:adjustRightInd w:val="0"/>
        <w:snapToGrid w:val="0"/>
        <w:spacing w:line="360" w:lineRule="auto"/>
        <w:rPr>
          <w:rFonts w:hint="eastAsia" w:ascii="宋体" w:hAnsi="宋体" w:eastAsia="宋体" w:cs="仿宋"/>
          <w:b/>
          <w:bCs/>
          <w:color w:val="auto"/>
          <w:sz w:val="24"/>
          <w:szCs w:val="24"/>
          <w:highlight w:val="none"/>
        </w:rPr>
      </w:pPr>
      <w:bookmarkStart w:id="56" w:name="_Toc17919"/>
      <w:r>
        <w:rPr>
          <w:rFonts w:hint="eastAsia" w:ascii="宋体" w:hAnsi="宋体" w:eastAsia="宋体" w:cs="仿宋"/>
          <w:b/>
          <w:bCs/>
          <w:color w:val="auto"/>
          <w:sz w:val="24"/>
          <w:szCs w:val="24"/>
          <w:highlight w:val="none"/>
        </w:rPr>
        <w:t>四、与质疑事项相关的质疑请求</w:t>
      </w:r>
      <w:bookmarkEnd w:id="56"/>
    </w:p>
    <w:p w14:paraId="2C13056D">
      <w:pPr>
        <w:adjustRightInd w:val="0"/>
        <w:snapToGrid w:val="0"/>
        <w:spacing w:line="360" w:lineRule="auto"/>
        <w:rPr>
          <w:rFonts w:hint="eastAsia"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请求：</w:t>
      </w:r>
      <w:r>
        <w:rPr>
          <w:rFonts w:hint="eastAsia" w:ascii="宋体" w:hAnsi="宋体" w:eastAsia="宋体" w:cs="仿宋"/>
          <w:color w:val="auto"/>
          <w:sz w:val="24"/>
          <w:szCs w:val="24"/>
          <w:highlight w:val="none"/>
          <w:u w:val="dotted"/>
        </w:rPr>
        <w:t xml:space="preserve">                                               </w:t>
      </w:r>
    </w:p>
    <w:p w14:paraId="1EDACF96">
      <w:pP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签字(签章)：                   公章：                      </w:t>
      </w:r>
    </w:p>
    <w:p w14:paraId="212C9627">
      <w:pP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日期：    </w:t>
      </w:r>
    </w:p>
    <w:p w14:paraId="5A6E954A">
      <w:pPr>
        <w:widowControl/>
        <w:jc w:val="left"/>
        <w:rPr>
          <w:rFonts w:hint="eastAsia"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42B5A0DC">
      <w:pPr>
        <w:outlineLvl w:val="0"/>
        <w:rPr>
          <w:rFonts w:hint="eastAsia" w:ascii="宋体" w:hAnsi="宋体" w:eastAsia="宋体"/>
          <w:b/>
          <w:color w:val="auto"/>
          <w:sz w:val="28"/>
          <w:szCs w:val="32"/>
          <w:highlight w:val="none"/>
        </w:rPr>
      </w:pPr>
      <w:bookmarkStart w:id="57" w:name="_Toc9754"/>
      <w:bookmarkStart w:id="58" w:name="_Toc26836"/>
      <w:r>
        <w:rPr>
          <w:rFonts w:hint="eastAsia" w:ascii="宋体" w:hAnsi="宋体" w:eastAsia="宋体"/>
          <w:b/>
          <w:color w:val="auto"/>
          <w:sz w:val="28"/>
          <w:szCs w:val="32"/>
          <w:highlight w:val="none"/>
        </w:rPr>
        <w:t>质疑函制作说明：</w:t>
      </w:r>
      <w:bookmarkEnd w:id="57"/>
      <w:bookmarkEnd w:id="58"/>
    </w:p>
    <w:p w14:paraId="4AA26D1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1.供应商提出质疑时，应提交质疑函和必要的证明材料。</w:t>
      </w:r>
    </w:p>
    <w:p w14:paraId="59DD46F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9B0030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3.质疑供应商若对项目的某一分包进行质疑，质疑函中应列明具体分包号。</w:t>
      </w:r>
    </w:p>
    <w:p w14:paraId="24EC078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4.质疑函的质疑事项应具体、明确，并有必要的事实依据和法律依据。</w:t>
      </w:r>
    </w:p>
    <w:p w14:paraId="2E32118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5.质疑函的质疑请求应与质疑事项相关。</w:t>
      </w:r>
    </w:p>
    <w:p w14:paraId="3C2470A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6.质疑供应商为自然人的，质疑函应由本人签字；质疑供应商为法人或者其他组织的，质疑函应由法定代表人、主要负责人，或者其授权代表签字或者盖章，并加盖公章。</w:t>
      </w:r>
    </w:p>
    <w:sectPr>
      <w:headerReference r:id="rId7" w:type="default"/>
      <w:foot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40001"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楷体">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EE2FE">
    <w:pPr>
      <w:pStyle w:val="16"/>
      <w:jc w:val="center"/>
      <w:rPr>
        <w:rFonts w:hint="eastAsia"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40D54">
    <w:pPr>
      <w:pStyle w:val="16"/>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CA7E745">
                          <w:pPr>
                            <w:pStyle w:val="16"/>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71</w:t>
                          </w:r>
                          <w:r>
                            <w:rPr>
                              <w:rFonts w:hint="eastAsia" w:ascii="宋体" w:hAnsi="宋体" w:eastAsia="宋体" w:cs="宋体"/>
                            </w:rPr>
                            <w:fldChar w:fldCharType="end"/>
                          </w:r>
                          <w:r>
                            <w:rPr>
                              <w:rFonts w:hint="eastAsia" w:ascii="宋体" w:hAnsi="宋体" w:eastAsia="宋体" w:cs="宋体"/>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4CA7E745">
                    <w:pPr>
                      <w:pStyle w:val="16"/>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71</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5A9BF">
    <w:pPr>
      <w:pStyle w:val="16"/>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CD1233B">
                          <w:pPr>
                            <w:pStyle w:val="16"/>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71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2CD1233B">
                    <w:pPr>
                      <w:pStyle w:val="16"/>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71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C944A">
    <w:pPr>
      <w:pStyle w:val="17"/>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10EE6">
    <w:pPr>
      <w:pStyle w:val="17"/>
      <w:pBdr>
        <w:bottom w:val="none" w:color="auto" w:sz="0" w:space="1"/>
      </w:pBdr>
      <w:jc w:val="left"/>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AAF7C">
    <w:pPr>
      <w:pStyle w:val="17"/>
      <w:pBdr>
        <w:bottom w:val="none" w:color="auto" w:sz="0" w:space="1"/>
      </w:pBdr>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784B8"/>
    <w:multiLevelType w:val="singleLevel"/>
    <w:tmpl w:val="807784B8"/>
    <w:lvl w:ilvl="0" w:tentative="0">
      <w:start w:val="6"/>
      <w:numFmt w:val="chineseCounting"/>
      <w:suff w:val="nothing"/>
      <w:lvlText w:val="（%1）"/>
      <w:lvlJc w:val="left"/>
      <w:rPr>
        <w:rFonts w:hint="eastAsia"/>
      </w:rPr>
    </w:lvl>
  </w:abstractNum>
  <w:abstractNum w:abstractNumId="1">
    <w:nsid w:val="90AE5AF3"/>
    <w:multiLevelType w:val="singleLevel"/>
    <w:tmpl w:val="90AE5AF3"/>
    <w:lvl w:ilvl="0" w:tentative="0">
      <w:start w:val="2"/>
      <w:numFmt w:val="chineseCounting"/>
      <w:suff w:val="nothing"/>
      <w:lvlText w:val="%1、"/>
      <w:lvlJc w:val="left"/>
      <w:rPr>
        <w:rFonts w:hint="eastAsia"/>
      </w:rPr>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7A0F6431"/>
    <w:multiLevelType w:val="singleLevel"/>
    <w:tmpl w:val="7A0F6431"/>
    <w:lvl w:ilvl="0" w:tentative="0">
      <w:start w:val="1"/>
      <w:numFmt w:val="decimal"/>
      <w:suff w:val="space"/>
      <w:lvlText w:val="%1."/>
      <w:lvlJc w:val="left"/>
    </w:lvl>
  </w:abstractNum>
  <w:num w:numId="1">
    <w:abstractNumId w:val="0"/>
  </w:num>
  <w:num w:numId="2">
    <w:abstractNumId w:val="1"/>
  </w:num>
  <w:num w:numId="3">
    <w:abstractNumId w:val="8"/>
  </w:num>
  <w:num w:numId="4">
    <w:abstractNumId w:val="3"/>
  </w:num>
  <w:num w:numId="5">
    <w:abstractNumId w:val="7"/>
  </w:num>
  <w:num w:numId="6">
    <w:abstractNumId w:val="5"/>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zMWVkNjQ3MTQ1ZmMxZGY1NzMxMzIwNWFiMjM0YjEifQ=="/>
  </w:docVars>
  <w:rsids>
    <w:rsidRoot w:val="00276BA1"/>
    <w:rsid w:val="0000043F"/>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B21DF"/>
    <w:rsid w:val="001B2A54"/>
    <w:rsid w:val="001B5014"/>
    <w:rsid w:val="001B7327"/>
    <w:rsid w:val="001C1409"/>
    <w:rsid w:val="001C67F2"/>
    <w:rsid w:val="001D53B4"/>
    <w:rsid w:val="001E744D"/>
    <w:rsid w:val="001F28D2"/>
    <w:rsid w:val="001F2F45"/>
    <w:rsid w:val="001F3023"/>
    <w:rsid w:val="001F35F6"/>
    <w:rsid w:val="001F74CA"/>
    <w:rsid w:val="002003B6"/>
    <w:rsid w:val="002020CB"/>
    <w:rsid w:val="002049B4"/>
    <w:rsid w:val="0020520B"/>
    <w:rsid w:val="00213C55"/>
    <w:rsid w:val="002163CF"/>
    <w:rsid w:val="002168C4"/>
    <w:rsid w:val="002178B1"/>
    <w:rsid w:val="00223CF4"/>
    <w:rsid w:val="00224784"/>
    <w:rsid w:val="00224C4A"/>
    <w:rsid w:val="00224D86"/>
    <w:rsid w:val="002338E2"/>
    <w:rsid w:val="0023407E"/>
    <w:rsid w:val="00240B40"/>
    <w:rsid w:val="002440D8"/>
    <w:rsid w:val="00244182"/>
    <w:rsid w:val="00245F65"/>
    <w:rsid w:val="00246810"/>
    <w:rsid w:val="00260860"/>
    <w:rsid w:val="00260B94"/>
    <w:rsid w:val="002610D4"/>
    <w:rsid w:val="00264F2E"/>
    <w:rsid w:val="00271245"/>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25C6"/>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41C0B"/>
    <w:rsid w:val="0054317E"/>
    <w:rsid w:val="00544C2A"/>
    <w:rsid w:val="00546D49"/>
    <w:rsid w:val="00556D4C"/>
    <w:rsid w:val="005614B4"/>
    <w:rsid w:val="005616B5"/>
    <w:rsid w:val="00571315"/>
    <w:rsid w:val="00582075"/>
    <w:rsid w:val="00584A63"/>
    <w:rsid w:val="0058523E"/>
    <w:rsid w:val="00585EB3"/>
    <w:rsid w:val="00591688"/>
    <w:rsid w:val="00592509"/>
    <w:rsid w:val="00594986"/>
    <w:rsid w:val="00597B15"/>
    <w:rsid w:val="005A044C"/>
    <w:rsid w:val="005B5C95"/>
    <w:rsid w:val="005B6740"/>
    <w:rsid w:val="005D0200"/>
    <w:rsid w:val="005D44EF"/>
    <w:rsid w:val="005D4814"/>
    <w:rsid w:val="005D5112"/>
    <w:rsid w:val="005E791B"/>
    <w:rsid w:val="005F03E3"/>
    <w:rsid w:val="005F3914"/>
    <w:rsid w:val="005F3B5A"/>
    <w:rsid w:val="005F6AB4"/>
    <w:rsid w:val="0060362D"/>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7C59"/>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6EDE"/>
    <w:rsid w:val="00797A02"/>
    <w:rsid w:val="007A27A9"/>
    <w:rsid w:val="007A5A58"/>
    <w:rsid w:val="007A6740"/>
    <w:rsid w:val="007B0FBE"/>
    <w:rsid w:val="007B1C56"/>
    <w:rsid w:val="007B4996"/>
    <w:rsid w:val="007C3CD5"/>
    <w:rsid w:val="007C61EF"/>
    <w:rsid w:val="007D1C0D"/>
    <w:rsid w:val="007D2D23"/>
    <w:rsid w:val="007D7644"/>
    <w:rsid w:val="007E036C"/>
    <w:rsid w:val="007E27D6"/>
    <w:rsid w:val="007E3921"/>
    <w:rsid w:val="007E5DDE"/>
    <w:rsid w:val="00801028"/>
    <w:rsid w:val="00802CE2"/>
    <w:rsid w:val="00803793"/>
    <w:rsid w:val="0080643F"/>
    <w:rsid w:val="00814052"/>
    <w:rsid w:val="008149FD"/>
    <w:rsid w:val="00817A01"/>
    <w:rsid w:val="00824F21"/>
    <w:rsid w:val="0082500C"/>
    <w:rsid w:val="00825E35"/>
    <w:rsid w:val="008334F8"/>
    <w:rsid w:val="008341AA"/>
    <w:rsid w:val="00835D8E"/>
    <w:rsid w:val="008372F6"/>
    <w:rsid w:val="008377CA"/>
    <w:rsid w:val="00844D03"/>
    <w:rsid w:val="00847B0F"/>
    <w:rsid w:val="00852994"/>
    <w:rsid w:val="00854712"/>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449E"/>
    <w:rsid w:val="008E7062"/>
    <w:rsid w:val="008F187F"/>
    <w:rsid w:val="008F402F"/>
    <w:rsid w:val="008F55FA"/>
    <w:rsid w:val="008F76E8"/>
    <w:rsid w:val="008F7CD0"/>
    <w:rsid w:val="00902902"/>
    <w:rsid w:val="00902A4B"/>
    <w:rsid w:val="009078A1"/>
    <w:rsid w:val="00911E9C"/>
    <w:rsid w:val="00915083"/>
    <w:rsid w:val="00917405"/>
    <w:rsid w:val="00920035"/>
    <w:rsid w:val="00920F7C"/>
    <w:rsid w:val="00934CAE"/>
    <w:rsid w:val="0094257D"/>
    <w:rsid w:val="00942F60"/>
    <w:rsid w:val="0095211B"/>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D7D"/>
    <w:rsid w:val="00A01670"/>
    <w:rsid w:val="00A1499B"/>
    <w:rsid w:val="00A20879"/>
    <w:rsid w:val="00A20AFC"/>
    <w:rsid w:val="00A23E47"/>
    <w:rsid w:val="00A314C2"/>
    <w:rsid w:val="00A43B9C"/>
    <w:rsid w:val="00A53155"/>
    <w:rsid w:val="00A56FFA"/>
    <w:rsid w:val="00A63E86"/>
    <w:rsid w:val="00A65A1C"/>
    <w:rsid w:val="00A757C3"/>
    <w:rsid w:val="00A75E5B"/>
    <w:rsid w:val="00A7684A"/>
    <w:rsid w:val="00A82AED"/>
    <w:rsid w:val="00A83B69"/>
    <w:rsid w:val="00A86533"/>
    <w:rsid w:val="00A91176"/>
    <w:rsid w:val="00A9176A"/>
    <w:rsid w:val="00A91CA2"/>
    <w:rsid w:val="00A92FB8"/>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B00ACC"/>
    <w:rsid w:val="00B039E3"/>
    <w:rsid w:val="00B043C1"/>
    <w:rsid w:val="00B22838"/>
    <w:rsid w:val="00B27D52"/>
    <w:rsid w:val="00B32BC1"/>
    <w:rsid w:val="00B33E95"/>
    <w:rsid w:val="00B34EE1"/>
    <w:rsid w:val="00B35B5E"/>
    <w:rsid w:val="00B3720B"/>
    <w:rsid w:val="00B40EE3"/>
    <w:rsid w:val="00B4535A"/>
    <w:rsid w:val="00B55271"/>
    <w:rsid w:val="00B5558A"/>
    <w:rsid w:val="00B56513"/>
    <w:rsid w:val="00B56B2E"/>
    <w:rsid w:val="00B64376"/>
    <w:rsid w:val="00B71533"/>
    <w:rsid w:val="00B7401F"/>
    <w:rsid w:val="00B806C3"/>
    <w:rsid w:val="00B838F5"/>
    <w:rsid w:val="00B84FCA"/>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F376F"/>
    <w:rsid w:val="00BF46A6"/>
    <w:rsid w:val="00BF62CF"/>
    <w:rsid w:val="00BF6B98"/>
    <w:rsid w:val="00BF73D6"/>
    <w:rsid w:val="00C06545"/>
    <w:rsid w:val="00C1161C"/>
    <w:rsid w:val="00C17F66"/>
    <w:rsid w:val="00C220FC"/>
    <w:rsid w:val="00C23C86"/>
    <w:rsid w:val="00C24DFA"/>
    <w:rsid w:val="00C35561"/>
    <w:rsid w:val="00C4202A"/>
    <w:rsid w:val="00C4211F"/>
    <w:rsid w:val="00C46A36"/>
    <w:rsid w:val="00C47037"/>
    <w:rsid w:val="00C472D8"/>
    <w:rsid w:val="00C53625"/>
    <w:rsid w:val="00C602C1"/>
    <w:rsid w:val="00C61C98"/>
    <w:rsid w:val="00C63FC0"/>
    <w:rsid w:val="00C66392"/>
    <w:rsid w:val="00C74C5E"/>
    <w:rsid w:val="00C77487"/>
    <w:rsid w:val="00C827A2"/>
    <w:rsid w:val="00C82B69"/>
    <w:rsid w:val="00C85394"/>
    <w:rsid w:val="00C8657D"/>
    <w:rsid w:val="00C91B28"/>
    <w:rsid w:val="00C91F3A"/>
    <w:rsid w:val="00C94A6F"/>
    <w:rsid w:val="00CA06E3"/>
    <w:rsid w:val="00CB328B"/>
    <w:rsid w:val="00CB5797"/>
    <w:rsid w:val="00CB6050"/>
    <w:rsid w:val="00CB75DB"/>
    <w:rsid w:val="00CC1202"/>
    <w:rsid w:val="00CC4099"/>
    <w:rsid w:val="00CC45C1"/>
    <w:rsid w:val="00CD09E1"/>
    <w:rsid w:val="00CD5078"/>
    <w:rsid w:val="00CD6202"/>
    <w:rsid w:val="00CD6E67"/>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4064C"/>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6779"/>
    <w:rsid w:val="00D86EE1"/>
    <w:rsid w:val="00D9120E"/>
    <w:rsid w:val="00D913B1"/>
    <w:rsid w:val="00D93793"/>
    <w:rsid w:val="00D96126"/>
    <w:rsid w:val="00DB3C55"/>
    <w:rsid w:val="00DB4B1C"/>
    <w:rsid w:val="00DB5085"/>
    <w:rsid w:val="00DB7706"/>
    <w:rsid w:val="00DC1062"/>
    <w:rsid w:val="00DC132C"/>
    <w:rsid w:val="00DC774B"/>
    <w:rsid w:val="00DD43F0"/>
    <w:rsid w:val="00DD44DE"/>
    <w:rsid w:val="00DE09AB"/>
    <w:rsid w:val="00DE4A3F"/>
    <w:rsid w:val="00DE4E53"/>
    <w:rsid w:val="00DE7AE9"/>
    <w:rsid w:val="00DF4367"/>
    <w:rsid w:val="00E0574A"/>
    <w:rsid w:val="00E1243D"/>
    <w:rsid w:val="00E12742"/>
    <w:rsid w:val="00E12E4A"/>
    <w:rsid w:val="00E146D4"/>
    <w:rsid w:val="00E20976"/>
    <w:rsid w:val="00E22079"/>
    <w:rsid w:val="00E22B44"/>
    <w:rsid w:val="00E236D8"/>
    <w:rsid w:val="00E30ACD"/>
    <w:rsid w:val="00E3184B"/>
    <w:rsid w:val="00E32735"/>
    <w:rsid w:val="00E5391D"/>
    <w:rsid w:val="00E544E5"/>
    <w:rsid w:val="00E54D24"/>
    <w:rsid w:val="00E66E36"/>
    <w:rsid w:val="00E6781E"/>
    <w:rsid w:val="00E702ED"/>
    <w:rsid w:val="00E705CC"/>
    <w:rsid w:val="00E709A4"/>
    <w:rsid w:val="00E73822"/>
    <w:rsid w:val="00E772DB"/>
    <w:rsid w:val="00E86012"/>
    <w:rsid w:val="00E86BAB"/>
    <w:rsid w:val="00E901A1"/>
    <w:rsid w:val="00E94E10"/>
    <w:rsid w:val="00E954BD"/>
    <w:rsid w:val="00E96743"/>
    <w:rsid w:val="00E96A42"/>
    <w:rsid w:val="00EA0A36"/>
    <w:rsid w:val="00EA49C5"/>
    <w:rsid w:val="00EB1C1C"/>
    <w:rsid w:val="00EB5027"/>
    <w:rsid w:val="00EC1836"/>
    <w:rsid w:val="00EC3990"/>
    <w:rsid w:val="00EC484B"/>
    <w:rsid w:val="00ED15FA"/>
    <w:rsid w:val="00ED1E00"/>
    <w:rsid w:val="00EE228F"/>
    <w:rsid w:val="00EE238D"/>
    <w:rsid w:val="00EE6E9A"/>
    <w:rsid w:val="00EF0BF1"/>
    <w:rsid w:val="00EF27DA"/>
    <w:rsid w:val="00EF2AC4"/>
    <w:rsid w:val="00EF397E"/>
    <w:rsid w:val="00F06F68"/>
    <w:rsid w:val="00F1332D"/>
    <w:rsid w:val="00F1534B"/>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63ABE"/>
    <w:rsid w:val="00F7568B"/>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2265D8"/>
    <w:rsid w:val="01382DB4"/>
    <w:rsid w:val="016829D9"/>
    <w:rsid w:val="017B1BF9"/>
    <w:rsid w:val="01964270"/>
    <w:rsid w:val="01CF0D89"/>
    <w:rsid w:val="01DC37E8"/>
    <w:rsid w:val="01E93A1B"/>
    <w:rsid w:val="01F23F0C"/>
    <w:rsid w:val="01F304E5"/>
    <w:rsid w:val="0214602E"/>
    <w:rsid w:val="022F42BF"/>
    <w:rsid w:val="024D7265"/>
    <w:rsid w:val="0273010D"/>
    <w:rsid w:val="02757725"/>
    <w:rsid w:val="02757CEB"/>
    <w:rsid w:val="02867E41"/>
    <w:rsid w:val="02915639"/>
    <w:rsid w:val="02C67BDB"/>
    <w:rsid w:val="02D108F4"/>
    <w:rsid w:val="02DA6FE9"/>
    <w:rsid w:val="02DF2DC0"/>
    <w:rsid w:val="02FB2440"/>
    <w:rsid w:val="031A5554"/>
    <w:rsid w:val="031F3DF1"/>
    <w:rsid w:val="03457CFC"/>
    <w:rsid w:val="03486B27"/>
    <w:rsid w:val="036B7036"/>
    <w:rsid w:val="03870314"/>
    <w:rsid w:val="0389560C"/>
    <w:rsid w:val="038E557D"/>
    <w:rsid w:val="039C3694"/>
    <w:rsid w:val="03A64E9B"/>
    <w:rsid w:val="03A763E2"/>
    <w:rsid w:val="03C50E3C"/>
    <w:rsid w:val="03C72C05"/>
    <w:rsid w:val="03DD29A1"/>
    <w:rsid w:val="040556DD"/>
    <w:rsid w:val="040A094E"/>
    <w:rsid w:val="043D4E77"/>
    <w:rsid w:val="043F347F"/>
    <w:rsid w:val="046643CE"/>
    <w:rsid w:val="048E2C65"/>
    <w:rsid w:val="04912ACD"/>
    <w:rsid w:val="049747E0"/>
    <w:rsid w:val="04CB5FDF"/>
    <w:rsid w:val="056E2007"/>
    <w:rsid w:val="056F201D"/>
    <w:rsid w:val="05A80CC5"/>
    <w:rsid w:val="05B178CA"/>
    <w:rsid w:val="05B41169"/>
    <w:rsid w:val="05B664D4"/>
    <w:rsid w:val="060C7EB6"/>
    <w:rsid w:val="064B485A"/>
    <w:rsid w:val="068C65C4"/>
    <w:rsid w:val="06A92350"/>
    <w:rsid w:val="06BA27AF"/>
    <w:rsid w:val="06D27AF8"/>
    <w:rsid w:val="07076C01"/>
    <w:rsid w:val="07117ADC"/>
    <w:rsid w:val="071C12AC"/>
    <w:rsid w:val="07292EE8"/>
    <w:rsid w:val="079608BF"/>
    <w:rsid w:val="07A05617"/>
    <w:rsid w:val="07A934B3"/>
    <w:rsid w:val="07CA2B27"/>
    <w:rsid w:val="07EB55C1"/>
    <w:rsid w:val="07EB6287"/>
    <w:rsid w:val="0806421B"/>
    <w:rsid w:val="081A063F"/>
    <w:rsid w:val="081C4913"/>
    <w:rsid w:val="081F6A2B"/>
    <w:rsid w:val="08335BAA"/>
    <w:rsid w:val="08404F36"/>
    <w:rsid w:val="087A6217"/>
    <w:rsid w:val="087C4E23"/>
    <w:rsid w:val="089018A1"/>
    <w:rsid w:val="08964B56"/>
    <w:rsid w:val="08A72371"/>
    <w:rsid w:val="09061CDB"/>
    <w:rsid w:val="09166F09"/>
    <w:rsid w:val="09204E11"/>
    <w:rsid w:val="092A7093"/>
    <w:rsid w:val="093C6197"/>
    <w:rsid w:val="0980799C"/>
    <w:rsid w:val="098F1CD1"/>
    <w:rsid w:val="09944B8E"/>
    <w:rsid w:val="09A03EDE"/>
    <w:rsid w:val="09B90AFC"/>
    <w:rsid w:val="0A216D3B"/>
    <w:rsid w:val="0A2E299B"/>
    <w:rsid w:val="0A3208AE"/>
    <w:rsid w:val="0A6446C8"/>
    <w:rsid w:val="0A6A18DB"/>
    <w:rsid w:val="0A9357F1"/>
    <w:rsid w:val="0A975339"/>
    <w:rsid w:val="0A975B48"/>
    <w:rsid w:val="0AC171E0"/>
    <w:rsid w:val="0AC679E9"/>
    <w:rsid w:val="0AEF3828"/>
    <w:rsid w:val="0B1701D0"/>
    <w:rsid w:val="0B406381"/>
    <w:rsid w:val="0B6727D9"/>
    <w:rsid w:val="0B7218AA"/>
    <w:rsid w:val="0BB452AA"/>
    <w:rsid w:val="0BBB665B"/>
    <w:rsid w:val="0BF56037"/>
    <w:rsid w:val="0CAE1635"/>
    <w:rsid w:val="0CCA1272"/>
    <w:rsid w:val="0CF640CE"/>
    <w:rsid w:val="0D896A37"/>
    <w:rsid w:val="0DAB3173"/>
    <w:rsid w:val="0DE85E53"/>
    <w:rsid w:val="0E277063"/>
    <w:rsid w:val="0E312337"/>
    <w:rsid w:val="0E477E26"/>
    <w:rsid w:val="0E4F7062"/>
    <w:rsid w:val="0E855450"/>
    <w:rsid w:val="0E8C2C83"/>
    <w:rsid w:val="0EEA6FC1"/>
    <w:rsid w:val="0EEE7499"/>
    <w:rsid w:val="0F222B14"/>
    <w:rsid w:val="0F2334BA"/>
    <w:rsid w:val="0F790928"/>
    <w:rsid w:val="0F8A059C"/>
    <w:rsid w:val="0F9A13CF"/>
    <w:rsid w:val="0FD04EBC"/>
    <w:rsid w:val="0FE97C61"/>
    <w:rsid w:val="1001144E"/>
    <w:rsid w:val="1038043C"/>
    <w:rsid w:val="1057106E"/>
    <w:rsid w:val="105D02BD"/>
    <w:rsid w:val="106C40D0"/>
    <w:rsid w:val="107415C7"/>
    <w:rsid w:val="10946899"/>
    <w:rsid w:val="10AE725F"/>
    <w:rsid w:val="10CD72BB"/>
    <w:rsid w:val="10D43B15"/>
    <w:rsid w:val="10E14E69"/>
    <w:rsid w:val="10FB40F0"/>
    <w:rsid w:val="110F02D5"/>
    <w:rsid w:val="118714DF"/>
    <w:rsid w:val="119F0BF7"/>
    <w:rsid w:val="11B82180"/>
    <w:rsid w:val="11CC0F45"/>
    <w:rsid w:val="11D93F17"/>
    <w:rsid w:val="12197477"/>
    <w:rsid w:val="122375E8"/>
    <w:rsid w:val="12303925"/>
    <w:rsid w:val="125E3A8A"/>
    <w:rsid w:val="12614612"/>
    <w:rsid w:val="128D26C1"/>
    <w:rsid w:val="12900868"/>
    <w:rsid w:val="12B11C20"/>
    <w:rsid w:val="12B56F66"/>
    <w:rsid w:val="12C33309"/>
    <w:rsid w:val="12E666D9"/>
    <w:rsid w:val="1312540B"/>
    <w:rsid w:val="13180AEA"/>
    <w:rsid w:val="131B5CD3"/>
    <w:rsid w:val="132521E9"/>
    <w:rsid w:val="13373EE7"/>
    <w:rsid w:val="134578A4"/>
    <w:rsid w:val="13682B89"/>
    <w:rsid w:val="13776448"/>
    <w:rsid w:val="13CB02AB"/>
    <w:rsid w:val="13E764D3"/>
    <w:rsid w:val="140E7208"/>
    <w:rsid w:val="141352AC"/>
    <w:rsid w:val="14157276"/>
    <w:rsid w:val="1424395D"/>
    <w:rsid w:val="14261574"/>
    <w:rsid w:val="142C45C0"/>
    <w:rsid w:val="142C7B79"/>
    <w:rsid w:val="14332B73"/>
    <w:rsid w:val="143B01BD"/>
    <w:rsid w:val="144573F9"/>
    <w:rsid w:val="14627FE2"/>
    <w:rsid w:val="1466407E"/>
    <w:rsid w:val="14794DDB"/>
    <w:rsid w:val="14834E28"/>
    <w:rsid w:val="1487316F"/>
    <w:rsid w:val="148E7D65"/>
    <w:rsid w:val="148F527B"/>
    <w:rsid w:val="149C0CC4"/>
    <w:rsid w:val="14B26AFA"/>
    <w:rsid w:val="14B572C9"/>
    <w:rsid w:val="14D64C58"/>
    <w:rsid w:val="14E7280A"/>
    <w:rsid w:val="14EF3F6B"/>
    <w:rsid w:val="15231BF9"/>
    <w:rsid w:val="154C1139"/>
    <w:rsid w:val="15C27640"/>
    <w:rsid w:val="15C4546D"/>
    <w:rsid w:val="161C0D90"/>
    <w:rsid w:val="163A1216"/>
    <w:rsid w:val="164C7F84"/>
    <w:rsid w:val="16787F37"/>
    <w:rsid w:val="169F72CB"/>
    <w:rsid w:val="16A15E13"/>
    <w:rsid w:val="16B07D64"/>
    <w:rsid w:val="17836BED"/>
    <w:rsid w:val="178D5376"/>
    <w:rsid w:val="17A15A10"/>
    <w:rsid w:val="17A54DB5"/>
    <w:rsid w:val="17AD4997"/>
    <w:rsid w:val="17B2302E"/>
    <w:rsid w:val="17C25FFF"/>
    <w:rsid w:val="18652979"/>
    <w:rsid w:val="18687CA0"/>
    <w:rsid w:val="18823145"/>
    <w:rsid w:val="18A6244A"/>
    <w:rsid w:val="18A92CCB"/>
    <w:rsid w:val="18B644E1"/>
    <w:rsid w:val="18BC4DD8"/>
    <w:rsid w:val="18DE057F"/>
    <w:rsid w:val="18FC6C57"/>
    <w:rsid w:val="18FE139B"/>
    <w:rsid w:val="18FF4051"/>
    <w:rsid w:val="190573AE"/>
    <w:rsid w:val="191331C3"/>
    <w:rsid w:val="19143BA9"/>
    <w:rsid w:val="19257F5C"/>
    <w:rsid w:val="195D0247"/>
    <w:rsid w:val="19873C1D"/>
    <w:rsid w:val="19AC242B"/>
    <w:rsid w:val="19DB3B2E"/>
    <w:rsid w:val="19E716B5"/>
    <w:rsid w:val="19F636A6"/>
    <w:rsid w:val="1A064976"/>
    <w:rsid w:val="1A1670E6"/>
    <w:rsid w:val="1A1B4EBB"/>
    <w:rsid w:val="1A2E1848"/>
    <w:rsid w:val="1A3505F7"/>
    <w:rsid w:val="1A3B68AA"/>
    <w:rsid w:val="1A3E1C1E"/>
    <w:rsid w:val="1A4C6BF6"/>
    <w:rsid w:val="1A6F1E95"/>
    <w:rsid w:val="1A8D5661"/>
    <w:rsid w:val="1AA67400"/>
    <w:rsid w:val="1AD2449D"/>
    <w:rsid w:val="1AF649F1"/>
    <w:rsid w:val="1B1D686F"/>
    <w:rsid w:val="1B355E64"/>
    <w:rsid w:val="1B6F4F40"/>
    <w:rsid w:val="1B820314"/>
    <w:rsid w:val="1B88753F"/>
    <w:rsid w:val="1B910DB4"/>
    <w:rsid w:val="1BF16D3F"/>
    <w:rsid w:val="1C141836"/>
    <w:rsid w:val="1C233F1C"/>
    <w:rsid w:val="1C2A60FB"/>
    <w:rsid w:val="1C413DEA"/>
    <w:rsid w:val="1C47643B"/>
    <w:rsid w:val="1C6F4800"/>
    <w:rsid w:val="1C76537D"/>
    <w:rsid w:val="1C827473"/>
    <w:rsid w:val="1C8723AA"/>
    <w:rsid w:val="1C946AFB"/>
    <w:rsid w:val="1CB6166F"/>
    <w:rsid w:val="1CC731B0"/>
    <w:rsid w:val="1CD05BA3"/>
    <w:rsid w:val="1D242622"/>
    <w:rsid w:val="1D2D7E40"/>
    <w:rsid w:val="1D561C18"/>
    <w:rsid w:val="1D70551D"/>
    <w:rsid w:val="1D716B1D"/>
    <w:rsid w:val="1D756FD8"/>
    <w:rsid w:val="1DBE4F63"/>
    <w:rsid w:val="1DD65CC8"/>
    <w:rsid w:val="1E301693"/>
    <w:rsid w:val="1E6B6A14"/>
    <w:rsid w:val="1E7E1F44"/>
    <w:rsid w:val="1E845CFB"/>
    <w:rsid w:val="1E975F3A"/>
    <w:rsid w:val="1EA40706"/>
    <w:rsid w:val="1EAF6816"/>
    <w:rsid w:val="1EB01E85"/>
    <w:rsid w:val="1F01268F"/>
    <w:rsid w:val="1F480DDB"/>
    <w:rsid w:val="1F80567A"/>
    <w:rsid w:val="1FCF0C21"/>
    <w:rsid w:val="1FD46237"/>
    <w:rsid w:val="1FE741BD"/>
    <w:rsid w:val="1FF40688"/>
    <w:rsid w:val="20052895"/>
    <w:rsid w:val="202A40A9"/>
    <w:rsid w:val="20471A9B"/>
    <w:rsid w:val="20482782"/>
    <w:rsid w:val="20550D9A"/>
    <w:rsid w:val="20564928"/>
    <w:rsid w:val="207F5771"/>
    <w:rsid w:val="2096340D"/>
    <w:rsid w:val="20994D8B"/>
    <w:rsid w:val="209C7C34"/>
    <w:rsid w:val="20BD3E04"/>
    <w:rsid w:val="20BE6C95"/>
    <w:rsid w:val="20C64363"/>
    <w:rsid w:val="21073B7C"/>
    <w:rsid w:val="21143936"/>
    <w:rsid w:val="212C79CD"/>
    <w:rsid w:val="213E20BD"/>
    <w:rsid w:val="214F69F1"/>
    <w:rsid w:val="21611D4D"/>
    <w:rsid w:val="218E2416"/>
    <w:rsid w:val="21DA4531"/>
    <w:rsid w:val="22196184"/>
    <w:rsid w:val="221A1EFC"/>
    <w:rsid w:val="221C55F6"/>
    <w:rsid w:val="22370D00"/>
    <w:rsid w:val="224114F2"/>
    <w:rsid w:val="22532A53"/>
    <w:rsid w:val="22635651"/>
    <w:rsid w:val="226915FE"/>
    <w:rsid w:val="226C7E19"/>
    <w:rsid w:val="22737F8A"/>
    <w:rsid w:val="229D27C9"/>
    <w:rsid w:val="22B77DA3"/>
    <w:rsid w:val="22C87710"/>
    <w:rsid w:val="22DC376E"/>
    <w:rsid w:val="22DE5886"/>
    <w:rsid w:val="232D0759"/>
    <w:rsid w:val="236276FB"/>
    <w:rsid w:val="23634327"/>
    <w:rsid w:val="23A00635"/>
    <w:rsid w:val="241804A5"/>
    <w:rsid w:val="242C4775"/>
    <w:rsid w:val="243B497F"/>
    <w:rsid w:val="244B09BD"/>
    <w:rsid w:val="245711E5"/>
    <w:rsid w:val="248D3813"/>
    <w:rsid w:val="24B97929"/>
    <w:rsid w:val="24CF521F"/>
    <w:rsid w:val="24D632D7"/>
    <w:rsid w:val="24F95D44"/>
    <w:rsid w:val="255C2C0B"/>
    <w:rsid w:val="257E3AA7"/>
    <w:rsid w:val="25C41910"/>
    <w:rsid w:val="25D725DE"/>
    <w:rsid w:val="25EA6A1D"/>
    <w:rsid w:val="260D24A3"/>
    <w:rsid w:val="26171271"/>
    <w:rsid w:val="26192BF6"/>
    <w:rsid w:val="26350999"/>
    <w:rsid w:val="26405A11"/>
    <w:rsid w:val="26597A5E"/>
    <w:rsid w:val="26FE247D"/>
    <w:rsid w:val="27247AA4"/>
    <w:rsid w:val="274E4B21"/>
    <w:rsid w:val="27D65DBA"/>
    <w:rsid w:val="27EF1A84"/>
    <w:rsid w:val="27F136FF"/>
    <w:rsid w:val="28355CE1"/>
    <w:rsid w:val="28407FF3"/>
    <w:rsid w:val="28545F03"/>
    <w:rsid w:val="285D0AB8"/>
    <w:rsid w:val="285F40CA"/>
    <w:rsid w:val="28701B39"/>
    <w:rsid w:val="288775CB"/>
    <w:rsid w:val="288B2282"/>
    <w:rsid w:val="289E1AF0"/>
    <w:rsid w:val="28AB38E2"/>
    <w:rsid w:val="28BE4A1C"/>
    <w:rsid w:val="28C01ECB"/>
    <w:rsid w:val="28CD76CA"/>
    <w:rsid w:val="28D43150"/>
    <w:rsid w:val="28E85A45"/>
    <w:rsid w:val="291E7FFD"/>
    <w:rsid w:val="29336A3F"/>
    <w:rsid w:val="29583A35"/>
    <w:rsid w:val="296543A4"/>
    <w:rsid w:val="298E0913"/>
    <w:rsid w:val="299802D6"/>
    <w:rsid w:val="29BF71E3"/>
    <w:rsid w:val="29D6387F"/>
    <w:rsid w:val="2A0113E2"/>
    <w:rsid w:val="2A127B63"/>
    <w:rsid w:val="2A1534FC"/>
    <w:rsid w:val="2A3C5105"/>
    <w:rsid w:val="2A451A6C"/>
    <w:rsid w:val="2A4634BC"/>
    <w:rsid w:val="2A9136E8"/>
    <w:rsid w:val="2A993030"/>
    <w:rsid w:val="2AAA4765"/>
    <w:rsid w:val="2AB52F60"/>
    <w:rsid w:val="2AC21606"/>
    <w:rsid w:val="2AE90244"/>
    <w:rsid w:val="2AFA13BE"/>
    <w:rsid w:val="2B086ABE"/>
    <w:rsid w:val="2B211B2D"/>
    <w:rsid w:val="2B700544"/>
    <w:rsid w:val="2B7E7608"/>
    <w:rsid w:val="2B7F04E9"/>
    <w:rsid w:val="2B896186"/>
    <w:rsid w:val="2B8B554A"/>
    <w:rsid w:val="2BA45ACA"/>
    <w:rsid w:val="2BA62462"/>
    <w:rsid w:val="2BAE2033"/>
    <w:rsid w:val="2BB1567F"/>
    <w:rsid w:val="2BD27A22"/>
    <w:rsid w:val="2BE041B6"/>
    <w:rsid w:val="2BE42462"/>
    <w:rsid w:val="2BEC66B7"/>
    <w:rsid w:val="2C0C0B07"/>
    <w:rsid w:val="2C0D5C62"/>
    <w:rsid w:val="2C2F07C7"/>
    <w:rsid w:val="2C4D0C0B"/>
    <w:rsid w:val="2C583D4C"/>
    <w:rsid w:val="2C866B0B"/>
    <w:rsid w:val="2CB71FF6"/>
    <w:rsid w:val="2CD77367"/>
    <w:rsid w:val="2CDB3B0B"/>
    <w:rsid w:val="2CDC08C3"/>
    <w:rsid w:val="2D0D4B37"/>
    <w:rsid w:val="2D496D68"/>
    <w:rsid w:val="2D7D05E4"/>
    <w:rsid w:val="2DB81892"/>
    <w:rsid w:val="2DB93D3A"/>
    <w:rsid w:val="2DC0604D"/>
    <w:rsid w:val="2DD22AD3"/>
    <w:rsid w:val="2E290AD3"/>
    <w:rsid w:val="2E443666"/>
    <w:rsid w:val="2E7A48DE"/>
    <w:rsid w:val="2E807B15"/>
    <w:rsid w:val="2E813A2E"/>
    <w:rsid w:val="2E9215C0"/>
    <w:rsid w:val="2EB7753B"/>
    <w:rsid w:val="2EBA5177"/>
    <w:rsid w:val="2ED973C6"/>
    <w:rsid w:val="2EDC3ED8"/>
    <w:rsid w:val="2EDF0755"/>
    <w:rsid w:val="2EE63891"/>
    <w:rsid w:val="2F104B00"/>
    <w:rsid w:val="2F125CDF"/>
    <w:rsid w:val="2F350375"/>
    <w:rsid w:val="2F6351B4"/>
    <w:rsid w:val="2F7E7F6E"/>
    <w:rsid w:val="2FAD0BBB"/>
    <w:rsid w:val="2FC86126"/>
    <w:rsid w:val="2FCF199E"/>
    <w:rsid w:val="2FE1071D"/>
    <w:rsid w:val="2FE75B13"/>
    <w:rsid w:val="3031431F"/>
    <w:rsid w:val="303F76FD"/>
    <w:rsid w:val="30403120"/>
    <w:rsid w:val="30483E83"/>
    <w:rsid w:val="30575B32"/>
    <w:rsid w:val="307F2116"/>
    <w:rsid w:val="3082649B"/>
    <w:rsid w:val="30943775"/>
    <w:rsid w:val="30BF3991"/>
    <w:rsid w:val="30C96FC7"/>
    <w:rsid w:val="30F42C13"/>
    <w:rsid w:val="30F93D50"/>
    <w:rsid w:val="3111619A"/>
    <w:rsid w:val="311A5A74"/>
    <w:rsid w:val="312C7527"/>
    <w:rsid w:val="316E7B6E"/>
    <w:rsid w:val="316F5DC0"/>
    <w:rsid w:val="319121DA"/>
    <w:rsid w:val="31931D67"/>
    <w:rsid w:val="31B139DC"/>
    <w:rsid w:val="31D178DC"/>
    <w:rsid w:val="32317519"/>
    <w:rsid w:val="32497AF3"/>
    <w:rsid w:val="324B1189"/>
    <w:rsid w:val="324B1B69"/>
    <w:rsid w:val="328638C0"/>
    <w:rsid w:val="32963172"/>
    <w:rsid w:val="32A66287"/>
    <w:rsid w:val="32FF6777"/>
    <w:rsid w:val="330E7A77"/>
    <w:rsid w:val="33292500"/>
    <w:rsid w:val="33353039"/>
    <w:rsid w:val="338C30AF"/>
    <w:rsid w:val="33AB50A9"/>
    <w:rsid w:val="33CF0D98"/>
    <w:rsid w:val="33F1792A"/>
    <w:rsid w:val="341C213D"/>
    <w:rsid w:val="341E6FEF"/>
    <w:rsid w:val="343C0775"/>
    <w:rsid w:val="3466053C"/>
    <w:rsid w:val="347436ED"/>
    <w:rsid w:val="34993154"/>
    <w:rsid w:val="34A53FEB"/>
    <w:rsid w:val="34E02B31"/>
    <w:rsid w:val="35444C60"/>
    <w:rsid w:val="354B4447"/>
    <w:rsid w:val="354F739A"/>
    <w:rsid w:val="356C50EC"/>
    <w:rsid w:val="356E45E1"/>
    <w:rsid w:val="3579793F"/>
    <w:rsid w:val="35CD57AB"/>
    <w:rsid w:val="35D22DC1"/>
    <w:rsid w:val="36015455"/>
    <w:rsid w:val="36137E45"/>
    <w:rsid w:val="362D1DA6"/>
    <w:rsid w:val="36376E0A"/>
    <w:rsid w:val="363F11E1"/>
    <w:rsid w:val="368D0711"/>
    <w:rsid w:val="36CC15BF"/>
    <w:rsid w:val="36E27AE8"/>
    <w:rsid w:val="36EA7C97"/>
    <w:rsid w:val="3700166C"/>
    <w:rsid w:val="370E31D3"/>
    <w:rsid w:val="371C44B5"/>
    <w:rsid w:val="371F72C3"/>
    <w:rsid w:val="37887BDC"/>
    <w:rsid w:val="378F142A"/>
    <w:rsid w:val="379A1012"/>
    <w:rsid w:val="37A367C3"/>
    <w:rsid w:val="37CE2664"/>
    <w:rsid w:val="37FE7E9E"/>
    <w:rsid w:val="381A1DB4"/>
    <w:rsid w:val="38694EE9"/>
    <w:rsid w:val="38701C5D"/>
    <w:rsid w:val="3870241E"/>
    <w:rsid w:val="38AB7897"/>
    <w:rsid w:val="38B21A10"/>
    <w:rsid w:val="38C44509"/>
    <w:rsid w:val="38C92B50"/>
    <w:rsid w:val="38D66725"/>
    <w:rsid w:val="38F6310D"/>
    <w:rsid w:val="38F848ED"/>
    <w:rsid w:val="39037E27"/>
    <w:rsid w:val="391E2591"/>
    <w:rsid w:val="39355B41"/>
    <w:rsid w:val="394E6A33"/>
    <w:rsid w:val="39643B0E"/>
    <w:rsid w:val="39755578"/>
    <w:rsid w:val="397E7B9C"/>
    <w:rsid w:val="39CA3549"/>
    <w:rsid w:val="39DA3FF3"/>
    <w:rsid w:val="3A2A6ADD"/>
    <w:rsid w:val="3A2B0CF2"/>
    <w:rsid w:val="3A4D14B3"/>
    <w:rsid w:val="3A6818FA"/>
    <w:rsid w:val="3A72247D"/>
    <w:rsid w:val="3A7652B3"/>
    <w:rsid w:val="3A7C5988"/>
    <w:rsid w:val="3A8C21FC"/>
    <w:rsid w:val="3A935D4C"/>
    <w:rsid w:val="3B004F09"/>
    <w:rsid w:val="3B021500"/>
    <w:rsid w:val="3B0F12A5"/>
    <w:rsid w:val="3B365CC9"/>
    <w:rsid w:val="3B6834A4"/>
    <w:rsid w:val="3B9A7B88"/>
    <w:rsid w:val="3BD827B4"/>
    <w:rsid w:val="3C035D55"/>
    <w:rsid w:val="3C0454EB"/>
    <w:rsid w:val="3C095DE7"/>
    <w:rsid w:val="3C0C59EA"/>
    <w:rsid w:val="3C1B7B8B"/>
    <w:rsid w:val="3C1C23A7"/>
    <w:rsid w:val="3C1E28BD"/>
    <w:rsid w:val="3C292100"/>
    <w:rsid w:val="3C853325"/>
    <w:rsid w:val="3C90308E"/>
    <w:rsid w:val="3C9A71D4"/>
    <w:rsid w:val="3C9E1C4F"/>
    <w:rsid w:val="3CBE7BFC"/>
    <w:rsid w:val="3CCE67A9"/>
    <w:rsid w:val="3CF4361D"/>
    <w:rsid w:val="3CFC5E34"/>
    <w:rsid w:val="3D2C7AC8"/>
    <w:rsid w:val="3D324146"/>
    <w:rsid w:val="3D855D12"/>
    <w:rsid w:val="3D8B42FF"/>
    <w:rsid w:val="3DB74195"/>
    <w:rsid w:val="3DD50111"/>
    <w:rsid w:val="3DD92421"/>
    <w:rsid w:val="3DDE02FB"/>
    <w:rsid w:val="3DE86C4C"/>
    <w:rsid w:val="3DF13E82"/>
    <w:rsid w:val="3DF36A6E"/>
    <w:rsid w:val="3DF8048B"/>
    <w:rsid w:val="3DFD29A6"/>
    <w:rsid w:val="3E0B0DE3"/>
    <w:rsid w:val="3E565D4A"/>
    <w:rsid w:val="3E597A83"/>
    <w:rsid w:val="3E7F160D"/>
    <w:rsid w:val="3E822812"/>
    <w:rsid w:val="3EBA1EE9"/>
    <w:rsid w:val="3ECE3ED7"/>
    <w:rsid w:val="3F0D5CFD"/>
    <w:rsid w:val="3F6530F9"/>
    <w:rsid w:val="3F6C7DE3"/>
    <w:rsid w:val="3F6E6406"/>
    <w:rsid w:val="3F792F1E"/>
    <w:rsid w:val="3F996157"/>
    <w:rsid w:val="3FA62141"/>
    <w:rsid w:val="3FD06D52"/>
    <w:rsid w:val="401B0661"/>
    <w:rsid w:val="40496022"/>
    <w:rsid w:val="405F34A4"/>
    <w:rsid w:val="40786313"/>
    <w:rsid w:val="40824826"/>
    <w:rsid w:val="40833567"/>
    <w:rsid w:val="40870703"/>
    <w:rsid w:val="40956EC5"/>
    <w:rsid w:val="40B3559D"/>
    <w:rsid w:val="40E63923"/>
    <w:rsid w:val="40FC1256"/>
    <w:rsid w:val="411B5B95"/>
    <w:rsid w:val="411E5666"/>
    <w:rsid w:val="412479F7"/>
    <w:rsid w:val="41406E31"/>
    <w:rsid w:val="414D3CCC"/>
    <w:rsid w:val="41566655"/>
    <w:rsid w:val="41792E05"/>
    <w:rsid w:val="41814752"/>
    <w:rsid w:val="41BA21D5"/>
    <w:rsid w:val="41D41C6F"/>
    <w:rsid w:val="41F1637D"/>
    <w:rsid w:val="425F27EB"/>
    <w:rsid w:val="425F4A35"/>
    <w:rsid w:val="429F0E23"/>
    <w:rsid w:val="42A96C58"/>
    <w:rsid w:val="42BE6BA7"/>
    <w:rsid w:val="42DA1507"/>
    <w:rsid w:val="42E47C90"/>
    <w:rsid w:val="432076E6"/>
    <w:rsid w:val="43342250"/>
    <w:rsid w:val="433C1574"/>
    <w:rsid w:val="43A91E5B"/>
    <w:rsid w:val="43AA1A57"/>
    <w:rsid w:val="43AF0A03"/>
    <w:rsid w:val="43FB1735"/>
    <w:rsid w:val="44055F4E"/>
    <w:rsid w:val="44103433"/>
    <w:rsid w:val="443773EC"/>
    <w:rsid w:val="445F4788"/>
    <w:rsid w:val="447846A6"/>
    <w:rsid w:val="449961D7"/>
    <w:rsid w:val="449D459A"/>
    <w:rsid w:val="449E0D39"/>
    <w:rsid w:val="44A7510F"/>
    <w:rsid w:val="44D10724"/>
    <w:rsid w:val="44D82665"/>
    <w:rsid w:val="44F85C75"/>
    <w:rsid w:val="45063498"/>
    <w:rsid w:val="45132AAF"/>
    <w:rsid w:val="451F76A5"/>
    <w:rsid w:val="45343151"/>
    <w:rsid w:val="45551C28"/>
    <w:rsid w:val="458C5F73"/>
    <w:rsid w:val="459A2FF4"/>
    <w:rsid w:val="45BB117C"/>
    <w:rsid w:val="45E32B26"/>
    <w:rsid w:val="45E80675"/>
    <w:rsid w:val="462431C5"/>
    <w:rsid w:val="46287A7D"/>
    <w:rsid w:val="462E3085"/>
    <w:rsid w:val="462E5B03"/>
    <w:rsid w:val="463A3650"/>
    <w:rsid w:val="46461627"/>
    <w:rsid w:val="46853538"/>
    <w:rsid w:val="469F0116"/>
    <w:rsid w:val="46D15FD2"/>
    <w:rsid w:val="46D5060B"/>
    <w:rsid w:val="47116C31"/>
    <w:rsid w:val="47281811"/>
    <w:rsid w:val="475259B7"/>
    <w:rsid w:val="475C0B72"/>
    <w:rsid w:val="47AF788E"/>
    <w:rsid w:val="47C17F0C"/>
    <w:rsid w:val="485A499E"/>
    <w:rsid w:val="48611D38"/>
    <w:rsid w:val="487B2E3B"/>
    <w:rsid w:val="488302AE"/>
    <w:rsid w:val="48831CF9"/>
    <w:rsid w:val="48995492"/>
    <w:rsid w:val="48BD096B"/>
    <w:rsid w:val="49024C9C"/>
    <w:rsid w:val="49380D36"/>
    <w:rsid w:val="496B76CF"/>
    <w:rsid w:val="497955D6"/>
    <w:rsid w:val="49A56E1B"/>
    <w:rsid w:val="49B1408D"/>
    <w:rsid w:val="4A186FF4"/>
    <w:rsid w:val="4A1B48DF"/>
    <w:rsid w:val="4A3F67C0"/>
    <w:rsid w:val="4A4863E2"/>
    <w:rsid w:val="4A613079"/>
    <w:rsid w:val="4A677071"/>
    <w:rsid w:val="4A7D4FD2"/>
    <w:rsid w:val="4A802994"/>
    <w:rsid w:val="4A8626B0"/>
    <w:rsid w:val="4A913C9A"/>
    <w:rsid w:val="4AB80380"/>
    <w:rsid w:val="4AC72FF8"/>
    <w:rsid w:val="4AD55620"/>
    <w:rsid w:val="4B0435C5"/>
    <w:rsid w:val="4B1E6BAC"/>
    <w:rsid w:val="4B1F70AC"/>
    <w:rsid w:val="4B240F94"/>
    <w:rsid w:val="4B272E10"/>
    <w:rsid w:val="4B413ED2"/>
    <w:rsid w:val="4B5529CC"/>
    <w:rsid w:val="4B661B8A"/>
    <w:rsid w:val="4B803312"/>
    <w:rsid w:val="4B807A40"/>
    <w:rsid w:val="4B8A33E0"/>
    <w:rsid w:val="4BB767A7"/>
    <w:rsid w:val="4BC6087B"/>
    <w:rsid w:val="4BCC4361"/>
    <w:rsid w:val="4BE87E41"/>
    <w:rsid w:val="4C0832E5"/>
    <w:rsid w:val="4C3C565C"/>
    <w:rsid w:val="4C3F5B70"/>
    <w:rsid w:val="4C5256D4"/>
    <w:rsid w:val="4C793B3F"/>
    <w:rsid w:val="4CCC79C7"/>
    <w:rsid w:val="4CEB6BD1"/>
    <w:rsid w:val="4D7555C7"/>
    <w:rsid w:val="4D7E765F"/>
    <w:rsid w:val="4DA67CFD"/>
    <w:rsid w:val="4DAE39CA"/>
    <w:rsid w:val="4E4767DD"/>
    <w:rsid w:val="4E5403C0"/>
    <w:rsid w:val="4E7520E4"/>
    <w:rsid w:val="4EAE6DA0"/>
    <w:rsid w:val="4EB038C3"/>
    <w:rsid w:val="4EC70B92"/>
    <w:rsid w:val="4ECC264C"/>
    <w:rsid w:val="4EDE7C89"/>
    <w:rsid w:val="4F493C9D"/>
    <w:rsid w:val="4F5B13C7"/>
    <w:rsid w:val="4F710AFD"/>
    <w:rsid w:val="4F7A5C04"/>
    <w:rsid w:val="4F855408"/>
    <w:rsid w:val="4F8922EB"/>
    <w:rsid w:val="4F9F296A"/>
    <w:rsid w:val="4FA40ED3"/>
    <w:rsid w:val="4FE37C4D"/>
    <w:rsid w:val="4FE47521"/>
    <w:rsid w:val="4FE617D9"/>
    <w:rsid w:val="5016514B"/>
    <w:rsid w:val="50241520"/>
    <w:rsid w:val="503E1327"/>
    <w:rsid w:val="504F1F09"/>
    <w:rsid w:val="50715259"/>
    <w:rsid w:val="50854F5A"/>
    <w:rsid w:val="50BD4DF3"/>
    <w:rsid w:val="50CC6D33"/>
    <w:rsid w:val="50D3357B"/>
    <w:rsid w:val="50FC1A26"/>
    <w:rsid w:val="51010497"/>
    <w:rsid w:val="512521C6"/>
    <w:rsid w:val="5125610B"/>
    <w:rsid w:val="51496818"/>
    <w:rsid w:val="515F79A9"/>
    <w:rsid w:val="51723664"/>
    <w:rsid w:val="518714DD"/>
    <w:rsid w:val="518B234A"/>
    <w:rsid w:val="518E552F"/>
    <w:rsid w:val="519531C9"/>
    <w:rsid w:val="51B64EEE"/>
    <w:rsid w:val="51CB1C78"/>
    <w:rsid w:val="51D53D43"/>
    <w:rsid w:val="51D74AD4"/>
    <w:rsid w:val="51D94DEA"/>
    <w:rsid w:val="51F30DEF"/>
    <w:rsid w:val="51FD6A51"/>
    <w:rsid w:val="522469E0"/>
    <w:rsid w:val="522E6293"/>
    <w:rsid w:val="526B680A"/>
    <w:rsid w:val="526C3842"/>
    <w:rsid w:val="527326DA"/>
    <w:rsid w:val="52836F71"/>
    <w:rsid w:val="52884ADC"/>
    <w:rsid w:val="52B458D1"/>
    <w:rsid w:val="52BC78D9"/>
    <w:rsid w:val="52C11D9C"/>
    <w:rsid w:val="52CE57B0"/>
    <w:rsid w:val="52D26B02"/>
    <w:rsid w:val="52F1442F"/>
    <w:rsid w:val="52F5184E"/>
    <w:rsid w:val="532A395D"/>
    <w:rsid w:val="532D1275"/>
    <w:rsid w:val="533A0528"/>
    <w:rsid w:val="53462E30"/>
    <w:rsid w:val="53727A0C"/>
    <w:rsid w:val="53AE4F68"/>
    <w:rsid w:val="53E04BF9"/>
    <w:rsid w:val="540D34EB"/>
    <w:rsid w:val="541A5D30"/>
    <w:rsid w:val="54363BA0"/>
    <w:rsid w:val="54487F8F"/>
    <w:rsid w:val="5463583A"/>
    <w:rsid w:val="54703A7A"/>
    <w:rsid w:val="54B418FE"/>
    <w:rsid w:val="54E84FB3"/>
    <w:rsid w:val="54F47E52"/>
    <w:rsid w:val="54FA6A32"/>
    <w:rsid w:val="55106C26"/>
    <w:rsid w:val="5524049C"/>
    <w:rsid w:val="553C395C"/>
    <w:rsid w:val="555A0F92"/>
    <w:rsid w:val="556A671B"/>
    <w:rsid w:val="55805F3E"/>
    <w:rsid w:val="55B13B21"/>
    <w:rsid w:val="55C1559C"/>
    <w:rsid w:val="55E012E9"/>
    <w:rsid w:val="55F068CD"/>
    <w:rsid w:val="56220DA3"/>
    <w:rsid w:val="566556BF"/>
    <w:rsid w:val="566C3136"/>
    <w:rsid w:val="568D04F2"/>
    <w:rsid w:val="56913372"/>
    <w:rsid w:val="572813E4"/>
    <w:rsid w:val="573B467E"/>
    <w:rsid w:val="575C534A"/>
    <w:rsid w:val="576902D7"/>
    <w:rsid w:val="578D788D"/>
    <w:rsid w:val="57E9601D"/>
    <w:rsid w:val="57F10E64"/>
    <w:rsid w:val="5806097D"/>
    <w:rsid w:val="582C70D8"/>
    <w:rsid w:val="5830454C"/>
    <w:rsid w:val="58AE289F"/>
    <w:rsid w:val="58CC1B01"/>
    <w:rsid w:val="58D00315"/>
    <w:rsid w:val="58D04AE7"/>
    <w:rsid w:val="59174B6F"/>
    <w:rsid w:val="59266B6D"/>
    <w:rsid w:val="592A2449"/>
    <w:rsid w:val="593D6EE9"/>
    <w:rsid w:val="59417793"/>
    <w:rsid w:val="59A43D8B"/>
    <w:rsid w:val="59D97ACC"/>
    <w:rsid w:val="59FC7866"/>
    <w:rsid w:val="5A413A7D"/>
    <w:rsid w:val="5A526582"/>
    <w:rsid w:val="5A584D94"/>
    <w:rsid w:val="5A5F5C77"/>
    <w:rsid w:val="5A711A0D"/>
    <w:rsid w:val="5A7725B2"/>
    <w:rsid w:val="5A8B33BB"/>
    <w:rsid w:val="5AA219DE"/>
    <w:rsid w:val="5AA63D51"/>
    <w:rsid w:val="5AB436FB"/>
    <w:rsid w:val="5AC02939"/>
    <w:rsid w:val="5AEA477D"/>
    <w:rsid w:val="5B1613E4"/>
    <w:rsid w:val="5B4D3559"/>
    <w:rsid w:val="5B78003B"/>
    <w:rsid w:val="5B887691"/>
    <w:rsid w:val="5B8F37CB"/>
    <w:rsid w:val="5BA9396F"/>
    <w:rsid w:val="5BC11A60"/>
    <w:rsid w:val="5BCE5E90"/>
    <w:rsid w:val="5BCF1086"/>
    <w:rsid w:val="5BD40D92"/>
    <w:rsid w:val="5BE332E9"/>
    <w:rsid w:val="5BF5648C"/>
    <w:rsid w:val="5C044ACF"/>
    <w:rsid w:val="5C1B126D"/>
    <w:rsid w:val="5C7A4D54"/>
    <w:rsid w:val="5C871960"/>
    <w:rsid w:val="5C872A07"/>
    <w:rsid w:val="5CC17396"/>
    <w:rsid w:val="5CD23B73"/>
    <w:rsid w:val="5D4606A7"/>
    <w:rsid w:val="5D4A2A18"/>
    <w:rsid w:val="5D6C63B9"/>
    <w:rsid w:val="5D9A10CF"/>
    <w:rsid w:val="5DD21301"/>
    <w:rsid w:val="5DD47834"/>
    <w:rsid w:val="5E096AA5"/>
    <w:rsid w:val="5E2960AF"/>
    <w:rsid w:val="5E385608"/>
    <w:rsid w:val="5E6006BB"/>
    <w:rsid w:val="5E6C52B2"/>
    <w:rsid w:val="5E7B3747"/>
    <w:rsid w:val="5E960842"/>
    <w:rsid w:val="5E9D7F2A"/>
    <w:rsid w:val="5EAF519E"/>
    <w:rsid w:val="5EFA466C"/>
    <w:rsid w:val="5F127819"/>
    <w:rsid w:val="5F2A6503"/>
    <w:rsid w:val="5F7B3C2B"/>
    <w:rsid w:val="5FEB66AA"/>
    <w:rsid w:val="60350ED3"/>
    <w:rsid w:val="60475C45"/>
    <w:rsid w:val="60681AA9"/>
    <w:rsid w:val="60B72AEE"/>
    <w:rsid w:val="60FC2464"/>
    <w:rsid w:val="61025188"/>
    <w:rsid w:val="61057D5F"/>
    <w:rsid w:val="61354081"/>
    <w:rsid w:val="614D4977"/>
    <w:rsid w:val="618476F8"/>
    <w:rsid w:val="618741B1"/>
    <w:rsid w:val="61A62889"/>
    <w:rsid w:val="620F25B2"/>
    <w:rsid w:val="622540F5"/>
    <w:rsid w:val="623054B0"/>
    <w:rsid w:val="62362A61"/>
    <w:rsid w:val="62377985"/>
    <w:rsid w:val="625B7B17"/>
    <w:rsid w:val="62C250A2"/>
    <w:rsid w:val="62CC631F"/>
    <w:rsid w:val="630D37FA"/>
    <w:rsid w:val="63273568"/>
    <w:rsid w:val="635F53E5"/>
    <w:rsid w:val="63746CCD"/>
    <w:rsid w:val="63984453"/>
    <w:rsid w:val="639A2453"/>
    <w:rsid w:val="63A46EF2"/>
    <w:rsid w:val="63C60FC0"/>
    <w:rsid w:val="63F52BD2"/>
    <w:rsid w:val="64055EC3"/>
    <w:rsid w:val="640E2AC9"/>
    <w:rsid w:val="642106C5"/>
    <w:rsid w:val="64351345"/>
    <w:rsid w:val="64393D7D"/>
    <w:rsid w:val="64711BB5"/>
    <w:rsid w:val="647B32BF"/>
    <w:rsid w:val="64801AB7"/>
    <w:rsid w:val="6497091C"/>
    <w:rsid w:val="64A81A58"/>
    <w:rsid w:val="64AA6F5E"/>
    <w:rsid w:val="64B47FC7"/>
    <w:rsid w:val="64BA3D7A"/>
    <w:rsid w:val="64BD0930"/>
    <w:rsid w:val="64D92F75"/>
    <w:rsid w:val="64F13D73"/>
    <w:rsid w:val="64F179BC"/>
    <w:rsid w:val="650531F2"/>
    <w:rsid w:val="65141AD3"/>
    <w:rsid w:val="65600071"/>
    <w:rsid w:val="656314F5"/>
    <w:rsid w:val="656F2024"/>
    <w:rsid w:val="65B6475E"/>
    <w:rsid w:val="65C122DE"/>
    <w:rsid w:val="65DF1CC1"/>
    <w:rsid w:val="65ED4F2A"/>
    <w:rsid w:val="66154481"/>
    <w:rsid w:val="662C66AE"/>
    <w:rsid w:val="664D3D7E"/>
    <w:rsid w:val="665704D3"/>
    <w:rsid w:val="66903B07"/>
    <w:rsid w:val="66A21EB0"/>
    <w:rsid w:val="66BE2423"/>
    <w:rsid w:val="67220595"/>
    <w:rsid w:val="67231596"/>
    <w:rsid w:val="67535261"/>
    <w:rsid w:val="67784CC7"/>
    <w:rsid w:val="67920993"/>
    <w:rsid w:val="67A05409"/>
    <w:rsid w:val="67C065A4"/>
    <w:rsid w:val="67CA0521"/>
    <w:rsid w:val="67D359C9"/>
    <w:rsid w:val="67ED1853"/>
    <w:rsid w:val="68042537"/>
    <w:rsid w:val="685F3791"/>
    <w:rsid w:val="68C667CC"/>
    <w:rsid w:val="68CB7079"/>
    <w:rsid w:val="68E346FA"/>
    <w:rsid w:val="68EC771B"/>
    <w:rsid w:val="68FE36DD"/>
    <w:rsid w:val="694E60FC"/>
    <w:rsid w:val="69685470"/>
    <w:rsid w:val="69BD2E65"/>
    <w:rsid w:val="69CE52E6"/>
    <w:rsid w:val="6A154A4F"/>
    <w:rsid w:val="6A256904"/>
    <w:rsid w:val="6A2C3B47"/>
    <w:rsid w:val="6A46077C"/>
    <w:rsid w:val="6A647785"/>
    <w:rsid w:val="6A907960"/>
    <w:rsid w:val="6AC56093"/>
    <w:rsid w:val="6AD466B8"/>
    <w:rsid w:val="6B2457CA"/>
    <w:rsid w:val="6B3D24B0"/>
    <w:rsid w:val="6B43739A"/>
    <w:rsid w:val="6B4458C9"/>
    <w:rsid w:val="6B656832"/>
    <w:rsid w:val="6B9D187D"/>
    <w:rsid w:val="6BA71B66"/>
    <w:rsid w:val="6BAB7EA3"/>
    <w:rsid w:val="6BBD539F"/>
    <w:rsid w:val="6BFD1C3F"/>
    <w:rsid w:val="6C0F0DFC"/>
    <w:rsid w:val="6C4758A0"/>
    <w:rsid w:val="6C675CE6"/>
    <w:rsid w:val="6C747DD0"/>
    <w:rsid w:val="6CD15DD8"/>
    <w:rsid w:val="6CE26D5D"/>
    <w:rsid w:val="6CED1CB3"/>
    <w:rsid w:val="6D087F43"/>
    <w:rsid w:val="6D223EDD"/>
    <w:rsid w:val="6D233CCC"/>
    <w:rsid w:val="6D325F39"/>
    <w:rsid w:val="6D465410"/>
    <w:rsid w:val="6D4D113F"/>
    <w:rsid w:val="6D4F2EDA"/>
    <w:rsid w:val="6D4F4321"/>
    <w:rsid w:val="6D590B37"/>
    <w:rsid w:val="6D6830E8"/>
    <w:rsid w:val="6D885538"/>
    <w:rsid w:val="6DB97DE8"/>
    <w:rsid w:val="6DBB76BC"/>
    <w:rsid w:val="6DDD523A"/>
    <w:rsid w:val="6DF110EA"/>
    <w:rsid w:val="6DF41B82"/>
    <w:rsid w:val="6DF708F5"/>
    <w:rsid w:val="6DF80F7B"/>
    <w:rsid w:val="6DFF7360"/>
    <w:rsid w:val="6E6021A9"/>
    <w:rsid w:val="6E755ABD"/>
    <w:rsid w:val="6E7A5F73"/>
    <w:rsid w:val="6E963C85"/>
    <w:rsid w:val="6EBD1212"/>
    <w:rsid w:val="6ECC19D7"/>
    <w:rsid w:val="6EE778C4"/>
    <w:rsid w:val="6EE90F9D"/>
    <w:rsid w:val="6F49551F"/>
    <w:rsid w:val="6F624C36"/>
    <w:rsid w:val="6F765F90"/>
    <w:rsid w:val="6FD74228"/>
    <w:rsid w:val="6FDC62BB"/>
    <w:rsid w:val="6FE70C3C"/>
    <w:rsid w:val="6FEA2C74"/>
    <w:rsid w:val="6FEE2E3B"/>
    <w:rsid w:val="701B08E6"/>
    <w:rsid w:val="701D465E"/>
    <w:rsid w:val="7021106F"/>
    <w:rsid w:val="702971F7"/>
    <w:rsid w:val="7061061C"/>
    <w:rsid w:val="706510B7"/>
    <w:rsid w:val="706E7173"/>
    <w:rsid w:val="70A26911"/>
    <w:rsid w:val="70F23777"/>
    <w:rsid w:val="70F4004C"/>
    <w:rsid w:val="71075032"/>
    <w:rsid w:val="7113776B"/>
    <w:rsid w:val="71633091"/>
    <w:rsid w:val="71705FB1"/>
    <w:rsid w:val="71866233"/>
    <w:rsid w:val="719B1620"/>
    <w:rsid w:val="71B22914"/>
    <w:rsid w:val="71EA67C2"/>
    <w:rsid w:val="724F0D1A"/>
    <w:rsid w:val="727A7B45"/>
    <w:rsid w:val="728D2BFB"/>
    <w:rsid w:val="729606F7"/>
    <w:rsid w:val="72D45379"/>
    <w:rsid w:val="73081CA5"/>
    <w:rsid w:val="730B2E93"/>
    <w:rsid w:val="731A6156"/>
    <w:rsid w:val="731C0BFD"/>
    <w:rsid w:val="73256EFA"/>
    <w:rsid w:val="73282033"/>
    <w:rsid w:val="7372081D"/>
    <w:rsid w:val="73941822"/>
    <w:rsid w:val="73EA4C33"/>
    <w:rsid w:val="73F27BAF"/>
    <w:rsid w:val="740718AD"/>
    <w:rsid w:val="74201F7D"/>
    <w:rsid w:val="74463314"/>
    <w:rsid w:val="74835E86"/>
    <w:rsid w:val="7487762D"/>
    <w:rsid w:val="74896327"/>
    <w:rsid w:val="74C33AA4"/>
    <w:rsid w:val="74E76FE8"/>
    <w:rsid w:val="750000AA"/>
    <w:rsid w:val="750A65D3"/>
    <w:rsid w:val="75151DA7"/>
    <w:rsid w:val="75210D7A"/>
    <w:rsid w:val="75232716"/>
    <w:rsid w:val="753417B5"/>
    <w:rsid w:val="75385498"/>
    <w:rsid w:val="755D72AA"/>
    <w:rsid w:val="75986535"/>
    <w:rsid w:val="75F37776"/>
    <w:rsid w:val="760D54E2"/>
    <w:rsid w:val="763D575F"/>
    <w:rsid w:val="76435882"/>
    <w:rsid w:val="764F60FB"/>
    <w:rsid w:val="76796366"/>
    <w:rsid w:val="768071FE"/>
    <w:rsid w:val="769211D6"/>
    <w:rsid w:val="76A431DF"/>
    <w:rsid w:val="76B25658"/>
    <w:rsid w:val="76BC207F"/>
    <w:rsid w:val="76EB4904"/>
    <w:rsid w:val="76EF0FD2"/>
    <w:rsid w:val="76F36118"/>
    <w:rsid w:val="7703613C"/>
    <w:rsid w:val="77057F48"/>
    <w:rsid w:val="772265F9"/>
    <w:rsid w:val="772543D1"/>
    <w:rsid w:val="77400C32"/>
    <w:rsid w:val="775748F9"/>
    <w:rsid w:val="77645DCD"/>
    <w:rsid w:val="777378F5"/>
    <w:rsid w:val="777A2D3C"/>
    <w:rsid w:val="777B1796"/>
    <w:rsid w:val="777C7EBC"/>
    <w:rsid w:val="77C1482C"/>
    <w:rsid w:val="7802241A"/>
    <w:rsid w:val="78194573"/>
    <w:rsid w:val="784E34B8"/>
    <w:rsid w:val="785F5B8F"/>
    <w:rsid w:val="78683402"/>
    <w:rsid w:val="78D86D89"/>
    <w:rsid w:val="78F00B8F"/>
    <w:rsid w:val="78F13953"/>
    <w:rsid w:val="79002EBE"/>
    <w:rsid w:val="79074B81"/>
    <w:rsid w:val="79231B0D"/>
    <w:rsid w:val="79297BCF"/>
    <w:rsid w:val="79426EE3"/>
    <w:rsid w:val="794F0939"/>
    <w:rsid w:val="79824016"/>
    <w:rsid w:val="79AF0FCA"/>
    <w:rsid w:val="79D8521D"/>
    <w:rsid w:val="79E17320"/>
    <w:rsid w:val="79E81839"/>
    <w:rsid w:val="79F01948"/>
    <w:rsid w:val="7A1F0FD2"/>
    <w:rsid w:val="7A2B1F18"/>
    <w:rsid w:val="7A326F58"/>
    <w:rsid w:val="7A377513"/>
    <w:rsid w:val="7A5A18D6"/>
    <w:rsid w:val="7A63380E"/>
    <w:rsid w:val="7AA008BF"/>
    <w:rsid w:val="7AA75440"/>
    <w:rsid w:val="7ABE471B"/>
    <w:rsid w:val="7ADD450F"/>
    <w:rsid w:val="7AEE7323"/>
    <w:rsid w:val="7AF9279C"/>
    <w:rsid w:val="7B275B4B"/>
    <w:rsid w:val="7B4F7695"/>
    <w:rsid w:val="7BA94FF8"/>
    <w:rsid w:val="7BB04C77"/>
    <w:rsid w:val="7BBD0CCF"/>
    <w:rsid w:val="7BC80F82"/>
    <w:rsid w:val="7BD345A9"/>
    <w:rsid w:val="7BEC6535"/>
    <w:rsid w:val="7C077F70"/>
    <w:rsid w:val="7C15177B"/>
    <w:rsid w:val="7C1A3A23"/>
    <w:rsid w:val="7C3A4879"/>
    <w:rsid w:val="7C623E0B"/>
    <w:rsid w:val="7C6D627C"/>
    <w:rsid w:val="7C9D1B23"/>
    <w:rsid w:val="7CAD0B17"/>
    <w:rsid w:val="7CAE07A6"/>
    <w:rsid w:val="7CB42429"/>
    <w:rsid w:val="7CC51958"/>
    <w:rsid w:val="7CC6647D"/>
    <w:rsid w:val="7CC96E10"/>
    <w:rsid w:val="7CD53DF9"/>
    <w:rsid w:val="7CEA684B"/>
    <w:rsid w:val="7CF87F76"/>
    <w:rsid w:val="7D097C86"/>
    <w:rsid w:val="7D2D3A06"/>
    <w:rsid w:val="7D393F80"/>
    <w:rsid w:val="7D995BB2"/>
    <w:rsid w:val="7DA57A41"/>
    <w:rsid w:val="7DB75CAC"/>
    <w:rsid w:val="7DC07A2C"/>
    <w:rsid w:val="7E014D45"/>
    <w:rsid w:val="7E076B0E"/>
    <w:rsid w:val="7E282B4B"/>
    <w:rsid w:val="7E2936C3"/>
    <w:rsid w:val="7E3420E2"/>
    <w:rsid w:val="7E6411B9"/>
    <w:rsid w:val="7E9755DB"/>
    <w:rsid w:val="7E9D4019"/>
    <w:rsid w:val="7EA45F4A"/>
    <w:rsid w:val="7EAA7A04"/>
    <w:rsid w:val="7EB97C47"/>
    <w:rsid w:val="7EF667A6"/>
    <w:rsid w:val="7F132C5D"/>
    <w:rsid w:val="7F3823EB"/>
    <w:rsid w:val="7F8A2E8B"/>
    <w:rsid w:val="7FC979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nhideWhenUsed="0"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4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3"/>
    <w:qFormat/>
    <w:uiPriority w:val="0"/>
    <w:pPr>
      <w:keepNext/>
      <w:keepLines/>
      <w:spacing w:before="280" w:after="290" w:line="376" w:lineRule="auto"/>
      <w:outlineLvl w:val="3"/>
    </w:pPr>
    <w:rPr>
      <w:b/>
      <w:bCs/>
      <w:sz w:val="28"/>
      <w:szCs w:val="28"/>
    </w:rPr>
  </w:style>
  <w:style w:type="character" w:default="1" w:styleId="27">
    <w:name w:val="Default Paragraph Font"/>
    <w:unhideWhenUsed/>
    <w:qFormat/>
    <w:uiPriority w:val="1"/>
  </w:style>
  <w:style w:type="table" w:default="1" w:styleId="2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toc 7"/>
    <w:basedOn w:val="1"/>
    <w:next w:val="1"/>
    <w:qFormat/>
    <w:uiPriority w:val="39"/>
    <w:pPr>
      <w:ind w:left="1260"/>
      <w:jc w:val="left"/>
    </w:pPr>
    <w:rPr>
      <w:sz w:val="18"/>
      <w:szCs w:val="18"/>
    </w:rPr>
  </w:style>
  <w:style w:type="paragraph" w:styleId="7">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44"/>
    <w:qFormat/>
    <w:uiPriority w:val="0"/>
    <w:pPr>
      <w:jc w:val="left"/>
    </w:pPr>
    <w:rPr>
      <w:rFonts w:ascii="Arial" w:hAnsi="Arial" w:eastAsia="黑体" w:cs="Arial"/>
    </w:rPr>
  </w:style>
  <w:style w:type="paragraph" w:styleId="9">
    <w:name w:val="Body Text"/>
    <w:basedOn w:val="1"/>
    <w:qFormat/>
    <w:uiPriority w:val="0"/>
    <w:pPr>
      <w:spacing w:after="120"/>
    </w:pPr>
    <w:rPr>
      <w:rFonts w:ascii="@微软简标宋" w:hAnsi="@微软简标宋" w:eastAsia="@微软简标宋" w:cs="@微软简标宋"/>
      <w:szCs w:val="24"/>
      <w:lang w:val="zh-CN"/>
    </w:rPr>
  </w:style>
  <w:style w:type="paragraph" w:styleId="10">
    <w:name w:val="Body Text Indent"/>
    <w:basedOn w:val="1"/>
    <w:next w:val="11"/>
    <w:qFormat/>
    <w:uiPriority w:val="0"/>
    <w:pPr>
      <w:spacing w:after="120"/>
      <w:ind w:left="420" w:leftChars="200"/>
    </w:pPr>
  </w:style>
  <w:style w:type="paragraph" w:styleId="11">
    <w:name w:val="envelope return"/>
    <w:basedOn w:val="1"/>
    <w:next w:val="6"/>
    <w:qFormat/>
    <w:uiPriority w:val="0"/>
    <w:pPr>
      <w:snapToGrid w:val="0"/>
    </w:pPr>
    <w:rPr>
      <w:rFonts w:ascii="Arial" w:hAnsi="Arial"/>
    </w:rPr>
  </w:style>
  <w:style w:type="paragraph" w:styleId="12">
    <w:name w:val="toc 3"/>
    <w:basedOn w:val="1"/>
    <w:next w:val="1"/>
    <w:unhideWhenUsed/>
    <w:qFormat/>
    <w:uiPriority w:val="39"/>
    <w:pPr>
      <w:widowControl/>
      <w:spacing w:after="100" w:line="276" w:lineRule="auto"/>
      <w:ind w:left="440"/>
      <w:jc w:val="left"/>
    </w:pPr>
    <w:rPr>
      <w:rFonts w:ascii="Calibri" w:hAnsi="Calibri" w:eastAsia="宋体" w:cs="Times New Roman"/>
      <w:kern w:val="0"/>
      <w:sz w:val="22"/>
      <w:szCs w:val="22"/>
    </w:rPr>
  </w:style>
  <w:style w:type="paragraph" w:styleId="13">
    <w:name w:val="Plain Text"/>
    <w:basedOn w:val="1"/>
    <w:link w:val="45"/>
    <w:qFormat/>
    <w:uiPriority w:val="99"/>
    <w:rPr>
      <w:rFonts w:ascii="宋体" w:hAnsi="Courier New" w:eastAsia="宋体" w:cs="Times New Roman"/>
      <w:szCs w:val="22"/>
    </w:rPr>
  </w:style>
  <w:style w:type="paragraph" w:styleId="14">
    <w:name w:val="Date"/>
    <w:basedOn w:val="1"/>
    <w:next w:val="1"/>
    <w:link w:val="46"/>
    <w:qFormat/>
    <w:uiPriority w:val="0"/>
    <w:rPr>
      <w:rFonts w:ascii="Arial" w:hAnsi="Arial" w:eastAsia="宋体" w:cs="Arial"/>
      <w:b/>
      <w:sz w:val="28"/>
    </w:rPr>
  </w:style>
  <w:style w:type="paragraph" w:styleId="15">
    <w:name w:val="Balloon Text"/>
    <w:basedOn w:val="1"/>
    <w:link w:val="47"/>
    <w:unhideWhenUsed/>
    <w:qFormat/>
    <w:uiPriority w:val="99"/>
    <w:rPr>
      <w:sz w:val="18"/>
      <w:szCs w:val="18"/>
    </w:rPr>
  </w:style>
  <w:style w:type="paragraph" w:styleId="16">
    <w:name w:val="footer"/>
    <w:basedOn w:val="1"/>
    <w:link w:val="48"/>
    <w:unhideWhenUsed/>
    <w:qFormat/>
    <w:uiPriority w:val="99"/>
    <w:pPr>
      <w:tabs>
        <w:tab w:val="center" w:pos="4153"/>
        <w:tab w:val="right" w:pos="8306"/>
      </w:tabs>
      <w:snapToGrid w:val="0"/>
      <w:jc w:val="left"/>
    </w:pPr>
    <w:rPr>
      <w:sz w:val="18"/>
      <w:szCs w:val="18"/>
    </w:rPr>
  </w:style>
  <w:style w:type="paragraph" w:styleId="17">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widowControl/>
      <w:spacing w:after="100" w:line="276" w:lineRule="auto"/>
      <w:jc w:val="left"/>
    </w:pPr>
    <w:rPr>
      <w:rFonts w:ascii="Calibri" w:hAnsi="Calibri" w:eastAsia="宋体" w:cs="Times New Roman"/>
      <w:kern w:val="0"/>
      <w:sz w:val="22"/>
      <w:szCs w:val="22"/>
    </w:rPr>
  </w:style>
  <w:style w:type="paragraph" w:styleId="19">
    <w:name w:val="toc 2"/>
    <w:basedOn w:val="1"/>
    <w:next w:val="1"/>
    <w:unhideWhenUsed/>
    <w:qFormat/>
    <w:uiPriority w:val="39"/>
    <w:pPr>
      <w:widowControl/>
      <w:spacing w:after="100" w:line="276" w:lineRule="auto"/>
      <w:ind w:left="220"/>
      <w:jc w:val="left"/>
    </w:pPr>
    <w:rPr>
      <w:rFonts w:ascii="Calibri" w:hAnsi="Calibri" w:eastAsia="宋体" w:cs="Times New Roman"/>
      <w:kern w:val="0"/>
      <w:sz w:val="22"/>
      <w:szCs w:val="22"/>
    </w:rPr>
  </w:style>
  <w:style w:type="paragraph" w:styleId="20">
    <w:name w:val="Normal (Web)"/>
    <w:basedOn w:val="1"/>
    <w:qFormat/>
    <w:uiPriority w:val="0"/>
    <w:pPr>
      <w:spacing w:before="100" w:beforeAutospacing="1" w:after="100" w:afterAutospacing="1"/>
      <w:jc w:val="left"/>
    </w:pPr>
    <w:rPr>
      <w:rFonts w:cs="Times New Roman"/>
      <w:kern w:val="0"/>
      <w:sz w:val="24"/>
    </w:rPr>
  </w:style>
  <w:style w:type="paragraph" w:styleId="21">
    <w:name w:val="index 1"/>
    <w:basedOn w:val="1"/>
    <w:next w:val="1"/>
    <w:qFormat/>
    <w:uiPriority w:val="0"/>
    <w:pPr>
      <w:jc w:val="center"/>
    </w:pPr>
    <w:rPr>
      <w:rFonts w:ascii="Arial" w:hAnsi="Arial" w:eastAsia="Arial" w:cs="Arial"/>
      <w:b/>
      <w:bCs/>
      <w:sz w:val="28"/>
    </w:rPr>
  </w:style>
  <w:style w:type="paragraph" w:styleId="22">
    <w:name w:val="annotation subject"/>
    <w:basedOn w:val="8"/>
    <w:next w:val="8"/>
    <w:link w:val="50"/>
    <w:unhideWhenUsed/>
    <w:qFormat/>
    <w:uiPriority w:val="99"/>
    <w:rPr>
      <w:rFonts w:ascii="@仿宋_GB2312" w:hAnsi="@仿宋_GB2312" w:eastAsia="@仿宋_GB2312" w:cs="@仿宋_GB2312"/>
      <w:b/>
      <w:bCs/>
    </w:rPr>
  </w:style>
  <w:style w:type="paragraph" w:styleId="23">
    <w:name w:val="Body Text First Indent"/>
    <w:basedOn w:val="9"/>
    <w:unhideWhenUsed/>
    <w:qFormat/>
    <w:uiPriority w:val="99"/>
    <w:pPr>
      <w:ind w:firstLine="420" w:firstLineChars="100"/>
    </w:pPr>
  </w:style>
  <w:style w:type="paragraph" w:styleId="24">
    <w:name w:val="Body Text First Indent 2"/>
    <w:basedOn w:val="10"/>
    <w:next w:val="1"/>
    <w:unhideWhenUsed/>
    <w:qFormat/>
    <w:uiPriority w:val="99"/>
    <w:pPr>
      <w:ind w:firstLine="420" w:firstLineChars="200"/>
    </w:pPr>
    <w:rPr>
      <w:rFonts w:ascii="Times New Roman" w:hAnsi="Times New Roman" w:cs="Times New Roman"/>
      <w:szCs w:val="21"/>
    </w:rPr>
  </w:style>
  <w:style w:type="table" w:styleId="26">
    <w:name w:val="Table Grid"/>
    <w:basedOn w:val="25"/>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FollowedHyperlink"/>
    <w:basedOn w:val="27"/>
    <w:unhideWhenUsed/>
    <w:qFormat/>
    <w:uiPriority w:val="99"/>
    <w:rPr>
      <w:color w:val="5C5C5C"/>
      <w:u w:val="none"/>
    </w:rPr>
  </w:style>
  <w:style w:type="character" w:styleId="30">
    <w:name w:val="Emphasis"/>
    <w:basedOn w:val="27"/>
    <w:qFormat/>
    <w:uiPriority w:val="20"/>
    <w:rPr>
      <w:b/>
      <w:bCs/>
    </w:rPr>
  </w:style>
  <w:style w:type="character" w:styleId="31">
    <w:name w:val="HTML Definition"/>
    <w:basedOn w:val="27"/>
    <w:unhideWhenUsed/>
    <w:qFormat/>
    <w:uiPriority w:val="99"/>
  </w:style>
  <w:style w:type="character" w:styleId="32">
    <w:name w:val="HTML Typewriter"/>
    <w:basedOn w:val="27"/>
    <w:unhideWhenUsed/>
    <w:qFormat/>
    <w:uiPriority w:val="99"/>
    <w:rPr>
      <w:rFonts w:hint="default" w:ascii="monospace" w:hAnsi="monospace" w:eastAsia="monospace" w:cs="monospace"/>
      <w:sz w:val="20"/>
    </w:rPr>
  </w:style>
  <w:style w:type="character" w:styleId="33">
    <w:name w:val="HTML Acronym"/>
    <w:basedOn w:val="27"/>
    <w:unhideWhenUsed/>
    <w:qFormat/>
    <w:uiPriority w:val="99"/>
  </w:style>
  <w:style w:type="character" w:styleId="34">
    <w:name w:val="HTML Variable"/>
    <w:basedOn w:val="27"/>
    <w:unhideWhenUsed/>
    <w:qFormat/>
    <w:uiPriority w:val="99"/>
  </w:style>
  <w:style w:type="character" w:styleId="35">
    <w:name w:val="Hyperlink"/>
    <w:basedOn w:val="27"/>
    <w:unhideWhenUsed/>
    <w:qFormat/>
    <w:uiPriority w:val="99"/>
    <w:rPr>
      <w:color w:val="0000FF"/>
      <w:u w:val="single"/>
    </w:rPr>
  </w:style>
  <w:style w:type="character" w:styleId="36">
    <w:name w:val="HTML Code"/>
    <w:basedOn w:val="27"/>
    <w:unhideWhenUsed/>
    <w:qFormat/>
    <w:uiPriority w:val="99"/>
    <w:rPr>
      <w:rFonts w:hint="default" w:ascii="monospace" w:hAnsi="monospace" w:eastAsia="monospace" w:cs="monospace"/>
      <w:sz w:val="20"/>
    </w:rPr>
  </w:style>
  <w:style w:type="character" w:styleId="37">
    <w:name w:val="annotation reference"/>
    <w:basedOn w:val="27"/>
    <w:unhideWhenUsed/>
    <w:qFormat/>
    <w:uiPriority w:val="99"/>
    <w:rPr>
      <w:sz w:val="21"/>
      <w:szCs w:val="21"/>
    </w:rPr>
  </w:style>
  <w:style w:type="character" w:styleId="38">
    <w:name w:val="HTML Cite"/>
    <w:basedOn w:val="27"/>
    <w:unhideWhenUsed/>
    <w:qFormat/>
    <w:uiPriority w:val="99"/>
  </w:style>
  <w:style w:type="character" w:styleId="39">
    <w:name w:val="HTML Keyboard"/>
    <w:basedOn w:val="27"/>
    <w:unhideWhenUsed/>
    <w:qFormat/>
    <w:uiPriority w:val="99"/>
    <w:rPr>
      <w:rFonts w:ascii="monospace" w:hAnsi="monospace" w:eastAsia="monospace" w:cs="monospace"/>
      <w:sz w:val="20"/>
    </w:rPr>
  </w:style>
  <w:style w:type="character" w:styleId="40">
    <w:name w:val="HTML Sample"/>
    <w:basedOn w:val="27"/>
    <w:unhideWhenUsed/>
    <w:qFormat/>
    <w:uiPriority w:val="99"/>
    <w:rPr>
      <w:rFonts w:hint="default" w:ascii="monospace" w:hAnsi="monospace" w:eastAsia="monospace" w:cs="monospace"/>
    </w:rPr>
  </w:style>
  <w:style w:type="character" w:customStyle="1" w:styleId="41">
    <w:name w:val="标题 1 字符"/>
    <w:basedOn w:val="27"/>
    <w:link w:val="2"/>
    <w:qFormat/>
    <w:uiPriority w:val="9"/>
    <w:rPr>
      <w:rFonts w:ascii="@仿宋_GB2312" w:hAnsi="@仿宋_GB2312" w:eastAsia="@仿宋_GB2312" w:cs="@仿宋_GB2312"/>
      <w:b/>
      <w:bCs/>
      <w:kern w:val="44"/>
      <w:sz w:val="44"/>
      <w:szCs w:val="44"/>
    </w:rPr>
  </w:style>
  <w:style w:type="character" w:customStyle="1" w:styleId="42">
    <w:name w:val="标题 3 字符"/>
    <w:basedOn w:val="27"/>
    <w:link w:val="4"/>
    <w:semiHidden/>
    <w:qFormat/>
    <w:uiPriority w:val="9"/>
    <w:rPr>
      <w:rFonts w:ascii="@仿宋_GB2312" w:hAnsi="@仿宋_GB2312" w:eastAsia="@仿宋_GB2312" w:cs="@仿宋_GB2312"/>
      <w:b/>
      <w:bCs/>
      <w:sz w:val="32"/>
      <w:szCs w:val="32"/>
    </w:rPr>
  </w:style>
  <w:style w:type="character" w:customStyle="1" w:styleId="43">
    <w:name w:val="标题 4 字符1"/>
    <w:link w:val="5"/>
    <w:qFormat/>
    <w:uiPriority w:val="0"/>
    <w:rPr>
      <w:rFonts w:ascii="@仿宋_GB2312" w:hAnsi="@仿宋_GB2312" w:eastAsia="@仿宋_GB2312" w:cs="@仿宋_GB2312"/>
      <w:b/>
      <w:bCs/>
      <w:sz w:val="28"/>
      <w:szCs w:val="28"/>
    </w:rPr>
  </w:style>
  <w:style w:type="character" w:customStyle="1" w:styleId="44">
    <w:name w:val="批注文字 字符"/>
    <w:link w:val="8"/>
    <w:qFormat/>
    <w:uiPriority w:val="0"/>
    <w:rPr>
      <w:rFonts w:ascii="Arial" w:hAnsi="Arial" w:eastAsia="黑体" w:cs="Arial"/>
      <w:szCs w:val="20"/>
    </w:rPr>
  </w:style>
  <w:style w:type="character" w:customStyle="1" w:styleId="45">
    <w:name w:val="纯文本 字符"/>
    <w:link w:val="13"/>
    <w:qFormat/>
    <w:uiPriority w:val="0"/>
    <w:rPr>
      <w:rFonts w:ascii="宋体" w:hAnsi="Courier New"/>
    </w:rPr>
  </w:style>
  <w:style w:type="character" w:customStyle="1" w:styleId="46">
    <w:name w:val="日期 字符1"/>
    <w:link w:val="14"/>
    <w:qFormat/>
    <w:uiPriority w:val="0"/>
    <w:rPr>
      <w:rFonts w:ascii="Arial" w:hAnsi="Arial" w:eastAsia="宋体" w:cs="Arial"/>
      <w:b/>
      <w:sz w:val="28"/>
      <w:szCs w:val="20"/>
    </w:rPr>
  </w:style>
  <w:style w:type="character" w:customStyle="1" w:styleId="47">
    <w:name w:val="批注框文本 字符"/>
    <w:basedOn w:val="27"/>
    <w:link w:val="15"/>
    <w:semiHidden/>
    <w:qFormat/>
    <w:uiPriority w:val="99"/>
    <w:rPr>
      <w:rFonts w:ascii="@仿宋_GB2312" w:hAnsi="@仿宋_GB2312" w:eastAsia="@仿宋_GB2312" w:cs="@仿宋_GB2312"/>
      <w:sz w:val="18"/>
      <w:szCs w:val="18"/>
    </w:rPr>
  </w:style>
  <w:style w:type="character" w:customStyle="1" w:styleId="48">
    <w:name w:val="页脚 字符"/>
    <w:basedOn w:val="27"/>
    <w:link w:val="16"/>
    <w:qFormat/>
    <w:uiPriority w:val="99"/>
    <w:rPr>
      <w:rFonts w:ascii="@仿宋_GB2312" w:hAnsi="@仿宋_GB2312" w:eastAsia="@仿宋_GB2312" w:cs="@仿宋_GB2312"/>
      <w:sz w:val="18"/>
      <w:szCs w:val="18"/>
    </w:rPr>
  </w:style>
  <w:style w:type="character" w:customStyle="1" w:styleId="49">
    <w:name w:val="页眉 字符"/>
    <w:basedOn w:val="27"/>
    <w:link w:val="17"/>
    <w:qFormat/>
    <w:uiPriority w:val="99"/>
    <w:rPr>
      <w:rFonts w:ascii="@仿宋_GB2312" w:hAnsi="@仿宋_GB2312" w:eastAsia="@仿宋_GB2312" w:cs="@仿宋_GB2312"/>
      <w:sz w:val="18"/>
      <w:szCs w:val="18"/>
    </w:rPr>
  </w:style>
  <w:style w:type="character" w:customStyle="1" w:styleId="50">
    <w:name w:val="批注主题 字符"/>
    <w:basedOn w:val="44"/>
    <w:link w:val="22"/>
    <w:semiHidden/>
    <w:qFormat/>
    <w:uiPriority w:val="99"/>
    <w:rPr>
      <w:rFonts w:ascii="@仿宋_GB2312" w:hAnsi="@仿宋_GB2312" w:eastAsia="@仿宋_GB2312" w:cs="@仿宋_GB2312"/>
      <w:b/>
      <w:bCs/>
      <w:szCs w:val="20"/>
    </w:rPr>
  </w:style>
  <w:style w:type="paragraph" w:customStyle="1" w:styleId="51">
    <w:name w:val="正文（缩进）"/>
    <w:basedOn w:val="1"/>
    <w:qFormat/>
    <w:uiPriority w:val="0"/>
    <w:pPr>
      <w:widowControl/>
      <w:spacing w:before="156" w:after="156"/>
      <w:ind w:firstLine="480" w:firstLineChars="200"/>
      <w:jc w:val="left"/>
    </w:pPr>
    <w:rPr>
      <w:kern w:val="0"/>
      <w:sz w:val="24"/>
      <w:szCs w:val="24"/>
    </w:rPr>
  </w:style>
  <w:style w:type="paragraph" w:customStyle="1" w:styleId="52">
    <w:name w:val="xl31"/>
    <w:basedOn w:val="1"/>
    <w:qFormat/>
    <w:uiPriority w:val="0"/>
    <w:pPr>
      <w:widowControl/>
      <w:spacing w:before="100" w:beforeAutospacing="1" w:after="100" w:afterAutospacing="1"/>
      <w:jc w:val="center"/>
    </w:pPr>
    <w:rPr>
      <w:b/>
      <w:bCs/>
      <w:kern w:val="0"/>
      <w:sz w:val="28"/>
      <w:szCs w:val="28"/>
    </w:rPr>
  </w:style>
  <w:style w:type="paragraph" w:customStyle="1" w:styleId="53">
    <w:name w:val="D&amp;L"/>
    <w:basedOn w:val="17"/>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54">
    <w:name w:val="纯文本 字符1"/>
    <w:basedOn w:val="27"/>
    <w:semiHidden/>
    <w:qFormat/>
    <w:uiPriority w:val="99"/>
    <w:rPr>
      <w:rFonts w:ascii="宋体" w:hAnsi="Courier New" w:cs="Courier New"/>
      <w:szCs w:val="20"/>
    </w:rPr>
  </w:style>
  <w:style w:type="character" w:customStyle="1" w:styleId="55">
    <w:name w:val="未处理的提及1"/>
    <w:basedOn w:val="27"/>
    <w:unhideWhenUsed/>
    <w:qFormat/>
    <w:uiPriority w:val="99"/>
    <w:rPr>
      <w:color w:val="605E5C"/>
      <w:shd w:val="clear" w:color="auto" w:fill="E1DFDD"/>
    </w:rPr>
  </w:style>
  <w:style w:type="paragraph" w:styleId="56">
    <w:name w:val="List Paragraph"/>
    <w:basedOn w:val="1"/>
    <w:qFormat/>
    <w:uiPriority w:val="34"/>
    <w:pPr>
      <w:ind w:firstLine="420" w:firstLineChars="200"/>
    </w:pPr>
  </w:style>
  <w:style w:type="paragraph" w:customStyle="1" w:styleId="57">
    <w:name w:val="Char Char Char Char Char Char Char1 Char"/>
    <w:basedOn w:val="1"/>
    <w:qFormat/>
    <w:uiPriority w:val="0"/>
    <w:rPr>
      <w:rFonts w:ascii="Arial" w:hAnsi="Arial" w:eastAsia="宋体" w:cs="Arial"/>
      <w:sz w:val="24"/>
    </w:rPr>
  </w:style>
  <w:style w:type="table" w:customStyle="1" w:styleId="58">
    <w:name w:val="网格表 1 浅色1"/>
    <w:basedOn w:val="25"/>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top w:val="nil"/>
          <w:left w:val="nil"/>
          <w:bottom w:val="single" w:color="666666" w:sz="12" w:space="0"/>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59">
    <w:name w:val="日期 字符"/>
    <w:basedOn w:val="27"/>
    <w:semiHidden/>
    <w:qFormat/>
    <w:uiPriority w:val="99"/>
    <w:rPr>
      <w:rFonts w:ascii="@仿宋_GB2312" w:hAnsi="@仿宋_GB2312" w:eastAsia="@仿宋_GB2312" w:cs="@仿宋_GB2312"/>
      <w:szCs w:val="20"/>
    </w:rPr>
  </w:style>
  <w:style w:type="character" w:customStyle="1" w:styleId="60">
    <w:name w:val="纯文本 Char1"/>
    <w:qFormat/>
    <w:locked/>
    <w:uiPriority w:val="99"/>
    <w:rPr>
      <w:rFonts w:ascii="Arial" w:hAnsi="Arial" w:eastAsia="Arial"/>
      <w:kern w:val="2"/>
      <w:sz w:val="21"/>
      <w:lang w:val="en-US" w:eastAsia="zh-CN" w:bidi="ar-SA"/>
    </w:rPr>
  </w:style>
  <w:style w:type="character" w:customStyle="1" w:styleId="61">
    <w:name w:val="批注文字 Char"/>
    <w:basedOn w:val="27"/>
    <w:semiHidden/>
    <w:qFormat/>
    <w:uiPriority w:val="99"/>
    <w:rPr>
      <w:rFonts w:ascii="@仿宋_GB2312" w:hAnsi="@仿宋_GB2312" w:eastAsia="@仿宋_GB2312" w:cs="@仿宋_GB2312"/>
      <w:szCs w:val="20"/>
    </w:rPr>
  </w:style>
  <w:style w:type="paragraph" w:customStyle="1" w:styleId="62">
    <w:name w:val="TOC 标题1"/>
    <w:basedOn w:val="2"/>
    <w:next w:val="1"/>
    <w:unhideWhenUsed/>
    <w:qFormat/>
    <w:uiPriority w:val="39"/>
    <w:pPr>
      <w:widowControl/>
      <w:spacing w:before="480" w:after="0" w:line="276" w:lineRule="auto"/>
      <w:jc w:val="left"/>
      <w:outlineLvl w:val="9"/>
    </w:pPr>
    <w:rPr>
      <w:rFonts w:ascii="Cambria" w:hAnsi="Cambria" w:eastAsia="宋体" w:cs="Times New Roman"/>
      <w:color w:val="366091"/>
      <w:kern w:val="0"/>
      <w:sz w:val="28"/>
      <w:szCs w:val="28"/>
    </w:rPr>
  </w:style>
  <w:style w:type="character" w:customStyle="1" w:styleId="63">
    <w:name w:val="fontstyle01"/>
    <w:basedOn w:val="27"/>
    <w:qFormat/>
    <w:uiPriority w:val="0"/>
    <w:rPr>
      <w:rFonts w:hint="eastAsia" w:ascii="宋体" w:hAnsi="宋体" w:eastAsia="宋体"/>
      <w:color w:val="000000"/>
      <w:sz w:val="22"/>
      <w:szCs w:val="22"/>
    </w:rPr>
  </w:style>
  <w:style w:type="character" w:customStyle="1" w:styleId="64">
    <w:name w:val="fontstyle21"/>
    <w:basedOn w:val="27"/>
    <w:qFormat/>
    <w:uiPriority w:val="0"/>
    <w:rPr>
      <w:rFonts w:hint="default" w:ascii="TimesNewRomanPSMT" w:hAnsi="TimesNewRomanPSMT"/>
      <w:color w:val="000000"/>
      <w:sz w:val="22"/>
      <w:szCs w:val="22"/>
    </w:rPr>
  </w:style>
  <w:style w:type="character" w:customStyle="1" w:styleId="65">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66">
    <w:name w:val="标题 4 字符"/>
    <w:basedOn w:val="27"/>
    <w:semiHidden/>
    <w:qFormat/>
    <w:uiPriority w:val="9"/>
    <w:rPr>
      <w:rFonts w:ascii="Cambria" w:hAnsi="Cambria" w:eastAsia="宋体" w:cs="Times New Roman"/>
      <w:b/>
      <w:bCs/>
      <w:sz w:val="28"/>
      <w:szCs w:val="28"/>
    </w:rPr>
  </w:style>
  <w:style w:type="character" w:customStyle="1" w:styleId="67">
    <w:name w:val="标题 4 Char"/>
    <w:qFormat/>
    <w:uiPriority w:val="0"/>
    <w:rPr>
      <w:rFonts w:ascii="Arial" w:hAnsi="Arial" w:eastAsia="Arial"/>
      <w:b/>
      <w:bCs/>
      <w:kern w:val="2"/>
      <w:sz w:val="28"/>
      <w:szCs w:val="28"/>
      <w:lang w:val="en-US" w:eastAsia="zh-CN" w:bidi="ar-SA"/>
    </w:rPr>
  </w:style>
  <w:style w:type="table" w:customStyle="1" w:styleId="68">
    <w:name w:val="网格型1"/>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
    <w:name w:val="Table Normal"/>
    <w:basedOn w:val="25"/>
    <w:unhideWhenUsed/>
    <w:qFormat/>
    <w:uiPriority w:val="0"/>
    <w:tblPr>
      <w:tblCellMar>
        <w:left w:w="0" w:type="dxa"/>
        <w:right w:w="0" w:type="dxa"/>
      </w:tblCellMar>
    </w:tblPr>
  </w:style>
  <w:style w:type="paragraph" w:customStyle="1" w:styleId="70">
    <w:name w:val="Table Text"/>
    <w:basedOn w:val="1"/>
    <w:semiHidden/>
    <w:qFormat/>
    <w:uiPriority w:val="0"/>
    <w:rPr>
      <w:rFonts w:ascii="Arial" w:hAnsi="Arial" w:eastAsia="Arial" w:cs="Arial"/>
      <w:szCs w:val="21"/>
      <w:lang w:eastAsia="en-US"/>
    </w:rPr>
  </w:style>
  <w:style w:type="paragraph" w:customStyle="1" w:styleId="7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2">
    <w:name w:val="列出段落1"/>
    <w:basedOn w:val="1"/>
    <w:qFormat/>
    <w:uiPriority w:val="0"/>
    <w:pPr>
      <w:ind w:firstLine="420" w:firstLineChars="200"/>
    </w:pPr>
    <w:rPr>
      <w:szCs w:val="21"/>
    </w:rPr>
  </w:style>
  <w:style w:type="character" w:customStyle="1" w:styleId="73">
    <w:name w:val="17"/>
    <w:basedOn w:val="27"/>
    <w:qFormat/>
    <w:uiPriority w:val="0"/>
    <w:rPr>
      <w:rFonts w:hint="eastAsia" w:ascii="宋体" w:hAnsi="宋体" w:eastAsia="宋体" w:cs="宋体"/>
      <w:color w:val="000000"/>
      <w:sz w:val="18"/>
      <w:szCs w:val="18"/>
    </w:rPr>
  </w:style>
  <w:style w:type="character" w:customStyle="1" w:styleId="74">
    <w:name w:val="16"/>
    <w:basedOn w:val="27"/>
    <w:qFormat/>
    <w:uiPriority w:val="0"/>
    <w:rPr>
      <w:rFonts w:hint="eastAsia" w:ascii="宋体" w:hAnsi="宋体" w:eastAsia="宋体" w:cs="宋体"/>
      <w:b/>
      <w:color w:val="000000"/>
      <w:sz w:val="18"/>
      <w:szCs w:val="18"/>
    </w:rPr>
  </w:style>
  <w:style w:type="character" w:customStyle="1" w:styleId="75">
    <w:name w:val="15"/>
    <w:basedOn w:val="27"/>
    <w:qFormat/>
    <w:uiPriority w:val="0"/>
    <w:rPr>
      <w:rFonts w:hint="eastAsia" w:ascii="宋体" w:hAnsi="宋体" w:eastAsia="宋体" w:cs="宋体"/>
      <w:color w:val="FF0000"/>
      <w:sz w:val="18"/>
      <w:szCs w:val="18"/>
    </w:rPr>
  </w:style>
  <w:style w:type="character" w:customStyle="1" w:styleId="76">
    <w:name w:val="hover"/>
    <w:basedOn w:val="27"/>
    <w:qFormat/>
    <w:uiPriority w:val="0"/>
    <w:rPr>
      <w:color w:val="2590EB"/>
    </w:rPr>
  </w:style>
  <w:style w:type="character" w:customStyle="1" w:styleId="77">
    <w:name w:val="hover1"/>
    <w:basedOn w:val="27"/>
    <w:qFormat/>
    <w:uiPriority w:val="0"/>
  </w:style>
  <w:style w:type="character" w:customStyle="1" w:styleId="78">
    <w:name w:val="hover2"/>
    <w:basedOn w:val="27"/>
    <w:qFormat/>
    <w:uiPriority w:val="0"/>
    <w:rPr>
      <w:color w:val="2590EB"/>
      <w:shd w:val="clear" w:color="auto" w:fill="E9F4FD"/>
    </w:rPr>
  </w:style>
  <w:style w:type="character" w:customStyle="1" w:styleId="79">
    <w:name w:val="hover3"/>
    <w:basedOn w:val="27"/>
    <w:qFormat/>
    <w:uiPriority w:val="0"/>
    <w:rPr>
      <w:color w:val="2590EB"/>
    </w:rPr>
  </w:style>
  <w:style w:type="paragraph" w:customStyle="1" w:styleId="8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81">
    <w:name w:val="layui-this"/>
    <w:basedOn w:val="27"/>
    <w:qFormat/>
    <w:uiPriority w:val="0"/>
    <w:rPr>
      <w:bdr w:val="single" w:color="EEEEEE" w:sz="6" w:space="0"/>
      <w:shd w:val="clear" w:color="auto" w:fill="FFFFFF"/>
    </w:rPr>
  </w:style>
  <w:style w:type="character" w:customStyle="1" w:styleId="82">
    <w:name w:val="first-child"/>
    <w:basedOn w:val="27"/>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124</Pages>
  <Words>2475</Words>
  <Characters>2839</Characters>
  <Lines>1</Lines>
  <Paragraphs>1</Paragraphs>
  <TotalTime>84</TotalTime>
  <ScaleCrop>false</ScaleCrop>
  <LinksUpToDate>false</LinksUpToDate>
  <CharactersWithSpaces>2934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2025-05-07T09:36:00Z</dcterms:created>
  <dc:creator>Anakin</dc:creator>
  <cp:lastModifiedBy>这不科学</cp:lastModifiedBy>
  <cp:lastPrinted>2025-08-15T00:36:00Z</cp:lastPrinted>
  <dcterms:modified xsi:type="dcterms:W3CDTF">2025-09-26T08:22:01Z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ACAC503E4D3A4A4CB5DA7BC3F85BC700_13</vt:lpwstr>
  </property>
  <property fmtid="{D5CDD505-2E9C-101B-9397-08002B2CF9AE}" pid="4" name="KSOTemplateDocerSaveRecord">
    <vt:lpwstr>eyJoZGlkIjoiZmI5ZDY5ZDNjMmE2ZDcxYTFkMDY0Zjg5Mjg3YTE0YTgiLCJ1c2VySWQiOiI1MDM3MjkwOTMifQ==</vt:lpwstr>
  </property>
</Properties>
</file>